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left="0" w:leftChars="0" w:right="15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新安县第二实验幼儿园建设工程设计项目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left="0" w:leftChars="0" w:right="15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竞争性磋商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公告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15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一、招标条件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3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新安县第二实验幼儿园建设工程设计项目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已由相关部门批准实施，具备招标条件。招标人为新安县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教育局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，现委托河南龙华工程咨询有限公司对该项目进行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竞争性磋商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，欢迎符合条件的投标人参加投标。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3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二、项目概况与招标范围：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新安县第二实验幼儿园建设工程设计项目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审批编号：洛新政集采【2017-0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9006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2.3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招标编号：洛新交易【2017】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243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号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99" w:leftChars="228" w:right="150" w:hanging="720" w:hangingChars="3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4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招标范围：本项目初步设计、施工图设计、工程概算及技术文件制作等。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5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建设地点：新安县境内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6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标段划分：共一个标段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7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资金来源：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2015年第一批扩大学前教育资源中央和省级奖补资金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8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预算资金：约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万元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9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计划工期：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天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质量要求：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合格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2.11 结构层次：规划用地16.108亩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投标人资格要求：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3.1、本次招标要求投标人须符合《中华人民共和国政府采购法》第二十二条的规定，且持有年检合格（有效）的企业法人营业执照、组织机构代码证、税务登记证（或三证合一的营业执照），并在人员、设备、资金等方面具有相应的能力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3.2、具有良好的社会信誉，没有处于被责令停业，投标资格取消，财产被接管、冻结、破产状态，没有骗取中标或者严重违约问题，无不良记录；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、投标人具备有效的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建筑工程设计甲级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(或综合甲级)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及城乡规划乙级（含）以上；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、投标人拟派项目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负责人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应具有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一级注册建筑师证及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高级技术职称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；（注：拟派的项目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负责人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不得在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项目中担任职务并出具无在建项目承诺书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拟派的项目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负责人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一经报名不得更换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、拟派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项目负责人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和被委托人须为本单位员工，并提供劳动合同及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2016年7月份至2017年7月份连续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的本单位社保缴费明细（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并提供查询网站、登陆账号及密码）。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自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公告发布之日起由项目所在地或企业注册地检察院机关出具的《检察机关查询行贿犯罪档案结果告知函》原件（查询对象包括企业、法定代表人）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3.7、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“信用中国”网站（www.creditchina.gov.cn）、中国政府采购网（www.ccgp.gov.cn）供应商查询信用记录，如有不良信用记录（包括行政主管部门公布的弄虚作假等的不良行为）其报名及投标将被拒绝（提供查询网页，且随时可查）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3.8、本次招标项目采取资格后审，资格审查具体要求见招标文件。资格后审不合格的投标人投标文件将按废标处理。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本次招标项目不接受联合体投标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报名信息及招标文件的获取：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报名时间：2017年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日----2017年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日每天上午9:00～11:30，下午15：00～18：00（法定节假日除外）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、招标文件的获取：本次采购通过新安县公共资源网上交易系统进行，请供应商登录中心网站（www.xaxggzyjyzx.cn）点击“供应商登录”，通过 “证书Key”方式登录，网上获取招标文件（用户注册及证书Key办理、使用，咨询电话 0379-69921072，63922311）。招标文件300元。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本次招标代理服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务费由中标单位支付，按照洛阳市市级政府采购代理服务费支付标准；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五、投标文件的递交：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   5.1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投标文件递交截止时间：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2017年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0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（北京时间）；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50" w:right="15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5.2</w:t>
      </w:r>
      <w:r>
        <w:rPr>
          <w:rFonts w:hint="eastAsia" w:ascii="宋体" w:hAnsi="宋体" w:eastAsia="宋体" w:cs="宋体"/>
          <w:sz w:val="24"/>
          <w:szCs w:val="24"/>
        </w:rPr>
        <w:t>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标文件递交地点：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新安县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公共资源交易中心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楼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开标室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5.3逾期送达的或者未送达指定地点的投标文件，招标人不予受理。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六、发布公告的媒介：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  本次招标公告同时在《中国采购与招标网》、《河南省(洛阳)政府采购网》、《河南招标采购综合网》、《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新安县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公共资源交易中心》上发布。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、开标人员名单：</w:t>
      </w: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丁曦、张闪</w:t>
      </w:r>
      <w:bookmarkEnd w:id="0"/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八、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联系方法：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新安县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教育局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址：洛阳市新安县畛河路与上海路交叉口南100米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袁女士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电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13592066718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代理机构：河南龙华工程咨询有限公司</w:t>
      </w:r>
      <w:bookmarkStart w:id="1" w:name="_GoBack"/>
      <w:bookmarkEnd w:id="1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地址：洛阳市南昌路与九都路交叉口壹号城邦10栋506室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董先生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电    话：0379-62220309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电子邮箱：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</w:rPr>
        <w:instrText xml:space="preserve"> HYPERLINK "mailto:hnlhlyfgs@163.com" </w:instrTex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color w:val="000000"/>
          <w:sz w:val="24"/>
          <w:szCs w:val="24"/>
        </w:rPr>
        <w:t>hnlhlyfgs@163.com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5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2017年8月22日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50" w:right="15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                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’宋体’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’Times New Roman’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kor_boot">
    <w:altName w:val="Gulim"/>
    <w:panose1 w:val="020B0502040204020203"/>
    <w:charset w:val="81"/>
    <w:family w:val="auto"/>
    <w:pitch w:val="default"/>
    <w:sig w:usb0="00000000" w:usb1="00000000" w:usb2="00000030" w:usb3="00000000" w:csb0="0008009F" w:csb1="DFD7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C98C5"/>
    <w:multiLevelType w:val="singleLevel"/>
    <w:tmpl w:val="594C98C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F7"/>
    <w:rsid w:val="00782C5F"/>
    <w:rsid w:val="008E77A8"/>
    <w:rsid w:val="00E363A8"/>
    <w:rsid w:val="00FB70F7"/>
    <w:rsid w:val="0149252E"/>
    <w:rsid w:val="031958A2"/>
    <w:rsid w:val="03F8685F"/>
    <w:rsid w:val="059D1E57"/>
    <w:rsid w:val="08116C70"/>
    <w:rsid w:val="08DD506E"/>
    <w:rsid w:val="08E05E83"/>
    <w:rsid w:val="08E6452F"/>
    <w:rsid w:val="09273ECE"/>
    <w:rsid w:val="0AEA2616"/>
    <w:rsid w:val="112759B8"/>
    <w:rsid w:val="122A4917"/>
    <w:rsid w:val="157E4896"/>
    <w:rsid w:val="16393503"/>
    <w:rsid w:val="277D543D"/>
    <w:rsid w:val="2A6A3424"/>
    <w:rsid w:val="2E6F6024"/>
    <w:rsid w:val="330A31BF"/>
    <w:rsid w:val="37FE6292"/>
    <w:rsid w:val="38FB53E2"/>
    <w:rsid w:val="3EAF576B"/>
    <w:rsid w:val="41304FFC"/>
    <w:rsid w:val="42337E1E"/>
    <w:rsid w:val="4346396D"/>
    <w:rsid w:val="455374B5"/>
    <w:rsid w:val="462B6F13"/>
    <w:rsid w:val="4D103402"/>
    <w:rsid w:val="545B000E"/>
    <w:rsid w:val="5AF31129"/>
    <w:rsid w:val="5B0C23E2"/>
    <w:rsid w:val="5C486674"/>
    <w:rsid w:val="5E856715"/>
    <w:rsid w:val="5EB153FB"/>
    <w:rsid w:val="5FF00DAC"/>
    <w:rsid w:val="60E7788A"/>
    <w:rsid w:val="61FF7304"/>
    <w:rsid w:val="632C70AC"/>
    <w:rsid w:val="711560BB"/>
    <w:rsid w:val="73F31277"/>
    <w:rsid w:val="756F5935"/>
    <w:rsid w:val="7826263F"/>
    <w:rsid w:val="782B2F5B"/>
    <w:rsid w:val="79C6259E"/>
    <w:rsid w:val="7FB5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333333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333333"/>
      <w:sz w:val="18"/>
      <w:szCs w:val="18"/>
      <w:u w:val="none"/>
    </w:rPr>
  </w:style>
  <w:style w:type="paragraph" w:customStyle="1" w:styleId="9">
    <w:name w:val="普通(网站)1"/>
    <w:basedOn w:val="1"/>
    <w:qFormat/>
    <w:uiPriority w:val="0"/>
    <w:pPr>
      <w:spacing w:line="432" w:lineRule="auto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</Words>
  <Characters>1595</Characters>
  <Lines>13</Lines>
  <Paragraphs>3</Paragraphs>
  <ScaleCrop>false</ScaleCrop>
  <LinksUpToDate>false</LinksUpToDate>
  <CharactersWithSpaces>1871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2017-05-11T18:23:00Z</dcterms:created>
  <dc:creator>Administrator</dc:creator>
  <cp:lastModifiedBy>龙华洛阳项目部</cp:lastModifiedBy>
  <cp:lastPrinted>2017-05-22T06:52:00Z</cp:lastPrinted>
  <dcterms:modified xsi:type="dcterms:W3CDTF">2017-08-22T08:11:32Z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