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000000"/>
          <w:sz w:val="21"/>
          <w:szCs w:val="21"/>
          <w:highlight w:val="none"/>
        </w:rPr>
      </w:pPr>
      <w:bookmarkStart w:id="32" w:name="_GoBack"/>
    </w:p>
    <w:p>
      <w:pPr>
        <w:pStyle w:val="3"/>
        <w:pageBreakBefore w:val="0"/>
        <w:kinsoku/>
        <w:wordWrap/>
        <w:overflowPunct/>
        <w:topLinePunct w:val="0"/>
        <w:bidi w:val="0"/>
        <w:adjustRightInd/>
        <w:snapToGrid/>
        <w:spacing w:line="360" w:lineRule="auto"/>
        <w:ind w:right="0" w:rightChars="0"/>
        <w:jc w:val="center"/>
        <w:textAlignment w:val="auto"/>
        <w:rPr>
          <w:rFonts w:hint="eastAsia" w:ascii="宋体" w:hAnsi="宋体" w:eastAsia="宋体" w:cs="宋体"/>
          <w:sz w:val="30"/>
          <w:szCs w:val="30"/>
          <w:highlight w:val="none"/>
        </w:rPr>
      </w:pPr>
      <w:bookmarkStart w:id="0" w:name="_Toc4142"/>
      <w:r>
        <w:rPr>
          <w:rFonts w:hint="eastAsia" w:ascii="宋体" w:hAnsi="宋体" w:eastAsia="宋体" w:cs="宋体"/>
          <w:sz w:val="30"/>
          <w:szCs w:val="30"/>
          <w:highlight w:val="none"/>
        </w:rPr>
        <w:t>中国人民武装警察部队综合保障基地</w:t>
      </w:r>
    </w:p>
    <w:p>
      <w:pPr>
        <w:pStyle w:val="3"/>
        <w:pageBreakBefore w:val="0"/>
        <w:kinsoku/>
        <w:wordWrap/>
        <w:overflowPunct/>
        <w:topLinePunct w:val="0"/>
        <w:bidi w:val="0"/>
        <w:adjustRightInd/>
        <w:snapToGrid/>
        <w:spacing w:line="360" w:lineRule="auto"/>
        <w:ind w:right="0" w:rightChars="0"/>
        <w:jc w:val="center"/>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西安仓库四库一所附属工程</w:t>
      </w:r>
    </w:p>
    <w:p>
      <w:pPr>
        <w:pStyle w:val="3"/>
        <w:pageBreakBefore w:val="0"/>
        <w:kinsoku/>
        <w:wordWrap/>
        <w:overflowPunct/>
        <w:topLinePunct w:val="0"/>
        <w:bidi w:val="0"/>
        <w:adjustRightInd/>
        <w:snapToGrid/>
        <w:spacing w:line="360" w:lineRule="auto"/>
        <w:ind w:right="0" w:rightChars="0"/>
        <w:jc w:val="center"/>
        <w:textAlignment w:val="auto"/>
        <w:rPr>
          <w:rFonts w:hint="eastAsia" w:ascii="宋体" w:hAnsi="宋体" w:eastAsia="宋体" w:cs="宋体"/>
          <w:color w:val="000000"/>
          <w:sz w:val="30"/>
          <w:szCs w:val="30"/>
          <w:highlight w:val="none"/>
        </w:rPr>
      </w:pPr>
      <w:r>
        <w:rPr>
          <w:rFonts w:hint="eastAsia" w:ascii="宋体" w:hAnsi="宋体" w:eastAsia="宋体" w:cs="宋体"/>
          <w:sz w:val="30"/>
          <w:szCs w:val="30"/>
          <w:highlight w:val="none"/>
          <w:lang w:eastAsia="zh-CN"/>
        </w:rPr>
        <w:t>招标公告</w:t>
      </w:r>
      <w:bookmarkEnd w:id="0"/>
    </w:p>
    <w:p>
      <w:pPr>
        <w:pStyle w:val="4"/>
        <w:pageBreakBefore w:val="0"/>
        <w:kinsoku/>
        <w:wordWrap/>
        <w:overflowPunct/>
        <w:topLinePunct w:val="0"/>
        <w:bidi w:val="0"/>
        <w:adjustRightInd/>
        <w:snapToGrid/>
        <w:spacing w:line="360" w:lineRule="auto"/>
        <w:ind w:right="0" w:rightChars="0"/>
        <w:textAlignment w:val="auto"/>
        <w:rPr>
          <w:rFonts w:hint="eastAsia" w:ascii="宋体" w:hAnsi="宋体" w:eastAsia="宋体" w:cs="宋体"/>
          <w:b w:val="0"/>
          <w:bCs w:val="0"/>
          <w:sz w:val="21"/>
          <w:szCs w:val="21"/>
          <w:highlight w:val="none"/>
        </w:rPr>
      </w:pPr>
      <w:bookmarkStart w:id="1" w:name="_Toc13125"/>
      <w:r>
        <w:rPr>
          <w:rFonts w:hint="eastAsia" w:ascii="宋体" w:hAnsi="宋体" w:eastAsia="宋体" w:cs="宋体"/>
          <w:sz w:val="21"/>
          <w:szCs w:val="21"/>
          <w:highlight w:val="none"/>
        </w:rPr>
        <w:t>1．招标条件</w:t>
      </w:r>
      <w:bookmarkEnd w:id="1"/>
    </w:p>
    <w:p>
      <w:pPr>
        <w:pageBreakBefore w:val="0"/>
        <w:kinsoku/>
        <w:wordWrap/>
        <w:overflowPunct/>
        <w:topLinePunct w:val="0"/>
        <w:autoSpaceDE w:val="0"/>
        <w:autoSpaceDN w:val="0"/>
        <w:bidi w:val="0"/>
        <w:adjustRightInd/>
        <w:snapToGrid/>
        <w:spacing w:line="360" w:lineRule="auto"/>
        <w:ind w:right="0" w:rightChars="0"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中国人民武装警察部队综合保障基地西安仓库四库一所附属工程</w:t>
      </w:r>
      <w:r>
        <w:rPr>
          <w:rFonts w:hint="eastAsia" w:ascii="宋体" w:hAnsi="宋体" w:eastAsia="宋体" w:cs="宋体"/>
          <w:sz w:val="21"/>
          <w:szCs w:val="21"/>
          <w:highlight w:val="none"/>
        </w:rPr>
        <w:t>已批准建设，招标人为中国人民武装警察部队综合保障基地西安仓库，建设资金来源单位自筹，项目出资比例为100%。项目已具备招标条件，现对该采购项目进行公开招标。</w:t>
      </w:r>
    </w:p>
    <w:p>
      <w:pPr>
        <w:pStyle w:val="4"/>
        <w:pageBreakBefore w:val="0"/>
        <w:kinsoku/>
        <w:wordWrap/>
        <w:overflowPunct/>
        <w:topLinePunct w:val="0"/>
        <w:bidi w:val="0"/>
        <w:adjustRightInd/>
        <w:snapToGrid/>
        <w:spacing w:line="360" w:lineRule="auto"/>
        <w:ind w:right="0" w:rightChars="0"/>
        <w:textAlignment w:val="auto"/>
        <w:rPr>
          <w:rFonts w:hint="eastAsia" w:ascii="宋体" w:hAnsi="宋体" w:eastAsia="宋体" w:cs="宋体"/>
          <w:sz w:val="21"/>
          <w:szCs w:val="21"/>
          <w:highlight w:val="none"/>
        </w:rPr>
      </w:pPr>
      <w:bookmarkStart w:id="2" w:name="_Toc3147"/>
      <w:bookmarkStart w:id="3" w:name="_Toc362885086"/>
      <w:bookmarkStart w:id="4" w:name="_Toc333424538"/>
      <w:bookmarkStart w:id="5" w:name="_Toc349289652"/>
      <w:bookmarkStart w:id="6" w:name="_Toc362950559"/>
      <w:bookmarkStart w:id="7" w:name="_Toc362884700"/>
      <w:bookmarkStart w:id="8" w:name="_Toc362945965"/>
      <w:r>
        <w:rPr>
          <w:rFonts w:hint="eastAsia" w:ascii="宋体" w:hAnsi="宋体" w:eastAsia="宋体" w:cs="宋体"/>
          <w:sz w:val="21"/>
          <w:szCs w:val="21"/>
          <w:highlight w:val="none"/>
        </w:rPr>
        <w:t>2．项目概况与招标范围</w:t>
      </w:r>
      <w:bookmarkEnd w:id="2"/>
      <w:bookmarkEnd w:id="3"/>
      <w:bookmarkEnd w:id="4"/>
      <w:bookmarkEnd w:id="5"/>
      <w:bookmarkEnd w:id="6"/>
      <w:bookmarkEnd w:id="7"/>
      <w:bookmarkEnd w:id="8"/>
    </w:p>
    <w:p>
      <w:pPr>
        <w:pageBreakBefore w:val="0"/>
        <w:kinsoku/>
        <w:wordWrap/>
        <w:overflowPunct/>
        <w:topLinePunct w:val="0"/>
        <w:bidi w:val="0"/>
        <w:adjustRightInd/>
        <w:snapToGrid/>
        <w:spacing w:line="360" w:lineRule="auto"/>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2.1项目名称：</w:t>
      </w:r>
      <w:r>
        <w:rPr>
          <w:rFonts w:hint="eastAsia" w:ascii="宋体" w:hAnsi="宋体" w:eastAsia="宋体" w:cs="宋体"/>
          <w:sz w:val="21"/>
          <w:szCs w:val="21"/>
          <w:highlight w:val="none"/>
          <w:lang w:eastAsia="zh-CN"/>
        </w:rPr>
        <w:t>中国人民武装警察部队综合保障基地西安仓库四库一所附属工程</w:t>
      </w:r>
    </w:p>
    <w:p>
      <w:pPr>
        <w:pageBreakBefore w:val="0"/>
        <w:kinsoku/>
        <w:wordWrap/>
        <w:overflowPunct/>
        <w:topLinePunct w:val="0"/>
        <w:bidi w:val="0"/>
        <w:adjustRightInd/>
        <w:snapToGrid/>
        <w:spacing w:line="360" w:lineRule="auto"/>
        <w:ind w:right="0" w:rightChars="0" w:firstLine="525"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2.2招标编号：</w:t>
      </w:r>
      <w:r>
        <w:rPr>
          <w:rFonts w:hint="eastAsia" w:ascii="宋体" w:hAnsi="宋体" w:eastAsia="宋体" w:cs="宋体"/>
          <w:sz w:val="21"/>
          <w:szCs w:val="21"/>
          <w:highlight w:val="none"/>
          <w:lang w:eastAsia="zh-CN"/>
        </w:rPr>
        <w:t>SCZF2017-ZB-932/1</w:t>
      </w:r>
      <w:r>
        <w:rPr>
          <w:rFonts w:hint="eastAsia" w:ascii="宋体" w:hAnsi="宋体" w:eastAsia="宋体" w:cs="宋体"/>
          <w:sz w:val="21"/>
          <w:szCs w:val="21"/>
          <w:highlight w:val="none"/>
        </w:rPr>
        <w:t xml:space="preserve"> </w:t>
      </w:r>
    </w:p>
    <w:p>
      <w:pPr>
        <w:pageBreakBefore w:val="0"/>
        <w:kinsoku/>
        <w:wordWrap/>
        <w:overflowPunct/>
        <w:topLinePunct w:val="0"/>
        <w:bidi w:val="0"/>
        <w:adjustRightInd/>
        <w:snapToGrid/>
        <w:spacing w:line="360" w:lineRule="auto"/>
        <w:ind w:right="0" w:rightChars="0" w:firstLine="525"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2.3招标范围：</w:t>
      </w:r>
      <w:r>
        <w:rPr>
          <w:rFonts w:hint="eastAsia" w:ascii="宋体" w:hAnsi="宋体" w:eastAsia="宋体" w:cs="宋体"/>
          <w:sz w:val="21"/>
          <w:szCs w:val="21"/>
          <w:highlight w:val="none"/>
          <w:lang w:eastAsia="zh-CN"/>
        </w:rPr>
        <w:t>工程投资约</w:t>
      </w:r>
      <w:r>
        <w:rPr>
          <w:rFonts w:hint="eastAsia" w:ascii="宋体" w:hAnsi="宋体" w:eastAsia="宋体" w:cs="宋体"/>
          <w:sz w:val="21"/>
          <w:szCs w:val="21"/>
          <w:highlight w:val="none"/>
          <w:lang w:val="en-US" w:eastAsia="zh-CN"/>
        </w:rPr>
        <w:t>200万元，按一个标段实施，具体</w:t>
      </w:r>
      <w:r>
        <w:rPr>
          <w:rFonts w:hint="eastAsia" w:ascii="宋体" w:hAnsi="宋体" w:eastAsia="宋体" w:cs="宋体"/>
          <w:sz w:val="21"/>
          <w:szCs w:val="21"/>
          <w:highlight w:val="none"/>
        </w:rPr>
        <w:t>详见工程量清单</w:t>
      </w:r>
      <w:r>
        <w:rPr>
          <w:rFonts w:hint="eastAsia" w:ascii="宋体" w:hAnsi="宋体" w:eastAsia="宋体" w:cs="宋体"/>
          <w:sz w:val="21"/>
          <w:szCs w:val="21"/>
          <w:highlight w:val="none"/>
          <w:lang w:eastAsia="zh-CN"/>
        </w:rPr>
        <w:t>及图纸</w:t>
      </w:r>
    </w:p>
    <w:p>
      <w:pPr>
        <w:pageBreakBefore w:val="0"/>
        <w:kinsoku/>
        <w:wordWrap/>
        <w:overflowPunct/>
        <w:topLinePunct w:val="0"/>
        <w:bidi w:val="0"/>
        <w:adjustRightInd/>
        <w:snapToGrid/>
        <w:spacing w:line="360" w:lineRule="auto"/>
        <w:ind w:right="0" w:rightChars="0" w:firstLine="525" w:firstLineChars="2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2.4工程地点：西安市太华北路756号</w:t>
      </w:r>
    </w:p>
    <w:p>
      <w:pPr>
        <w:pageBreakBefore w:val="0"/>
        <w:kinsoku/>
        <w:wordWrap/>
        <w:overflowPunct/>
        <w:topLinePunct w:val="0"/>
        <w:bidi w:val="0"/>
        <w:adjustRightInd/>
        <w:snapToGrid/>
        <w:spacing w:line="360" w:lineRule="auto"/>
        <w:ind w:left="1890" w:leftChars="200" w:right="0" w:rightChars="0" w:hanging="1470" w:hangingChars="7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2.5工    期：</w:t>
      </w:r>
      <w:r>
        <w:rPr>
          <w:rFonts w:hint="eastAsia" w:ascii="宋体" w:hAnsi="宋体" w:eastAsia="宋体" w:cs="宋体"/>
          <w:sz w:val="21"/>
          <w:szCs w:val="21"/>
          <w:highlight w:val="none"/>
          <w:lang w:val="en-US" w:eastAsia="zh-CN"/>
        </w:rPr>
        <w:t>45天</w:t>
      </w:r>
    </w:p>
    <w:p>
      <w:pPr>
        <w:pStyle w:val="4"/>
        <w:pageBreakBefore w:val="0"/>
        <w:kinsoku/>
        <w:wordWrap/>
        <w:overflowPunct/>
        <w:topLinePunct w:val="0"/>
        <w:bidi w:val="0"/>
        <w:adjustRightInd/>
        <w:snapToGrid/>
        <w:spacing w:line="360" w:lineRule="auto"/>
        <w:ind w:right="0" w:rightChars="0"/>
        <w:textAlignment w:val="auto"/>
        <w:rPr>
          <w:rFonts w:hint="eastAsia" w:ascii="宋体" w:hAnsi="宋体" w:eastAsia="宋体" w:cs="宋体"/>
          <w:sz w:val="21"/>
          <w:szCs w:val="21"/>
          <w:highlight w:val="none"/>
        </w:rPr>
      </w:pPr>
      <w:bookmarkStart w:id="9" w:name="_Toc349289653"/>
      <w:bookmarkStart w:id="10" w:name="_Toc362884701"/>
      <w:bookmarkStart w:id="11" w:name="_Toc362885087"/>
      <w:bookmarkStart w:id="12" w:name="_Toc362945966"/>
      <w:bookmarkStart w:id="13" w:name="_Toc23177"/>
      <w:bookmarkStart w:id="14" w:name="_Toc333424539"/>
      <w:bookmarkStart w:id="15" w:name="_Toc362950560"/>
      <w:r>
        <w:rPr>
          <w:rFonts w:hint="eastAsia" w:ascii="宋体" w:hAnsi="宋体" w:eastAsia="宋体" w:cs="宋体"/>
          <w:sz w:val="21"/>
          <w:szCs w:val="21"/>
          <w:highlight w:val="none"/>
        </w:rPr>
        <w:t>3．投标人资格要求</w:t>
      </w:r>
      <w:bookmarkEnd w:id="9"/>
      <w:bookmarkEnd w:id="10"/>
      <w:bookmarkEnd w:id="11"/>
      <w:bookmarkEnd w:id="12"/>
      <w:bookmarkEnd w:id="13"/>
      <w:bookmarkEnd w:id="14"/>
      <w:bookmarkEnd w:id="15"/>
    </w:p>
    <w:p>
      <w:pPr>
        <w:pageBreakBefore w:val="0"/>
        <w:kinsoku/>
        <w:wordWrap/>
        <w:overflowPunct/>
        <w:topLinePunct w:val="0"/>
        <w:bidi w:val="0"/>
        <w:adjustRightInd/>
        <w:snapToGrid/>
        <w:spacing w:line="360" w:lineRule="auto"/>
        <w:ind w:right="0" w:rightChars="0"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3.1投标人须是中华人民共和国境内正式注册并具有独立法人资格，具有房屋建筑工程施工总承包</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级及以上资质，具有有效的安全生产许可证；拟派项目经理具有房屋建筑工程贰级</w:t>
      </w:r>
      <w:r>
        <w:rPr>
          <w:rFonts w:hint="eastAsia" w:ascii="宋体" w:hAnsi="宋体" w:eastAsia="宋体" w:cs="宋体"/>
          <w:sz w:val="21"/>
          <w:szCs w:val="21"/>
          <w:highlight w:val="none"/>
          <w:lang w:eastAsia="zh-CN"/>
        </w:rPr>
        <w:t>及以上</w:t>
      </w:r>
      <w:r>
        <w:rPr>
          <w:rFonts w:hint="eastAsia" w:ascii="宋体" w:hAnsi="宋体" w:eastAsia="宋体" w:cs="宋体"/>
          <w:sz w:val="21"/>
          <w:szCs w:val="21"/>
          <w:highlight w:val="none"/>
        </w:rPr>
        <w:t>注册建造师证书及安全考核合格证（B证），并且目前无在建项目，公司近三年须具有同类工程业绩，并在人员、设备、资金等方面具备相应的施工能力。</w:t>
      </w:r>
    </w:p>
    <w:p>
      <w:pPr>
        <w:pageBreakBefore w:val="0"/>
        <w:kinsoku/>
        <w:wordWrap/>
        <w:overflowPunct/>
        <w:topLinePunct w:val="0"/>
        <w:bidi w:val="0"/>
        <w:adjustRightInd/>
        <w:snapToGrid/>
        <w:spacing w:line="360" w:lineRule="auto"/>
        <w:ind w:right="0" w:rightChars="0" w:firstLine="411" w:firstLineChars="196"/>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3.2投标人具有近三年经审计的财务报告（2014-2016年）。</w:t>
      </w:r>
    </w:p>
    <w:p>
      <w:pPr>
        <w:pageBreakBefore w:val="0"/>
        <w:kinsoku/>
        <w:wordWrap/>
        <w:overflowPunct/>
        <w:topLinePunct w:val="0"/>
        <w:bidi w:val="0"/>
        <w:adjustRightInd/>
        <w:snapToGrid/>
        <w:spacing w:line="360" w:lineRule="auto"/>
        <w:ind w:right="0" w:rightChars="0"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在同行业中有较好信誉，近三年未因安全、质量等问题受到政府主管部门的处罚，无不良记录。</w:t>
      </w:r>
    </w:p>
    <w:p>
      <w:pPr>
        <w:pageBreakBefore w:val="0"/>
        <w:kinsoku/>
        <w:wordWrap/>
        <w:overflowPunct/>
        <w:topLinePunct w:val="0"/>
        <w:bidi w:val="0"/>
        <w:adjustRightInd/>
        <w:snapToGrid/>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单位负责人为同一人或者存在控股、管理关系的不同单位，不得同时参加本招标项目投标。</w:t>
      </w:r>
    </w:p>
    <w:p>
      <w:pPr>
        <w:pageBreakBefore w:val="0"/>
        <w:kinsoku/>
        <w:wordWrap/>
        <w:overflowPunct/>
        <w:topLinePunct w:val="0"/>
        <w:bidi w:val="0"/>
        <w:adjustRightInd/>
        <w:snapToGrid/>
        <w:spacing w:line="360" w:lineRule="auto"/>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外省企业须在陕西建设网“陕西建筑市场监管与诚信信息一体化平台”录入企业基本信息并可查询；</w:t>
      </w:r>
    </w:p>
    <w:p>
      <w:pPr>
        <w:pageBreakBefore w:val="0"/>
        <w:kinsoku/>
        <w:wordWrap/>
        <w:overflowPunct/>
        <w:topLinePunct w:val="0"/>
        <w:bidi w:val="0"/>
        <w:adjustRightInd/>
        <w:snapToGrid/>
        <w:spacing w:line="360" w:lineRule="auto"/>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本次招标不接受联合体投标。</w:t>
      </w:r>
    </w:p>
    <w:p>
      <w:pPr>
        <w:pStyle w:val="4"/>
        <w:pageBreakBefore w:val="0"/>
        <w:kinsoku/>
        <w:wordWrap/>
        <w:overflowPunct/>
        <w:topLinePunct w:val="0"/>
        <w:bidi w:val="0"/>
        <w:adjustRightInd/>
        <w:snapToGrid/>
        <w:spacing w:line="360" w:lineRule="auto"/>
        <w:ind w:right="0" w:rightChars="0"/>
        <w:textAlignment w:val="auto"/>
        <w:rPr>
          <w:rFonts w:hint="eastAsia" w:ascii="宋体" w:hAnsi="宋体" w:eastAsia="宋体" w:cs="宋体"/>
          <w:sz w:val="21"/>
          <w:szCs w:val="21"/>
          <w:highlight w:val="none"/>
        </w:rPr>
      </w:pPr>
      <w:bookmarkStart w:id="16" w:name="_Toc17229"/>
      <w:bookmarkStart w:id="17" w:name="_Toc362950561"/>
      <w:bookmarkStart w:id="18" w:name="_Toc362884702"/>
      <w:bookmarkStart w:id="19" w:name="_Toc333424541"/>
      <w:bookmarkStart w:id="20" w:name="_Toc362885088"/>
      <w:bookmarkStart w:id="21" w:name="_Toc362945967"/>
      <w:bookmarkStart w:id="22" w:name="_Toc349289655"/>
      <w:r>
        <w:rPr>
          <w:rFonts w:hint="eastAsia" w:ascii="宋体" w:hAnsi="宋体" w:eastAsia="宋体" w:cs="宋体"/>
          <w:sz w:val="21"/>
          <w:szCs w:val="21"/>
          <w:highlight w:val="none"/>
        </w:rPr>
        <w:t>4．招标文件的获取</w:t>
      </w:r>
      <w:bookmarkEnd w:id="16"/>
      <w:bookmarkEnd w:id="17"/>
      <w:bookmarkEnd w:id="18"/>
      <w:bookmarkEnd w:id="19"/>
      <w:bookmarkEnd w:id="20"/>
      <w:bookmarkEnd w:id="21"/>
      <w:bookmarkEnd w:id="22"/>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bookmarkStart w:id="23" w:name="_Toc362945968"/>
      <w:bookmarkStart w:id="24" w:name="_Toc362885089"/>
      <w:bookmarkStart w:id="25" w:name="_Toc349289656"/>
      <w:bookmarkStart w:id="26" w:name="_Toc333424542"/>
      <w:bookmarkStart w:id="27" w:name="_Toc362950562"/>
      <w:bookmarkStart w:id="28" w:name="_Toc362884703"/>
      <w:r>
        <w:rPr>
          <w:rFonts w:hint="eastAsia" w:ascii="宋体" w:hAnsi="宋体" w:eastAsia="宋体" w:cs="宋体"/>
          <w:sz w:val="21"/>
          <w:szCs w:val="21"/>
          <w:highlight w:val="none"/>
        </w:rPr>
        <w:t xml:space="preserve">4.1 </w:t>
      </w:r>
      <w:r>
        <w:rPr>
          <w:rFonts w:hint="eastAsia" w:ascii="宋体" w:hAnsi="宋体" w:eastAsia="宋体" w:cs="宋体"/>
          <w:sz w:val="21"/>
          <w:szCs w:val="21"/>
          <w:highlight w:val="none"/>
        </w:rPr>
        <w:t>请于</w:t>
      </w:r>
      <w:r>
        <w:rPr>
          <w:rFonts w:hint="eastAsia" w:ascii="宋体" w:hAnsi="宋体" w:eastAsia="宋体" w:cs="宋体"/>
          <w:sz w:val="21"/>
          <w:szCs w:val="21"/>
          <w:highlight w:val="none"/>
        </w:rPr>
        <w:t>2017年09月28日至2017年10月10日（节假日除外），</w:t>
      </w:r>
      <w:r>
        <w:rPr>
          <w:rFonts w:hint="eastAsia" w:ascii="宋体" w:hAnsi="宋体" w:eastAsia="宋体" w:cs="宋体"/>
          <w:sz w:val="21"/>
          <w:szCs w:val="21"/>
          <w:highlight w:val="none"/>
        </w:rPr>
        <w:t>每日</w:t>
      </w:r>
      <w:r>
        <w:rPr>
          <w:rFonts w:hint="eastAsia" w:ascii="宋体" w:hAnsi="宋体" w:eastAsia="宋体" w:cs="宋体"/>
          <w:sz w:val="21"/>
          <w:szCs w:val="21"/>
          <w:highlight w:val="none"/>
        </w:rPr>
        <w:t>上午9:00至11:00；下午12:00至17:00（北京时间）发售招标文件，在西安市高新二路2号山西证券大厦21楼招标六部持相关资料购买招标文件。</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4.2</w:t>
      </w:r>
      <w:r>
        <w:rPr>
          <w:rFonts w:hint="eastAsia" w:ascii="宋体" w:hAnsi="宋体" w:eastAsia="宋体" w:cs="宋体"/>
          <w:sz w:val="21"/>
          <w:szCs w:val="21"/>
          <w:highlight w:val="none"/>
        </w:rPr>
        <w:t>来时需提供法定代表人授权委托书及被授权人身份证、营业执照三证合一或（营业执照、税务登记、组织机构代码证）、以上条款3规定的资质证书等，以上所有的资料的原件及加盖投标人红色公章复印件壹套。</w:t>
      </w:r>
    </w:p>
    <w:p>
      <w:pPr>
        <w:pStyle w:val="5"/>
        <w:pageBreakBefore w:val="0"/>
        <w:kinsoku/>
        <w:wordWrap/>
        <w:overflowPunct/>
        <w:topLinePunct w:val="0"/>
        <w:bidi w:val="0"/>
        <w:adjustRightInd/>
        <w:snapToGrid/>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招标文件每套售价</w:t>
      </w:r>
      <w:r>
        <w:rPr>
          <w:rFonts w:hint="eastAsia" w:ascii="宋体" w:hAnsi="宋体" w:eastAsia="宋体" w:cs="宋体"/>
          <w:sz w:val="21"/>
          <w:szCs w:val="21"/>
          <w:highlight w:val="none"/>
          <w:lang w:val="en-US" w:eastAsia="zh-CN"/>
        </w:rPr>
        <w:t>1000</w:t>
      </w:r>
      <w:r>
        <w:rPr>
          <w:rFonts w:hint="eastAsia" w:ascii="宋体" w:hAnsi="宋体" w:eastAsia="宋体" w:cs="宋体"/>
          <w:sz w:val="21"/>
          <w:szCs w:val="21"/>
          <w:highlight w:val="none"/>
        </w:rPr>
        <w:t>元，售后不退。</w:t>
      </w:r>
    </w:p>
    <w:p>
      <w:pPr>
        <w:pStyle w:val="4"/>
        <w:pageBreakBefore w:val="0"/>
        <w:kinsoku/>
        <w:wordWrap/>
        <w:overflowPunct/>
        <w:topLinePunct w:val="0"/>
        <w:bidi w:val="0"/>
        <w:adjustRightInd/>
        <w:snapToGrid/>
        <w:spacing w:line="360" w:lineRule="auto"/>
        <w:ind w:right="0" w:rightChars="0"/>
        <w:textAlignment w:val="auto"/>
        <w:rPr>
          <w:rFonts w:hint="eastAsia" w:ascii="宋体" w:hAnsi="宋体" w:eastAsia="宋体" w:cs="宋体"/>
          <w:sz w:val="21"/>
          <w:szCs w:val="21"/>
          <w:highlight w:val="none"/>
        </w:rPr>
      </w:pPr>
      <w:bookmarkStart w:id="29" w:name="_Toc12346"/>
      <w:r>
        <w:rPr>
          <w:rFonts w:hint="eastAsia" w:ascii="宋体" w:hAnsi="宋体" w:eastAsia="宋体" w:cs="宋体"/>
          <w:sz w:val="21"/>
          <w:szCs w:val="21"/>
          <w:highlight w:val="none"/>
        </w:rPr>
        <w:t>5．投标文件的递交</w:t>
      </w:r>
      <w:bookmarkEnd w:id="23"/>
      <w:bookmarkEnd w:id="24"/>
      <w:bookmarkEnd w:id="25"/>
      <w:bookmarkEnd w:id="26"/>
      <w:bookmarkEnd w:id="27"/>
      <w:bookmarkEnd w:id="28"/>
      <w:bookmarkEnd w:id="29"/>
    </w:p>
    <w:p>
      <w:pPr>
        <w:pageBreakBefore w:val="0"/>
        <w:kinsoku/>
        <w:wordWrap/>
        <w:overflowPunct/>
        <w:topLinePunct w:val="0"/>
        <w:bidi w:val="0"/>
        <w:adjustRightInd/>
        <w:snapToGrid/>
        <w:spacing w:line="360" w:lineRule="auto"/>
        <w:ind w:right="0" w:rightChars="0" w:firstLine="420" w:firstLineChars="200"/>
        <w:textAlignment w:val="auto"/>
        <w:rPr>
          <w:rFonts w:hint="eastAsia" w:ascii="宋体" w:hAnsi="宋体" w:eastAsia="宋体" w:cs="宋体"/>
          <w:sz w:val="21"/>
          <w:szCs w:val="21"/>
          <w:highlight w:val="none"/>
          <w:u w:val="single"/>
        </w:rPr>
      </w:pPr>
      <w:bookmarkStart w:id="30" w:name="_Toc333424543"/>
      <w:r>
        <w:rPr>
          <w:rFonts w:hint="eastAsia" w:ascii="宋体" w:hAnsi="宋体" w:eastAsia="宋体" w:cs="宋体"/>
          <w:sz w:val="21"/>
          <w:szCs w:val="21"/>
          <w:highlight w:val="none"/>
        </w:rPr>
        <w:t>5.1投标文件递交的截止时间（投标截止时间，下同）为201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09</w:t>
      </w:r>
      <w:r>
        <w:rPr>
          <w:rFonts w:hint="eastAsia" w:ascii="宋体" w:hAnsi="宋体" w:eastAsia="宋体" w:cs="宋体"/>
          <w:sz w:val="21"/>
          <w:szCs w:val="21"/>
          <w:highlight w:val="none"/>
        </w:rPr>
        <w:t>时30分，地点为西安市高新区高新二路2号山西证券大厦</w:t>
      </w:r>
      <w:r>
        <w:rPr>
          <w:rFonts w:hint="eastAsia" w:ascii="宋体" w:hAnsi="宋体" w:eastAsia="宋体" w:cs="宋体"/>
          <w:sz w:val="21"/>
          <w:szCs w:val="21"/>
          <w:highlight w:val="none"/>
          <w:lang w:val="en-US" w:eastAsia="zh-CN"/>
        </w:rPr>
        <w:t>二十一</w:t>
      </w:r>
      <w:r>
        <w:rPr>
          <w:rFonts w:hint="eastAsia" w:ascii="宋体" w:hAnsi="宋体" w:eastAsia="宋体" w:cs="宋体"/>
          <w:sz w:val="21"/>
          <w:szCs w:val="21"/>
          <w:highlight w:val="none"/>
        </w:rPr>
        <w:t>楼</w:t>
      </w:r>
      <w:r>
        <w:rPr>
          <w:rFonts w:hint="eastAsia" w:ascii="宋体" w:hAnsi="宋体" w:eastAsia="宋体" w:cs="宋体"/>
          <w:sz w:val="21"/>
          <w:szCs w:val="21"/>
          <w:highlight w:val="none"/>
          <w:lang w:val="en-US" w:eastAsia="zh-CN"/>
        </w:rPr>
        <w:t>第九</w:t>
      </w:r>
      <w:r>
        <w:rPr>
          <w:rFonts w:hint="eastAsia" w:ascii="宋体" w:hAnsi="宋体" w:eastAsia="宋体" w:cs="宋体"/>
          <w:sz w:val="21"/>
          <w:szCs w:val="21"/>
          <w:highlight w:val="none"/>
        </w:rPr>
        <w:t>会议室 。</w:t>
      </w:r>
    </w:p>
    <w:p>
      <w:pPr>
        <w:pageBreakBefore w:val="0"/>
        <w:kinsoku/>
        <w:wordWrap/>
        <w:overflowPunct/>
        <w:topLinePunct w:val="0"/>
        <w:bidi w:val="0"/>
        <w:adjustRightInd/>
        <w:snapToGrid/>
        <w:spacing w:line="360" w:lineRule="auto"/>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5.2逾期送达的或者未送达指定地点的投标文件，招标人不予受理。</w:t>
      </w:r>
    </w:p>
    <w:bookmarkEnd w:id="30"/>
    <w:p>
      <w:pPr>
        <w:pStyle w:val="5"/>
        <w:pageBreakBefore w:val="0"/>
        <w:kinsoku/>
        <w:wordWrap/>
        <w:overflowPunct/>
        <w:topLinePunct w:val="0"/>
        <w:bidi w:val="0"/>
        <w:adjustRightInd/>
        <w:snapToGrid/>
        <w:spacing w:line="360" w:lineRule="auto"/>
        <w:ind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b/>
          <w:bCs/>
          <w:sz w:val="21"/>
          <w:szCs w:val="21"/>
          <w:highlight w:val="none"/>
        </w:rPr>
        <w:t>6、</w:t>
      </w:r>
      <w:r>
        <w:rPr>
          <w:rFonts w:hint="eastAsia" w:ascii="宋体" w:hAnsi="宋体" w:eastAsia="宋体" w:cs="宋体"/>
          <w:b/>
          <w:bCs/>
          <w:kern w:val="2"/>
          <w:sz w:val="21"/>
          <w:szCs w:val="21"/>
          <w:highlight w:val="none"/>
          <w:lang w:val="en-US" w:eastAsia="zh-CN" w:bidi="ar-SA"/>
        </w:rPr>
        <w:t>发布公告的媒介</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本次招标公告同时中招联合招标采购平台、陕西采购与招标网上发布。潜在投标人必须于招标文件载明的发售截止时间前在中招联合招标采购平台（</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）成功注册。</w:t>
      </w:r>
    </w:p>
    <w:p>
      <w:pPr>
        <w:pStyle w:val="5"/>
        <w:pageBreakBefore w:val="0"/>
        <w:kinsoku/>
        <w:wordWrap/>
        <w:overflowPunct/>
        <w:topLinePunct w:val="0"/>
        <w:bidi w:val="0"/>
        <w:adjustRightInd/>
        <w:snapToGrid/>
        <w:spacing w:line="360" w:lineRule="auto"/>
        <w:ind w:right="0" w:right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7．联系方式</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招标代理机构：陕西省采购招标有限责任公司  </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地址：西安市高新二路2号山西证券大厦二十一楼</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eastAsia="zh-CN"/>
        </w:rPr>
        <w:t>何先生</w:t>
      </w:r>
      <w:r>
        <w:rPr>
          <w:rFonts w:hint="eastAsia" w:ascii="宋体" w:hAnsi="宋体" w:eastAsia="宋体" w:cs="宋体"/>
          <w:sz w:val="21"/>
          <w:szCs w:val="21"/>
          <w:highlight w:val="none"/>
          <w:lang w:val="en-US" w:eastAsia="zh-CN"/>
        </w:rPr>
        <w:t xml:space="preserve">  惠先生</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杨先生</w:t>
      </w:r>
      <w:r>
        <w:rPr>
          <w:rFonts w:hint="eastAsia" w:ascii="宋体" w:hAnsi="宋体" w:eastAsia="宋体" w:cs="宋体"/>
          <w:sz w:val="21"/>
          <w:szCs w:val="21"/>
          <w:highlight w:val="none"/>
        </w:rPr>
        <w:t xml:space="preserve">                    </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联系电话：029-88496536</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邮箱：</w:t>
      </w:r>
      <w:r>
        <w:rPr>
          <w:rFonts w:hint="eastAsia" w:ascii="宋体" w:hAnsi="宋体" w:eastAsia="宋体" w:cs="宋体"/>
          <w:sz w:val="21"/>
          <w:szCs w:val="21"/>
          <w:highlight w:val="none"/>
          <w:lang w:val="en-US" w:eastAsia="zh-CN"/>
        </w:rPr>
        <w:t>69932386</w:t>
      </w:r>
      <w:r>
        <w:rPr>
          <w:rFonts w:hint="eastAsia" w:ascii="宋体" w:hAnsi="宋体" w:eastAsia="宋体" w:cs="宋体"/>
          <w:sz w:val="21"/>
          <w:szCs w:val="21"/>
          <w:highlight w:val="none"/>
        </w:rPr>
        <w:t xml:space="preserve">@qq.com </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户名：陕西省采购招标有限责任公司</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开户行：中国银行西安南郊支行营业部</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银行账号：102461183462</w:t>
      </w:r>
    </w:p>
    <w:p>
      <w:pPr>
        <w:pStyle w:val="5"/>
        <w:pageBreakBefore w:val="0"/>
        <w:kinsoku/>
        <w:wordWrap/>
        <w:overflowPunct/>
        <w:topLinePunct w:val="0"/>
        <w:bidi w:val="0"/>
        <w:adjustRightInd/>
        <w:snapToGrid/>
        <w:spacing w:line="360" w:lineRule="auto"/>
        <w:ind w:right="0" w:rightChars="0"/>
        <w:textAlignment w:val="auto"/>
        <w:rPr>
          <w:rFonts w:hint="eastAsia" w:ascii="宋体" w:hAnsi="宋体" w:eastAsia="宋体" w:cs="宋体"/>
          <w:b/>
          <w:bCs/>
          <w:sz w:val="21"/>
          <w:szCs w:val="21"/>
          <w:highlight w:val="none"/>
        </w:rPr>
      </w:pPr>
      <w:bookmarkStart w:id="31" w:name="_Toc489891314"/>
      <w:r>
        <w:rPr>
          <w:rFonts w:hint="eastAsia" w:ascii="宋体" w:hAnsi="宋体" w:eastAsia="宋体" w:cs="宋体"/>
          <w:b/>
          <w:bCs/>
          <w:sz w:val="21"/>
          <w:szCs w:val="21"/>
          <w:highlight w:val="none"/>
        </w:rPr>
        <w:t>8.网上发售电子版招标文件/资格预审文件的特别告知</w:t>
      </w:r>
      <w:bookmarkEnd w:id="31"/>
    </w:p>
    <w:p>
      <w:pPr>
        <w:pageBreakBefore w:val="0"/>
        <w:widowControl/>
        <w:kinsoku/>
        <w:wordWrap/>
        <w:overflowPunct/>
        <w:topLinePunct w:val="0"/>
        <w:bidi w:val="0"/>
        <w:adjustRightInd/>
        <w:snapToGrid/>
        <w:spacing w:line="360" w:lineRule="auto"/>
        <w:ind w:right="0" w:rightChars="0" w:firstLine="735" w:firstLineChars="3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本项目接受网上发售、下载电子版招标(采购)文件/资格审查文件（以下简称“标书”），现将有关注意事项特别告知如下：</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网上注册：凡有意在线获取电子版标书的潜在投标人，请务必在本项目标书发售截止时间前，登录中招联合招标采购平台（http://www.365trade.com.cn；以下简称“交易平台”）进行免费注册；注册时需填写完整的开票信息。潜在投标人只需注册一次，不同的经办人可建立多个账户。交易平台负责对投标人注册信息及上传的扫描件信息进行一致性检查。</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书下载：投标人凭获得的用户名、密码验证身份登录、上传“招标公告”要求的报名资料（如有）、购买并下载电子标书，投标人需在售标截止时间前完成购买，逾期将无法购买。投标人采用电汇方式支付标书款的，电汇账号同投标保证金交纳账号。</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版标书下载收费：如在线购买并下载电子版标书，除标书款外还需支付标书下载服务费，收费标准为每标包50元，由中招联合信息股份有限公司出具增值税电子普通发票，标书购买人可登录交易平台自行下载增值税电子普通发票。标书下载费一经收取不予退还。</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潜在投标人成功下载电子版标书后，标书款发票、纸质标书可与陕西省采购招标有限责任公司本项目负责人确定领取方式。</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其它事项：投标人网上购买后，必须与本项目负责人联系。</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交易平台首页帮助中心提供操作手册，潜在投标人可以下载并根据操作手册提示进行注册、登录、网上购买下载电子版标书及下载费支付、发票开具领取等操作。如遇平台操作问题，可拨打交易平台统一服务热线：400-092-8199，热线服务时间为工作日上午9点到12点，下午13点30分到17点。</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投标人需要开具标书款发票的，需要在交易平台维护完整的开票信息，由陕西省采购招标有限责任公司开具增值税普通发票，发票在开标时领取，开票信息不完整的不予开票。</w:t>
      </w: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p>
    <w:p>
      <w:pPr>
        <w:pageBreakBefore w:val="0"/>
        <w:widowControl/>
        <w:kinsoku/>
        <w:wordWrap/>
        <w:overflowPunct/>
        <w:topLinePunct w:val="0"/>
        <w:bidi w:val="0"/>
        <w:adjustRightInd/>
        <w:snapToGrid/>
        <w:spacing w:line="360" w:lineRule="auto"/>
        <w:ind w:right="0" w:rightChars="0" w:firstLine="315" w:firstLineChars="150"/>
        <w:jc w:val="left"/>
        <w:textAlignment w:val="auto"/>
        <w:rPr>
          <w:rFonts w:hint="eastAsia" w:ascii="宋体" w:hAnsi="宋体" w:eastAsia="宋体" w:cs="宋体"/>
          <w:sz w:val="21"/>
          <w:szCs w:val="21"/>
          <w:highlight w:val="none"/>
        </w:rPr>
      </w:pPr>
    </w:p>
    <w:p>
      <w:pPr>
        <w:pageBreakBefore w:val="0"/>
        <w:kinsoku/>
        <w:wordWrap/>
        <w:overflowPunct/>
        <w:topLinePunct w:val="0"/>
        <w:bidi w:val="0"/>
        <w:adjustRightInd/>
        <w:snapToGrid/>
        <w:spacing w:line="360" w:lineRule="auto"/>
        <w:ind w:right="0" w:rightChars="0"/>
        <w:textAlignment w:val="auto"/>
        <w:rPr>
          <w:rFonts w:hint="eastAsia" w:ascii="宋体" w:hAnsi="宋体" w:eastAsia="宋体" w:cs="宋体"/>
          <w:sz w:val="21"/>
          <w:szCs w:val="21"/>
          <w:highlight w:val="none"/>
        </w:rPr>
      </w:pPr>
    </w:p>
    <w:bookmarkEnd w:id="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E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Bodoni MT">
    <w:altName w:val="Cambria Math"/>
    <w:panose1 w:val="02070603080606020203"/>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经典粗宋简">
    <w:altName w:val="宋体"/>
    <w:panose1 w:val="02010609000101010101"/>
    <w:charset w:val="86"/>
    <w:family w:val="modern"/>
    <w:pitch w:val="default"/>
    <w:sig w:usb0="00000000" w:usb1="00000000" w:usb2="0000001E"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275A0"/>
    <w:rsid w:val="1F25106B"/>
    <w:rsid w:val="70627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3"/>
    <w:basedOn w:val="1"/>
    <w:next w:val="1"/>
    <w:unhideWhenUsed/>
    <w:qFormat/>
    <w:uiPriority w:val="0"/>
    <w:pPr>
      <w:keepNext/>
      <w:keepLines/>
      <w:spacing w:line="360" w:lineRule="auto"/>
      <w:outlineLvl w:val="2"/>
    </w:pPr>
    <w:rPr>
      <w:b/>
      <w:bCs/>
      <w:sz w:val="24"/>
      <w:szCs w:val="32"/>
    </w:rPr>
  </w:style>
  <w:style w:type="paragraph" w:styleId="2">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2017-09-27T07:27:00Z</dcterms:created>
  <dc:creator>惠鹏程</dc:creator>
  <cp:lastModifiedBy>惠鹏程</cp:lastModifiedBy>
  <dcterms:modified xsi:type="dcterms:W3CDTF">2017-09-28T09:13:11Z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