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color w:val="000000" w:themeColor="text1"/>
          <w:sz w:val="72"/>
        </w:rPr>
      </w:pPr>
    </w:p>
    <w:p>
      <w:pPr>
        <w:spacing w:line="360" w:lineRule="auto"/>
        <w:jc w:val="center"/>
        <w:rPr>
          <w:rFonts w:ascii="仿宋_GB2312" w:hAnsi="宋体" w:eastAsia="仿宋_GB2312"/>
          <w:b/>
          <w:color w:val="000000"/>
          <w:sz w:val="52"/>
          <w:szCs w:val="52"/>
        </w:rPr>
      </w:pPr>
      <w:r>
        <w:rPr>
          <w:rFonts w:hint="eastAsia" w:ascii="仿宋_GB2312" w:hAnsi="宋体" w:eastAsia="仿宋_GB2312"/>
          <w:b/>
          <w:color w:val="000000"/>
          <w:sz w:val="52"/>
          <w:szCs w:val="52"/>
        </w:rPr>
        <w:t>中央音乐学院歌剧音乐厅中央空调系统运行维护保养项目</w:t>
      </w:r>
    </w:p>
    <w:p>
      <w:pPr>
        <w:jc w:val="center"/>
        <w:rPr>
          <w:rFonts w:ascii="仿宋_GB2312" w:eastAsia="仿宋_GB2312"/>
          <w:b/>
          <w:color w:val="000000" w:themeColor="text1"/>
          <w:sz w:val="52"/>
          <w:szCs w:val="52"/>
        </w:rPr>
      </w:pPr>
    </w:p>
    <w:p>
      <w:pPr>
        <w:jc w:val="center"/>
        <w:rPr>
          <w:rFonts w:ascii="仿宋_GB2312" w:eastAsia="仿宋_GB2312"/>
          <w:b/>
          <w:color w:val="000000" w:themeColor="text1"/>
          <w:sz w:val="52"/>
          <w:szCs w:val="52"/>
        </w:rPr>
      </w:pPr>
    </w:p>
    <w:p>
      <w:pPr>
        <w:jc w:val="center"/>
        <w:rPr>
          <w:rFonts w:ascii="仿宋_GB2312" w:eastAsia="仿宋_GB2312"/>
          <w:b/>
          <w:color w:val="000000" w:themeColor="text1"/>
          <w:sz w:val="72"/>
        </w:rPr>
      </w:pPr>
      <w:r>
        <w:rPr>
          <w:rFonts w:hint="eastAsia" w:ascii="仿宋_GB2312" w:eastAsia="仿宋_GB2312"/>
          <w:b/>
          <w:color w:val="000000" w:themeColor="text1"/>
          <w:sz w:val="72"/>
        </w:rPr>
        <w:t>竞争性磋商文件</w:t>
      </w:r>
    </w:p>
    <w:p>
      <w:pPr>
        <w:jc w:val="center"/>
        <w:rPr>
          <w:rFonts w:ascii="仿宋_GB2312" w:eastAsia="仿宋_GB2312"/>
          <w:b/>
          <w:color w:val="000000" w:themeColor="text1"/>
          <w:sz w:val="72"/>
        </w:rPr>
      </w:pPr>
    </w:p>
    <w:p>
      <w:pPr>
        <w:jc w:val="center"/>
        <w:rPr>
          <w:rFonts w:ascii="仿宋_GB2312" w:eastAsia="仿宋_GB2312"/>
          <w:b/>
          <w:color w:val="000000" w:themeColor="text1"/>
          <w:sz w:val="52"/>
        </w:rPr>
      </w:pPr>
    </w:p>
    <w:p>
      <w:pPr>
        <w:ind w:firstLine="643" w:firstLineChars="200"/>
        <w:rPr>
          <w:rFonts w:ascii="仿宋_GB2312" w:eastAsia="仿宋_GB2312"/>
          <w:b/>
          <w:color w:val="000000" w:themeColor="text1"/>
          <w:sz w:val="32"/>
        </w:rPr>
      </w:pPr>
    </w:p>
    <w:p>
      <w:pPr>
        <w:ind w:firstLine="643" w:firstLineChars="200"/>
        <w:rPr>
          <w:rFonts w:ascii="仿宋_GB2312" w:eastAsia="仿宋_GB2312"/>
          <w:b/>
          <w:color w:val="000000" w:themeColor="text1"/>
          <w:sz w:val="32"/>
          <w:highlight w:val="yellow"/>
        </w:rPr>
      </w:pPr>
      <w:r>
        <w:rPr>
          <w:rFonts w:hint="eastAsia" w:ascii="仿宋_GB2312" w:eastAsia="仿宋_GB2312"/>
          <w:b/>
          <w:color w:val="000000" w:themeColor="text1"/>
          <w:sz w:val="32"/>
        </w:rPr>
        <w:t>项目编号：</w:t>
      </w:r>
      <w:r>
        <w:rPr>
          <w:rFonts w:hint="eastAsia" w:ascii="华文仿宋" w:hAnsi="华文仿宋" w:eastAsia="华文仿宋"/>
          <w:b/>
          <w:spacing w:val="38"/>
          <w:sz w:val="30"/>
          <w:szCs w:val="30"/>
        </w:rPr>
        <w:t>GFTC1</w:t>
      </w:r>
      <w:r>
        <w:rPr>
          <w:rFonts w:hint="eastAsia" w:ascii="华文仿宋" w:hAnsi="华文仿宋" w:eastAsia="华文仿宋"/>
          <w:b/>
          <w:spacing w:val="38"/>
          <w:sz w:val="30"/>
          <w:szCs w:val="30"/>
          <w:highlight w:val="none"/>
        </w:rPr>
        <w:t>7ZZ</w:t>
      </w:r>
      <w:r>
        <w:rPr>
          <w:rFonts w:hint="eastAsia" w:ascii="华文仿宋" w:hAnsi="华文仿宋" w:eastAsia="华文仿宋"/>
          <w:b/>
          <w:spacing w:val="38"/>
          <w:sz w:val="30"/>
          <w:szCs w:val="30"/>
          <w:highlight w:val="none"/>
          <w:lang w:eastAsia="zh-CN"/>
        </w:rPr>
        <w:t>0605</w:t>
      </w:r>
    </w:p>
    <w:p>
      <w:pPr>
        <w:ind w:left="2244" w:leftChars="304" w:hanging="1606" w:hangingChars="500"/>
        <w:rPr>
          <w:rFonts w:ascii="仿宋_GB2312" w:eastAsia="仿宋_GB2312"/>
          <w:b/>
          <w:color w:val="000000" w:themeColor="text1"/>
          <w:spacing w:val="-4"/>
          <w:sz w:val="32"/>
          <w:szCs w:val="32"/>
        </w:rPr>
      </w:pPr>
      <w:r>
        <w:rPr>
          <w:rFonts w:hint="eastAsia" w:ascii="仿宋_GB2312" w:eastAsia="仿宋_GB2312"/>
          <w:b/>
          <w:color w:val="000000" w:themeColor="text1"/>
          <w:sz w:val="32"/>
        </w:rPr>
        <w:t>项目名称：中央音乐学院歌剧音乐厅中央空调系统运行维护保养项目</w:t>
      </w:r>
    </w:p>
    <w:p>
      <w:pPr>
        <w:jc w:val="center"/>
        <w:rPr>
          <w:rFonts w:ascii="仿宋_GB2312" w:eastAsia="仿宋_GB2312"/>
          <w:b/>
          <w:color w:val="000000" w:themeColor="text1"/>
          <w:sz w:val="52"/>
        </w:rPr>
      </w:pPr>
    </w:p>
    <w:p>
      <w:pPr>
        <w:jc w:val="center"/>
        <w:rPr>
          <w:rFonts w:ascii="仿宋_GB2312" w:eastAsia="仿宋_GB2312"/>
          <w:b/>
          <w:color w:val="000000" w:themeColor="text1"/>
          <w:sz w:val="52"/>
        </w:rPr>
      </w:pPr>
    </w:p>
    <w:p>
      <w:pPr>
        <w:jc w:val="left"/>
        <w:rPr>
          <w:rFonts w:ascii="仿宋_GB2312" w:eastAsia="仿宋_GB2312"/>
          <w:b/>
          <w:color w:val="000000" w:themeColor="text1"/>
          <w:sz w:val="32"/>
          <w:szCs w:val="32"/>
        </w:rPr>
      </w:pPr>
      <w:r>
        <w:rPr>
          <w:rFonts w:hint="eastAsia" w:ascii="仿宋_GB2312" w:eastAsia="仿宋_GB2312"/>
          <w:b/>
          <w:color w:val="000000" w:themeColor="text1"/>
          <w:sz w:val="32"/>
          <w:szCs w:val="32"/>
        </w:rPr>
        <w:t>采购人：</w:t>
      </w:r>
      <w:r>
        <w:rPr>
          <w:rFonts w:hint="eastAsia" w:ascii="华文仿宋" w:hAnsi="华文仿宋" w:eastAsia="华文仿宋"/>
          <w:b/>
          <w:sz w:val="32"/>
          <w:szCs w:val="32"/>
        </w:rPr>
        <w:t>中央音乐学院</w:t>
      </w:r>
    </w:p>
    <w:p>
      <w:pPr>
        <w:jc w:val="left"/>
        <w:rPr>
          <w:rFonts w:ascii="仿宋_GB2312" w:eastAsia="仿宋_GB2312"/>
          <w:b/>
          <w:color w:val="000000" w:themeColor="text1"/>
          <w:sz w:val="32"/>
          <w:szCs w:val="32"/>
        </w:rPr>
      </w:pPr>
      <w:r>
        <w:rPr>
          <w:rFonts w:hint="eastAsia" w:ascii="仿宋_GB2312" w:eastAsia="仿宋_GB2312"/>
          <w:b/>
          <w:color w:val="000000" w:themeColor="text1"/>
          <w:sz w:val="32"/>
          <w:szCs w:val="32"/>
        </w:rPr>
        <w:t>代理机构：</w:t>
      </w:r>
      <w:r>
        <w:rPr>
          <w:rFonts w:ascii="华文仿宋" w:hAnsi="华文仿宋" w:eastAsia="华文仿宋"/>
          <w:b/>
          <w:sz w:val="32"/>
          <w:szCs w:val="32"/>
        </w:rPr>
        <w:t>北京中招国发工程项目管理有限公司</w:t>
      </w:r>
    </w:p>
    <w:p>
      <w:pPr>
        <w:jc w:val="center"/>
        <w:rPr>
          <w:rFonts w:ascii="仿宋_GB2312" w:eastAsia="仿宋_GB2312"/>
          <w:b/>
          <w:color w:val="000000" w:themeColor="text1"/>
          <w:szCs w:val="32"/>
        </w:rPr>
      </w:pPr>
    </w:p>
    <w:p>
      <w:pPr>
        <w:jc w:val="center"/>
        <w:rPr>
          <w:rFonts w:ascii="仿宋_GB2312" w:eastAsia="仿宋_GB2312"/>
          <w:b/>
          <w:color w:val="000000" w:themeColor="text1"/>
          <w:sz w:val="32"/>
          <w:szCs w:val="32"/>
        </w:rPr>
      </w:pPr>
      <w:r>
        <w:rPr>
          <w:rFonts w:hint="eastAsia" w:ascii="仿宋_GB2312" w:eastAsia="仿宋_GB2312"/>
          <w:b/>
          <w:color w:val="000000" w:themeColor="text1"/>
          <w:sz w:val="32"/>
          <w:szCs w:val="32"/>
        </w:rPr>
        <w:t>二〇一七年</w:t>
      </w:r>
    </w:p>
    <w:p>
      <w:pPr>
        <w:jc w:val="center"/>
        <w:rPr>
          <w:rFonts w:ascii="仿宋_GB2312" w:eastAsia="仿宋_GB2312"/>
          <w:b/>
          <w:color w:val="000000" w:themeColor="text1"/>
          <w:sz w:val="32"/>
          <w:szCs w:val="32"/>
        </w:rPr>
      </w:pPr>
    </w:p>
    <w:p>
      <w:pPr>
        <w:jc w:val="center"/>
        <w:rPr>
          <w:rFonts w:ascii="仿宋_GB2312" w:eastAsia="仿宋_GB2312"/>
          <w:b/>
          <w:color w:val="000000" w:themeColor="text1"/>
          <w:sz w:val="32"/>
          <w:szCs w:val="32"/>
        </w:rPr>
      </w:pPr>
    </w:p>
    <w:p>
      <w:pPr>
        <w:spacing w:line="360" w:lineRule="auto"/>
        <w:jc w:val="center"/>
        <w:rPr>
          <w:b/>
          <w:color w:val="000000" w:themeColor="text1"/>
          <w:sz w:val="36"/>
          <w:szCs w:val="36"/>
        </w:rPr>
      </w:pPr>
      <w:r>
        <w:rPr>
          <w:rFonts w:hint="eastAsia"/>
          <w:b/>
          <w:color w:val="000000" w:themeColor="text1"/>
          <w:sz w:val="36"/>
          <w:szCs w:val="36"/>
        </w:rPr>
        <w:t>磋商文件目录</w:t>
      </w:r>
    </w:p>
    <w:p>
      <w:pPr>
        <w:spacing w:line="360" w:lineRule="auto"/>
        <w:ind w:left="900"/>
        <w:rPr>
          <w:rFonts w:ascii="宋体" w:hAnsi="宋体"/>
          <w:color w:val="000000" w:themeColor="text1"/>
          <w:szCs w:val="21"/>
        </w:rPr>
      </w:pPr>
    </w:p>
    <w:p>
      <w:pPr>
        <w:spacing w:line="360" w:lineRule="auto"/>
        <w:ind w:left="900"/>
        <w:rPr>
          <w:rFonts w:ascii="宋体" w:hAnsi="宋体"/>
          <w:color w:val="000000" w:themeColor="text1"/>
          <w:szCs w:val="21"/>
        </w:rPr>
      </w:pPr>
    </w:p>
    <w:p>
      <w:pPr>
        <w:spacing w:line="360" w:lineRule="auto"/>
        <w:ind w:left="900"/>
        <w:rPr>
          <w:rFonts w:ascii="宋体" w:hAnsi="宋体"/>
          <w:color w:val="000000" w:themeColor="text1"/>
          <w:szCs w:val="21"/>
        </w:rPr>
      </w:pPr>
      <w:r>
        <w:rPr>
          <w:rFonts w:hint="eastAsia" w:ascii="宋体" w:hAnsi="宋体"/>
          <w:color w:val="000000" w:themeColor="text1"/>
          <w:szCs w:val="21"/>
        </w:rPr>
        <w:t>第一部分  竞争性磋商邀请</w:t>
      </w:r>
    </w:p>
    <w:p>
      <w:pPr>
        <w:spacing w:line="360" w:lineRule="auto"/>
        <w:ind w:left="900"/>
        <w:rPr>
          <w:rFonts w:ascii="宋体" w:hAnsi="宋体"/>
          <w:color w:val="000000" w:themeColor="text1"/>
          <w:szCs w:val="21"/>
        </w:rPr>
      </w:pPr>
      <w:r>
        <w:rPr>
          <w:rFonts w:hint="eastAsia" w:ascii="宋体" w:hAnsi="宋体"/>
          <w:color w:val="000000" w:themeColor="text1"/>
          <w:szCs w:val="21"/>
        </w:rPr>
        <w:t>第二部分  竞争性磋商报价人须知</w:t>
      </w:r>
    </w:p>
    <w:p>
      <w:pPr>
        <w:spacing w:line="360" w:lineRule="auto"/>
        <w:ind w:left="895"/>
        <w:rPr>
          <w:rFonts w:ascii="宋体" w:hAnsi="宋体"/>
          <w:color w:val="000000" w:themeColor="text1"/>
          <w:szCs w:val="21"/>
        </w:rPr>
      </w:pPr>
      <w:r>
        <w:rPr>
          <w:rFonts w:hint="eastAsia" w:ascii="宋体" w:hAnsi="宋体"/>
          <w:color w:val="000000" w:themeColor="text1"/>
          <w:szCs w:val="21"/>
        </w:rPr>
        <w:t>第三部分  技术要求</w:t>
      </w:r>
    </w:p>
    <w:p>
      <w:pPr>
        <w:spacing w:line="360" w:lineRule="auto"/>
        <w:ind w:left="895"/>
        <w:rPr>
          <w:rFonts w:ascii="宋体" w:hAnsi="宋体"/>
          <w:color w:val="000000" w:themeColor="text1"/>
          <w:szCs w:val="21"/>
        </w:rPr>
      </w:pPr>
      <w:r>
        <w:rPr>
          <w:rFonts w:hint="eastAsia" w:ascii="宋体" w:hAnsi="宋体"/>
          <w:color w:val="000000" w:themeColor="text1"/>
          <w:szCs w:val="21"/>
        </w:rPr>
        <w:t>第四部分  响应文件格式</w:t>
      </w:r>
    </w:p>
    <w:p>
      <w:pPr>
        <w:spacing w:line="360" w:lineRule="auto"/>
        <w:ind w:left="895"/>
        <w:rPr>
          <w:rFonts w:ascii="宋体" w:hAnsi="宋体"/>
          <w:color w:val="000000" w:themeColor="text1"/>
          <w:szCs w:val="21"/>
        </w:rPr>
      </w:pPr>
      <w:r>
        <w:rPr>
          <w:rFonts w:hint="eastAsia" w:ascii="宋体" w:hAnsi="宋体"/>
          <w:color w:val="000000" w:themeColor="text1"/>
          <w:szCs w:val="21"/>
        </w:rPr>
        <w:t>第五部分  合同条款</w:t>
      </w:r>
    </w:p>
    <w:p>
      <w:pPr>
        <w:spacing w:line="360" w:lineRule="auto"/>
        <w:ind w:left="895"/>
        <w:rPr>
          <w:rFonts w:ascii="宋体" w:hAnsi="宋体"/>
          <w:color w:val="000000" w:themeColor="text1"/>
          <w:szCs w:val="21"/>
        </w:rPr>
      </w:pPr>
      <w:r>
        <w:rPr>
          <w:rFonts w:hint="eastAsia" w:ascii="宋体" w:hAnsi="宋体"/>
          <w:color w:val="000000" w:themeColor="text1"/>
          <w:szCs w:val="21"/>
        </w:rPr>
        <w:t>第六部分  评审方法</w:t>
      </w:r>
    </w:p>
    <w:p>
      <w:pPr>
        <w:jc w:val="center"/>
        <w:rPr>
          <w:rFonts w:ascii="仿宋_GB2312" w:hAnsi="宋体"/>
          <w:color w:val="000000" w:themeColor="text1"/>
          <w:sz w:val="24"/>
        </w:rPr>
      </w:pPr>
    </w:p>
    <w:p>
      <w:pPr>
        <w:rPr>
          <w:rFonts w:ascii="仿宋_GB2312" w:hAnsi="宋体"/>
          <w:color w:val="000000" w:themeColor="text1"/>
          <w:sz w:val="24"/>
        </w:rPr>
      </w:pPr>
    </w:p>
    <w:p>
      <w:pPr>
        <w:rPr>
          <w:rFonts w:ascii="仿宋_GB2312" w:hAnsi="宋体"/>
          <w:color w:val="000000" w:themeColor="text1"/>
          <w:sz w:val="24"/>
        </w:rPr>
      </w:pPr>
    </w:p>
    <w:p>
      <w:pPr>
        <w:rPr>
          <w:rFonts w:ascii="仿宋_GB2312" w:hAnsi="宋体"/>
          <w:color w:val="000000" w:themeColor="text1"/>
          <w:sz w:val="24"/>
        </w:rPr>
      </w:pPr>
    </w:p>
    <w:p>
      <w:pPr>
        <w:rPr>
          <w:rFonts w:ascii="仿宋_GB2312" w:hAnsi="宋体"/>
          <w:color w:val="000000" w:themeColor="text1"/>
          <w:sz w:val="24"/>
        </w:rPr>
      </w:pPr>
    </w:p>
    <w:p>
      <w:pPr>
        <w:rPr>
          <w:rFonts w:ascii="仿宋_GB2312" w:hAnsi="宋体"/>
          <w:color w:val="000000" w:themeColor="text1"/>
          <w:sz w:val="24"/>
        </w:rPr>
      </w:pPr>
    </w:p>
    <w:p>
      <w:pPr>
        <w:rPr>
          <w:rFonts w:ascii="仿宋_GB2312" w:hAnsi="宋体"/>
          <w:color w:val="000000" w:themeColor="text1"/>
          <w:sz w:val="24"/>
        </w:rPr>
      </w:pPr>
    </w:p>
    <w:p>
      <w:pPr>
        <w:rPr>
          <w:rFonts w:ascii="仿宋_GB2312" w:hAnsi="宋体"/>
          <w:color w:val="000000" w:themeColor="text1"/>
          <w:sz w:val="24"/>
        </w:rPr>
      </w:pPr>
    </w:p>
    <w:p>
      <w:pPr>
        <w:rPr>
          <w:rFonts w:ascii="仿宋_GB2312" w:hAnsi="宋体"/>
          <w:color w:val="000000" w:themeColor="text1"/>
          <w:sz w:val="24"/>
        </w:rPr>
      </w:pPr>
    </w:p>
    <w:p>
      <w:pPr>
        <w:rPr>
          <w:rFonts w:ascii="仿宋_GB2312" w:hAnsi="宋体"/>
          <w:color w:val="000000" w:themeColor="text1"/>
          <w:sz w:val="24"/>
        </w:rPr>
      </w:pPr>
    </w:p>
    <w:p>
      <w:pPr>
        <w:rPr>
          <w:rFonts w:ascii="仿宋_GB2312" w:hAnsi="宋体"/>
          <w:color w:val="000000" w:themeColor="text1"/>
          <w:sz w:val="24"/>
        </w:rPr>
      </w:pPr>
    </w:p>
    <w:p>
      <w:pPr>
        <w:rPr>
          <w:rFonts w:ascii="仿宋_GB2312" w:hAnsi="宋体"/>
          <w:color w:val="000000" w:themeColor="text1"/>
          <w:sz w:val="24"/>
        </w:rPr>
      </w:pPr>
    </w:p>
    <w:p>
      <w:pPr>
        <w:rPr>
          <w:rFonts w:ascii="仿宋_GB2312" w:hAnsi="宋体"/>
          <w:color w:val="000000" w:themeColor="text1"/>
          <w:sz w:val="24"/>
        </w:rPr>
      </w:pPr>
    </w:p>
    <w:p>
      <w:pPr>
        <w:rPr>
          <w:rFonts w:ascii="仿宋_GB2312" w:hAnsi="宋体"/>
          <w:color w:val="000000" w:themeColor="text1"/>
          <w:sz w:val="24"/>
        </w:rPr>
      </w:pPr>
    </w:p>
    <w:p>
      <w:pPr>
        <w:rPr>
          <w:rFonts w:ascii="仿宋_GB2312" w:hAnsi="宋体"/>
          <w:color w:val="000000" w:themeColor="text1"/>
          <w:sz w:val="24"/>
        </w:rPr>
      </w:pPr>
    </w:p>
    <w:p>
      <w:pPr>
        <w:rPr>
          <w:rFonts w:ascii="仿宋_GB2312" w:hAnsi="宋体"/>
          <w:color w:val="000000" w:themeColor="text1"/>
          <w:sz w:val="24"/>
        </w:rPr>
      </w:pPr>
    </w:p>
    <w:p>
      <w:pPr>
        <w:rPr>
          <w:rFonts w:ascii="仿宋_GB2312" w:hAnsi="宋体"/>
          <w:color w:val="000000" w:themeColor="text1"/>
          <w:sz w:val="24"/>
        </w:rPr>
      </w:pPr>
    </w:p>
    <w:p>
      <w:pPr>
        <w:rPr>
          <w:rFonts w:ascii="仿宋_GB2312" w:hAnsi="宋体"/>
          <w:color w:val="000000" w:themeColor="text1"/>
          <w:sz w:val="24"/>
        </w:rPr>
      </w:pPr>
    </w:p>
    <w:p>
      <w:pPr>
        <w:jc w:val="center"/>
        <w:rPr>
          <w:rFonts w:ascii="仿宋_GB2312" w:hAnsi="宋体"/>
          <w:color w:val="000000" w:themeColor="text1"/>
          <w:sz w:val="24"/>
        </w:rPr>
      </w:pPr>
    </w:p>
    <w:p>
      <w:pPr>
        <w:jc w:val="center"/>
        <w:rPr>
          <w:rFonts w:ascii="仿宋_GB2312" w:hAnsi="宋体"/>
          <w:color w:val="000000" w:themeColor="text1"/>
          <w:sz w:val="24"/>
        </w:rPr>
      </w:pPr>
    </w:p>
    <w:p>
      <w:pPr>
        <w:tabs>
          <w:tab w:val="left" w:pos="3105"/>
        </w:tabs>
        <w:rPr>
          <w:rFonts w:ascii="仿宋_GB2312" w:hAnsi="宋体"/>
          <w:color w:val="000000" w:themeColor="text1"/>
          <w:sz w:val="24"/>
        </w:rPr>
      </w:pPr>
      <w:r>
        <w:rPr>
          <w:rFonts w:ascii="仿宋_GB2312" w:hAnsi="宋体"/>
          <w:color w:val="000000" w:themeColor="text1"/>
          <w:sz w:val="24"/>
        </w:rPr>
        <w:tab/>
      </w:r>
    </w:p>
    <w:p>
      <w:pPr>
        <w:jc w:val="center"/>
        <w:rPr>
          <w:rFonts w:ascii="仿宋_GB2312" w:hAnsi="宋体"/>
          <w:b/>
          <w:color w:val="000000" w:themeColor="text1"/>
          <w:sz w:val="28"/>
          <w:szCs w:val="28"/>
        </w:rPr>
      </w:pPr>
      <w:r>
        <w:rPr>
          <w:rFonts w:ascii="仿宋_GB2312" w:hAnsi="宋体"/>
          <w:color w:val="000000" w:themeColor="text1"/>
          <w:sz w:val="24"/>
        </w:rPr>
        <w:br w:type="page"/>
      </w:r>
      <w:r>
        <w:rPr>
          <w:rFonts w:hint="eastAsia" w:hAnsi="宋体"/>
          <w:b/>
          <w:color w:val="000000" w:themeColor="text1"/>
          <w:sz w:val="28"/>
          <w:szCs w:val="28"/>
        </w:rPr>
        <w:t>第一部分竞争性磋商邀请</w:t>
      </w:r>
    </w:p>
    <w:p>
      <w:pPr>
        <w:spacing w:line="312" w:lineRule="auto"/>
        <w:rPr>
          <w:rFonts w:ascii="宋体" w:hAnsi="宋体"/>
          <w:color w:val="000000" w:themeColor="text1"/>
          <w:sz w:val="24"/>
        </w:rPr>
      </w:pPr>
      <w:r>
        <w:rPr>
          <w:rFonts w:hint="eastAsia" w:ascii="宋体" w:hAnsi="宋体"/>
          <w:color w:val="000000" w:themeColor="text1"/>
          <w:sz w:val="24"/>
        </w:rPr>
        <w:t>　</w:t>
      </w:r>
    </w:p>
    <w:p>
      <w:pPr>
        <w:tabs>
          <w:tab w:val="left" w:pos="1470"/>
        </w:tabs>
        <w:spacing w:line="360" w:lineRule="auto"/>
        <w:ind w:left="2" w:leftChars="1" w:firstLine="470" w:firstLineChars="224"/>
        <w:rPr>
          <w:rFonts w:ascii="宋体" w:hAnsi="宋体"/>
          <w:bCs/>
          <w:color w:val="000000" w:themeColor="text1"/>
        </w:rPr>
      </w:pPr>
      <w:r>
        <w:rPr>
          <w:rFonts w:hint="eastAsia" w:ascii="宋体" w:hAnsi="宋体"/>
          <w:color w:val="000000" w:themeColor="text1"/>
        </w:rPr>
        <w:t>北京中招国发工程项目管理有限公司受</w:t>
      </w:r>
      <w:r>
        <w:rPr>
          <w:rFonts w:hint="eastAsia"/>
          <w:color w:val="000000" w:themeColor="text1"/>
          <w:szCs w:val="21"/>
        </w:rPr>
        <w:t>中央音乐学院</w:t>
      </w:r>
      <w:r>
        <w:rPr>
          <w:rFonts w:hint="eastAsia" w:ascii="宋体" w:hAnsi="宋体"/>
          <w:color w:val="000000" w:themeColor="text1"/>
        </w:rPr>
        <w:t>的委托，现对</w:t>
      </w:r>
      <w:r>
        <w:rPr>
          <w:rFonts w:hint="eastAsia" w:ascii="宋体" w:hAnsi="宋体"/>
          <w:bCs/>
          <w:color w:val="000000" w:themeColor="text1"/>
        </w:rPr>
        <w:t>“中央音乐学院歌剧音乐厅中央空调系统运行维护保养项目”进行竞争性磋商。欢迎国内合格的竞争性磋商报价人参加洽谈。</w:t>
      </w:r>
    </w:p>
    <w:p>
      <w:pPr>
        <w:spacing w:line="360" w:lineRule="auto"/>
        <w:ind w:left="1" w:firstLine="422" w:firstLineChars="200"/>
        <w:rPr>
          <w:color w:val="000000" w:themeColor="text1"/>
          <w:szCs w:val="21"/>
        </w:rPr>
      </w:pPr>
      <w:r>
        <w:rPr>
          <w:rFonts w:ascii="宋体" w:hAnsi="宋体"/>
          <w:b/>
          <w:bCs/>
          <w:color w:val="000000" w:themeColor="text1"/>
        </w:rPr>
        <w:t>1</w:t>
      </w:r>
      <w:r>
        <w:rPr>
          <w:rFonts w:hint="eastAsia" w:ascii="宋体" w:hAnsi="宋体"/>
          <w:b/>
          <w:bCs/>
          <w:color w:val="000000" w:themeColor="text1"/>
        </w:rPr>
        <w:t>、项目名称：</w:t>
      </w:r>
      <w:r>
        <w:rPr>
          <w:rFonts w:hint="eastAsia"/>
          <w:color w:val="000000" w:themeColor="text1"/>
          <w:szCs w:val="21"/>
        </w:rPr>
        <w:t>中央音乐学院歌剧音乐厅中央空调系统运行维护保养项目</w:t>
      </w:r>
    </w:p>
    <w:p>
      <w:pPr>
        <w:spacing w:line="360" w:lineRule="auto"/>
        <w:ind w:left="1" w:firstLine="422" w:firstLineChars="200"/>
        <w:rPr>
          <w:rFonts w:ascii="宋体" w:hAnsi="宋体"/>
          <w:b/>
          <w:bCs/>
          <w:color w:val="000000" w:themeColor="text1"/>
        </w:rPr>
      </w:pPr>
      <w:r>
        <w:rPr>
          <w:rFonts w:ascii="宋体" w:hAnsi="宋体"/>
          <w:b/>
          <w:bCs/>
          <w:color w:val="000000" w:themeColor="text1"/>
        </w:rPr>
        <w:t>2</w:t>
      </w:r>
      <w:r>
        <w:rPr>
          <w:rFonts w:hint="eastAsia" w:ascii="宋体" w:hAnsi="宋体"/>
          <w:b/>
          <w:bCs/>
          <w:color w:val="000000" w:themeColor="text1"/>
        </w:rPr>
        <w:t>、</w:t>
      </w:r>
      <w:r>
        <w:rPr>
          <w:rFonts w:ascii="宋体" w:hAnsi="宋体"/>
          <w:b/>
          <w:bCs/>
          <w:color w:val="000000" w:themeColor="text1"/>
        </w:rPr>
        <w:t>项目编号：</w:t>
      </w:r>
      <w:r>
        <w:rPr>
          <w:rFonts w:hint="eastAsia" w:ascii="宋体" w:hAnsi="宋体"/>
          <w:bCs/>
          <w:color w:val="000000" w:themeColor="text1"/>
        </w:rPr>
        <w:t>GFTC17</w:t>
      </w:r>
      <w:r>
        <w:rPr>
          <w:rFonts w:hint="eastAsia" w:ascii="宋体" w:hAnsi="宋体"/>
          <w:bCs/>
          <w:color w:val="000000" w:themeColor="text1"/>
          <w:highlight w:val="none"/>
        </w:rPr>
        <w:t>ZZ</w:t>
      </w:r>
      <w:r>
        <w:rPr>
          <w:rFonts w:hint="eastAsia" w:ascii="宋体" w:hAnsi="宋体"/>
          <w:bCs/>
          <w:color w:val="000000" w:themeColor="text1"/>
          <w:highlight w:val="none"/>
          <w:lang w:eastAsia="zh-CN"/>
        </w:rPr>
        <w:t>0605</w:t>
      </w:r>
    </w:p>
    <w:p>
      <w:pPr>
        <w:spacing w:line="360" w:lineRule="auto"/>
        <w:ind w:left="1" w:firstLine="422" w:firstLineChars="200"/>
        <w:rPr>
          <w:rFonts w:ascii="宋体" w:hAnsi="宋体"/>
          <w:color w:val="000000" w:themeColor="text1"/>
        </w:rPr>
      </w:pPr>
      <w:r>
        <w:rPr>
          <w:rFonts w:hint="eastAsia" w:ascii="宋体" w:hAnsi="宋体"/>
          <w:b/>
          <w:bCs/>
          <w:color w:val="000000" w:themeColor="text1"/>
        </w:rPr>
        <w:t>3、名称、数量、用途及简要技术需求：</w:t>
      </w:r>
    </w:p>
    <w:tbl>
      <w:tblPr>
        <w:tblStyle w:val="27"/>
        <w:tblW w:w="8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35"/>
        <w:gridCol w:w="6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35" w:type="dxa"/>
            <w:shd w:val="clear" w:color="auto" w:fill="auto"/>
            <w:vAlign w:val="center"/>
          </w:tcPr>
          <w:p>
            <w:pPr>
              <w:spacing w:line="360" w:lineRule="auto"/>
              <w:jc w:val="center"/>
              <w:rPr>
                <w:rFonts w:ascii="宋体" w:hAnsi="宋体" w:cs="宋体"/>
                <w:color w:val="000000" w:themeColor="text1"/>
                <w:kern w:val="0"/>
                <w:szCs w:val="21"/>
              </w:rPr>
            </w:pPr>
            <w:r>
              <w:rPr>
                <w:rFonts w:hint="eastAsia" w:ascii="宋体" w:hAnsi="宋体"/>
                <w:color w:val="000000" w:themeColor="text1"/>
                <w:szCs w:val="21"/>
              </w:rPr>
              <w:t>名称</w:t>
            </w:r>
          </w:p>
        </w:tc>
        <w:tc>
          <w:tcPr>
            <w:tcW w:w="6095" w:type="dxa"/>
            <w:shd w:val="clear" w:color="auto" w:fill="auto"/>
            <w:vAlign w:val="center"/>
          </w:tcPr>
          <w:p>
            <w:pPr>
              <w:spacing w:line="360" w:lineRule="auto"/>
              <w:jc w:val="center"/>
              <w:rPr>
                <w:rFonts w:ascii="宋体" w:hAnsi="宋体" w:cs="宋体"/>
                <w:color w:val="000000" w:themeColor="text1"/>
                <w:kern w:val="0"/>
                <w:szCs w:val="21"/>
              </w:rPr>
            </w:pPr>
            <w:r>
              <w:rPr>
                <w:rFonts w:hint="eastAsia" w:ascii="宋体" w:hAnsi="宋体" w:cs="宋体"/>
                <w:color w:val="000000" w:themeColor="text1"/>
                <w:kern w:val="0"/>
                <w:szCs w:val="21"/>
              </w:rPr>
              <w:t>简要技术要求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35" w:type="dxa"/>
            <w:shd w:val="clear" w:color="auto" w:fill="auto"/>
            <w:vAlign w:val="center"/>
          </w:tcPr>
          <w:p>
            <w:pPr>
              <w:jc w:val="center"/>
              <w:rPr>
                <w:rFonts w:ascii="宋体" w:hAnsi="宋体" w:cs="宋体"/>
                <w:color w:val="000000" w:themeColor="text1"/>
                <w:kern w:val="0"/>
                <w:szCs w:val="21"/>
              </w:rPr>
            </w:pPr>
            <w:r>
              <w:rPr>
                <w:rFonts w:hint="eastAsia"/>
                <w:color w:val="000000" w:themeColor="text1"/>
                <w:szCs w:val="21"/>
              </w:rPr>
              <w:t>中央空调系统运行维护保养</w:t>
            </w:r>
          </w:p>
        </w:tc>
        <w:tc>
          <w:tcPr>
            <w:tcW w:w="6095" w:type="dxa"/>
            <w:shd w:val="clear" w:color="auto" w:fill="auto"/>
            <w:vAlign w:val="center"/>
          </w:tcPr>
          <w:p>
            <w:pPr>
              <w:jc w:val="center"/>
              <w:rPr>
                <w:rFonts w:ascii="宋体" w:hAnsi="宋体" w:cs="宋体"/>
                <w:color w:val="000000" w:themeColor="text1"/>
                <w:kern w:val="0"/>
                <w:szCs w:val="21"/>
              </w:rPr>
            </w:pPr>
            <w:r>
              <w:rPr>
                <w:rFonts w:hint="eastAsia" w:ascii="宋体" w:hAnsi="宋体" w:cs="宋体"/>
                <w:color w:val="000000" w:themeColor="text1"/>
                <w:kern w:val="0"/>
                <w:szCs w:val="21"/>
              </w:rPr>
              <w:t>详见技术需求</w:t>
            </w:r>
          </w:p>
        </w:tc>
      </w:tr>
    </w:tbl>
    <w:p>
      <w:pPr>
        <w:spacing w:line="360" w:lineRule="auto"/>
        <w:ind w:left="1" w:firstLine="420" w:firstLineChars="200"/>
        <w:rPr>
          <w:rFonts w:ascii="宋体" w:hAnsi="宋体"/>
          <w:color w:val="000000" w:themeColor="text1"/>
        </w:rPr>
      </w:pPr>
      <w:r>
        <w:rPr>
          <w:rFonts w:hint="eastAsia" w:ascii="宋体" w:hAnsi="宋体"/>
          <w:color w:val="000000" w:themeColor="text1"/>
        </w:rPr>
        <w:t>（用途及技术需求详见竞争性磋商文件第三部分）</w:t>
      </w:r>
    </w:p>
    <w:p>
      <w:pPr>
        <w:spacing w:line="360" w:lineRule="auto"/>
        <w:ind w:left="1" w:firstLine="422" w:firstLineChars="200"/>
        <w:rPr>
          <w:rFonts w:ascii="宋体" w:hAnsi="宋体"/>
          <w:b/>
          <w:bCs/>
          <w:color w:val="000000" w:themeColor="text1"/>
        </w:rPr>
      </w:pPr>
      <w:r>
        <w:rPr>
          <w:rFonts w:hint="eastAsia" w:ascii="宋体" w:hAnsi="宋体"/>
          <w:b/>
          <w:bCs/>
          <w:color w:val="000000" w:themeColor="text1"/>
        </w:rPr>
        <w:t>4、参与本项目的竞争性磋商报价人应具备的资格条件：</w:t>
      </w:r>
    </w:p>
    <w:p>
      <w:pPr>
        <w:spacing w:line="360" w:lineRule="auto"/>
        <w:rPr>
          <w:rFonts w:ascii="宋体" w:hAnsi="宋体"/>
          <w:color w:val="000000" w:themeColor="text1"/>
        </w:rPr>
      </w:pPr>
      <w:r>
        <w:rPr>
          <w:rFonts w:hint="eastAsia" w:ascii="宋体" w:hAnsi="宋体"/>
          <w:color w:val="000000" w:themeColor="text1"/>
        </w:rPr>
        <w:t>（1）具有独立承担民事责任的能力；</w:t>
      </w:r>
      <w:r>
        <w:rPr>
          <w:rFonts w:ascii="宋体" w:hAnsi="宋体"/>
          <w:color w:val="000000" w:themeColor="text1"/>
        </w:rPr>
        <w:br w:type="textWrapping"/>
      </w:r>
      <w:r>
        <w:rPr>
          <w:rFonts w:hint="eastAsia" w:ascii="宋体" w:hAnsi="宋体"/>
          <w:color w:val="000000" w:themeColor="text1"/>
        </w:rPr>
        <w:t>（2）具有良好的商业信誉和健全的财务会计制度；</w:t>
      </w:r>
      <w:r>
        <w:rPr>
          <w:rFonts w:ascii="宋体" w:hAnsi="宋体"/>
          <w:color w:val="000000" w:themeColor="text1"/>
        </w:rPr>
        <w:br w:type="textWrapping"/>
      </w:r>
      <w:r>
        <w:rPr>
          <w:rFonts w:hint="eastAsia" w:ascii="宋体" w:hAnsi="宋体"/>
          <w:color w:val="000000" w:themeColor="text1"/>
        </w:rPr>
        <w:t>（3）具有履行合同所必需的设备和专业技术能力；</w:t>
      </w:r>
      <w:r>
        <w:rPr>
          <w:rFonts w:ascii="宋体" w:hAnsi="宋体"/>
          <w:color w:val="000000" w:themeColor="text1"/>
        </w:rPr>
        <w:br w:type="textWrapping"/>
      </w:r>
      <w:r>
        <w:rPr>
          <w:rFonts w:hint="eastAsia" w:ascii="宋体" w:hAnsi="宋体"/>
          <w:color w:val="000000" w:themeColor="text1"/>
        </w:rPr>
        <w:t>（4）有依法缴纳税收和社会保障资金的良好记录；</w:t>
      </w:r>
      <w:r>
        <w:rPr>
          <w:rFonts w:ascii="宋体" w:hAnsi="宋体"/>
          <w:color w:val="000000" w:themeColor="text1"/>
        </w:rPr>
        <w:br w:type="textWrapping"/>
      </w:r>
      <w:r>
        <w:rPr>
          <w:rFonts w:hint="eastAsia" w:ascii="宋体" w:hAnsi="宋体"/>
          <w:color w:val="000000" w:themeColor="text1"/>
        </w:rPr>
        <w:t>（5）参加政府采购活动前三年内，在经营活动中没有重大违法记录；</w:t>
      </w:r>
    </w:p>
    <w:p>
      <w:pPr>
        <w:spacing w:line="360" w:lineRule="auto"/>
        <w:rPr>
          <w:rFonts w:ascii="宋体" w:hAnsi="宋体" w:cs="宋体"/>
          <w:szCs w:val="21"/>
        </w:rPr>
      </w:pPr>
      <w:r>
        <w:rPr>
          <w:rFonts w:hint="eastAsia" w:ascii="宋体" w:hAnsi="宋体" w:cs="宋体"/>
          <w:szCs w:val="21"/>
        </w:rPr>
        <w:t>（6）供应商不得为“信用中国网（www.creditchina.gov.cn）”、“中国政府采购网（www.ccgp.gov.cn）”中列入失信被执行人、重大税收违法案件当事人名单的供应商，不得为“中国政府采购网（www.ccgp.gov.cn）”政府采购严重违法失信行为记录名单中被财政部禁止参加政府采购活动的供应商（处罚决定规定的时间和地域范围内）；</w:t>
      </w:r>
    </w:p>
    <w:p>
      <w:pPr>
        <w:spacing w:line="360" w:lineRule="auto"/>
        <w:rPr>
          <w:rFonts w:ascii="宋体" w:hAnsi="宋体"/>
          <w:color w:val="000000" w:themeColor="text1"/>
        </w:rPr>
      </w:pPr>
      <w:r>
        <w:rPr>
          <w:rFonts w:hint="eastAsia" w:ascii="宋体" w:hAnsi="宋体"/>
          <w:color w:val="000000" w:themeColor="text1"/>
        </w:rPr>
        <w:t>（7）法律、行政法规规定的其他条件；</w:t>
      </w:r>
    </w:p>
    <w:p>
      <w:pPr>
        <w:spacing w:line="360" w:lineRule="auto"/>
        <w:rPr>
          <w:rFonts w:ascii="宋体" w:hAnsi="宋体"/>
          <w:color w:val="000000" w:themeColor="text1"/>
        </w:rPr>
      </w:pPr>
      <w:r>
        <w:rPr>
          <w:rFonts w:hint="eastAsia" w:ascii="宋体" w:hAnsi="宋体"/>
          <w:color w:val="000000" w:themeColor="text1"/>
        </w:rPr>
        <w:t>（8）本次磋商不接受联合体。</w:t>
      </w:r>
    </w:p>
    <w:p>
      <w:pPr>
        <w:spacing w:line="360" w:lineRule="auto"/>
        <w:ind w:left="1" w:firstLine="422" w:firstLineChars="200"/>
        <w:rPr>
          <w:rFonts w:ascii="宋体" w:hAnsi="宋体"/>
          <w:color w:val="000000" w:themeColor="text1"/>
        </w:rPr>
      </w:pPr>
      <w:r>
        <w:rPr>
          <w:rFonts w:hint="eastAsia" w:ascii="宋体" w:hAnsi="宋体"/>
          <w:b/>
          <w:bCs/>
          <w:color w:val="000000" w:themeColor="text1"/>
        </w:rPr>
        <w:t>5、评分方法和标准：</w:t>
      </w:r>
      <w:r>
        <w:rPr>
          <w:rFonts w:hint="eastAsia" w:ascii="宋体" w:hAnsi="宋体"/>
          <w:bCs/>
          <w:color w:val="000000" w:themeColor="text1"/>
        </w:rPr>
        <w:t>综合评分法，价格1</w:t>
      </w:r>
      <w:r>
        <w:rPr>
          <w:rFonts w:ascii="宋体" w:hAnsi="宋体"/>
          <w:bCs/>
          <w:color w:val="000000" w:themeColor="text1"/>
        </w:rPr>
        <w:t>0</w:t>
      </w:r>
      <w:r>
        <w:rPr>
          <w:rFonts w:hint="eastAsia" w:ascii="宋体" w:hAnsi="宋体"/>
          <w:bCs/>
          <w:color w:val="000000" w:themeColor="text1"/>
        </w:rPr>
        <w:t>分，商务部分</w:t>
      </w:r>
      <w:r>
        <w:rPr>
          <w:rFonts w:hint="eastAsia" w:ascii="宋体" w:hAnsi="宋体"/>
          <w:bCs/>
          <w:color w:val="000000" w:themeColor="text1"/>
          <w:lang w:val="en-US" w:eastAsia="zh-CN"/>
        </w:rPr>
        <w:t>25</w:t>
      </w:r>
      <w:r>
        <w:rPr>
          <w:rFonts w:hint="eastAsia" w:ascii="宋体" w:hAnsi="宋体"/>
          <w:bCs/>
          <w:color w:val="000000" w:themeColor="text1"/>
        </w:rPr>
        <w:t>分，技术部分</w:t>
      </w:r>
      <w:r>
        <w:rPr>
          <w:rFonts w:hint="eastAsia" w:ascii="宋体" w:hAnsi="宋体"/>
          <w:bCs/>
          <w:color w:val="000000" w:themeColor="text1"/>
          <w:lang w:val="en-US" w:eastAsia="zh-CN"/>
        </w:rPr>
        <w:t>65</w:t>
      </w:r>
      <w:r>
        <w:rPr>
          <w:rFonts w:hint="eastAsia" w:ascii="宋体" w:hAnsi="宋体"/>
          <w:bCs/>
          <w:color w:val="000000" w:themeColor="text1"/>
        </w:rPr>
        <w:t>分，详见</w:t>
      </w:r>
      <w:r>
        <w:rPr>
          <w:rFonts w:hint="eastAsia" w:ascii="宋体" w:hAnsi="宋体"/>
          <w:color w:val="000000" w:themeColor="text1"/>
        </w:rPr>
        <w:t>竞争性磋商文件</w:t>
      </w:r>
      <w:r>
        <w:rPr>
          <w:rFonts w:hint="eastAsia" w:ascii="宋体" w:hAnsi="宋体"/>
          <w:bCs/>
          <w:color w:val="000000" w:themeColor="text1"/>
        </w:rPr>
        <w:t>。</w:t>
      </w:r>
    </w:p>
    <w:p>
      <w:pPr>
        <w:spacing w:line="360" w:lineRule="auto"/>
        <w:ind w:left="1" w:firstLine="422" w:firstLineChars="200"/>
        <w:rPr>
          <w:rFonts w:ascii="宋体" w:hAnsi="宋体"/>
          <w:b/>
          <w:bCs/>
          <w:szCs w:val="21"/>
        </w:rPr>
      </w:pPr>
      <w:r>
        <w:rPr>
          <w:rFonts w:hint="eastAsia" w:ascii="宋体" w:hAnsi="宋体"/>
          <w:b/>
          <w:bCs/>
          <w:color w:val="000000" w:themeColor="text1"/>
        </w:rPr>
        <w:t>6、</w:t>
      </w:r>
      <w:r>
        <w:rPr>
          <w:rFonts w:hint="eastAsia" w:ascii="宋体" w:hAnsi="宋体"/>
          <w:b/>
          <w:szCs w:val="21"/>
        </w:rPr>
        <w:t>竞争性磋商文件领取、报名时间及地点</w:t>
      </w:r>
      <w:r>
        <w:rPr>
          <w:rFonts w:hint="eastAsia" w:ascii="宋体" w:hAnsi="宋体"/>
          <w:b/>
          <w:bCs/>
          <w:szCs w:val="21"/>
        </w:rPr>
        <w:t>:</w:t>
      </w:r>
    </w:p>
    <w:p>
      <w:pPr>
        <w:spacing w:line="360" w:lineRule="auto"/>
        <w:ind w:left="1" w:firstLine="420" w:firstLineChars="200"/>
        <w:rPr>
          <w:rFonts w:ascii="宋体" w:hAnsi="宋体"/>
          <w:bCs/>
          <w:szCs w:val="21"/>
        </w:rPr>
      </w:pPr>
      <w:r>
        <w:rPr>
          <w:rFonts w:hint="eastAsia" w:ascii="宋体" w:hAnsi="宋体"/>
          <w:szCs w:val="21"/>
        </w:rPr>
        <w:t>（1）领取、报名时间</w:t>
      </w:r>
      <w:r>
        <w:rPr>
          <w:rFonts w:hint="eastAsia" w:ascii="宋体" w:hAnsi="宋体"/>
          <w:bCs/>
          <w:szCs w:val="21"/>
        </w:rPr>
        <w:t>:201</w:t>
      </w:r>
      <w:r>
        <w:rPr>
          <w:rFonts w:ascii="宋体" w:hAnsi="宋体"/>
          <w:bCs/>
          <w:szCs w:val="21"/>
        </w:rPr>
        <w:t>7</w:t>
      </w:r>
      <w:r>
        <w:rPr>
          <w:rFonts w:hint="eastAsia" w:ascii="宋体" w:hAnsi="宋体"/>
          <w:bCs/>
          <w:szCs w:val="21"/>
        </w:rPr>
        <w:t>年10月</w:t>
      </w:r>
      <w:r>
        <w:rPr>
          <w:rFonts w:hint="eastAsia" w:ascii="宋体" w:hAnsi="宋体"/>
          <w:bCs/>
          <w:szCs w:val="21"/>
          <w:lang w:val="en-US" w:eastAsia="zh-CN"/>
        </w:rPr>
        <w:t>24</w:t>
      </w:r>
      <w:r>
        <w:rPr>
          <w:rFonts w:hint="eastAsia" w:ascii="宋体" w:hAnsi="宋体"/>
          <w:bCs/>
          <w:szCs w:val="21"/>
        </w:rPr>
        <w:t>日至</w:t>
      </w:r>
      <w:r>
        <w:rPr>
          <w:rFonts w:ascii="宋体" w:hAnsi="宋体"/>
          <w:bCs/>
          <w:szCs w:val="21"/>
        </w:rPr>
        <w:t>2017</w:t>
      </w:r>
      <w:r>
        <w:rPr>
          <w:rFonts w:hint="eastAsia" w:ascii="宋体" w:hAnsi="宋体"/>
          <w:bCs/>
          <w:szCs w:val="21"/>
        </w:rPr>
        <w:t>年10月</w:t>
      </w:r>
      <w:r>
        <w:rPr>
          <w:rFonts w:hint="eastAsia" w:ascii="宋体" w:hAnsi="宋体"/>
          <w:bCs/>
          <w:szCs w:val="21"/>
          <w:lang w:val="en-US" w:eastAsia="zh-CN"/>
        </w:rPr>
        <w:t>31</w:t>
      </w:r>
      <w:r>
        <w:rPr>
          <w:rFonts w:hint="eastAsia" w:ascii="宋体" w:hAnsi="宋体"/>
          <w:bCs/>
          <w:szCs w:val="21"/>
        </w:rPr>
        <w:t>日(节假日除外）</w:t>
      </w:r>
      <w:r>
        <w:rPr>
          <w:rFonts w:hint="eastAsia" w:ascii="宋体" w:hAnsi="宋体"/>
          <w:bCs/>
          <w:color w:val="000000"/>
          <w:szCs w:val="21"/>
        </w:rPr>
        <w:t>上午9:00-11:30；</w:t>
      </w:r>
      <w:r>
        <w:rPr>
          <w:rFonts w:hint="eastAsia" w:ascii="宋体" w:hAnsi="宋体"/>
          <w:bCs/>
          <w:szCs w:val="21"/>
        </w:rPr>
        <w:t>下午13:30-1</w:t>
      </w:r>
      <w:r>
        <w:rPr>
          <w:rFonts w:ascii="宋体" w:hAnsi="宋体"/>
          <w:bCs/>
          <w:szCs w:val="21"/>
        </w:rPr>
        <w:t>6</w:t>
      </w:r>
      <w:r>
        <w:rPr>
          <w:rFonts w:hint="eastAsia" w:ascii="宋体" w:hAnsi="宋体"/>
          <w:bCs/>
          <w:szCs w:val="21"/>
        </w:rPr>
        <w:t>:00截止，文件售价500元/本，售后不退。</w:t>
      </w:r>
    </w:p>
    <w:p>
      <w:pPr>
        <w:spacing w:line="360" w:lineRule="auto"/>
        <w:ind w:left="1" w:firstLine="420" w:firstLineChars="200"/>
        <w:rPr>
          <w:rFonts w:ascii="宋体" w:hAnsi="宋体"/>
          <w:bCs/>
          <w:szCs w:val="21"/>
        </w:rPr>
      </w:pPr>
      <w:r>
        <w:rPr>
          <w:rFonts w:hint="eastAsia" w:ascii="宋体" w:hAnsi="宋体"/>
          <w:szCs w:val="21"/>
        </w:rPr>
        <w:t>（2）领取、报名地点</w:t>
      </w:r>
      <w:r>
        <w:rPr>
          <w:rFonts w:hint="eastAsia" w:ascii="宋体" w:hAnsi="宋体"/>
          <w:bCs/>
          <w:szCs w:val="21"/>
        </w:rPr>
        <w:t>: 北京市朝阳区小黄庄北街2号院北京外贸安贞大楼B座</w:t>
      </w:r>
      <w:r>
        <w:rPr>
          <w:rFonts w:ascii="宋体" w:hAnsi="宋体"/>
          <w:bCs/>
          <w:szCs w:val="21"/>
        </w:rPr>
        <w:t>61</w:t>
      </w:r>
      <w:r>
        <w:rPr>
          <w:rFonts w:hint="eastAsia" w:ascii="宋体" w:hAnsi="宋体"/>
          <w:bCs/>
          <w:szCs w:val="21"/>
        </w:rPr>
        <w:t>3室（北三环安贞桥东南，环球贸易中心东侧桔子酒店南侧院内，请由C座乘坐电梯）</w:t>
      </w:r>
    </w:p>
    <w:p>
      <w:pPr>
        <w:spacing w:line="360" w:lineRule="auto"/>
        <w:ind w:left="1" w:firstLine="420" w:firstLineChars="200"/>
        <w:rPr>
          <w:rFonts w:ascii="宋体" w:hAnsi="宋体"/>
          <w:bCs/>
          <w:szCs w:val="21"/>
        </w:rPr>
      </w:pPr>
      <w:r>
        <w:rPr>
          <w:rFonts w:hint="eastAsia" w:ascii="宋体" w:hAnsi="宋体"/>
          <w:bCs/>
          <w:szCs w:val="21"/>
        </w:rPr>
        <w:t>（领取竞争性磋商文件时请携带：营业执照副本原件及复印件、组织机构代码副本原件及复印件（三证合一则只提供营业执照原件及复印件）、资质证书副本原件及复印件、法人授权委托书原件、被授权代表人身份证原件及复印件（如购买人为法定代表的，则提供法定代表资格证明文件原件、法定代表身份证原件及复印件）以上资料复印件均须加盖公章。</w:t>
      </w:r>
    </w:p>
    <w:p>
      <w:pPr>
        <w:spacing w:line="360" w:lineRule="auto"/>
        <w:ind w:left="1" w:firstLine="422" w:firstLineChars="200"/>
        <w:rPr>
          <w:rFonts w:ascii="宋体" w:hAnsi="宋体"/>
          <w:b/>
          <w:color w:val="000000" w:themeColor="text1"/>
          <w:szCs w:val="21"/>
        </w:rPr>
      </w:pPr>
      <w:r>
        <w:rPr>
          <w:rFonts w:hint="eastAsia" w:ascii="宋体" w:hAnsi="宋体"/>
          <w:b/>
          <w:color w:val="000000" w:themeColor="text1"/>
          <w:szCs w:val="21"/>
        </w:rPr>
        <w:t>7、响应文件送达、磋商时间：</w:t>
      </w:r>
    </w:p>
    <w:p>
      <w:pPr>
        <w:spacing w:line="360" w:lineRule="auto"/>
        <w:ind w:left="1" w:firstLine="422" w:firstLineChars="200"/>
        <w:rPr>
          <w:rFonts w:ascii="宋体" w:hAnsi="宋体"/>
          <w:color w:val="000000" w:themeColor="text1"/>
          <w:szCs w:val="21"/>
        </w:rPr>
      </w:pPr>
      <w:r>
        <w:rPr>
          <w:rFonts w:hint="eastAsia" w:ascii="宋体" w:hAnsi="宋体"/>
          <w:b/>
          <w:color w:val="000000" w:themeColor="text1"/>
          <w:szCs w:val="21"/>
        </w:rPr>
        <w:t>响应文件送达截止时</w:t>
      </w:r>
      <w:r>
        <w:rPr>
          <w:rFonts w:hint="eastAsia" w:ascii="宋体" w:hAnsi="宋体"/>
          <w:b/>
          <w:color w:val="000000" w:themeColor="text1"/>
          <w:szCs w:val="21"/>
          <w:highlight w:val="none"/>
        </w:rPr>
        <w:t>间：</w:t>
      </w:r>
      <w:r>
        <w:rPr>
          <w:rFonts w:ascii="宋体" w:hAnsi="宋体"/>
          <w:b/>
          <w:color w:val="000000" w:themeColor="text1"/>
          <w:szCs w:val="21"/>
          <w:highlight w:val="none"/>
        </w:rPr>
        <w:t>2017</w:t>
      </w:r>
      <w:r>
        <w:rPr>
          <w:rFonts w:hint="eastAsia" w:ascii="宋体" w:hAnsi="宋体"/>
          <w:b/>
          <w:color w:val="000000" w:themeColor="text1"/>
          <w:szCs w:val="21"/>
          <w:highlight w:val="none"/>
        </w:rPr>
        <w:t>年</w:t>
      </w:r>
      <w:r>
        <w:rPr>
          <w:rFonts w:hint="eastAsia" w:ascii="宋体" w:hAnsi="宋体"/>
          <w:b/>
          <w:color w:val="000000" w:themeColor="text1"/>
          <w:szCs w:val="21"/>
          <w:highlight w:val="none"/>
          <w:lang w:val="en-US" w:eastAsia="zh-CN"/>
        </w:rPr>
        <w:t>11</w:t>
      </w:r>
      <w:r>
        <w:rPr>
          <w:rFonts w:hint="eastAsia" w:ascii="宋体" w:hAnsi="宋体"/>
          <w:b/>
          <w:color w:val="000000" w:themeColor="text1"/>
          <w:szCs w:val="21"/>
          <w:highlight w:val="none"/>
        </w:rPr>
        <w:t>月</w:t>
      </w:r>
      <w:r>
        <w:rPr>
          <w:rFonts w:hint="eastAsia" w:ascii="宋体" w:hAnsi="宋体"/>
          <w:b/>
          <w:color w:val="000000" w:themeColor="text1"/>
          <w:szCs w:val="21"/>
          <w:highlight w:val="none"/>
          <w:lang w:val="en-US" w:eastAsia="zh-CN"/>
        </w:rPr>
        <w:t>6</w:t>
      </w:r>
      <w:r>
        <w:rPr>
          <w:rFonts w:hint="eastAsia" w:ascii="宋体" w:hAnsi="宋体"/>
          <w:b/>
          <w:color w:val="000000" w:themeColor="text1"/>
          <w:szCs w:val="21"/>
          <w:highlight w:val="none"/>
        </w:rPr>
        <w:t>日09:30（北京时间</w:t>
      </w:r>
      <w:r>
        <w:rPr>
          <w:rFonts w:hint="eastAsia" w:ascii="宋体" w:hAnsi="宋体"/>
          <w:b/>
          <w:color w:val="000000" w:themeColor="text1"/>
          <w:szCs w:val="21"/>
          <w:highlight w:val="none"/>
          <w:lang w:eastAsia="zh-CN"/>
        </w:rPr>
        <w:t>）</w:t>
      </w:r>
    </w:p>
    <w:p>
      <w:pPr>
        <w:spacing w:line="360" w:lineRule="auto"/>
        <w:ind w:left="1" w:firstLine="420" w:firstLineChars="200"/>
        <w:rPr>
          <w:rFonts w:ascii="宋体" w:hAnsi="宋体"/>
          <w:color w:val="000000" w:themeColor="text1"/>
          <w:szCs w:val="21"/>
        </w:rPr>
      </w:pPr>
      <w:r>
        <w:rPr>
          <w:rFonts w:hint="eastAsia" w:ascii="宋体" w:hAnsi="宋体"/>
          <w:color w:val="000000" w:themeColor="text1"/>
          <w:szCs w:val="21"/>
        </w:rPr>
        <w:t>响应文件请于送达截止当日及截止时间之前送至洽谈地点，逾期收到或不符合规定的响应文件恕不接受。</w:t>
      </w:r>
    </w:p>
    <w:p>
      <w:pPr>
        <w:spacing w:beforeLines="50" w:line="360" w:lineRule="auto"/>
        <w:ind w:left="357"/>
        <w:rPr>
          <w:rFonts w:ascii="宋体" w:hAnsi="宋体"/>
          <w:color w:val="000000" w:themeColor="text1"/>
          <w:szCs w:val="21"/>
        </w:rPr>
      </w:pPr>
      <w:r>
        <w:rPr>
          <w:rFonts w:hint="eastAsia" w:ascii="宋体" w:hAnsi="宋体"/>
          <w:color w:val="000000" w:themeColor="text1"/>
          <w:szCs w:val="21"/>
        </w:rPr>
        <w:t>送达《响应文件》时，参加竞争性磋商的竞争性磋商报价人代表须出示本人身份证(非法定代表人时还须提供与《响应文件》中一致的《法定代表人授权书》复印件)</w:t>
      </w:r>
    </w:p>
    <w:p>
      <w:pPr>
        <w:spacing w:line="360" w:lineRule="auto"/>
        <w:ind w:left="1" w:firstLine="422" w:firstLineChars="200"/>
        <w:rPr>
          <w:rFonts w:ascii="宋体" w:hAnsi="宋体"/>
          <w:color w:val="000000" w:themeColor="text1"/>
          <w:szCs w:val="21"/>
        </w:rPr>
      </w:pPr>
      <w:r>
        <w:rPr>
          <w:rFonts w:hint="eastAsia" w:ascii="宋体" w:hAnsi="宋体"/>
          <w:b/>
          <w:color w:val="000000" w:themeColor="text1"/>
          <w:szCs w:val="21"/>
        </w:rPr>
        <w:t>8</w:t>
      </w:r>
      <w:r>
        <w:rPr>
          <w:rFonts w:hint="eastAsia" w:ascii="宋体" w:hAnsi="宋体"/>
          <w:color w:val="000000" w:themeColor="text1"/>
          <w:szCs w:val="21"/>
        </w:rPr>
        <w:t>、</w:t>
      </w:r>
      <w:r>
        <w:rPr>
          <w:rFonts w:hint="eastAsia" w:ascii="宋体" w:hAnsi="宋体"/>
          <w:b/>
          <w:color w:val="000000" w:themeColor="text1"/>
          <w:szCs w:val="21"/>
        </w:rPr>
        <w:t>响应文件送达、磋商地点：</w:t>
      </w:r>
      <w:r>
        <w:rPr>
          <w:rFonts w:hint="eastAsia" w:ascii="宋体" w:hAnsi="宋体"/>
          <w:color w:val="000000" w:themeColor="text1"/>
          <w:szCs w:val="21"/>
        </w:rPr>
        <w:t>北京市朝阳区小黄庄北街2号院北京外贸安贞大楼B座7层第一会议室（北三环安贞桥东南，环球贸易中心东侧桔子酒店南侧院内，请由C座乘坐电梯）</w:t>
      </w:r>
    </w:p>
    <w:p>
      <w:pPr>
        <w:spacing w:line="360" w:lineRule="auto"/>
        <w:ind w:left="1" w:firstLine="101" w:firstLineChars="48"/>
        <w:rPr>
          <w:rFonts w:ascii="宋体" w:hAnsi="宋体"/>
          <w:color w:val="000000" w:themeColor="text1"/>
          <w:szCs w:val="21"/>
        </w:rPr>
      </w:pPr>
      <w:r>
        <w:rPr>
          <w:rFonts w:hint="eastAsia" w:ascii="宋体" w:hAnsi="宋体"/>
          <w:b/>
          <w:color w:val="000000" w:themeColor="text1"/>
          <w:szCs w:val="21"/>
        </w:rPr>
        <w:t>采购人名称：</w:t>
      </w:r>
      <w:r>
        <w:rPr>
          <w:rFonts w:hint="eastAsia"/>
          <w:color w:val="000000" w:themeColor="text1"/>
          <w:szCs w:val="21"/>
        </w:rPr>
        <w:t>中央音乐学院</w:t>
      </w:r>
    </w:p>
    <w:p>
      <w:pPr>
        <w:spacing w:line="360" w:lineRule="auto"/>
        <w:ind w:left="1" w:firstLine="101" w:firstLineChars="48"/>
        <w:rPr>
          <w:rFonts w:ascii="宋体" w:hAnsi="宋体"/>
          <w:color w:val="000000" w:themeColor="text1"/>
          <w:szCs w:val="21"/>
        </w:rPr>
      </w:pPr>
      <w:r>
        <w:rPr>
          <w:rFonts w:hint="eastAsia" w:ascii="宋体" w:hAnsi="宋体"/>
          <w:b/>
          <w:color w:val="000000" w:themeColor="text1"/>
          <w:szCs w:val="21"/>
        </w:rPr>
        <w:t>采购人地址：</w:t>
      </w:r>
      <w:r>
        <w:rPr>
          <w:rFonts w:hint="eastAsia" w:ascii="宋体" w:hAnsi="宋体"/>
          <w:color w:val="000000"/>
          <w:szCs w:val="21"/>
        </w:rPr>
        <w:t>北京市西城区鲍家街43号</w:t>
      </w:r>
    </w:p>
    <w:p>
      <w:pPr>
        <w:spacing w:line="360" w:lineRule="auto"/>
        <w:ind w:left="1" w:firstLine="101" w:firstLineChars="48"/>
        <w:rPr>
          <w:rFonts w:ascii="宋体" w:hAnsi="宋体"/>
          <w:color w:val="000000" w:themeColor="text1"/>
          <w:szCs w:val="21"/>
        </w:rPr>
      </w:pPr>
      <w:r>
        <w:rPr>
          <w:rFonts w:hint="eastAsia" w:asciiTheme="minorEastAsia" w:hAnsiTheme="minorEastAsia" w:eastAsiaTheme="minorEastAsia"/>
          <w:b/>
          <w:color w:val="000000"/>
          <w:szCs w:val="21"/>
        </w:rPr>
        <w:t>采购人联系人：</w:t>
      </w:r>
      <w:r>
        <w:rPr>
          <w:rFonts w:hint="eastAsia" w:asciiTheme="minorEastAsia" w:hAnsiTheme="minorEastAsia" w:eastAsiaTheme="minorEastAsia"/>
          <w:color w:val="000000"/>
          <w:szCs w:val="21"/>
        </w:rPr>
        <w:t>朱老师</w:t>
      </w:r>
    </w:p>
    <w:p>
      <w:pPr>
        <w:tabs>
          <w:tab w:val="left" w:pos="0"/>
          <w:tab w:val="left" w:pos="60"/>
        </w:tabs>
        <w:spacing w:line="360" w:lineRule="auto"/>
        <w:ind w:left="1" w:firstLine="101" w:firstLineChars="48"/>
        <w:rPr>
          <w:rFonts w:ascii="宋体" w:hAnsi="宋体"/>
          <w:color w:val="000000" w:themeColor="text1"/>
          <w:szCs w:val="21"/>
        </w:rPr>
      </w:pPr>
      <w:r>
        <w:rPr>
          <w:rFonts w:hint="eastAsia" w:ascii="宋体" w:hAnsi="宋体"/>
          <w:b/>
          <w:color w:val="000000" w:themeColor="text1"/>
          <w:szCs w:val="21"/>
        </w:rPr>
        <w:t>代理机构名称：</w:t>
      </w:r>
      <w:r>
        <w:rPr>
          <w:rFonts w:hint="eastAsia" w:ascii="宋体" w:hAnsi="宋体"/>
          <w:color w:val="000000" w:themeColor="text1"/>
          <w:szCs w:val="21"/>
        </w:rPr>
        <w:t xml:space="preserve">北京中招国发工程项目管理有限公司                            </w:t>
      </w:r>
    </w:p>
    <w:p>
      <w:pPr>
        <w:tabs>
          <w:tab w:val="left" w:pos="0"/>
          <w:tab w:val="left" w:pos="60"/>
        </w:tabs>
        <w:spacing w:line="360" w:lineRule="auto"/>
        <w:ind w:left="1" w:firstLine="101" w:firstLineChars="48"/>
        <w:rPr>
          <w:rFonts w:ascii="宋体" w:hAnsi="宋体"/>
          <w:color w:val="000000" w:themeColor="text1"/>
          <w:szCs w:val="21"/>
        </w:rPr>
      </w:pPr>
      <w:r>
        <w:rPr>
          <w:rFonts w:hint="eastAsia" w:ascii="宋体" w:hAnsi="宋体"/>
          <w:b/>
          <w:color w:val="000000" w:themeColor="text1"/>
          <w:szCs w:val="21"/>
        </w:rPr>
        <w:t>采购机构地址：</w:t>
      </w:r>
      <w:r>
        <w:rPr>
          <w:rFonts w:hint="eastAsia" w:ascii="宋体" w:hAnsi="宋体"/>
          <w:color w:val="000000" w:themeColor="text1"/>
          <w:szCs w:val="21"/>
        </w:rPr>
        <w:t>北京市朝阳区小黄庄北街2号院外贸安贞大楼B座</w:t>
      </w:r>
      <w:r>
        <w:rPr>
          <w:rFonts w:ascii="宋体" w:hAnsi="宋体"/>
          <w:color w:val="000000" w:themeColor="text1"/>
          <w:szCs w:val="21"/>
        </w:rPr>
        <w:t>61</w:t>
      </w:r>
      <w:r>
        <w:rPr>
          <w:rFonts w:hint="eastAsia" w:ascii="宋体" w:hAnsi="宋体"/>
          <w:color w:val="000000" w:themeColor="text1"/>
          <w:szCs w:val="21"/>
        </w:rPr>
        <w:t>3室</w:t>
      </w:r>
    </w:p>
    <w:p>
      <w:pPr>
        <w:tabs>
          <w:tab w:val="left" w:pos="0"/>
          <w:tab w:val="left" w:pos="60"/>
        </w:tabs>
        <w:spacing w:line="360" w:lineRule="auto"/>
        <w:ind w:left="1" w:firstLine="100" w:firstLineChars="48"/>
        <w:rPr>
          <w:rFonts w:ascii="宋体" w:hAnsi="宋体"/>
          <w:color w:val="000000" w:themeColor="text1"/>
          <w:szCs w:val="21"/>
        </w:rPr>
      </w:pPr>
      <w:r>
        <w:rPr>
          <w:rFonts w:hint="eastAsia" w:ascii="宋体" w:hAnsi="宋体"/>
          <w:color w:val="000000" w:themeColor="text1"/>
          <w:szCs w:val="21"/>
        </w:rPr>
        <w:t>联系人：周工</w:t>
      </w:r>
    </w:p>
    <w:p>
      <w:pPr>
        <w:tabs>
          <w:tab w:val="left" w:pos="900"/>
        </w:tabs>
        <w:spacing w:line="360" w:lineRule="auto"/>
        <w:ind w:left="1" w:firstLine="100" w:firstLineChars="48"/>
        <w:rPr>
          <w:rFonts w:ascii="宋体" w:hAnsi="宋体"/>
          <w:color w:val="000000" w:themeColor="text1"/>
          <w:szCs w:val="21"/>
        </w:rPr>
      </w:pPr>
      <w:r>
        <w:rPr>
          <w:rFonts w:hint="eastAsia" w:ascii="宋体" w:hAnsi="宋体"/>
          <w:color w:val="000000" w:themeColor="text1"/>
          <w:szCs w:val="21"/>
        </w:rPr>
        <w:t>电  话：010－82233939-8025　        　</w:t>
      </w:r>
    </w:p>
    <w:p>
      <w:pPr>
        <w:tabs>
          <w:tab w:val="left" w:pos="900"/>
        </w:tabs>
        <w:spacing w:line="360" w:lineRule="auto"/>
        <w:ind w:left="1" w:firstLine="100" w:firstLineChars="48"/>
        <w:rPr>
          <w:rFonts w:ascii="宋体" w:hAnsi="宋体"/>
          <w:color w:val="000000" w:themeColor="text1"/>
          <w:szCs w:val="21"/>
        </w:rPr>
      </w:pPr>
      <w:r>
        <w:rPr>
          <w:rFonts w:hint="eastAsia" w:ascii="宋体" w:hAnsi="宋体"/>
          <w:color w:val="000000" w:themeColor="text1"/>
          <w:szCs w:val="21"/>
        </w:rPr>
        <w:t>传  真：</w:t>
      </w:r>
      <w:r>
        <w:rPr>
          <w:rFonts w:hint="eastAsia" w:ascii="宋体" w:hAnsi="宋体"/>
          <w:bCs/>
        </w:rPr>
        <w:t>010-82232386</w:t>
      </w:r>
    </w:p>
    <w:p>
      <w:pPr>
        <w:spacing w:line="360" w:lineRule="auto"/>
        <w:ind w:left="1" w:firstLine="100" w:firstLineChars="48"/>
        <w:rPr>
          <w:rFonts w:ascii="宋体" w:hAnsi="宋体"/>
          <w:color w:val="000000" w:themeColor="text1"/>
          <w:szCs w:val="21"/>
        </w:rPr>
      </w:pPr>
    </w:p>
    <w:p>
      <w:pPr>
        <w:jc w:val="center"/>
        <w:rPr>
          <w:b/>
          <w:color w:val="000000" w:themeColor="text1"/>
          <w:sz w:val="28"/>
          <w:szCs w:val="28"/>
        </w:rPr>
      </w:pPr>
      <w:bookmarkStart w:id="0" w:name="_Toc203990327"/>
      <w:bookmarkStart w:id="1" w:name="_Toc418072776"/>
    </w:p>
    <w:p>
      <w:pPr>
        <w:jc w:val="center"/>
        <w:rPr>
          <w:b/>
          <w:color w:val="000000" w:themeColor="text1"/>
          <w:sz w:val="28"/>
          <w:szCs w:val="28"/>
        </w:rPr>
      </w:pPr>
    </w:p>
    <w:p>
      <w:pPr>
        <w:jc w:val="center"/>
        <w:rPr>
          <w:b/>
          <w:color w:val="000000" w:themeColor="text1"/>
          <w:sz w:val="28"/>
          <w:szCs w:val="28"/>
        </w:rPr>
      </w:pPr>
    </w:p>
    <w:p>
      <w:pPr>
        <w:jc w:val="center"/>
        <w:rPr>
          <w:b/>
          <w:color w:val="000000" w:themeColor="text1"/>
          <w:sz w:val="28"/>
          <w:szCs w:val="28"/>
        </w:rPr>
      </w:pPr>
    </w:p>
    <w:p>
      <w:pPr>
        <w:rPr>
          <w:b/>
          <w:color w:val="000000" w:themeColor="text1"/>
          <w:sz w:val="28"/>
          <w:szCs w:val="28"/>
        </w:rPr>
      </w:pPr>
    </w:p>
    <w:p>
      <w:pPr>
        <w:jc w:val="center"/>
        <w:rPr>
          <w:b/>
          <w:color w:val="000000" w:themeColor="text1"/>
          <w:sz w:val="28"/>
          <w:szCs w:val="28"/>
        </w:rPr>
      </w:pPr>
      <w:r>
        <w:rPr>
          <w:rFonts w:hint="eastAsia"/>
          <w:b/>
          <w:color w:val="000000" w:themeColor="text1"/>
          <w:sz w:val="28"/>
          <w:szCs w:val="28"/>
        </w:rPr>
        <w:t>第二部分供应商须知</w:t>
      </w:r>
      <w:bookmarkEnd w:id="0"/>
      <w:bookmarkEnd w:id="1"/>
    </w:p>
    <w:p>
      <w:pPr>
        <w:spacing w:line="360" w:lineRule="auto"/>
        <w:rPr>
          <w:rFonts w:ascii="仿宋_GB2312" w:eastAsia="仿宋_GB2312"/>
          <w:color w:val="000000" w:themeColor="text1"/>
          <w:szCs w:val="21"/>
        </w:rPr>
      </w:pPr>
    </w:p>
    <w:p>
      <w:pPr>
        <w:pStyle w:val="3"/>
        <w:spacing w:before="0" w:line="360" w:lineRule="auto"/>
        <w:rPr>
          <w:rFonts w:ascii="宋体" w:hAnsi="宋体" w:eastAsia="宋体"/>
          <w:color w:val="000000" w:themeColor="text1"/>
          <w:sz w:val="21"/>
          <w:szCs w:val="21"/>
        </w:rPr>
      </w:pPr>
      <w:bookmarkStart w:id="2" w:name="_Toc520356143"/>
      <w:r>
        <w:rPr>
          <w:rFonts w:hint="eastAsia" w:ascii="宋体" w:hAnsi="宋体" w:eastAsia="宋体"/>
          <w:color w:val="000000" w:themeColor="text1"/>
          <w:sz w:val="21"/>
          <w:szCs w:val="21"/>
        </w:rPr>
        <w:t>一   说明</w:t>
      </w:r>
      <w:bookmarkEnd w:id="2"/>
    </w:p>
    <w:p>
      <w:pPr>
        <w:numPr>
          <w:ilvl w:val="0"/>
          <w:numId w:val="1"/>
        </w:numPr>
        <w:spacing w:line="360" w:lineRule="auto"/>
        <w:rPr>
          <w:b/>
          <w:color w:val="000000" w:themeColor="text1"/>
          <w:szCs w:val="21"/>
        </w:rPr>
      </w:pPr>
      <w:bookmarkStart w:id="3" w:name="_Toc520356145"/>
      <w:r>
        <w:rPr>
          <w:rFonts w:hint="eastAsia"/>
          <w:b/>
          <w:color w:val="000000" w:themeColor="text1"/>
          <w:szCs w:val="21"/>
        </w:rPr>
        <w:t>预算金额：400000</w:t>
      </w:r>
      <w:r>
        <w:rPr>
          <w:rFonts w:hint="eastAsia"/>
          <w:color w:val="000000" w:themeColor="text1"/>
          <w:szCs w:val="21"/>
        </w:rPr>
        <w:t>元</w:t>
      </w:r>
    </w:p>
    <w:p>
      <w:pPr>
        <w:numPr>
          <w:ilvl w:val="0"/>
          <w:numId w:val="1"/>
        </w:numPr>
        <w:tabs>
          <w:tab w:val="left" w:pos="720"/>
        </w:tabs>
        <w:spacing w:line="360" w:lineRule="auto"/>
        <w:ind w:left="720" w:hanging="720"/>
        <w:rPr>
          <w:b/>
          <w:color w:val="000000" w:themeColor="text1"/>
        </w:rPr>
      </w:pPr>
      <w:r>
        <w:rPr>
          <w:rFonts w:hint="eastAsia"/>
          <w:b/>
          <w:color w:val="000000" w:themeColor="text1"/>
        </w:rPr>
        <w:t>费用</w:t>
      </w:r>
      <w:bookmarkEnd w:id="3"/>
    </w:p>
    <w:p>
      <w:pPr>
        <w:numPr>
          <w:ilvl w:val="1"/>
          <w:numId w:val="1"/>
        </w:numPr>
        <w:tabs>
          <w:tab w:val="left" w:pos="720"/>
        </w:tabs>
        <w:spacing w:line="360" w:lineRule="auto"/>
        <w:ind w:left="0" w:firstLine="0"/>
        <w:rPr>
          <w:rFonts w:ascii="宋体" w:hAnsi="宋体"/>
          <w:color w:val="000000" w:themeColor="text1"/>
          <w:szCs w:val="21"/>
        </w:rPr>
      </w:pPr>
      <w:r>
        <w:rPr>
          <w:rFonts w:hint="eastAsia" w:ascii="宋体" w:hAnsi="宋体"/>
          <w:color w:val="000000" w:themeColor="text1"/>
          <w:szCs w:val="21"/>
        </w:rPr>
        <w:t>竞争性磋商报价人应承担所有与准备和参加磋商有关的费用，不论磋商的结果如何，采购人及代理机构均无承担的义务和责任。</w:t>
      </w:r>
    </w:p>
    <w:p>
      <w:pPr>
        <w:numPr>
          <w:ilvl w:val="1"/>
          <w:numId w:val="1"/>
        </w:numPr>
        <w:tabs>
          <w:tab w:val="left" w:pos="720"/>
        </w:tabs>
        <w:spacing w:line="360" w:lineRule="auto"/>
        <w:ind w:left="720" w:hanging="720"/>
        <w:rPr>
          <w:rFonts w:ascii="宋体" w:hAnsi="宋体"/>
          <w:color w:val="000000" w:themeColor="text1"/>
          <w:szCs w:val="21"/>
        </w:rPr>
      </w:pPr>
      <w:r>
        <w:rPr>
          <w:rFonts w:hint="eastAsia" w:ascii="宋体" w:hAnsi="宋体"/>
          <w:color w:val="000000" w:themeColor="text1"/>
          <w:szCs w:val="21"/>
        </w:rPr>
        <w:t>成交服务费的收取：本项目服务费由成交人支付；服务费金额15000元，成交人领取成交通知书时向代理机构缴纳成交服务费。</w:t>
      </w:r>
    </w:p>
    <w:p>
      <w:pPr>
        <w:pStyle w:val="3"/>
        <w:spacing w:beforeLines="50" w:afterLines="50" w:line="360" w:lineRule="auto"/>
        <w:rPr>
          <w:rFonts w:ascii="宋体" w:hAnsi="宋体" w:eastAsia="宋体"/>
          <w:color w:val="000000" w:themeColor="text1"/>
          <w:sz w:val="21"/>
          <w:szCs w:val="21"/>
        </w:rPr>
      </w:pPr>
      <w:bookmarkStart w:id="4" w:name="_Toc520356146"/>
      <w:r>
        <w:rPr>
          <w:rFonts w:hint="eastAsia" w:ascii="宋体" w:hAnsi="宋体" w:eastAsia="宋体"/>
          <w:color w:val="000000" w:themeColor="text1"/>
          <w:sz w:val="21"/>
          <w:szCs w:val="21"/>
        </w:rPr>
        <w:t>二   磋商文件</w:t>
      </w:r>
      <w:bookmarkEnd w:id="4"/>
    </w:p>
    <w:p>
      <w:pPr>
        <w:numPr>
          <w:ilvl w:val="0"/>
          <w:numId w:val="1"/>
        </w:numPr>
        <w:tabs>
          <w:tab w:val="left" w:pos="720"/>
        </w:tabs>
        <w:spacing w:line="360" w:lineRule="auto"/>
        <w:ind w:left="720" w:hanging="720"/>
        <w:rPr>
          <w:b/>
          <w:color w:val="000000" w:themeColor="text1"/>
        </w:rPr>
      </w:pPr>
      <w:bookmarkStart w:id="5" w:name="_Toc520356147"/>
      <w:r>
        <w:rPr>
          <w:rFonts w:hint="eastAsia"/>
          <w:b/>
          <w:color w:val="000000" w:themeColor="text1"/>
        </w:rPr>
        <w:t>磋商文件构成</w:t>
      </w:r>
      <w:bookmarkEnd w:id="5"/>
    </w:p>
    <w:p>
      <w:pPr>
        <w:numPr>
          <w:ilvl w:val="1"/>
          <w:numId w:val="1"/>
        </w:numPr>
        <w:tabs>
          <w:tab w:val="left" w:pos="720"/>
        </w:tabs>
        <w:spacing w:line="360" w:lineRule="auto"/>
        <w:ind w:left="720" w:hanging="720"/>
        <w:rPr>
          <w:rFonts w:ascii="宋体" w:hAnsi="宋体"/>
          <w:color w:val="000000" w:themeColor="text1"/>
          <w:szCs w:val="21"/>
        </w:rPr>
      </w:pPr>
      <w:r>
        <w:rPr>
          <w:rFonts w:hint="eastAsia" w:ascii="宋体" w:hAnsi="宋体"/>
          <w:color w:val="000000" w:themeColor="text1"/>
          <w:szCs w:val="21"/>
        </w:rPr>
        <w:t xml:space="preserve"> 要求提供货物的内容及详细技术需求、报价须知和合同条件等在《磋商文件》中均有说明。</w:t>
      </w:r>
    </w:p>
    <w:p>
      <w:pPr>
        <w:spacing w:line="360" w:lineRule="auto"/>
        <w:ind w:left="514" w:leftChars="245" w:firstLine="210" w:firstLineChars="100"/>
        <w:rPr>
          <w:rFonts w:ascii="宋体" w:hAnsi="宋体"/>
          <w:color w:val="000000" w:themeColor="text1"/>
          <w:szCs w:val="21"/>
        </w:rPr>
      </w:pPr>
      <w:r>
        <w:rPr>
          <w:rFonts w:hint="eastAsia" w:ascii="宋体" w:hAnsi="宋体"/>
          <w:color w:val="000000" w:themeColor="text1"/>
          <w:szCs w:val="21"/>
        </w:rPr>
        <w:t>《磋商文件》共五部分，内容如下：</w:t>
      </w:r>
    </w:p>
    <w:p>
      <w:pPr>
        <w:spacing w:line="360" w:lineRule="auto"/>
        <w:ind w:left="900"/>
        <w:rPr>
          <w:rFonts w:ascii="宋体" w:hAnsi="宋体"/>
          <w:color w:val="000000" w:themeColor="text1"/>
          <w:szCs w:val="21"/>
        </w:rPr>
      </w:pPr>
      <w:r>
        <w:rPr>
          <w:rFonts w:hint="eastAsia" w:ascii="宋体" w:hAnsi="宋体"/>
          <w:color w:val="000000" w:themeColor="text1"/>
          <w:szCs w:val="21"/>
        </w:rPr>
        <w:t>第一部分  竞争性磋商邀请</w:t>
      </w:r>
    </w:p>
    <w:p>
      <w:pPr>
        <w:spacing w:line="360" w:lineRule="auto"/>
        <w:ind w:left="900"/>
        <w:rPr>
          <w:rFonts w:ascii="宋体" w:hAnsi="宋体"/>
          <w:color w:val="000000" w:themeColor="text1"/>
          <w:szCs w:val="21"/>
        </w:rPr>
      </w:pPr>
      <w:r>
        <w:rPr>
          <w:rFonts w:hint="eastAsia" w:ascii="宋体" w:hAnsi="宋体"/>
          <w:color w:val="000000" w:themeColor="text1"/>
          <w:szCs w:val="21"/>
        </w:rPr>
        <w:t>第二部分  竞争性磋商报价人须知</w:t>
      </w:r>
    </w:p>
    <w:p>
      <w:pPr>
        <w:spacing w:line="360" w:lineRule="auto"/>
        <w:ind w:left="895"/>
        <w:rPr>
          <w:rFonts w:ascii="宋体" w:hAnsi="宋体"/>
          <w:color w:val="000000" w:themeColor="text1"/>
          <w:szCs w:val="21"/>
        </w:rPr>
      </w:pPr>
      <w:r>
        <w:rPr>
          <w:rFonts w:hint="eastAsia" w:ascii="宋体" w:hAnsi="宋体"/>
          <w:color w:val="000000" w:themeColor="text1"/>
          <w:szCs w:val="21"/>
        </w:rPr>
        <w:t>第三部分  技术要求</w:t>
      </w:r>
    </w:p>
    <w:p>
      <w:pPr>
        <w:spacing w:line="360" w:lineRule="auto"/>
        <w:ind w:left="895"/>
        <w:rPr>
          <w:rFonts w:ascii="宋体" w:hAnsi="宋体"/>
          <w:color w:val="000000" w:themeColor="text1"/>
          <w:szCs w:val="21"/>
        </w:rPr>
      </w:pPr>
      <w:r>
        <w:rPr>
          <w:rFonts w:hint="eastAsia" w:ascii="宋体" w:hAnsi="宋体"/>
          <w:color w:val="000000" w:themeColor="text1"/>
          <w:szCs w:val="21"/>
        </w:rPr>
        <w:t>第四部分  响应文件格式</w:t>
      </w:r>
    </w:p>
    <w:p>
      <w:pPr>
        <w:spacing w:line="360" w:lineRule="auto"/>
        <w:ind w:left="895"/>
        <w:rPr>
          <w:rFonts w:ascii="宋体" w:hAnsi="宋体"/>
          <w:color w:val="000000" w:themeColor="text1"/>
          <w:szCs w:val="21"/>
        </w:rPr>
      </w:pPr>
      <w:r>
        <w:rPr>
          <w:rFonts w:hint="eastAsia" w:ascii="宋体" w:hAnsi="宋体"/>
          <w:color w:val="000000" w:themeColor="text1"/>
          <w:szCs w:val="21"/>
        </w:rPr>
        <w:t>第五部分  合同条款</w:t>
      </w:r>
    </w:p>
    <w:p>
      <w:pPr>
        <w:spacing w:line="360" w:lineRule="auto"/>
        <w:ind w:left="895"/>
        <w:rPr>
          <w:rFonts w:ascii="宋体" w:hAnsi="宋体"/>
          <w:color w:val="000000" w:themeColor="text1"/>
          <w:szCs w:val="21"/>
        </w:rPr>
      </w:pPr>
      <w:r>
        <w:rPr>
          <w:rFonts w:hint="eastAsia" w:ascii="宋体" w:hAnsi="宋体"/>
          <w:color w:val="000000" w:themeColor="text1"/>
          <w:szCs w:val="21"/>
        </w:rPr>
        <w:t>第六部分  评审方法</w:t>
      </w:r>
    </w:p>
    <w:p>
      <w:pPr>
        <w:numPr>
          <w:ilvl w:val="1"/>
          <w:numId w:val="1"/>
        </w:numPr>
        <w:tabs>
          <w:tab w:val="left" w:pos="720"/>
        </w:tabs>
        <w:spacing w:line="360" w:lineRule="auto"/>
        <w:ind w:left="0" w:firstLine="0"/>
        <w:rPr>
          <w:rFonts w:ascii="宋体" w:hAnsi="宋体"/>
          <w:color w:val="000000" w:themeColor="text1"/>
          <w:szCs w:val="21"/>
        </w:rPr>
      </w:pPr>
      <w:r>
        <w:rPr>
          <w:rFonts w:hint="eastAsia" w:ascii="宋体" w:hAnsi="宋体"/>
          <w:color w:val="000000" w:themeColor="text1"/>
          <w:szCs w:val="21"/>
        </w:rPr>
        <w:t>竞争性磋商报价人应认真阅读《磋商文件》所有的事项、格式、条款和技术规范等。如竞争性磋商报价人没有按照《磋商文件》要求提交全部资料，或者响应文件没有对《磋商文件》在各方面做出实质性响应是竞争性磋商报价人的风险，并可能导致其响应被拒绝。</w:t>
      </w:r>
    </w:p>
    <w:p>
      <w:pPr>
        <w:numPr>
          <w:ilvl w:val="0"/>
          <w:numId w:val="1"/>
        </w:numPr>
        <w:tabs>
          <w:tab w:val="left" w:pos="720"/>
        </w:tabs>
        <w:spacing w:line="360" w:lineRule="auto"/>
        <w:ind w:left="0" w:firstLine="0"/>
        <w:rPr>
          <w:b/>
          <w:color w:val="000000" w:themeColor="text1"/>
        </w:rPr>
      </w:pPr>
      <w:bookmarkStart w:id="6" w:name="_Toc520356148"/>
      <w:r>
        <w:rPr>
          <w:rFonts w:hint="eastAsia"/>
          <w:b/>
          <w:color w:val="000000" w:themeColor="text1"/>
        </w:rPr>
        <w:t>磋商文件的澄清</w:t>
      </w:r>
      <w:bookmarkEnd w:id="6"/>
      <w:r>
        <w:rPr>
          <w:rFonts w:hint="eastAsia"/>
          <w:b/>
          <w:color w:val="000000" w:themeColor="text1"/>
        </w:rPr>
        <w:t>或修改</w:t>
      </w:r>
    </w:p>
    <w:p>
      <w:pPr>
        <w:numPr>
          <w:ilvl w:val="1"/>
          <w:numId w:val="1"/>
        </w:numPr>
        <w:tabs>
          <w:tab w:val="left" w:pos="720"/>
        </w:tabs>
        <w:spacing w:line="360" w:lineRule="auto"/>
        <w:ind w:left="0" w:firstLine="0"/>
        <w:rPr>
          <w:rFonts w:ascii="宋体" w:hAnsi="宋体"/>
          <w:color w:val="000000" w:themeColor="text1"/>
          <w:szCs w:val="21"/>
        </w:rPr>
      </w:pPr>
      <w:r>
        <w:rPr>
          <w:rFonts w:hint="eastAsia" w:ascii="宋体" w:hAnsi="宋体"/>
          <w:color w:val="000000" w:themeColor="text1"/>
          <w:szCs w:val="21"/>
        </w:rPr>
        <w:t xml:space="preserve"> 提交首次响应文件截止之日前，采购人、采购代理机构可以对已发出的《磋商文件》进行必要的澄清或者修改，澄清或者修改内容作为《磋商文件》的组成部分，澄清或者修改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numPr>
          <w:ilvl w:val="1"/>
          <w:numId w:val="1"/>
        </w:numPr>
        <w:tabs>
          <w:tab w:val="left" w:pos="720"/>
        </w:tabs>
        <w:spacing w:line="360" w:lineRule="auto"/>
        <w:ind w:left="0" w:firstLine="0"/>
        <w:rPr>
          <w:rFonts w:ascii="宋体" w:hAnsi="宋体"/>
          <w:color w:val="000000" w:themeColor="text1"/>
          <w:szCs w:val="21"/>
        </w:rPr>
      </w:pPr>
      <w:r>
        <w:rPr>
          <w:rFonts w:hint="eastAsia" w:ascii="宋体" w:hAnsi="宋体"/>
          <w:color w:val="000000" w:themeColor="text1"/>
          <w:szCs w:val="21"/>
        </w:rPr>
        <w:t>为使竞争性磋商报价人准备报价时有足够的时间对《磋商文件》的修改部分进行响应，</w:t>
      </w:r>
      <w:r>
        <w:rPr>
          <w:rFonts w:hint="eastAsia" w:ascii="宋体" w:hAnsi="宋体"/>
          <w:color w:val="000000" w:themeColor="text1"/>
        </w:rPr>
        <w:t>代理机构及采购人</w:t>
      </w:r>
      <w:r>
        <w:rPr>
          <w:rFonts w:hint="eastAsia" w:ascii="宋体" w:hAnsi="宋体"/>
          <w:color w:val="000000" w:themeColor="text1"/>
          <w:szCs w:val="21"/>
        </w:rPr>
        <w:t>有权决定是否顺延提交首次响应文件截止时间。</w:t>
      </w:r>
    </w:p>
    <w:p>
      <w:pPr>
        <w:tabs>
          <w:tab w:val="left" w:pos="720"/>
        </w:tabs>
        <w:spacing w:line="360" w:lineRule="auto"/>
        <w:rPr>
          <w:rFonts w:ascii="宋体" w:hAnsi="宋体"/>
          <w:color w:val="000000" w:themeColor="text1"/>
          <w:szCs w:val="21"/>
        </w:rPr>
      </w:pPr>
    </w:p>
    <w:p>
      <w:pPr>
        <w:pStyle w:val="3"/>
        <w:spacing w:beforeLines="50" w:afterLines="50" w:line="360" w:lineRule="auto"/>
        <w:rPr>
          <w:rFonts w:ascii="宋体" w:hAnsi="宋体" w:eastAsia="宋体"/>
          <w:color w:val="000000" w:themeColor="text1"/>
          <w:sz w:val="21"/>
          <w:szCs w:val="21"/>
        </w:rPr>
      </w:pPr>
      <w:r>
        <w:rPr>
          <w:rFonts w:hint="eastAsia" w:ascii="宋体" w:hAnsi="宋体" w:eastAsia="宋体"/>
          <w:color w:val="000000" w:themeColor="text1"/>
          <w:sz w:val="21"/>
          <w:szCs w:val="21"/>
        </w:rPr>
        <w:t>三   响应文件的编制</w:t>
      </w:r>
    </w:p>
    <w:p>
      <w:pPr>
        <w:numPr>
          <w:ilvl w:val="0"/>
          <w:numId w:val="1"/>
        </w:numPr>
        <w:tabs>
          <w:tab w:val="left" w:pos="720"/>
        </w:tabs>
        <w:spacing w:line="360" w:lineRule="auto"/>
        <w:ind w:left="720" w:hanging="720"/>
        <w:rPr>
          <w:b/>
          <w:color w:val="000000" w:themeColor="text1"/>
        </w:rPr>
      </w:pPr>
      <w:bookmarkStart w:id="7" w:name="_Toc520356151"/>
      <w:bookmarkStart w:id="8" w:name="_Toc516367021"/>
      <w:r>
        <w:rPr>
          <w:rFonts w:hint="eastAsia"/>
          <w:b/>
          <w:color w:val="000000" w:themeColor="text1"/>
        </w:rPr>
        <w:t>报价范围及响应文件中计量单位的使用</w:t>
      </w:r>
      <w:bookmarkEnd w:id="7"/>
      <w:bookmarkEnd w:id="8"/>
    </w:p>
    <w:p>
      <w:pPr>
        <w:numPr>
          <w:ilvl w:val="1"/>
          <w:numId w:val="1"/>
        </w:numPr>
        <w:tabs>
          <w:tab w:val="left" w:pos="720"/>
        </w:tabs>
        <w:spacing w:line="360" w:lineRule="auto"/>
        <w:ind w:left="720" w:hanging="720"/>
        <w:rPr>
          <w:rFonts w:ascii="宋体" w:hAnsi="宋体"/>
          <w:color w:val="000000" w:themeColor="text1"/>
          <w:szCs w:val="21"/>
        </w:rPr>
      </w:pPr>
      <w:r>
        <w:rPr>
          <w:rFonts w:hint="eastAsia" w:ascii="宋体" w:hAnsi="宋体"/>
          <w:color w:val="000000" w:themeColor="text1"/>
          <w:szCs w:val="21"/>
        </w:rPr>
        <w:t>竞争性磋商报价人应对《磋商文件》中所列的所有设备及与之配套的服务、运输、包装、保险、应缴纳税款进行整体报价，对分包采购的不得将同一包中的内容拆开报价，对于未分包的项目不得以故意漏保瞒报的形式进行报价。</w:t>
      </w:r>
    </w:p>
    <w:p>
      <w:pPr>
        <w:numPr>
          <w:ilvl w:val="1"/>
          <w:numId w:val="1"/>
        </w:numPr>
        <w:tabs>
          <w:tab w:val="left" w:pos="720"/>
        </w:tabs>
        <w:spacing w:line="360" w:lineRule="auto"/>
        <w:ind w:left="0" w:firstLine="0"/>
        <w:rPr>
          <w:rFonts w:ascii="宋体" w:hAnsi="宋体"/>
          <w:color w:val="000000" w:themeColor="text1"/>
          <w:szCs w:val="21"/>
        </w:rPr>
      </w:pPr>
      <w:r>
        <w:rPr>
          <w:rFonts w:hint="eastAsia" w:ascii="宋体" w:hAnsi="宋体"/>
          <w:color w:val="000000" w:themeColor="text1"/>
          <w:szCs w:val="21"/>
        </w:rPr>
        <w:t>《响应文件》中所使用的计量单位，除《磋商文件》中有特殊要求外，应采用中华人民共和国法定计量单位。</w:t>
      </w:r>
    </w:p>
    <w:p>
      <w:pPr>
        <w:numPr>
          <w:ilvl w:val="0"/>
          <w:numId w:val="1"/>
        </w:numPr>
        <w:tabs>
          <w:tab w:val="left" w:pos="720"/>
        </w:tabs>
        <w:spacing w:line="360" w:lineRule="auto"/>
        <w:ind w:left="720" w:hanging="720"/>
        <w:rPr>
          <w:b/>
          <w:color w:val="000000" w:themeColor="text1"/>
        </w:rPr>
      </w:pPr>
      <w:bookmarkStart w:id="9" w:name="_Toc520356152"/>
      <w:r>
        <w:rPr>
          <w:rFonts w:hint="eastAsia"/>
          <w:b/>
          <w:color w:val="000000" w:themeColor="text1"/>
        </w:rPr>
        <w:t>响应文件构成</w:t>
      </w:r>
      <w:bookmarkEnd w:id="9"/>
    </w:p>
    <w:p>
      <w:pPr>
        <w:tabs>
          <w:tab w:val="left" w:pos="720"/>
        </w:tabs>
        <w:spacing w:line="360" w:lineRule="auto"/>
        <w:ind w:firstLine="735" w:firstLineChars="350"/>
        <w:rPr>
          <w:rFonts w:ascii="宋体" w:hAnsi="宋体"/>
          <w:color w:val="000000" w:themeColor="text1"/>
          <w:szCs w:val="21"/>
        </w:rPr>
      </w:pPr>
      <w:bookmarkStart w:id="10" w:name="_Ref467052588"/>
      <w:r>
        <w:rPr>
          <w:rFonts w:hint="eastAsia" w:ascii="宋体" w:hAnsi="宋体"/>
          <w:color w:val="000000" w:themeColor="text1"/>
          <w:szCs w:val="21"/>
        </w:rPr>
        <w:t>竞争性磋商报价人应完整地按《磋商文件》第四部分“响应文件格式”提供的响应文件格式填写《响应文件</w:t>
      </w:r>
      <w:bookmarkEnd w:id="10"/>
      <w:r>
        <w:rPr>
          <w:rFonts w:hint="eastAsia" w:ascii="宋体" w:hAnsi="宋体"/>
          <w:color w:val="000000" w:themeColor="text1"/>
          <w:szCs w:val="21"/>
        </w:rPr>
        <w:t>》。</w:t>
      </w:r>
    </w:p>
    <w:p>
      <w:pPr>
        <w:numPr>
          <w:ilvl w:val="1"/>
          <w:numId w:val="2"/>
        </w:numPr>
        <w:spacing w:line="360" w:lineRule="auto"/>
        <w:rPr>
          <w:rFonts w:ascii="宋体" w:hAnsi="宋体"/>
          <w:color w:val="000000" w:themeColor="text1"/>
          <w:szCs w:val="21"/>
        </w:rPr>
      </w:pPr>
      <w:r>
        <w:rPr>
          <w:rFonts w:hint="eastAsia" w:ascii="宋体" w:hAnsi="宋体"/>
          <w:color w:val="000000" w:themeColor="text1"/>
          <w:szCs w:val="21"/>
        </w:rPr>
        <w:t>报价函；</w:t>
      </w:r>
    </w:p>
    <w:p>
      <w:pPr>
        <w:numPr>
          <w:ilvl w:val="1"/>
          <w:numId w:val="2"/>
        </w:numPr>
        <w:spacing w:line="360" w:lineRule="auto"/>
        <w:rPr>
          <w:rFonts w:ascii="宋体" w:hAnsi="宋体"/>
          <w:color w:val="000000" w:themeColor="text1"/>
          <w:szCs w:val="21"/>
        </w:rPr>
      </w:pPr>
      <w:r>
        <w:rPr>
          <w:rFonts w:hint="eastAsia" w:ascii="宋体" w:hAnsi="宋体"/>
          <w:color w:val="000000" w:themeColor="text1"/>
          <w:szCs w:val="21"/>
        </w:rPr>
        <w:t>报价表；</w:t>
      </w:r>
    </w:p>
    <w:p>
      <w:pPr>
        <w:numPr>
          <w:ilvl w:val="1"/>
          <w:numId w:val="2"/>
        </w:numPr>
        <w:spacing w:line="360" w:lineRule="auto"/>
        <w:rPr>
          <w:rFonts w:ascii="宋体" w:hAnsi="宋体"/>
          <w:color w:val="000000" w:themeColor="text1"/>
          <w:szCs w:val="21"/>
        </w:rPr>
      </w:pPr>
      <w:r>
        <w:rPr>
          <w:rFonts w:hint="eastAsia" w:ascii="宋体" w:hAnsi="宋体"/>
          <w:color w:val="000000" w:themeColor="text1"/>
          <w:szCs w:val="21"/>
        </w:rPr>
        <w:t>营业执照；</w:t>
      </w:r>
    </w:p>
    <w:p>
      <w:pPr>
        <w:numPr>
          <w:ilvl w:val="1"/>
          <w:numId w:val="2"/>
        </w:numPr>
        <w:spacing w:line="360" w:lineRule="auto"/>
        <w:rPr>
          <w:rFonts w:ascii="宋体" w:hAnsi="宋体"/>
          <w:color w:val="000000" w:themeColor="text1"/>
          <w:szCs w:val="21"/>
        </w:rPr>
      </w:pPr>
      <w:r>
        <w:rPr>
          <w:rFonts w:hint="eastAsia" w:ascii="宋体" w:hAnsi="宋体"/>
          <w:color w:val="000000" w:themeColor="text1"/>
          <w:szCs w:val="21"/>
        </w:rPr>
        <w:t>纳税证明；</w:t>
      </w:r>
    </w:p>
    <w:p>
      <w:pPr>
        <w:numPr>
          <w:ilvl w:val="1"/>
          <w:numId w:val="2"/>
        </w:numPr>
        <w:spacing w:line="360" w:lineRule="auto"/>
        <w:rPr>
          <w:rFonts w:ascii="宋体" w:hAnsi="宋体"/>
          <w:color w:val="000000" w:themeColor="text1"/>
          <w:szCs w:val="21"/>
        </w:rPr>
      </w:pPr>
      <w:r>
        <w:rPr>
          <w:rFonts w:ascii="宋体" w:hAnsi="宋体"/>
          <w:color w:val="000000" w:themeColor="text1"/>
          <w:szCs w:val="21"/>
        </w:rPr>
        <w:t>法定代表人授权书；</w:t>
      </w:r>
    </w:p>
    <w:p>
      <w:pPr>
        <w:numPr>
          <w:ilvl w:val="1"/>
          <w:numId w:val="2"/>
        </w:numPr>
        <w:spacing w:line="360" w:lineRule="auto"/>
        <w:rPr>
          <w:rFonts w:ascii="宋体" w:hAnsi="宋体"/>
          <w:color w:val="000000" w:themeColor="text1"/>
          <w:szCs w:val="21"/>
        </w:rPr>
      </w:pPr>
      <w:r>
        <w:rPr>
          <w:rFonts w:hint="eastAsia" w:ascii="宋体" w:hAnsi="宋体"/>
          <w:color w:val="000000" w:themeColor="text1"/>
          <w:szCs w:val="21"/>
        </w:rPr>
        <w:t>报价人情况表；</w:t>
      </w:r>
    </w:p>
    <w:p>
      <w:pPr>
        <w:numPr>
          <w:ilvl w:val="1"/>
          <w:numId w:val="2"/>
        </w:numPr>
        <w:spacing w:line="360" w:lineRule="auto"/>
        <w:rPr>
          <w:rFonts w:ascii="宋体" w:hAnsi="宋体"/>
          <w:color w:val="000000" w:themeColor="text1"/>
          <w:szCs w:val="21"/>
        </w:rPr>
      </w:pPr>
      <w:r>
        <w:rPr>
          <w:rFonts w:hint="eastAsia" w:ascii="宋体" w:hAnsi="宋体"/>
          <w:color w:val="000000" w:themeColor="text1"/>
          <w:szCs w:val="21"/>
        </w:rPr>
        <w:t>资信证明；</w:t>
      </w:r>
    </w:p>
    <w:p>
      <w:pPr>
        <w:numPr>
          <w:ilvl w:val="1"/>
          <w:numId w:val="2"/>
        </w:numPr>
        <w:spacing w:line="360" w:lineRule="auto"/>
        <w:rPr>
          <w:rFonts w:ascii="宋体" w:hAnsi="宋体"/>
          <w:color w:val="000000" w:themeColor="text1"/>
          <w:szCs w:val="21"/>
        </w:rPr>
      </w:pPr>
      <w:r>
        <w:rPr>
          <w:rFonts w:hint="eastAsia" w:ascii="宋体" w:hAnsi="宋体"/>
          <w:color w:val="000000" w:themeColor="text1"/>
          <w:szCs w:val="21"/>
        </w:rPr>
        <w:t>社会保障资金缴纳记录；</w:t>
      </w:r>
    </w:p>
    <w:p>
      <w:pPr>
        <w:numPr>
          <w:ilvl w:val="1"/>
          <w:numId w:val="2"/>
        </w:numPr>
        <w:spacing w:line="360" w:lineRule="auto"/>
        <w:rPr>
          <w:rFonts w:ascii="宋体" w:hAnsi="宋体"/>
          <w:color w:val="000000" w:themeColor="text1"/>
          <w:szCs w:val="21"/>
        </w:rPr>
      </w:pPr>
      <w:r>
        <w:rPr>
          <w:rFonts w:ascii="宋体" w:hAnsi="宋体"/>
          <w:color w:val="000000" w:themeColor="text1"/>
          <w:szCs w:val="21"/>
        </w:rPr>
        <w:t>磋商文件规定的其他文件</w:t>
      </w:r>
    </w:p>
    <w:p>
      <w:pPr>
        <w:numPr>
          <w:ilvl w:val="1"/>
          <w:numId w:val="2"/>
        </w:numPr>
        <w:spacing w:line="360" w:lineRule="auto"/>
        <w:rPr>
          <w:rFonts w:ascii="宋体" w:hAnsi="宋体"/>
          <w:color w:val="000000" w:themeColor="text1"/>
          <w:szCs w:val="21"/>
        </w:rPr>
      </w:pPr>
      <w:r>
        <w:rPr>
          <w:rFonts w:hint="eastAsia" w:ascii="宋体" w:hAnsi="宋体"/>
          <w:color w:val="000000" w:themeColor="text1"/>
          <w:szCs w:val="21"/>
        </w:rPr>
        <w:t>技术需求响应方案及其他相关文件，包含对第三部分中*条款的进行响应的文字说明、证明文件等资料。</w:t>
      </w:r>
    </w:p>
    <w:p>
      <w:pPr>
        <w:numPr>
          <w:ilvl w:val="1"/>
          <w:numId w:val="2"/>
        </w:numPr>
        <w:spacing w:line="360" w:lineRule="auto"/>
        <w:rPr>
          <w:rFonts w:ascii="宋体" w:hAnsi="宋体"/>
          <w:color w:val="000000" w:themeColor="text1"/>
          <w:szCs w:val="21"/>
        </w:rPr>
      </w:pPr>
      <w:r>
        <w:rPr>
          <w:rFonts w:hint="eastAsia" w:ascii="宋体" w:hAnsi="宋体"/>
          <w:color w:val="000000" w:themeColor="text1"/>
          <w:szCs w:val="21"/>
        </w:rPr>
        <w:t>保证金退还证明函</w:t>
      </w:r>
    </w:p>
    <w:p>
      <w:pPr>
        <w:numPr>
          <w:ilvl w:val="0"/>
          <w:numId w:val="1"/>
        </w:numPr>
        <w:tabs>
          <w:tab w:val="left" w:pos="720"/>
        </w:tabs>
        <w:spacing w:line="360" w:lineRule="auto"/>
        <w:ind w:left="720" w:hanging="720"/>
        <w:rPr>
          <w:b/>
          <w:color w:val="000000" w:themeColor="text1"/>
        </w:rPr>
      </w:pPr>
      <w:bookmarkStart w:id="11" w:name="_Toc520356155"/>
      <w:r>
        <w:rPr>
          <w:rFonts w:hint="eastAsia"/>
          <w:b/>
          <w:color w:val="000000" w:themeColor="text1"/>
        </w:rPr>
        <w:t>报价</w:t>
      </w:r>
      <w:bookmarkEnd w:id="11"/>
    </w:p>
    <w:p>
      <w:pPr>
        <w:numPr>
          <w:ilvl w:val="1"/>
          <w:numId w:val="1"/>
        </w:numPr>
        <w:tabs>
          <w:tab w:val="left" w:pos="720"/>
        </w:tabs>
        <w:spacing w:line="360" w:lineRule="auto"/>
        <w:ind w:left="720" w:hanging="720"/>
        <w:rPr>
          <w:rFonts w:ascii="宋体" w:hAnsi="宋体"/>
          <w:color w:val="000000" w:themeColor="text1"/>
          <w:szCs w:val="21"/>
        </w:rPr>
      </w:pPr>
      <w:r>
        <w:rPr>
          <w:rFonts w:hint="eastAsia" w:ascii="宋体" w:hAnsi="宋体"/>
          <w:color w:val="000000" w:themeColor="text1"/>
          <w:szCs w:val="21"/>
        </w:rPr>
        <w:t>竞争性磋商报价人的报价应遵守《中华人民共和国价格法》。</w:t>
      </w:r>
    </w:p>
    <w:p>
      <w:pPr>
        <w:numPr>
          <w:ilvl w:val="1"/>
          <w:numId w:val="1"/>
        </w:numPr>
        <w:tabs>
          <w:tab w:val="left" w:pos="720"/>
        </w:tabs>
        <w:spacing w:line="360" w:lineRule="auto"/>
        <w:ind w:left="720" w:hanging="720"/>
        <w:rPr>
          <w:rFonts w:ascii="宋体" w:hAnsi="宋体"/>
          <w:color w:val="000000" w:themeColor="text1"/>
          <w:szCs w:val="21"/>
        </w:rPr>
      </w:pPr>
      <w:r>
        <w:rPr>
          <w:rFonts w:hint="eastAsia" w:ascii="宋体" w:hAnsi="宋体"/>
          <w:color w:val="000000" w:themeColor="text1"/>
          <w:szCs w:val="21"/>
        </w:rPr>
        <w:t>每个项目最终只能有一个报价，不接受选择性的报价。</w:t>
      </w:r>
    </w:p>
    <w:p>
      <w:pPr>
        <w:numPr>
          <w:ilvl w:val="1"/>
          <w:numId w:val="1"/>
        </w:numPr>
        <w:tabs>
          <w:tab w:val="left" w:pos="720"/>
        </w:tabs>
        <w:spacing w:line="360" w:lineRule="auto"/>
        <w:ind w:left="720" w:hanging="720"/>
        <w:rPr>
          <w:rFonts w:ascii="宋体" w:hAnsi="宋体"/>
          <w:color w:val="000000" w:themeColor="text1"/>
          <w:szCs w:val="21"/>
        </w:rPr>
      </w:pPr>
      <w:r>
        <w:rPr>
          <w:rFonts w:hint="eastAsia" w:ascii="宋体" w:hAnsi="宋体"/>
          <w:color w:val="000000" w:themeColor="text1"/>
          <w:szCs w:val="21"/>
        </w:rPr>
        <w:t>本项目不接受联合体报价。</w:t>
      </w:r>
    </w:p>
    <w:p>
      <w:pPr>
        <w:numPr>
          <w:ilvl w:val="0"/>
          <w:numId w:val="1"/>
        </w:numPr>
        <w:tabs>
          <w:tab w:val="left" w:pos="720"/>
        </w:tabs>
        <w:spacing w:line="360" w:lineRule="auto"/>
        <w:ind w:left="720" w:hanging="720"/>
        <w:rPr>
          <w:b/>
          <w:color w:val="000000" w:themeColor="text1"/>
        </w:rPr>
      </w:pPr>
      <w:bookmarkStart w:id="12" w:name="_Toc520356156"/>
      <w:bookmarkStart w:id="13" w:name="_Ref467306513"/>
      <w:r>
        <w:rPr>
          <w:rFonts w:hint="eastAsia"/>
          <w:b/>
          <w:color w:val="000000" w:themeColor="text1"/>
        </w:rPr>
        <w:t>磋商保证金</w:t>
      </w:r>
      <w:bookmarkEnd w:id="12"/>
      <w:bookmarkEnd w:id="13"/>
      <w:r>
        <w:rPr>
          <w:rFonts w:hint="eastAsia" w:ascii="宋体" w:hAnsi="宋体" w:cs="宋体"/>
          <w:color w:val="000000" w:themeColor="text1"/>
          <w:szCs w:val="21"/>
        </w:rPr>
        <w:t xml:space="preserve">：15000 </w:t>
      </w:r>
      <w:r>
        <w:rPr>
          <w:rFonts w:ascii="宋体" w:hAnsi="宋体" w:cs="宋体"/>
          <w:color w:val="000000" w:themeColor="text1"/>
          <w:szCs w:val="21"/>
        </w:rPr>
        <w:t>元</w:t>
      </w:r>
    </w:p>
    <w:p>
      <w:pPr>
        <w:pStyle w:val="46"/>
        <w:spacing w:line="360" w:lineRule="auto"/>
        <w:ind w:left="425" w:firstLine="0" w:firstLineChars="0"/>
        <w:rPr>
          <w:rFonts w:ascii="宋体" w:hAnsi="宋体"/>
          <w:color w:val="000000" w:themeColor="text1"/>
          <w:szCs w:val="21"/>
        </w:rPr>
      </w:pPr>
      <w:r>
        <w:rPr>
          <w:rFonts w:hint="eastAsia" w:ascii="宋体" w:hAnsi="宋体"/>
          <w:color w:val="000000" w:themeColor="text1"/>
          <w:szCs w:val="21"/>
        </w:rPr>
        <w:t>只接收电汇或支票。磋商保证金有效期与报价有效期一致。若采用电汇方式递交磋商保证金的，需将电汇底单附到</w:t>
      </w:r>
      <w:r>
        <w:rPr>
          <w:rFonts w:hint="eastAsia" w:ascii="宋体" w:hAnsi="宋体"/>
          <w:color w:val="000000" w:themeColor="text1"/>
          <w:szCs w:val="21"/>
          <w:lang w:val="en-US" w:eastAsia="zh-CN"/>
        </w:rPr>
        <w:t>响应</w:t>
      </w:r>
      <w:r>
        <w:rPr>
          <w:rFonts w:hint="eastAsia" w:ascii="宋体" w:hAnsi="宋体"/>
          <w:color w:val="000000" w:themeColor="text1"/>
          <w:szCs w:val="21"/>
        </w:rPr>
        <w:t>文件中并注明项目编号及用途。</w:t>
      </w:r>
    </w:p>
    <w:p>
      <w:pPr>
        <w:pStyle w:val="46"/>
        <w:spacing w:line="360" w:lineRule="auto"/>
        <w:ind w:left="425" w:firstLine="0" w:firstLineChars="0"/>
        <w:rPr>
          <w:rFonts w:ascii="宋体" w:cs="宋体"/>
          <w:sz w:val="24"/>
          <w:lang w:val="zh-CN"/>
        </w:rPr>
      </w:pPr>
      <w:r>
        <w:rPr>
          <w:rFonts w:hint="eastAsia" w:ascii="宋体" w:hAnsi="宋体" w:cs="宋体"/>
          <w:sz w:val="24"/>
          <w:lang w:val="zh-CN"/>
        </w:rPr>
        <w:t>开   户   行：中国建设银行北京东四十条支行</w:t>
      </w:r>
    </w:p>
    <w:p>
      <w:pPr>
        <w:pStyle w:val="46"/>
        <w:tabs>
          <w:tab w:val="left" w:pos="720"/>
        </w:tabs>
        <w:spacing w:line="360" w:lineRule="auto"/>
        <w:ind w:left="425" w:firstLine="0" w:firstLineChars="0"/>
        <w:rPr>
          <w:b/>
          <w:color w:val="000000" w:themeColor="text1"/>
        </w:rPr>
      </w:pPr>
      <w:r>
        <w:rPr>
          <w:rFonts w:hint="eastAsia" w:ascii="宋体" w:hAnsi="宋体" w:cs="宋体"/>
          <w:sz w:val="24"/>
          <w:lang w:val="zh-CN"/>
        </w:rPr>
        <w:t>帐        号：11001042600056118112</w:t>
      </w:r>
    </w:p>
    <w:p>
      <w:pPr>
        <w:numPr>
          <w:ilvl w:val="0"/>
          <w:numId w:val="1"/>
        </w:numPr>
        <w:tabs>
          <w:tab w:val="left" w:pos="720"/>
        </w:tabs>
        <w:spacing w:line="360" w:lineRule="auto"/>
        <w:ind w:left="720" w:hanging="720"/>
        <w:rPr>
          <w:b/>
          <w:color w:val="000000" w:themeColor="text1"/>
        </w:rPr>
      </w:pPr>
      <w:bookmarkStart w:id="14" w:name="_Toc520356157"/>
      <w:r>
        <w:rPr>
          <w:rFonts w:hint="eastAsia"/>
          <w:b/>
          <w:color w:val="000000" w:themeColor="text1"/>
        </w:rPr>
        <w:t>报价有效期</w:t>
      </w:r>
      <w:bookmarkEnd w:id="14"/>
    </w:p>
    <w:p>
      <w:pPr>
        <w:numPr>
          <w:ilvl w:val="1"/>
          <w:numId w:val="1"/>
        </w:numPr>
        <w:tabs>
          <w:tab w:val="left" w:pos="720"/>
        </w:tabs>
        <w:spacing w:line="360" w:lineRule="auto"/>
        <w:ind w:left="0" w:firstLine="0"/>
        <w:rPr>
          <w:rFonts w:ascii="宋体" w:hAnsi="宋体"/>
          <w:color w:val="000000" w:themeColor="text1"/>
          <w:szCs w:val="21"/>
        </w:rPr>
      </w:pPr>
      <w:r>
        <w:rPr>
          <w:rFonts w:hint="eastAsia" w:ascii="宋体" w:hAnsi="宋体"/>
          <w:color w:val="000000" w:themeColor="text1"/>
          <w:szCs w:val="21"/>
        </w:rPr>
        <w:t xml:space="preserve"> 报价应在规定的磋商日后的</w:t>
      </w:r>
      <w:r>
        <w:rPr>
          <w:rFonts w:hint="eastAsia" w:ascii="宋体" w:hAnsi="宋体"/>
          <w:color w:val="000000" w:themeColor="text1"/>
          <w:szCs w:val="21"/>
          <w:u w:val="single"/>
        </w:rPr>
        <w:t>90</w:t>
      </w:r>
      <w:r>
        <w:rPr>
          <w:rFonts w:hint="eastAsia" w:ascii="宋体" w:hAnsi="宋体"/>
          <w:color w:val="000000" w:themeColor="text1"/>
          <w:szCs w:val="21"/>
        </w:rPr>
        <w:t>天内保持有效，报价有效期不满足要求的《响应文件》将做无效处理。</w:t>
      </w:r>
    </w:p>
    <w:p>
      <w:pPr>
        <w:numPr>
          <w:ilvl w:val="1"/>
          <w:numId w:val="1"/>
        </w:numPr>
        <w:tabs>
          <w:tab w:val="left" w:pos="720"/>
        </w:tabs>
        <w:spacing w:line="360" w:lineRule="auto"/>
        <w:ind w:left="0" w:firstLine="0"/>
        <w:rPr>
          <w:rFonts w:ascii="宋体" w:hAnsi="宋体"/>
          <w:color w:val="000000" w:themeColor="text1"/>
          <w:szCs w:val="21"/>
        </w:rPr>
      </w:pPr>
      <w:r>
        <w:rPr>
          <w:rFonts w:hint="eastAsia" w:ascii="宋体" w:hAnsi="宋体"/>
          <w:color w:val="000000" w:themeColor="text1"/>
          <w:szCs w:val="21"/>
        </w:rPr>
        <w:t xml:space="preserve"> 采购人可根据实际情况，在原报价有效期截止之前，要求竞争性磋商报价人同意延长响应文件的有效期。接受该要求的竞争性磋商报价人将不会被要求和允许修正其报价。竞争性磋商报价人也可以拒绝采购人的这种要求。上述要求和答复将以书面形式作出。</w:t>
      </w:r>
    </w:p>
    <w:p>
      <w:pPr>
        <w:numPr>
          <w:ilvl w:val="0"/>
          <w:numId w:val="1"/>
        </w:numPr>
        <w:tabs>
          <w:tab w:val="left" w:pos="720"/>
        </w:tabs>
        <w:spacing w:line="360" w:lineRule="auto"/>
        <w:ind w:left="0" w:firstLine="0"/>
        <w:rPr>
          <w:b/>
          <w:color w:val="000000" w:themeColor="text1"/>
        </w:rPr>
      </w:pPr>
      <w:bookmarkStart w:id="15" w:name="_Toc520356158"/>
      <w:r>
        <w:rPr>
          <w:rFonts w:hint="eastAsia"/>
          <w:b/>
          <w:color w:val="000000" w:themeColor="text1"/>
        </w:rPr>
        <w:t>响应文件的签署</w:t>
      </w:r>
      <w:bookmarkEnd w:id="15"/>
      <w:r>
        <w:rPr>
          <w:rFonts w:hint="eastAsia"/>
          <w:b/>
          <w:color w:val="000000" w:themeColor="text1"/>
        </w:rPr>
        <w:t>及规定</w:t>
      </w:r>
    </w:p>
    <w:p>
      <w:pPr>
        <w:numPr>
          <w:ilvl w:val="1"/>
          <w:numId w:val="1"/>
        </w:numPr>
        <w:tabs>
          <w:tab w:val="left" w:pos="720"/>
        </w:tabs>
        <w:spacing w:line="360" w:lineRule="auto"/>
        <w:ind w:left="0" w:firstLine="0"/>
        <w:rPr>
          <w:rFonts w:ascii="宋体" w:hAnsi="宋体"/>
          <w:color w:val="000000" w:themeColor="text1"/>
          <w:szCs w:val="21"/>
        </w:rPr>
      </w:pPr>
      <w:r>
        <w:rPr>
          <w:rFonts w:hint="eastAsia" w:ascii="宋体" w:hAnsi="宋体"/>
          <w:color w:val="000000" w:themeColor="text1"/>
          <w:szCs w:val="21"/>
        </w:rPr>
        <w:t>竞争性磋商报价人应准备《响应文件》正本</w:t>
      </w:r>
      <w:r>
        <w:rPr>
          <w:rFonts w:hint="eastAsia" w:ascii="宋体" w:hAnsi="宋体"/>
          <w:color w:val="000000" w:themeColor="text1"/>
          <w:szCs w:val="21"/>
          <w:u w:val="single"/>
        </w:rPr>
        <w:t>　</w:t>
      </w:r>
      <w:r>
        <w:rPr>
          <w:rFonts w:hint="eastAsia" w:ascii="Batang" w:hAnsi="Batang" w:eastAsia="Batang"/>
          <w:color w:val="000000" w:themeColor="text1"/>
          <w:szCs w:val="21"/>
          <w:u w:val="single"/>
        </w:rPr>
        <w:t>1</w:t>
      </w:r>
      <w:r>
        <w:rPr>
          <w:rFonts w:hint="eastAsia" w:ascii="宋体" w:hAnsi="宋体"/>
          <w:color w:val="000000" w:themeColor="text1"/>
          <w:szCs w:val="21"/>
        </w:rPr>
        <w:t>份和副本</w:t>
      </w:r>
      <w:r>
        <w:rPr>
          <w:rFonts w:ascii="Batang" w:hAnsi="Batang"/>
          <w:color w:val="000000" w:themeColor="text1"/>
          <w:szCs w:val="21"/>
          <w:u w:val="single"/>
        </w:rPr>
        <w:t>2</w:t>
      </w:r>
      <w:r>
        <w:rPr>
          <w:rFonts w:hint="eastAsia" w:ascii="宋体" w:hAnsi="宋体"/>
          <w:color w:val="000000" w:themeColor="text1"/>
          <w:szCs w:val="21"/>
        </w:rPr>
        <w:t>份（</w:t>
      </w:r>
      <w:r>
        <w:rPr>
          <w:rFonts w:ascii="宋体" w:hAnsi="宋体"/>
          <w:color w:val="000000" w:themeColor="text1"/>
          <w:szCs w:val="21"/>
        </w:rPr>
        <w:t>A4</w:t>
      </w:r>
      <w:r>
        <w:rPr>
          <w:rFonts w:hint="eastAsia" w:ascii="宋体" w:hAnsi="宋体"/>
          <w:color w:val="000000" w:themeColor="text1"/>
          <w:szCs w:val="21"/>
        </w:rPr>
        <w:t>幅面），每份《响应文件》须清楚地标明“正本”或“副本”。若正本和副本不符，以正本为准。</w:t>
      </w:r>
    </w:p>
    <w:p>
      <w:pPr>
        <w:numPr>
          <w:ilvl w:val="1"/>
          <w:numId w:val="1"/>
        </w:numPr>
        <w:tabs>
          <w:tab w:val="left" w:pos="720"/>
        </w:tabs>
        <w:spacing w:line="360" w:lineRule="auto"/>
        <w:ind w:left="0" w:firstLine="0"/>
        <w:rPr>
          <w:rFonts w:ascii="宋体" w:hAnsi="宋体"/>
          <w:color w:val="000000" w:themeColor="text1"/>
          <w:szCs w:val="21"/>
        </w:rPr>
      </w:pPr>
      <w:r>
        <w:rPr>
          <w:rFonts w:hint="eastAsia" w:ascii="宋体" w:hAnsi="宋体"/>
          <w:color w:val="000000" w:themeColor="text1"/>
          <w:szCs w:val="21"/>
        </w:rPr>
        <w:t xml:space="preserve"> 《响应文件》的正本需打印或用不退色墨水书写，并由竞争性磋商报价人的法定代表人或经其正式授权的代表在响应文件上签字并加盖单位公章。授权代表须持有书面的“法定代表人授权书”（格式附后），并将其附在《响应文件》中。《响应文件》的副本可采用正本的复印件。</w:t>
      </w:r>
    </w:p>
    <w:p>
      <w:pPr>
        <w:numPr>
          <w:ilvl w:val="1"/>
          <w:numId w:val="1"/>
        </w:numPr>
        <w:tabs>
          <w:tab w:val="left" w:pos="720"/>
        </w:tabs>
        <w:spacing w:line="360" w:lineRule="auto"/>
        <w:ind w:left="720" w:hanging="720"/>
        <w:rPr>
          <w:rFonts w:ascii="宋体" w:hAnsi="宋体"/>
          <w:color w:val="000000" w:themeColor="text1"/>
          <w:szCs w:val="21"/>
        </w:rPr>
      </w:pPr>
      <w:r>
        <w:rPr>
          <w:rFonts w:hint="eastAsia" w:ascii="宋体" w:hAnsi="宋体"/>
          <w:color w:val="000000" w:themeColor="text1"/>
          <w:szCs w:val="21"/>
        </w:rPr>
        <w:t xml:space="preserve"> 任何行间插字、涂改和增删，必须由签字或盖章后才有效。</w:t>
      </w:r>
    </w:p>
    <w:p>
      <w:pPr>
        <w:numPr>
          <w:ilvl w:val="1"/>
          <w:numId w:val="1"/>
        </w:numPr>
        <w:tabs>
          <w:tab w:val="left" w:pos="720"/>
        </w:tabs>
        <w:spacing w:line="360" w:lineRule="auto"/>
        <w:ind w:left="720" w:hanging="720"/>
        <w:rPr>
          <w:rFonts w:ascii="宋体" w:hAnsi="宋体"/>
          <w:color w:val="000000" w:themeColor="text1"/>
          <w:szCs w:val="21"/>
        </w:rPr>
      </w:pPr>
      <w:r>
        <w:rPr>
          <w:rFonts w:hint="eastAsia" w:ascii="宋体" w:hAnsi="宋体"/>
          <w:color w:val="000000" w:themeColor="text1"/>
          <w:szCs w:val="21"/>
        </w:rPr>
        <w:t xml:space="preserve"> 《响应文件》因字迹潦草或表达不清所引起的后果由竞争性磋商报价人负责。</w:t>
      </w:r>
    </w:p>
    <w:p>
      <w:pPr>
        <w:numPr>
          <w:ilvl w:val="1"/>
          <w:numId w:val="1"/>
        </w:numPr>
        <w:tabs>
          <w:tab w:val="left" w:pos="720"/>
        </w:tabs>
        <w:spacing w:line="360" w:lineRule="auto"/>
        <w:ind w:left="0" w:firstLine="0"/>
        <w:rPr>
          <w:rFonts w:ascii="宋体" w:hAnsi="宋体"/>
          <w:color w:val="000000" w:themeColor="text1"/>
          <w:szCs w:val="21"/>
        </w:rPr>
      </w:pPr>
      <w:r>
        <w:rPr>
          <w:rFonts w:hint="eastAsia"/>
          <w:color w:val="000000" w:themeColor="text1"/>
          <w:szCs w:val="21"/>
        </w:rPr>
        <w:t>本《磋商文件》中所要求的公章是指行政公章，加盖合同专用章、报价专用章等非行政公章的《响应文件》无效。</w:t>
      </w:r>
    </w:p>
    <w:p>
      <w:pPr>
        <w:pStyle w:val="3"/>
        <w:spacing w:beforeLines="50" w:afterLines="50" w:line="360" w:lineRule="auto"/>
        <w:rPr>
          <w:rFonts w:ascii="宋体" w:hAnsi="宋体" w:eastAsia="宋体"/>
          <w:color w:val="000000" w:themeColor="text1"/>
          <w:sz w:val="21"/>
          <w:szCs w:val="21"/>
        </w:rPr>
      </w:pPr>
      <w:bookmarkStart w:id="16" w:name="_Toc520356159"/>
      <w:r>
        <w:rPr>
          <w:rFonts w:hint="eastAsia" w:ascii="宋体" w:hAnsi="宋体" w:eastAsia="宋体"/>
          <w:color w:val="000000" w:themeColor="text1"/>
          <w:sz w:val="21"/>
          <w:szCs w:val="21"/>
        </w:rPr>
        <w:t>四   响应文件的递交</w:t>
      </w:r>
      <w:bookmarkEnd w:id="16"/>
    </w:p>
    <w:p>
      <w:pPr>
        <w:numPr>
          <w:ilvl w:val="0"/>
          <w:numId w:val="1"/>
        </w:numPr>
        <w:tabs>
          <w:tab w:val="left" w:pos="720"/>
        </w:tabs>
        <w:spacing w:line="360" w:lineRule="auto"/>
        <w:ind w:left="720" w:hanging="720"/>
        <w:rPr>
          <w:b/>
          <w:color w:val="000000" w:themeColor="text1"/>
        </w:rPr>
      </w:pPr>
      <w:bookmarkStart w:id="17" w:name="_Toc520356160"/>
      <w:r>
        <w:rPr>
          <w:rFonts w:hint="eastAsia"/>
          <w:b/>
          <w:color w:val="000000" w:themeColor="text1"/>
        </w:rPr>
        <w:t>响应文件的装订、密封和标记</w:t>
      </w:r>
      <w:bookmarkEnd w:id="17"/>
    </w:p>
    <w:p>
      <w:pPr>
        <w:numPr>
          <w:ilvl w:val="1"/>
          <w:numId w:val="1"/>
        </w:numPr>
        <w:tabs>
          <w:tab w:val="left" w:pos="720"/>
        </w:tabs>
        <w:spacing w:line="360" w:lineRule="auto"/>
        <w:ind w:left="0" w:firstLine="0"/>
        <w:rPr>
          <w:rFonts w:ascii="宋体" w:hAnsi="宋体"/>
          <w:color w:val="000000" w:themeColor="text1"/>
          <w:szCs w:val="21"/>
        </w:rPr>
      </w:pPr>
      <w:r>
        <w:rPr>
          <w:rFonts w:hint="eastAsia" w:ascii="宋体" w:hAnsi="宋体"/>
          <w:szCs w:val="21"/>
        </w:rPr>
        <w:t>《响应文件》</w:t>
      </w:r>
      <w:r>
        <w:rPr>
          <w:rFonts w:hint="eastAsia" w:hAnsi="宋体"/>
          <w:color w:val="000000"/>
        </w:rPr>
        <w:t>应采用左侧装订成册，活页等非固定装订的</w:t>
      </w:r>
      <w:r>
        <w:rPr>
          <w:rFonts w:hint="eastAsia" w:ascii="宋体" w:hAnsi="宋体"/>
          <w:szCs w:val="21"/>
        </w:rPr>
        <w:t>《响应文件》</w:t>
      </w:r>
      <w:r>
        <w:rPr>
          <w:rFonts w:hint="eastAsia" w:hAnsi="宋体"/>
          <w:color w:val="000000"/>
        </w:rPr>
        <w:t>将被拒绝或被视为无效。</w:t>
      </w:r>
      <w:r>
        <w:rPr>
          <w:rFonts w:hint="eastAsia" w:ascii="宋体" w:hAnsi="宋体"/>
          <w:color w:val="000000" w:themeColor="text1"/>
          <w:szCs w:val="21"/>
        </w:rPr>
        <w:t>送达《响应文件》时，竞争性磋商报价人应将《响应文件》密封。《响应文件》正本和副本单独密封，且在封面标明“正本”“副本”字样。</w:t>
      </w:r>
    </w:p>
    <w:p>
      <w:pPr>
        <w:numPr>
          <w:ilvl w:val="1"/>
          <w:numId w:val="1"/>
        </w:numPr>
        <w:tabs>
          <w:tab w:val="left" w:pos="720"/>
        </w:tabs>
        <w:spacing w:line="360" w:lineRule="auto"/>
        <w:ind w:left="720" w:hanging="720"/>
        <w:rPr>
          <w:rFonts w:ascii="宋体" w:hAnsi="宋体"/>
          <w:color w:val="000000" w:themeColor="text1"/>
          <w:szCs w:val="21"/>
        </w:rPr>
      </w:pPr>
      <w:r>
        <w:rPr>
          <w:rFonts w:hint="eastAsia" w:ascii="宋体" w:hAnsi="宋体"/>
          <w:color w:val="000000" w:themeColor="text1"/>
          <w:szCs w:val="21"/>
        </w:rPr>
        <w:t xml:space="preserve"> 所有密封包装上均应：</w:t>
      </w:r>
    </w:p>
    <w:p>
      <w:pPr>
        <w:pStyle w:val="11"/>
        <w:tabs>
          <w:tab w:val="left" w:pos="630"/>
          <w:tab w:val="left" w:pos="1365"/>
        </w:tabs>
        <w:spacing w:line="360" w:lineRule="auto"/>
        <w:ind w:firstLine="525" w:firstLineChars="250"/>
        <w:rPr>
          <w:rFonts w:hAnsi="宋体"/>
          <w:color w:val="000000" w:themeColor="text1"/>
          <w:szCs w:val="21"/>
        </w:rPr>
      </w:pPr>
      <w:r>
        <w:rPr>
          <w:rFonts w:hint="eastAsia" w:hAnsi="宋体"/>
          <w:color w:val="000000" w:themeColor="text1"/>
          <w:szCs w:val="21"/>
        </w:rPr>
        <w:t>（1）标明项目名称、项目编号和“在</w:t>
      </w:r>
      <w:r>
        <w:rPr>
          <w:rFonts w:hint="eastAsia" w:ascii="Batang" w:hAnsi="Batang"/>
          <w:b/>
          <w:color w:val="000000" w:themeColor="text1"/>
          <w:szCs w:val="21"/>
        </w:rPr>
        <w:t>201**</w:t>
      </w:r>
      <w:r>
        <w:rPr>
          <w:rFonts w:ascii="Batang" w:hAnsi="Batang"/>
          <w:b/>
          <w:color w:val="000000" w:themeColor="text1"/>
          <w:szCs w:val="21"/>
        </w:rPr>
        <w:t>年</w:t>
      </w:r>
      <w:r>
        <w:rPr>
          <w:rFonts w:hint="eastAsia" w:ascii="Batang" w:hAnsi="Batang"/>
          <w:b/>
          <w:color w:val="000000" w:themeColor="text1"/>
          <w:szCs w:val="21"/>
        </w:rPr>
        <w:t>**</w:t>
      </w:r>
      <w:r>
        <w:rPr>
          <w:rFonts w:ascii="Batang" w:hAnsi="Batang"/>
          <w:b/>
          <w:color w:val="000000" w:themeColor="text1"/>
          <w:szCs w:val="21"/>
        </w:rPr>
        <w:t>月</w:t>
      </w:r>
      <w:r>
        <w:rPr>
          <w:rFonts w:hint="eastAsia" w:ascii="Batang" w:hAnsi="Batang"/>
          <w:b/>
          <w:color w:val="000000" w:themeColor="text1"/>
          <w:szCs w:val="21"/>
        </w:rPr>
        <w:t>**</w:t>
      </w:r>
      <w:r>
        <w:rPr>
          <w:rFonts w:ascii="Batang" w:hAnsi="Batang"/>
          <w:b/>
          <w:color w:val="000000" w:themeColor="text1"/>
          <w:szCs w:val="21"/>
        </w:rPr>
        <w:t>日</w:t>
      </w:r>
      <w:r>
        <w:rPr>
          <w:rFonts w:hint="eastAsia" w:ascii="Batang" w:hAnsi="Batang"/>
          <w:b/>
          <w:color w:val="000000" w:themeColor="text1"/>
          <w:szCs w:val="21"/>
        </w:rPr>
        <w:t>****</w:t>
      </w:r>
      <w:r>
        <w:rPr>
          <w:rFonts w:hint="eastAsia" w:hAnsi="宋体"/>
          <w:color w:val="000000" w:themeColor="text1"/>
          <w:szCs w:val="21"/>
        </w:rPr>
        <w:t>之前（开标时间）不得启封”的字样。</w:t>
      </w:r>
    </w:p>
    <w:p>
      <w:pPr>
        <w:pStyle w:val="11"/>
        <w:tabs>
          <w:tab w:val="left" w:pos="630"/>
          <w:tab w:val="left" w:pos="1365"/>
        </w:tabs>
        <w:spacing w:line="360" w:lineRule="auto"/>
        <w:ind w:firstLine="525" w:firstLineChars="250"/>
        <w:rPr>
          <w:rFonts w:hAnsi="宋体"/>
          <w:color w:val="000000" w:themeColor="text1"/>
          <w:szCs w:val="21"/>
        </w:rPr>
      </w:pPr>
      <w:r>
        <w:rPr>
          <w:rFonts w:hint="eastAsia" w:hAnsi="宋体"/>
          <w:color w:val="000000" w:themeColor="text1"/>
          <w:szCs w:val="21"/>
        </w:rPr>
        <w:t>（2）在封装处加盖竞争性磋商报价人</w:t>
      </w:r>
      <w:r>
        <w:rPr>
          <w:rFonts w:hint="eastAsia"/>
          <w:color w:val="000000" w:themeColor="text1"/>
          <w:szCs w:val="21"/>
        </w:rPr>
        <w:t>单位</w:t>
      </w:r>
      <w:r>
        <w:rPr>
          <w:rFonts w:hint="eastAsia" w:hAnsi="宋体"/>
          <w:color w:val="000000" w:themeColor="text1"/>
          <w:szCs w:val="21"/>
        </w:rPr>
        <w:t>公章。</w:t>
      </w:r>
    </w:p>
    <w:p>
      <w:pPr>
        <w:pStyle w:val="11"/>
        <w:tabs>
          <w:tab w:val="left" w:pos="630"/>
          <w:tab w:val="left" w:pos="1365"/>
        </w:tabs>
        <w:spacing w:line="360" w:lineRule="auto"/>
        <w:ind w:firstLine="525" w:firstLineChars="250"/>
        <w:rPr>
          <w:color w:val="000000" w:themeColor="text1"/>
          <w:szCs w:val="21"/>
        </w:rPr>
      </w:pPr>
      <w:r>
        <w:rPr>
          <w:rFonts w:hint="eastAsia" w:hAnsi="宋体"/>
          <w:color w:val="000000" w:themeColor="text1"/>
          <w:szCs w:val="21"/>
        </w:rPr>
        <w:t>（3）密封包装上还应写明竞争性磋商报价人名称和地址，以便若其报价被宣布为“迟到”</w:t>
      </w:r>
      <w:r>
        <w:rPr>
          <w:rFonts w:hint="eastAsia"/>
          <w:color w:val="000000" w:themeColor="text1"/>
          <w:szCs w:val="21"/>
        </w:rPr>
        <w:t>报价时，能原封退回。</w:t>
      </w:r>
    </w:p>
    <w:p>
      <w:pPr>
        <w:numPr>
          <w:ilvl w:val="1"/>
          <w:numId w:val="1"/>
        </w:numPr>
        <w:tabs>
          <w:tab w:val="left" w:pos="720"/>
        </w:tabs>
        <w:spacing w:line="360" w:lineRule="auto"/>
        <w:ind w:left="0" w:firstLine="0"/>
        <w:rPr>
          <w:rFonts w:ascii="宋体" w:hAnsi="宋体"/>
          <w:color w:val="000000" w:themeColor="text1"/>
          <w:szCs w:val="21"/>
        </w:rPr>
      </w:pPr>
      <w:r>
        <w:rPr>
          <w:rFonts w:hint="eastAsia" w:ascii="宋体" w:hAnsi="宋体"/>
          <w:color w:val="000000" w:themeColor="text1"/>
          <w:szCs w:val="21"/>
        </w:rPr>
        <w:t xml:space="preserve"> 如果竞争性磋商报价人未按上述要求密封及加写标记，采购人和代理机构有权拒绝《响应文件》。</w:t>
      </w:r>
    </w:p>
    <w:p>
      <w:pPr>
        <w:numPr>
          <w:ilvl w:val="0"/>
          <w:numId w:val="1"/>
        </w:numPr>
        <w:tabs>
          <w:tab w:val="left" w:pos="720"/>
        </w:tabs>
        <w:spacing w:line="360" w:lineRule="auto"/>
        <w:ind w:left="720" w:hanging="720"/>
        <w:rPr>
          <w:b/>
          <w:color w:val="000000" w:themeColor="text1"/>
        </w:rPr>
      </w:pPr>
      <w:bookmarkStart w:id="18" w:name="_Toc520356161"/>
      <w:r>
        <w:rPr>
          <w:rFonts w:hint="eastAsia"/>
          <w:b/>
          <w:color w:val="000000" w:themeColor="text1"/>
        </w:rPr>
        <w:t>响应文件送达截止</w:t>
      </w:r>
      <w:bookmarkEnd w:id="18"/>
      <w:r>
        <w:rPr>
          <w:rFonts w:hint="eastAsia"/>
          <w:b/>
          <w:color w:val="000000" w:themeColor="text1"/>
        </w:rPr>
        <w:t>期</w:t>
      </w:r>
    </w:p>
    <w:p>
      <w:pPr>
        <w:numPr>
          <w:ilvl w:val="1"/>
          <w:numId w:val="1"/>
        </w:numPr>
        <w:tabs>
          <w:tab w:val="left" w:pos="720"/>
        </w:tabs>
        <w:spacing w:line="360" w:lineRule="auto"/>
        <w:ind w:left="0" w:firstLine="0"/>
        <w:rPr>
          <w:rFonts w:ascii="宋体" w:hAnsi="宋体"/>
          <w:color w:val="000000" w:themeColor="text1"/>
          <w:szCs w:val="21"/>
        </w:rPr>
      </w:pPr>
      <w:r>
        <w:rPr>
          <w:rFonts w:hint="eastAsia" w:ascii="宋体" w:hAnsi="宋体"/>
          <w:color w:val="000000" w:themeColor="text1"/>
          <w:szCs w:val="21"/>
        </w:rPr>
        <w:t>竞争性磋商报价人应在邀请中规定的《响应文件》送达截止日期和时间内，将《响应文件》递交磋商文件规定的地点。</w:t>
      </w:r>
    </w:p>
    <w:p>
      <w:pPr>
        <w:numPr>
          <w:ilvl w:val="1"/>
          <w:numId w:val="1"/>
        </w:numPr>
        <w:tabs>
          <w:tab w:val="left" w:pos="720"/>
        </w:tabs>
        <w:spacing w:line="360" w:lineRule="auto"/>
        <w:ind w:left="0" w:firstLine="0"/>
        <w:rPr>
          <w:rFonts w:ascii="宋体" w:hAnsi="宋体"/>
          <w:color w:val="000000" w:themeColor="text1"/>
          <w:szCs w:val="21"/>
        </w:rPr>
      </w:pPr>
      <w:r>
        <w:rPr>
          <w:rFonts w:hint="eastAsia" w:ascii="宋体" w:hAnsi="宋体"/>
          <w:color w:val="000000" w:themeColor="text1"/>
          <w:szCs w:val="21"/>
        </w:rPr>
        <w:t xml:space="preserve"> 采购人及代理机构有权按本须知的规定，通过修改《磋商文件》延长响应文件送达截止日期和时间。在此情况下，采购人及代理机构和竞争性磋商报价人受截止日期和时间制约的所有权利和义务均应延长至新的截止日期和时间。</w:t>
      </w:r>
    </w:p>
    <w:p>
      <w:pPr>
        <w:numPr>
          <w:ilvl w:val="1"/>
          <w:numId w:val="1"/>
        </w:numPr>
        <w:tabs>
          <w:tab w:val="left" w:pos="720"/>
        </w:tabs>
        <w:spacing w:line="360" w:lineRule="auto"/>
        <w:ind w:left="0" w:firstLine="0"/>
        <w:rPr>
          <w:rFonts w:ascii="宋体" w:hAnsi="宋体"/>
          <w:color w:val="000000" w:themeColor="text1"/>
          <w:szCs w:val="21"/>
        </w:rPr>
      </w:pPr>
      <w:r>
        <w:rPr>
          <w:rFonts w:hint="eastAsia" w:ascii="宋体" w:hAnsi="宋体"/>
          <w:color w:val="000000" w:themeColor="text1"/>
          <w:szCs w:val="21"/>
        </w:rPr>
        <w:t xml:space="preserve"> 采购人及代理机构将拒绝并原封退回在本须知规定的《响应文件》送达截止日期和时间后收到的任何《响应文件》。</w:t>
      </w:r>
    </w:p>
    <w:p>
      <w:pPr>
        <w:pStyle w:val="3"/>
        <w:spacing w:beforeLines="50" w:afterLines="50" w:line="360" w:lineRule="auto"/>
        <w:rPr>
          <w:rFonts w:ascii="宋体" w:hAnsi="宋体" w:eastAsia="宋体"/>
          <w:color w:val="000000" w:themeColor="text1"/>
          <w:sz w:val="21"/>
          <w:szCs w:val="21"/>
        </w:rPr>
      </w:pPr>
      <w:bookmarkStart w:id="19" w:name="_Toc520356163"/>
      <w:r>
        <w:rPr>
          <w:rFonts w:hint="eastAsia" w:ascii="宋体" w:hAnsi="宋体" w:eastAsia="宋体"/>
          <w:color w:val="000000" w:themeColor="text1"/>
          <w:sz w:val="21"/>
          <w:szCs w:val="21"/>
        </w:rPr>
        <w:t>五   磋商</w:t>
      </w:r>
      <w:bookmarkEnd w:id="19"/>
      <w:r>
        <w:rPr>
          <w:rFonts w:hint="eastAsia" w:ascii="宋体" w:hAnsi="宋体" w:eastAsia="宋体"/>
          <w:color w:val="000000" w:themeColor="text1"/>
          <w:sz w:val="21"/>
          <w:szCs w:val="21"/>
        </w:rPr>
        <w:t>及评审</w:t>
      </w:r>
    </w:p>
    <w:p>
      <w:pPr>
        <w:numPr>
          <w:ilvl w:val="0"/>
          <w:numId w:val="1"/>
        </w:numPr>
        <w:tabs>
          <w:tab w:val="left" w:pos="720"/>
        </w:tabs>
        <w:spacing w:line="360" w:lineRule="auto"/>
        <w:ind w:left="720" w:hanging="720"/>
        <w:rPr>
          <w:b/>
          <w:color w:val="000000" w:themeColor="text1"/>
        </w:rPr>
      </w:pPr>
      <w:r>
        <w:rPr>
          <w:rFonts w:hint="eastAsia"/>
          <w:b/>
          <w:color w:val="000000" w:themeColor="text1"/>
        </w:rPr>
        <w:t>送达响应文件</w:t>
      </w:r>
    </w:p>
    <w:p>
      <w:pPr>
        <w:tabs>
          <w:tab w:val="left" w:pos="720"/>
        </w:tabs>
        <w:spacing w:line="360" w:lineRule="auto"/>
        <w:ind w:firstLine="735" w:firstLineChars="350"/>
        <w:rPr>
          <w:b/>
          <w:color w:val="000000" w:themeColor="text1"/>
        </w:rPr>
      </w:pPr>
      <w:r>
        <w:rPr>
          <w:rFonts w:hint="eastAsia" w:ascii="宋体" w:hAnsi="宋体"/>
          <w:color w:val="000000" w:themeColor="text1"/>
          <w:szCs w:val="21"/>
        </w:rPr>
        <w:t>采购人及代理机构应当按邀请的规定，在《响应文件》送达截止时间的同一时间和预先确定的地点组织磋商活动，并邀请所有报名竞争性磋商报价人代表参加。竞争性磋商报价人代表应签名报到以证明其出席，签到并递交《响应文件》后，竞争性磋商报价人代表应在指定区域等待磋商通知。</w:t>
      </w:r>
    </w:p>
    <w:p>
      <w:pPr>
        <w:numPr>
          <w:ilvl w:val="0"/>
          <w:numId w:val="1"/>
        </w:numPr>
        <w:tabs>
          <w:tab w:val="left" w:pos="720"/>
        </w:tabs>
        <w:spacing w:line="360" w:lineRule="auto"/>
        <w:ind w:left="720" w:hanging="720"/>
        <w:rPr>
          <w:b/>
          <w:color w:val="000000" w:themeColor="text1"/>
        </w:rPr>
      </w:pPr>
      <w:r>
        <w:rPr>
          <w:rFonts w:hint="eastAsia"/>
          <w:b/>
          <w:color w:val="000000" w:themeColor="text1"/>
        </w:rPr>
        <w:t>组建磋商小组</w:t>
      </w:r>
    </w:p>
    <w:p>
      <w:pPr>
        <w:tabs>
          <w:tab w:val="left" w:pos="720"/>
        </w:tabs>
        <w:spacing w:line="360" w:lineRule="auto"/>
        <w:ind w:firstLine="735" w:firstLineChars="350"/>
        <w:rPr>
          <w:rFonts w:ascii="宋体" w:hAnsi="宋体"/>
          <w:color w:val="000000" w:themeColor="text1"/>
          <w:szCs w:val="21"/>
        </w:rPr>
      </w:pPr>
      <w:r>
        <w:rPr>
          <w:rFonts w:hint="eastAsia" w:ascii="宋体" w:hAnsi="宋体"/>
          <w:color w:val="000000" w:themeColor="text1"/>
          <w:szCs w:val="21"/>
        </w:rPr>
        <w:t>磋商小组根据本项目采购的特点进行组建，并负责磋商评审工作。</w:t>
      </w:r>
    </w:p>
    <w:p>
      <w:pPr>
        <w:numPr>
          <w:ilvl w:val="0"/>
          <w:numId w:val="1"/>
        </w:numPr>
        <w:tabs>
          <w:tab w:val="left" w:pos="720"/>
        </w:tabs>
        <w:spacing w:line="360" w:lineRule="auto"/>
        <w:ind w:left="720" w:hanging="720"/>
        <w:rPr>
          <w:b/>
          <w:color w:val="000000" w:themeColor="text1"/>
        </w:rPr>
      </w:pPr>
      <w:r>
        <w:rPr>
          <w:rFonts w:hint="eastAsia"/>
          <w:b/>
          <w:color w:val="000000" w:themeColor="text1"/>
        </w:rPr>
        <w:t>响应文件的初审</w:t>
      </w:r>
    </w:p>
    <w:p>
      <w:pPr>
        <w:numPr>
          <w:ilvl w:val="1"/>
          <w:numId w:val="1"/>
        </w:numPr>
        <w:tabs>
          <w:tab w:val="left" w:pos="720"/>
        </w:tabs>
        <w:spacing w:line="360" w:lineRule="auto"/>
        <w:ind w:left="0" w:firstLine="0"/>
        <w:rPr>
          <w:rFonts w:ascii="宋体" w:hAnsi="宋体"/>
          <w:color w:val="000000" w:themeColor="text1"/>
          <w:szCs w:val="21"/>
        </w:rPr>
      </w:pPr>
      <w:r>
        <w:rPr>
          <w:rFonts w:hint="eastAsia" w:ascii="宋体" w:hAnsi="宋体"/>
          <w:color w:val="000000" w:themeColor="text1"/>
          <w:szCs w:val="21"/>
        </w:rPr>
        <w:t xml:space="preserve"> 磋商小组将审查《响应文件》是否完整、总体编排是否有序、文件签署是否合格、</w:t>
      </w:r>
    </w:p>
    <w:p>
      <w:pPr>
        <w:numPr>
          <w:ilvl w:val="1"/>
          <w:numId w:val="1"/>
        </w:numPr>
        <w:tabs>
          <w:tab w:val="left" w:pos="720"/>
        </w:tabs>
        <w:spacing w:line="360" w:lineRule="auto"/>
        <w:ind w:left="0" w:firstLine="0"/>
        <w:rPr>
          <w:rFonts w:ascii="宋体" w:hAnsi="宋体"/>
          <w:color w:val="000000" w:themeColor="text1"/>
          <w:szCs w:val="21"/>
        </w:rPr>
      </w:pPr>
      <w:r>
        <w:rPr>
          <w:rFonts w:hint="eastAsia" w:ascii="宋体" w:hAnsi="宋体"/>
          <w:color w:val="000000" w:themeColor="text1"/>
          <w:szCs w:val="21"/>
        </w:rPr>
        <w:t xml:space="preserve"> 《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numPr>
          <w:ilvl w:val="1"/>
          <w:numId w:val="1"/>
        </w:numPr>
        <w:tabs>
          <w:tab w:val="left" w:pos="720"/>
        </w:tabs>
        <w:spacing w:line="360" w:lineRule="auto"/>
        <w:ind w:left="0" w:firstLine="0"/>
        <w:rPr>
          <w:rFonts w:ascii="宋体" w:hAnsi="宋体"/>
          <w:color w:val="000000" w:themeColor="text1"/>
          <w:szCs w:val="21"/>
        </w:rPr>
      </w:pPr>
      <w:r>
        <w:rPr>
          <w:rFonts w:hint="eastAsia" w:ascii="宋体" w:hAnsi="宋体"/>
          <w:color w:val="000000" w:themeColor="text1"/>
          <w:szCs w:val="21"/>
        </w:rPr>
        <w:t xml:space="preserve"> 在详细评审之前，根据本须知的规定，磋商小组要审查每份《响应文件》是否实质上响应了《磋商文件》的要求。实质上响应的报价应该是与《磋商文件》要求的实质性条款、条件和规格相符，没有重大偏离的报价。实质性响应条款以“*”形式在《磋商文件》中标注（明示“本项目不适用”的除外）。不满足实质性条款要求的《响应文件》将视为无效。磋商小组决定报价的响应性只根据响应文件本身的内容，而不寻求外部的证据。</w:t>
      </w:r>
    </w:p>
    <w:p>
      <w:pPr>
        <w:numPr>
          <w:ilvl w:val="1"/>
          <w:numId w:val="1"/>
        </w:numPr>
        <w:tabs>
          <w:tab w:val="left" w:pos="720"/>
        </w:tabs>
        <w:spacing w:line="360" w:lineRule="auto"/>
        <w:ind w:left="0" w:firstLine="0"/>
        <w:rPr>
          <w:rFonts w:ascii="宋体" w:hAnsi="宋体"/>
          <w:color w:val="000000" w:themeColor="text1"/>
          <w:szCs w:val="21"/>
        </w:rPr>
      </w:pPr>
      <w:r>
        <w:rPr>
          <w:rFonts w:hint="eastAsia" w:ascii="宋体" w:hAnsi="宋体"/>
          <w:color w:val="000000" w:themeColor="text1"/>
          <w:szCs w:val="21"/>
        </w:rPr>
        <w:t xml:space="preserve">竞争性磋商报价人不得通过修正或撤销不符合要求的偏离或保留从而使其报价成为实质上响应的报价。如发现下列情况之一的，其响应文件及报价将被视为无效： </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 在《响应文件》送达截止日期和时间后送达的《响应文件》；</w:t>
      </w:r>
    </w:p>
    <w:p>
      <w:pPr>
        <w:spacing w:line="360" w:lineRule="auto"/>
        <w:ind w:firstLine="420" w:firstLineChars="200"/>
        <w:rPr>
          <w:rFonts w:ascii="宋体" w:hAnsi="宋体"/>
          <w:b/>
          <w:color w:val="000000" w:themeColor="text1"/>
          <w:szCs w:val="21"/>
        </w:rPr>
      </w:pPr>
      <w:r>
        <w:rPr>
          <w:rFonts w:hint="eastAsia" w:ascii="宋体" w:hAnsi="宋体"/>
          <w:color w:val="000000" w:themeColor="text1"/>
          <w:szCs w:val="21"/>
        </w:rPr>
        <w:t>（2）超出经营范围报价的；</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（3)服务期不足的；</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w:t>
      </w:r>
      <w:r>
        <w:rPr>
          <w:rFonts w:hint="eastAsia" w:ascii="宋体" w:hAnsi="宋体"/>
          <w:kern w:val="10"/>
          <w:szCs w:val="21"/>
        </w:rPr>
        <w:t>无合法有效的授权委托书的；</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w:t>
      </w:r>
      <w:r>
        <w:rPr>
          <w:rFonts w:ascii="宋体" w:hAnsi="宋体"/>
          <w:color w:val="000000" w:themeColor="text1"/>
          <w:szCs w:val="21"/>
        </w:rPr>
        <w:t>5</w:t>
      </w:r>
      <w:r>
        <w:rPr>
          <w:rFonts w:hint="eastAsia" w:ascii="宋体" w:hAnsi="宋体"/>
          <w:color w:val="000000" w:themeColor="text1"/>
          <w:szCs w:val="21"/>
        </w:rPr>
        <w:t>）</w:t>
      </w:r>
      <w:r>
        <w:rPr>
          <w:rFonts w:ascii="宋体" w:hAnsi="宋体"/>
          <w:color w:val="000000" w:themeColor="text1"/>
          <w:szCs w:val="21"/>
        </w:rPr>
        <w:t>未按照</w:t>
      </w:r>
      <w:r>
        <w:rPr>
          <w:rFonts w:hint="eastAsia" w:ascii="宋体" w:hAnsi="宋体"/>
          <w:color w:val="000000" w:themeColor="text1"/>
          <w:szCs w:val="21"/>
        </w:rPr>
        <w:t>《磋商</w:t>
      </w:r>
      <w:r>
        <w:rPr>
          <w:rFonts w:ascii="宋体" w:hAnsi="宋体"/>
          <w:color w:val="000000" w:themeColor="text1"/>
          <w:szCs w:val="21"/>
        </w:rPr>
        <w:t>文件</w:t>
      </w:r>
      <w:r>
        <w:rPr>
          <w:rFonts w:hint="eastAsia" w:ascii="宋体" w:hAnsi="宋体"/>
          <w:color w:val="000000" w:themeColor="text1"/>
          <w:szCs w:val="21"/>
        </w:rPr>
        <w:t>》</w:t>
      </w:r>
      <w:r>
        <w:rPr>
          <w:rFonts w:ascii="宋体" w:hAnsi="宋体"/>
          <w:color w:val="000000" w:themeColor="text1"/>
          <w:szCs w:val="21"/>
        </w:rPr>
        <w:t>规定要求</w:t>
      </w:r>
      <w:r>
        <w:rPr>
          <w:rFonts w:hint="eastAsia" w:ascii="宋体" w:hAnsi="宋体"/>
          <w:color w:val="000000" w:themeColor="text1"/>
          <w:szCs w:val="21"/>
        </w:rPr>
        <w:t>装订、</w:t>
      </w:r>
      <w:r>
        <w:rPr>
          <w:rFonts w:ascii="宋体" w:hAnsi="宋体"/>
          <w:color w:val="000000" w:themeColor="text1"/>
          <w:szCs w:val="21"/>
        </w:rPr>
        <w:t>密封、签字（或名章）、</w:t>
      </w:r>
      <w:r>
        <w:rPr>
          <w:rFonts w:hint="eastAsia" w:ascii="宋体" w:hAnsi="宋体"/>
          <w:color w:val="000000" w:themeColor="text1"/>
          <w:szCs w:val="21"/>
        </w:rPr>
        <w:t>签署日期、</w:t>
      </w:r>
      <w:r>
        <w:rPr>
          <w:rFonts w:ascii="宋体" w:hAnsi="宋体"/>
          <w:color w:val="000000" w:themeColor="text1"/>
          <w:szCs w:val="21"/>
        </w:rPr>
        <w:t>盖章的</w:t>
      </w:r>
      <w:r>
        <w:rPr>
          <w:rFonts w:hint="eastAsia" w:ascii="宋体" w:hAnsi="宋体"/>
          <w:color w:val="000000" w:themeColor="text1"/>
          <w:szCs w:val="21"/>
        </w:rPr>
        <w:t>；</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w:t>
      </w:r>
      <w:r>
        <w:rPr>
          <w:rFonts w:ascii="宋体" w:hAnsi="宋体"/>
          <w:color w:val="000000" w:themeColor="text1"/>
          <w:szCs w:val="21"/>
        </w:rPr>
        <w:t>6</w:t>
      </w:r>
      <w:r>
        <w:rPr>
          <w:rFonts w:hint="eastAsia" w:ascii="宋体" w:hAnsi="宋体"/>
          <w:color w:val="000000" w:themeColor="text1"/>
          <w:szCs w:val="21"/>
        </w:rPr>
        <w:t>）</w:t>
      </w:r>
      <w:r>
        <w:rPr>
          <w:rFonts w:ascii="宋体" w:hAnsi="宋体"/>
          <w:color w:val="000000" w:themeColor="text1"/>
          <w:szCs w:val="21"/>
        </w:rPr>
        <w:t>不具备</w:t>
      </w:r>
      <w:r>
        <w:rPr>
          <w:rFonts w:hint="eastAsia" w:ascii="宋体" w:hAnsi="宋体"/>
          <w:color w:val="000000" w:themeColor="text1"/>
          <w:szCs w:val="21"/>
        </w:rPr>
        <w:t>《磋商</w:t>
      </w:r>
      <w:r>
        <w:rPr>
          <w:rFonts w:ascii="宋体" w:hAnsi="宋体"/>
          <w:color w:val="000000" w:themeColor="text1"/>
          <w:szCs w:val="21"/>
        </w:rPr>
        <w:t>文件</w:t>
      </w:r>
      <w:r>
        <w:rPr>
          <w:rFonts w:hint="eastAsia" w:ascii="宋体" w:hAnsi="宋体"/>
          <w:color w:val="000000" w:themeColor="text1"/>
          <w:szCs w:val="21"/>
        </w:rPr>
        <w:t>》</w:t>
      </w:r>
      <w:r>
        <w:rPr>
          <w:rFonts w:ascii="宋体" w:hAnsi="宋体"/>
          <w:color w:val="000000" w:themeColor="text1"/>
          <w:szCs w:val="21"/>
        </w:rPr>
        <w:t>中规定资格要求</w:t>
      </w:r>
      <w:r>
        <w:rPr>
          <w:rFonts w:hint="eastAsia" w:ascii="宋体" w:hAnsi="宋体"/>
          <w:color w:val="000000" w:themeColor="text1"/>
          <w:szCs w:val="21"/>
        </w:rPr>
        <w:t>及实质性响应条款要求</w:t>
      </w:r>
      <w:r>
        <w:rPr>
          <w:rFonts w:ascii="宋体" w:hAnsi="宋体"/>
          <w:color w:val="000000" w:themeColor="text1"/>
          <w:szCs w:val="21"/>
        </w:rPr>
        <w:t>的；</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w:t>
      </w:r>
      <w:r>
        <w:rPr>
          <w:rFonts w:ascii="宋体" w:hAnsi="宋体"/>
          <w:color w:val="000000" w:themeColor="text1"/>
          <w:szCs w:val="21"/>
        </w:rPr>
        <w:t>7</w:t>
      </w:r>
      <w:r>
        <w:rPr>
          <w:rFonts w:hint="eastAsia" w:ascii="宋体" w:hAnsi="宋体"/>
          <w:color w:val="000000" w:themeColor="text1"/>
          <w:szCs w:val="21"/>
        </w:rPr>
        <w:t>）《响应文件》中提供虚假或失实资料的</w:t>
      </w:r>
      <w:r>
        <w:rPr>
          <w:rFonts w:ascii="宋体" w:hAnsi="宋体"/>
          <w:color w:val="000000" w:themeColor="text1"/>
          <w:szCs w:val="21"/>
        </w:rPr>
        <w:t xml:space="preserve">； </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w:t>
      </w:r>
      <w:r>
        <w:rPr>
          <w:rFonts w:ascii="宋体" w:hAnsi="宋体"/>
          <w:color w:val="000000" w:themeColor="text1"/>
          <w:szCs w:val="21"/>
        </w:rPr>
        <w:t>8</w:t>
      </w:r>
      <w:r>
        <w:rPr>
          <w:rFonts w:hint="eastAsia" w:ascii="宋体" w:hAnsi="宋体"/>
          <w:color w:val="000000" w:themeColor="text1"/>
          <w:szCs w:val="21"/>
        </w:rPr>
        <w:t>）</w:t>
      </w:r>
      <w:r>
        <w:rPr>
          <w:rFonts w:ascii="宋体" w:hAnsi="宋体"/>
          <w:color w:val="000000" w:themeColor="text1"/>
          <w:szCs w:val="21"/>
        </w:rPr>
        <w:t>不符合法律、法规和</w:t>
      </w:r>
      <w:r>
        <w:rPr>
          <w:rFonts w:hint="eastAsia" w:ascii="宋体" w:hAnsi="宋体"/>
          <w:color w:val="000000" w:themeColor="text1"/>
          <w:szCs w:val="21"/>
        </w:rPr>
        <w:t>《磋商</w:t>
      </w:r>
      <w:r>
        <w:rPr>
          <w:rFonts w:ascii="宋体" w:hAnsi="宋体"/>
          <w:color w:val="000000" w:themeColor="text1"/>
          <w:szCs w:val="21"/>
        </w:rPr>
        <w:t>文件</w:t>
      </w:r>
      <w:r>
        <w:rPr>
          <w:rFonts w:hint="eastAsia" w:ascii="宋体" w:hAnsi="宋体"/>
          <w:color w:val="000000" w:themeColor="text1"/>
          <w:szCs w:val="21"/>
        </w:rPr>
        <w:t>》</w:t>
      </w:r>
      <w:r>
        <w:rPr>
          <w:rFonts w:ascii="宋体" w:hAnsi="宋体"/>
          <w:color w:val="000000" w:themeColor="text1"/>
          <w:szCs w:val="21"/>
        </w:rPr>
        <w:t>中规定的其他实质性要求的。</w:t>
      </w:r>
    </w:p>
    <w:p>
      <w:pPr>
        <w:numPr>
          <w:ilvl w:val="0"/>
          <w:numId w:val="1"/>
        </w:numPr>
        <w:tabs>
          <w:tab w:val="left" w:pos="720"/>
        </w:tabs>
        <w:spacing w:line="360" w:lineRule="auto"/>
        <w:ind w:left="720" w:hanging="720"/>
        <w:rPr>
          <w:b/>
          <w:color w:val="000000" w:themeColor="text1"/>
        </w:rPr>
      </w:pPr>
      <w:r>
        <w:rPr>
          <w:rFonts w:hint="eastAsia"/>
          <w:b/>
          <w:color w:val="000000" w:themeColor="text1"/>
        </w:rPr>
        <w:t>响应文件的澄清</w:t>
      </w:r>
    </w:p>
    <w:p>
      <w:pPr>
        <w:numPr>
          <w:ilvl w:val="1"/>
          <w:numId w:val="1"/>
        </w:numPr>
        <w:tabs>
          <w:tab w:val="left" w:pos="720"/>
        </w:tabs>
        <w:spacing w:line="360" w:lineRule="auto"/>
        <w:ind w:left="0" w:firstLine="0"/>
        <w:rPr>
          <w:rFonts w:ascii="宋体" w:hAnsi="宋体"/>
          <w:color w:val="000000" w:themeColor="text1"/>
          <w:szCs w:val="21"/>
        </w:rPr>
      </w:pPr>
      <w:r>
        <w:rPr>
          <w:rFonts w:hint="eastAsia" w:ascii="宋体" w:hAnsi="宋体"/>
          <w:color w:val="000000" w:themeColor="text1"/>
          <w:szCs w:val="21"/>
        </w:rPr>
        <w:t xml:space="preserve"> 在评审期间，磋商小组有权要求竞争性磋商报价人对其《响应文件》中含义不明确、对同类问题表述不一致或者有明显文字和计算错误的内容作必要的澄清、说明或者更正。</w:t>
      </w:r>
    </w:p>
    <w:p>
      <w:pPr>
        <w:numPr>
          <w:ilvl w:val="1"/>
          <w:numId w:val="1"/>
        </w:numPr>
        <w:tabs>
          <w:tab w:val="left" w:pos="720"/>
        </w:tabs>
        <w:spacing w:line="360" w:lineRule="auto"/>
        <w:ind w:left="0" w:firstLine="0"/>
        <w:rPr>
          <w:rFonts w:ascii="宋体" w:hAnsi="宋体"/>
          <w:color w:val="000000" w:themeColor="text1"/>
          <w:szCs w:val="21"/>
        </w:rPr>
      </w:pPr>
      <w:r>
        <w:rPr>
          <w:rFonts w:hint="eastAsia" w:ascii="宋体" w:hAnsi="宋体"/>
          <w:color w:val="000000" w:themeColor="text1"/>
          <w:szCs w:val="21"/>
        </w:rPr>
        <w:t>竞争性磋商报价人澄清、说明或者更正响应文件应当以书面形式作出，且不得超出《响应文件》的范围或者改变《响应文件》的实质性内容。竞争性磋商报价人的澄清、说明或者更正应当由法定代表人或其授权代表签字或者加盖公章。由授权代表签字的，应当附法定代表人授权书。竞争性磋商报价人为自然人的，应当由本人签字并附身份证明。</w:t>
      </w:r>
    </w:p>
    <w:p>
      <w:pPr>
        <w:numPr>
          <w:ilvl w:val="0"/>
          <w:numId w:val="1"/>
        </w:numPr>
        <w:tabs>
          <w:tab w:val="left" w:pos="720"/>
        </w:tabs>
        <w:spacing w:line="360" w:lineRule="auto"/>
        <w:ind w:left="720" w:hanging="720"/>
        <w:rPr>
          <w:b/>
          <w:color w:val="000000" w:themeColor="text1"/>
        </w:rPr>
      </w:pPr>
      <w:r>
        <w:rPr>
          <w:rFonts w:hint="eastAsia" w:ascii="宋体" w:hAnsi="宋体"/>
          <w:b/>
          <w:color w:val="000000" w:themeColor="text1"/>
          <w:szCs w:val="21"/>
        </w:rPr>
        <w:t>磋</w:t>
      </w:r>
      <w:r>
        <w:rPr>
          <w:rFonts w:hint="eastAsia"/>
          <w:b/>
          <w:color w:val="000000" w:themeColor="text1"/>
        </w:rPr>
        <w:t>商</w:t>
      </w:r>
    </w:p>
    <w:p>
      <w:pPr>
        <w:numPr>
          <w:ilvl w:val="1"/>
          <w:numId w:val="1"/>
        </w:numPr>
        <w:tabs>
          <w:tab w:val="left" w:pos="720"/>
        </w:tabs>
        <w:spacing w:line="360" w:lineRule="auto"/>
        <w:ind w:left="0" w:firstLine="0"/>
        <w:rPr>
          <w:rFonts w:ascii="宋体" w:hAnsi="宋体"/>
          <w:color w:val="000000" w:themeColor="text1"/>
          <w:szCs w:val="21"/>
        </w:rPr>
      </w:pPr>
      <w:r>
        <w:rPr>
          <w:rFonts w:hint="eastAsia" w:ascii="宋体" w:hAnsi="宋体"/>
          <w:color w:val="000000" w:themeColor="text1"/>
          <w:szCs w:val="21"/>
        </w:rPr>
        <w:t xml:space="preserve"> 磋商小组所有成员集中与初审合格的单一竞争性磋商报价人分别进行磋商，磋商内容包括（但不局限于）《响应文件》技术条款、售后服务条款、报价等，并给予所有参加磋商</w:t>
      </w:r>
      <w:r>
        <w:rPr>
          <w:rFonts w:hint="eastAsia" w:ascii="宋体" w:hAnsi="宋体"/>
          <w:szCs w:val="21"/>
        </w:rPr>
        <w:t>且初审合格具备磋商条件的竞争性磋商报价人平等的磋商机会</w:t>
      </w:r>
      <w:r>
        <w:rPr>
          <w:rFonts w:hint="eastAsia" w:ascii="宋体" w:hAnsi="宋体"/>
          <w:color w:val="000000" w:themeColor="text1"/>
          <w:szCs w:val="21"/>
        </w:rPr>
        <w:t>。初审不合格的竞争性磋商报价人不进入磋商阶段。</w:t>
      </w:r>
    </w:p>
    <w:p>
      <w:pPr>
        <w:numPr>
          <w:ilvl w:val="1"/>
          <w:numId w:val="1"/>
        </w:numPr>
        <w:tabs>
          <w:tab w:val="left" w:pos="720"/>
        </w:tabs>
        <w:spacing w:line="360" w:lineRule="auto"/>
        <w:ind w:left="0" w:firstLine="0"/>
        <w:rPr>
          <w:rFonts w:ascii="宋体" w:hAnsi="宋体"/>
          <w:color w:val="000000" w:themeColor="text1"/>
          <w:szCs w:val="21"/>
        </w:rPr>
      </w:pPr>
      <w:r>
        <w:rPr>
          <w:rFonts w:hint="eastAsia" w:ascii="宋体" w:hAnsi="宋体"/>
          <w:color w:val="000000" w:themeColor="text1"/>
          <w:szCs w:val="21"/>
        </w:rPr>
        <w:t xml:space="preserve"> 在磋商中，磋商的任何一方不得透露与磋商有关的其他竞争性磋商报价人的技术资料、价格和其他信息。</w:t>
      </w:r>
    </w:p>
    <w:p>
      <w:pPr>
        <w:numPr>
          <w:ilvl w:val="1"/>
          <w:numId w:val="1"/>
        </w:numPr>
        <w:tabs>
          <w:tab w:val="left" w:pos="720"/>
        </w:tabs>
        <w:spacing w:line="360" w:lineRule="auto"/>
        <w:ind w:left="0" w:firstLine="0"/>
        <w:rPr>
          <w:rFonts w:ascii="宋体" w:hAnsi="宋体"/>
          <w:color w:val="000000" w:themeColor="text1"/>
          <w:szCs w:val="21"/>
        </w:rPr>
      </w:pPr>
      <w:r>
        <w:rPr>
          <w:rFonts w:hint="eastAsia" w:ascii="宋体" w:hAnsi="宋体"/>
          <w:color w:val="000000" w:themeColor="text1"/>
          <w:szCs w:val="21"/>
        </w:rPr>
        <w:t xml:space="preserve"> 磋商小组可以根据《磋商文件》和磋商情况实质性变动采购需求中的技术、服务要求以及合同草案条款。</w:t>
      </w:r>
      <w:r>
        <w:rPr>
          <w:rFonts w:hint="eastAsia" w:ascii="宋体"/>
          <w:color w:val="000000" w:themeColor="text1"/>
          <w:szCs w:val="21"/>
        </w:rPr>
        <w:t>对《磋商文件》作出的实质性变动是《磋商文件》的有效组成部分，磋商小组将及时以书面形式同时通知所有参加磋商的竞争性磋商报价人。</w:t>
      </w:r>
    </w:p>
    <w:p>
      <w:pPr>
        <w:numPr>
          <w:ilvl w:val="1"/>
          <w:numId w:val="1"/>
        </w:numPr>
        <w:tabs>
          <w:tab w:val="left" w:pos="720"/>
        </w:tabs>
        <w:spacing w:line="360" w:lineRule="auto"/>
        <w:ind w:left="0" w:firstLine="0"/>
        <w:rPr>
          <w:rFonts w:ascii="宋体" w:hAnsi="宋体"/>
          <w:color w:val="000000" w:themeColor="text1"/>
          <w:szCs w:val="21"/>
        </w:rPr>
      </w:pPr>
      <w:r>
        <w:rPr>
          <w:rFonts w:hint="eastAsia" w:ascii="宋体"/>
          <w:color w:val="000000" w:themeColor="text1"/>
          <w:szCs w:val="21"/>
        </w:rPr>
        <w:t>竞争性磋商报价人应当按照《磋商文件》的变动情况和磋商小组的要求重新提交《响应文件》，并由其法定代表人或授权代表签字或者加盖公章。由授权代表签字的，应当附法定代表人授权书。竞争性磋商报价人为自然人的，应当由本人签字并附身份证明。</w:t>
      </w:r>
    </w:p>
    <w:p>
      <w:pPr>
        <w:numPr>
          <w:ilvl w:val="1"/>
          <w:numId w:val="1"/>
        </w:numPr>
        <w:tabs>
          <w:tab w:val="left" w:pos="720"/>
        </w:tabs>
        <w:spacing w:line="360" w:lineRule="auto"/>
        <w:ind w:left="0" w:firstLine="0"/>
        <w:rPr>
          <w:rFonts w:ascii="宋体" w:hAnsi="宋体"/>
          <w:color w:val="000000" w:themeColor="text1"/>
          <w:szCs w:val="21"/>
        </w:rPr>
      </w:pPr>
      <w:r>
        <w:rPr>
          <w:rFonts w:hint="eastAsia" w:ascii="宋体" w:hAnsi="宋体"/>
          <w:color w:val="000000" w:themeColor="text1"/>
          <w:szCs w:val="21"/>
        </w:rPr>
        <w:t xml:space="preserve"> 磋商小组根据项目情况可进行一轮或多轮磋商。每轮磋商结束后，磋商小组应当要求所有参加磋商的竞争性磋商报价人在规定时间内进行报价。最后报价以最后一轮磋商结束后的报价为准。</w:t>
      </w:r>
    </w:p>
    <w:p>
      <w:pPr>
        <w:numPr>
          <w:ilvl w:val="1"/>
          <w:numId w:val="1"/>
        </w:numPr>
        <w:tabs>
          <w:tab w:val="left" w:pos="720"/>
        </w:tabs>
        <w:spacing w:line="360" w:lineRule="auto"/>
        <w:ind w:left="0" w:firstLine="0"/>
        <w:rPr>
          <w:rFonts w:ascii="宋体" w:hAnsi="宋体"/>
          <w:color w:val="000000" w:themeColor="text1"/>
          <w:szCs w:val="21"/>
        </w:rPr>
      </w:pPr>
      <w:r>
        <w:rPr>
          <w:rFonts w:hint="eastAsia" w:ascii="宋体" w:hAnsi="宋体"/>
          <w:color w:val="000000" w:themeColor="text1"/>
          <w:szCs w:val="21"/>
        </w:rPr>
        <w:t xml:space="preserve"> 如果未在规定时间内进行报价，则以上轮磋商的报价作为最后报价（进行一轮磋商的，以其报价为准）。</w:t>
      </w:r>
    </w:p>
    <w:p>
      <w:pPr>
        <w:tabs>
          <w:tab w:val="left" w:pos="720"/>
        </w:tabs>
        <w:spacing w:line="360" w:lineRule="auto"/>
        <w:rPr>
          <w:rFonts w:ascii="宋体" w:hAnsi="宋体"/>
          <w:color w:val="000000" w:themeColor="text1"/>
          <w:szCs w:val="21"/>
        </w:rPr>
      </w:pPr>
    </w:p>
    <w:p>
      <w:pPr>
        <w:numPr>
          <w:ilvl w:val="0"/>
          <w:numId w:val="1"/>
        </w:numPr>
        <w:tabs>
          <w:tab w:val="left" w:pos="720"/>
        </w:tabs>
        <w:spacing w:line="360" w:lineRule="auto"/>
        <w:ind w:left="0" w:firstLine="0"/>
        <w:rPr>
          <w:b/>
          <w:color w:val="000000" w:themeColor="text1"/>
        </w:rPr>
      </w:pPr>
      <w:r>
        <w:rPr>
          <w:rFonts w:hint="eastAsia"/>
          <w:b/>
          <w:color w:val="000000" w:themeColor="text1"/>
        </w:rPr>
        <w:t>评审</w:t>
      </w:r>
    </w:p>
    <w:p>
      <w:pPr>
        <w:numPr>
          <w:ilvl w:val="1"/>
          <w:numId w:val="1"/>
        </w:numPr>
        <w:tabs>
          <w:tab w:val="left" w:pos="720"/>
        </w:tabs>
        <w:spacing w:line="360" w:lineRule="auto"/>
        <w:ind w:left="0" w:firstLine="0"/>
        <w:rPr>
          <w:color w:val="000000" w:themeColor="text1"/>
        </w:rPr>
      </w:pPr>
      <w:r>
        <w:rPr>
          <w:rFonts w:hint="eastAsia" w:ascii="宋体" w:hAnsi="宋体"/>
          <w:color w:val="000000" w:themeColor="text1"/>
          <w:szCs w:val="21"/>
        </w:rPr>
        <w:t xml:space="preserve"> 初步评审合格的响应文件，</w:t>
      </w:r>
      <w:r>
        <w:rPr>
          <w:rFonts w:hint="eastAsia" w:ascii="宋体"/>
          <w:color w:val="000000" w:themeColor="text1"/>
          <w:szCs w:val="21"/>
        </w:rPr>
        <w:t>经磋商确定最终采购需求和提交最后报价的竞争性磋商报价人后，</w:t>
      </w:r>
      <w:r>
        <w:rPr>
          <w:rFonts w:hint="eastAsia" w:ascii="宋体" w:hAnsi="宋体"/>
          <w:color w:val="000000" w:themeColor="text1"/>
          <w:szCs w:val="21"/>
        </w:rPr>
        <w:t xml:space="preserve">磋商小组将根据《磋商文件》确定的评审原则和方法，对其技术部分和商务部分作进一步的评审和比较。 </w:t>
      </w:r>
    </w:p>
    <w:p>
      <w:pPr>
        <w:numPr>
          <w:ilvl w:val="1"/>
          <w:numId w:val="1"/>
        </w:numPr>
        <w:tabs>
          <w:tab w:val="left" w:pos="720"/>
        </w:tabs>
        <w:spacing w:line="360" w:lineRule="auto"/>
        <w:ind w:left="720" w:hanging="720"/>
        <w:rPr>
          <w:rFonts w:ascii="宋体" w:hAnsi="宋体"/>
          <w:color w:val="000000" w:themeColor="text1"/>
          <w:szCs w:val="21"/>
        </w:rPr>
      </w:pPr>
      <w:r>
        <w:rPr>
          <w:rFonts w:hint="eastAsia" w:ascii="宋体"/>
          <w:color w:val="000000" w:themeColor="text1"/>
          <w:szCs w:val="21"/>
        </w:rPr>
        <w:t>磋商小组采用综合评分法对提交最后报价的竞争性磋商报价人的响应文件和最后报价进行综合评分。</w:t>
      </w:r>
    </w:p>
    <w:p>
      <w:pPr>
        <w:numPr>
          <w:ilvl w:val="1"/>
          <w:numId w:val="1"/>
        </w:numPr>
        <w:tabs>
          <w:tab w:val="left" w:pos="720"/>
        </w:tabs>
        <w:spacing w:line="360" w:lineRule="auto"/>
        <w:ind w:left="0" w:firstLine="0"/>
        <w:rPr>
          <w:rFonts w:ascii="宋体" w:hAnsi="宋体"/>
          <w:color w:val="000000" w:themeColor="text1"/>
          <w:szCs w:val="21"/>
        </w:rPr>
      </w:pPr>
      <w:r>
        <w:rPr>
          <w:rFonts w:hint="eastAsia" w:ascii="宋体"/>
          <w:color w:val="000000" w:themeColor="text1"/>
          <w:szCs w:val="21"/>
        </w:rPr>
        <w:t xml:space="preserve"> 综合评分法，是指《响应文件》满足《磋商文件》全部实质性要求且按评审因素的量化指标评审得分最高的竞争性磋商报价人为成交候选竞争性磋商报价人的评审方法。</w:t>
      </w:r>
    </w:p>
    <w:p>
      <w:pPr>
        <w:numPr>
          <w:ilvl w:val="1"/>
          <w:numId w:val="1"/>
        </w:numPr>
        <w:tabs>
          <w:tab w:val="left" w:pos="720"/>
        </w:tabs>
        <w:spacing w:line="360" w:lineRule="auto"/>
        <w:rPr>
          <w:rFonts w:ascii="宋体"/>
          <w:color w:val="000000" w:themeColor="text1"/>
          <w:szCs w:val="21"/>
        </w:rPr>
      </w:pPr>
      <w:r>
        <w:rPr>
          <w:rFonts w:hint="eastAsia" w:ascii="宋体"/>
          <w:color w:val="000000" w:themeColor="text1"/>
          <w:szCs w:val="21"/>
        </w:rPr>
        <w:t>报价人的最低报价为满分，其他报价人报价得分=最终报价/最低报价*10</w:t>
      </w:r>
    </w:p>
    <w:p>
      <w:pPr>
        <w:numPr>
          <w:ilvl w:val="1"/>
          <w:numId w:val="1"/>
        </w:numPr>
        <w:tabs>
          <w:tab w:val="left" w:pos="720"/>
        </w:tabs>
        <w:spacing w:line="360" w:lineRule="auto"/>
        <w:ind w:left="0" w:firstLine="0"/>
        <w:rPr>
          <w:rFonts w:ascii="宋体" w:hAnsi="宋体"/>
          <w:color w:val="000000" w:themeColor="text1"/>
          <w:szCs w:val="21"/>
        </w:rPr>
      </w:pPr>
      <w:r>
        <w:rPr>
          <w:rFonts w:hint="eastAsia" w:ascii="宋体" w:hAnsi="宋体"/>
          <w:color w:val="000000" w:themeColor="text1"/>
          <w:szCs w:val="21"/>
        </w:rPr>
        <w:t xml:space="preserve"> 磋商过程中，如果磋商小组认为竞争性磋商报价人的报价或者某些分项报价明显不合理或者低于成本，有可能影响商品质量和不能诚信履约的，应当要求其在规定的期限内予以解释说明，并提交相关证明材料。竞争性磋商报价人</w:t>
      </w:r>
      <w:r>
        <w:rPr>
          <w:rFonts w:hint="eastAsia" w:ascii="宋体" w:hAnsi="宋体" w:cs="宋体"/>
          <w:color w:val="000000" w:themeColor="text1"/>
        </w:rPr>
        <w:t>的澄清或者解释应当采用书面形式，</w:t>
      </w:r>
      <w:r>
        <w:rPr>
          <w:rFonts w:hint="eastAsia" w:ascii="宋体"/>
          <w:color w:val="000000" w:themeColor="text1"/>
          <w:szCs w:val="21"/>
        </w:rPr>
        <w:t>其法定代表人或授权代表签字或者加盖公章。由授权代表签字的，应当附法定代表人授权书。竞争性磋商报价人为自然人的，应当由本人签字并附身份证明。</w:t>
      </w:r>
      <w:r>
        <w:rPr>
          <w:rFonts w:hint="eastAsia" w:ascii="宋体" w:hAnsi="宋体" w:cs="宋体"/>
          <w:color w:val="000000" w:themeColor="text1"/>
        </w:rPr>
        <w:t>如果磋商小组认为</w:t>
      </w:r>
      <w:r>
        <w:rPr>
          <w:rFonts w:hint="eastAsia" w:ascii="宋体" w:hAnsi="宋体"/>
          <w:color w:val="000000" w:themeColor="text1"/>
          <w:szCs w:val="21"/>
        </w:rPr>
        <w:t>竞争性磋商报价人</w:t>
      </w:r>
      <w:r>
        <w:rPr>
          <w:rFonts w:hint="eastAsia" w:ascii="宋体" w:hAnsi="宋体" w:cs="宋体"/>
          <w:color w:val="000000" w:themeColor="text1"/>
        </w:rPr>
        <w:t>所做的澄清或者解释不能被接受，有权利拒绝其成交。</w:t>
      </w:r>
    </w:p>
    <w:p>
      <w:pPr>
        <w:numPr>
          <w:ilvl w:val="1"/>
          <w:numId w:val="1"/>
        </w:numPr>
        <w:tabs>
          <w:tab w:val="left" w:pos="720"/>
        </w:tabs>
        <w:spacing w:line="360" w:lineRule="auto"/>
        <w:ind w:left="0" w:firstLine="0"/>
        <w:rPr>
          <w:rFonts w:ascii="宋体" w:hAnsi="宋体"/>
          <w:color w:val="000000" w:themeColor="text1"/>
          <w:szCs w:val="21"/>
        </w:rPr>
      </w:pPr>
      <w:r>
        <w:rPr>
          <w:rFonts w:hint="eastAsia" w:ascii="宋体"/>
          <w:color w:val="000000" w:themeColor="text1"/>
          <w:szCs w:val="21"/>
        </w:rPr>
        <w:t xml:space="preserve"> 最低报价不作成交保证</w:t>
      </w:r>
      <w:r>
        <w:rPr>
          <w:rFonts w:hint="eastAsia" w:ascii="宋体" w:hAnsi="宋体" w:cs="宋体"/>
          <w:color w:val="000000" w:themeColor="text1"/>
        </w:rPr>
        <w:t>。</w:t>
      </w:r>
    </w:p>
    <w:p>
      <w:pPr>
        <w:numPr>
          <w:ilvl w:val="0"/>
          <w:numId w:val="1"/>
        </w:numPr>
        <w:tabs>
          <w:tab w:val="left" w:pos="720"/>
        </w:tabs>
        <w:spacing w:line="360" w:lineRule="auto"/>
        <w:ind w:left="0" w:firstLine="0"/>
        <w:rPr>
          <w:b/>
          <w:color w:val="000000" w:themeColor="text1"/>
        </w:rPr>
      </w:pPr>
      <w:r>
        <w:rPr>
          <w:rFonts w:hint="eastAsia"/>
          <w:b/>
          <w:color w:val="000000" w:themeColor="text1"/>
        </w:rPr>
        <w:t>评审过程及保密原则</w:t>
      </w:r>
    </w:p>
    <w:p>
      <w:pPr>
        <w:numPr>
          <w:ilvl w:val="1"/>
          <w:numId w:val="1"/>
        </w:numPr>
        <w:tabs>
          <w:tab w:val="left" w:pos="720"/>
        </w:tabs>
        <w:spacing w:line="360" w:lineRule="auto"/>
        <w:ind w:left="0" w:firstLine="0"/>
        <w:rPr>
          <w:rFonts w:ascii="宋体" w:hAnsi="宋体"/>
          <w:color w:val="000000" w:themeColor="text1"/>
          <w:szCs w:val="21"/>
        </w:rPr>
      </w:pPr>
      <w:r>
        <w:rPr>
          <w:rFonts w:hint="eastAsia" w:ascii="宋体" w:hAnsi="宋体"/>
          <w:color w:val="000000" w:themeColor="text1"/>
          <w:szCs w:val="21"/>
        </w:rPr>
        <w:t xml:space="preserve"> 送达《响应文件》之后，直到授予成交竞争性磋商报价人合同止，凡与本次磋商有关人员对属于审查、澄清、评价和比较报价的有关资料以及授标意向等，均不得向竞争性磋商报价人或其他无关的人员透露。</w:t>
      </w:r>
    </w:p>
    <w:p>
      <w:pPr>
        <w:numPr>
          <w:ilvl w:val="1"/>
          <w:numId w:val="1"/>
        </w:numPr>
        <w:tabs>
          <w:tab w:val="left" w:pos="720"/>
        </w:tabs>
        <w:spacing w:line="360" w:lineRule="auto"/>
        <w:ind w:left="0" w:firstLine="0"/>
        <w:rPr>
          <w:rFonts w:ascii="宋体" w:hAnsi="宋体"/>
          <w:color w:val="000000" w:themeColor="text1"/>
          <w:szCs w:val="21"/>
        </w:rPr>
      </w:pPr>
      <w:r>
        <w:rPr>
          <w:rFonts w:hint="eastAsia" w:ascii="宋体" w:hAnsi="宋体"/>
          <w:color w:val="000000" w:themeColor="text1"/>
          <w:szCs w:val="21"/>
        </w:rPr>
        <w:t xml:space="preserve"> 在磋商期间，竞争性磋商报价人试图影响采购人和磋商小组的任何活动，其响应视为无效，并承担相应的法律责任。</w:t>
      </w:r>
    </w:p>
    <w:p>
      <w:pPr>
        <w:pStyle w:val="3"/>
        <w:spacing w:beforeLines="50" w:afterLines="50" w:line="360" w:lineRule="auto"/>
        <w:rPr>
          <w:rFonts w:ascii="宋体" w:hAnsi="宋体" w:eastAsia="宋体"/>
          <w:color w:val="000000" w:themeColor="text1"/>
          <w:sz w:val="21"/>
          <w:szCs w:val="21"/>
        </w:rPr>
      </w:pPr>
      <w:bookmarkStart w:id="20" w:name="_Toc520356169"/>
      <w:r>
        <w:rPr>
          <w:rFonts w:hint="eastAsia" w:ascii="宋体" w:hAnsi="宋体" w:eastAsia="宋体"/>
          <w:color w:val="000000" w:themeColor="text1"/>
          <w:sz w:val="21"/>
          <w:szCs w:val="21"/>
        </w:rPr>
        <w:t xml:space="preserve">六   </w:t>
      </w:r>
      <w:bookmarkEnd w:id="20"/>
      <w:r>
        <w:rPr>
          <w:rFonts w:hint="eastAsia" w:ascii="宋体" w:hAnsi="宋体" w:eastAsia="宋体"/>
          <w:color w:val="000000" w:themeColor="text1"/>
          <w:sz w:val="21"/>
          <w:szCs w:val="21"/>
        </w:rPr>
        <w:t>确定成交竞争性磋商报价人</w:t>
      </w:r>
    </w:p>
    <w:p>
      <w:pPr>
        <w:numPr>
          <w:ilvl w:val="0"/>
          <w:numId w:val="1"/>
        </w:numPr>
        <w:tabs>
          <w:tab w:val="left" w:pos="720"/>
        </w:tabs>
        <w:spacing w:line="360" w:lineRule="auto"/>
        <w:ind w:left="720" w:hanging="720"/>
        <w:rPr>
          <w:b/>
          <w:color w:val="000000" w:themeColor="text1"/>
        </w:rPr>
      </w:pPr>
      <w:bookmarkStart w:id="21" w:name="_Toc520356170"/>
      <w:bookmarkStart w:id="22" w:name="_Ref467307010"/>
      <w:r>
        <w:rPr>
          <w:rFonts w:hint="eastAsia"/>
          <w:b/>
          <w:color w:val="000000" w:themeColor="text1"/>
        </w:rPr>
        <w:t>成交候选竞争性磋商报价人的确定标准</w:t>
      </w:r>
      <w:bookmarkEnd w:id="21"/>
      <w:bookmarkEnd w:id="22"/>
    </w:p>
    <w:p>
      <w:pPr>
        <w:tabs>
          <w:tab w:val="left" w:pos="720"/>
        </w:tabs>
        <w:spacing w:line="360" w:lineRule="auto"/>
        <w:ind w:firstLine="735" w:firstLineChars="350"/>
        <w:rPr>
          <w:rFonts w:ascii="宋体" w:hAnsi="宋体"/>
          <w:color w:val="000000" w:themeColor="text1"/>
          <w:szCs w:val="21"/>
        </w:rPr>
      </w:pPr>
      <w:r>
        <w:rPr>
          <w:rFonts w:hint="eastAsia" w:ascii="宋体" w:hAnsi="宋体"/>
          <w:color w:val="000000" w:themeColor="text1"/>
          <w:szCs w:val="21"/>
        </w:rPr>
        <w:t>成交候选竞争性磋商报价人的确定原则及标准：按评审后得分由高到低顺序排列。总得分排名前三名的竞争性磋商报价人为成交候选竞争性磋商报价人。评审得分相同的，按照最后报价由低到高的顺序推荐。</w:t>
      </w:r>
    </w:p>
    <w:p>
      <w:pPr>
        <w:numPr>
          <w:ilvl w:val="0"/>
          <w:numId w:val="1"/>
        </w:numPr>
        <w:tabs>
          <w:tab w:val="left" w:pos="720"/>
        </w:tabs>
        <w:spacing w:line="360" w:lineRule="auto"/>
        <w:ind w:left="720" w:hanging="720"/>
        <w:rPr>
          <w:b/>
          <w:color w:val="000000" w:themeColor="text1"/>
        </w:rPr>
      </w:pPr>
      <w:bookmarkStart w:id="23" w:name="_Toc520356172"/>
      <w:bookmarkStart w:id="24" w:name="_Ref467306874"/>
      <w:bookmarkStart w:id="25" w:name="_Toc520356173"/>
      <w:r>
        <w:rPr>
          <w:rFonts w:hint="eastAsia"/>
          <w:b/>
          <w:color w:val="000000" w:themeColor="text1"/>
        </w:rPr>
        <w:t>接受和拒绝任何或所有报价的权利</w:t>
      </w:r>
      <w:bookmarkEnd w:id="23"/>
      <w:bookmarkEnd w:id="24"/>
      <w:bookmarkEnd w:id="25"/>
    </w:p>
    <w:p>
      <w:pPr>
        <w:numPr>
          <w:ilvl w:val="1"/>
          <w:numId w:val="1"/>
        </w:numPr>
        <w:spacing w:line="360" w:lineRule="auto"/>
        <w:ind w:left="720" w:hanging="720"/>
        <w:rPr>
          <w:rFonts w:ascii="宋体" w:hAnsi="宋体"/>
          <w:color w:val="000000" w:themeColor="text1"/>
          <w:szCs w:val="21"/>
        </w:rPr>
      </w:pPr>
      <w:r>
        <w:rPr>
          <w:rFonts w:hint="eastAsia" w:ascii="宋体" w:hAnsi="宋体"/>
          <w:color w:val="000000" w:themeColor="text1"/>
          <w:szCs w:val="21"/>
        </w:rPr>
        <w:t xml:space="preserve"> 为维护国家和社会公共利益，采购人保留在授标之前任何时候接受或拒绝任何报价的权利，且对受影响的竞争性磋商报价人不承担任何责任。</w:t>
      </w:r>
    </w:p>
    <w:p>
      <w:pPr>
        <w:numPr>
          <w:ilvl w:val="1"/>
          <w:numId w:val="1"/>
        </w:numPr>
        <w:tabs>
          <w:tab w:val="left" w:pos="720"/>
        </w:tabs>
        <w:spacing w:line="360" w:lineRule="auto"/>
        <w:ind w:left="720" w:hanging="720"/>
        <w:rPr>
          <w:rFonts w:ascii="宋体" w:hAnsi="宋体"/>
          <w:color w:val="000000" w:themeColor="text1"/>
          <w:szCs w:val="21"/>
        </w:rPr>
      </w:pPr>
      <w:r>
        <w:rPr>
          <w:rFonts w:hint="eastAsia" w:ascii="宋体" w:hAnsi="宋体"/>
          <w:color w:val="000000" w:themeColor="text1"/>
          <w:szCs w:val="21"/>
        </w:rPr>
        <w:t xml:space="preserve"> 因不可抗力或成交竞争性磋商报价人不能履约等情形，采购人保留与其他候选竞争性磋商报价人签订合同的权利。</w:t>
      </w:r>
    </w:p>
    <w:p>
      <w:pPr>
        <w:numPr>
          <w:ilvl w:val="0"/>
          <w:numId w:val="1"/>
        </w:numPr>
        <w:tabs>
          <w:tab w:val="left" w:pos="720"/>
        </w:tabs>
        <w:spacing w:line="360" w:lineRule="auto"/>
        <w:ind w:left="720" w:hanging="720"/>
        <w:rPr>
          <w:b/>
          <w:color w:val="000000" w:themeColor="text1"/>
        </w:rPr>
      </w:pPr>
      <w:r>
        <w:rPr>
          <w:rFonts w:hint="eastAsia"/>
          <w:b/>
          <w:color w:val="000000" w:themeColor="text1"/>
        </w:rPr>
        <w:t>成交通知书</w:t>
      </w:r>
    </w:p>
    <w:p>
      <w:pPr>
        <w:numPr>
          <w:ilvl w:val="1"/>
          <w:numId w:val="1"/>
        </w:numPr>
        <w:tabs>
          <w:tab w:val="left" w:pos="720"/>
        </w:tabs>
        <w:spacing w:line="360" w:lineRule="auto"/>
        <w:rPr>
          <w:rFonts w:ascii="宋体" w:hAnsi="宋体"/>
          <w:color w:val="000000" w:themeColor="text1"/>
          <w:szCs w:val="21"/>
        </w:rPr>
      </w:pPr>
      <w:r>
        <w:rPr>
          <w:rFonts w:hint="eastAsia" w:ascii="宋体" w:hAnsi="宋体"/>
          <w:color w:val="000000" w:themeColor="text1"/>
          <w:szCs w:val="21"/>
        </w:rPr>
        <w:t xml:space="preserve"> 成交竞争性磋商报价人确定后，代理机构以书面形式向成交竞争性磋商报价人发出成交通知书。</w:t>
      </w:r>
    </w:p>
    <w:p>
      <w:pPr>
        <w:numPr>
          <w:ilvl w:val="1"/>
          <w:numId w:val="1"/>
        </w:numPr>
        <w:tabs>
          <w:tab w:val="left" w:pos="720"/>
        </w:tabs>
        <w:spacing w:line="360" w:lineRule="auto"/>
        <w:ind w:left="720" w:hanging="720"/>
        <w:rPr>
          <w:rFonts w:ascii="宋体" w:hAnsi="宋体"/>
          <w:color w:val="000000" w:themeColor="text1"/>
          <w:szCs w:val="21"/>
        </w:rPr>
      </w:pPr>
      <w:r>
        <w:rPr>
          <w:rFonts w:hint="eastAsia" w:ascii="宋体" w:hAnsi="宋体"/>
          <w:color w:val="000000" w:themeColor="text1"/>
          <w:szCs w:val="21"/>
        </w:rPr>
        <w:t xml:space="preserve"> 成交通知书是合同的组成部分。</w:t>
      </w:r>
    </w:p>
    <w:p>
      <w:pPr>
        <w:numPr>
          <w:ilvl w:val="0"/>
          <w:numId w:val="1"/>
        </w:numPr>
        <w:tabs>
          <w:tab w:val="left" w:pos="720"/>
        </w:tabs>
        <w:spacing w:line="360" w:lineRule="auto"/>
        <w:ind w:left="720" w:hanging="720"/>
        <w:rPr>
          <w:b/>
          <w:color w:val="000000" w:themeColor="text1"/>
        </w:rPr>
      </w:pPr>
      <w:bookmarkStart w:id="26" w:name="_Ref467306978"/>
      <w:bookmarkStart w:id="27" w:name="_Toc520356175"/>
      <w:bookmarkStart w:id="28" w:name="_Ref467307204"/>
      <w:bookmarkStart w:id="29" w:name="_Ref467307062"/>
      <w:bookmarkStart w:id="30" w:name="_Ref467306377"/>
      <w:r>
        <w:rPr>
          <w:rFonts w:hint="eastAsia"/>
          <w:b/>
          <w:color w:val="000000" w:themeColor="text1"/>
        </w:rPr>
        <w:t>签订合同</w:t>
      </w:r>
      <w:bookmarkEnd w:id="26"/>
      <w:bookmarkEnd w:id="27"/>
      <w:bookmarkEnd w:id="28"/>
      <w:bookmarkEnd w:id="29"/>
      <w:bookmarkEnd w:id="30"/>
    </w:p>
    <w:p>
      <w:pPr>
        <w:numPr>
          <w:ilvl w:val="1"/>
          <w:numId w:val="1"/>
        </w:numPr>
        <w:tabs>
          <w:tab w:val="left" w:pos="720"/>
        </w:tabs>
        <w:spacing w:line="360" w:lineRule="auto"/>
        <w:ind w:left="0" w:firstLine="0"/>
        <w:rPr>
          <w:rFonts w:ascii="宋体" w:hAnsi="宋体"/>
          <w:color w:val="000000" w:themeColor="text1"/>
          <w:szCs w:val="21"/>
        </w:rPr>
      </w:pPr>
      <w:r>
        <w:rPr>
          <w:rFonts w:hint="eastAsia" w:ascii="宋体" w:hAnsi="宋体"/>
          <w:color w:val="000000" w:themeColor="text1"/>
          <w:szCs w:val="21"/>
        </w:rPr>
        <w:t xml:space="preserve"> 成交竞争性磋商报价人应当自收到成交通知书之日起30日内，</w:t>
      </w:r>
      <w:r>
        <w:rPr>
          <w:rFonts w:hint="eastAsia" w:ascii="宋体"/>
          <w:color w:val="000000" w:themeColor="text1"/>
          <w:szCs w:val="21"/>
        </w:rPr>
        <w:t>按照磋商文件确定的合同文本以及采购标的、规格型号、采购金额、采购数量、技术和服务要求等事项</w:t>
      </w:r>
      <w:r>
        <w:rPr>
          <w:rFonts w:hint="eastAsia" w:ascii="宋体" w:hAnsi="宋体"/>
          <w:color w:val="000000" w:themeColor="text1"/>
          <w:szCs w:val="21"/>
        </w:rPr>
        <w:t>与买方签订</w:t>
      </w:r>
      <w:r>
        <w:rPr>
          <w:rFonts w:hint="eastAsia" w:ascii="宋体"/>
          <w:color w:val="000000" w:themeColor="text1"/>
          <w:szCs w:val="21"/>
        </w:rPr>
        <w:t>政府采购合同</w:t>
      </w:r>
      <w:r>
        <w:rPr>
          <w:rFonts w:hint="eastAsia" w:ascii="宋体" w:hAnsi="宋体"/>
          <w:color w:val="000000" w:themeColor="text1"/>
          <w:szCs w:val="21"/>
        </w:rPr>
        <w:t>，否则按撤回报价处理。</w:t>
      </w:r>
    </w:p>
    <w:p>
      <w:pPr>
        <w:numPr>
          <w:ilvl w:val="1"/>
          <w:numId w:val="1"/>
        </w:numPr>
        <w:tabs>
          <w:tab w:val="left" w:pos="720"/>
        </w:tabs>
        <w:spacing w:line="360" w:lineRule="auto"/>
        <w:ind w:left="720" w:hanging="720"/>
        <w:rPr>
          <w:rFonts w:ascii="宋体" w:hAnsi="宋体"/>
          <w:color w:val="000000" w:themeColor="text1"/>
          <w:szCs w:val="21"/>
        </w:rPr>
      </w:pPr>
      <w:r>
        <w:rPr>
          <w:rFonts w:hint="eastAsia" w:ascii="宋体" w:hAnsi="宋体"/>
          <w:color w:val="000000" w:themeColor="text1"/>
          <w:szCs w:val="21"/>
        </w:rPr>
        <w:t xml:space="preserve"> 《磋商文件》、成交竞争性磋商报价人的《响应文件》及其澄清文件等，均为签订合同的依据。</w:t>
      </w:r>
    </w:p>
    <w:p>
      <w:pPr>
        <w:numPr>
          <w:ilvl w:val="1"/>
          <w:numId w:val="1"/>
        </w:numPr>
        <w:tabs>
          <w:tab w:val="left" w:pos="720"/>
        </w:tabs>
        <w:spacing w:line="360" w:lineRule="auto"/>
        <w:ind w:left="0" w:firstLine="0"/>
        <w:rPr>
          <w:rFonts w:ascii="宋体" w:hAnsi="宋体"/>
          <w:color w:val="000000" w:themeColor="text1"/>
          <w:szCs w:val="21"/>
        </w:rPr>
      </w:pPr>
      <w:r>
        <w:rPr>
          <w:rFonts w:hint="eastAsia" w:ascii="宋体" w:hAnsi="宋体"/>
          <w:color w:val="000000" w:themeColor="text1"/>
          <w:szCs w:val="21"/>
        </w:rPr>
        <w:t>成交竞争性磋商报价人拒绝签订政府采购合同的，采购人可以按照《政府采购竞争性磋商采购方式管理暂行办法》第二十八条第二款规定的原则确定其他竞争性磋商报价人作为成交竞争性磋商报价人并签订政府采购合同，也可以重新开展采购活动。拒绝签订政府采购合同的成交竞争性磋商报价人不得参加对该项目重新开展的采购活动。</w:t>
      </w:r>
    </w:p>
    <w:p>
      <w:pPr>
        <w:pStyle w:val="3"/>
        <w:spacing w:beforeLines="50" w:afterLines="50" w:line="360" w:lineRule="auto"/>
        <w:rPr>
          <w:rFonts w:ascii="宋体" w:hAnsi="宋体" w:eastAsia="宋体"/>
          <w:color w:val="000000" w:themeColor="text1"/>
          <w:sz w:val="21"/>
          <w:szCs w:val="21"/>
        </w:rPr>
      </w:pPr>
      <w:r>
        <w:rPr>
          <w:rFonts w:hint="eastAsia" w:ascii="宋体" w:hAnsi="宋体" w:eastAsia="宋体"/>
          <w:color w:val="000000" w:themeColor="text1"/>
          <w:sz w:val="21"/>
          <w:szCs w:val="21"/>
        </w:rPr>
        <w:t>七   质 疑</w:t>
      </w:r>
    </w:p>
    <w:p>
      <w:pPr>
        <w:spacing w:line="360" w:lineRule="auto"/>
        <w:outlineLvl w:val="0"/>
        <w:rPr>
          <w:rFonts w:ascii="宋体" w:hAnsi="宋体"/>
          <w:color w:val="000000" w:themeColor="text1"/>
          <w:szCs w:val="21"/>
        </w:rPr>
      </w:pPr>
      <w:r>
        <w:rPr>
          <w:rFonts w:hint="eastAsia" w:ascii="宋体" w:hAnsi="宋体"/>
          <w:color w:val="000000" w:themeColor="text1"/>
          <w:szCs w:val="21"/>
          <w:highlight w:val="lightGray"/>
        </w:rPr>
        <w:t>24</w:t>
      </w:r>
      <w:r>
        <w:rPr>
          <w:rFonts w:hint="eastAsia" w:ascii="宋体" w:hAnsi="宋体"/>
          <w:color w:val="000000" w:themeColor="text1"/>
          <w:szCs w:val="21"/>
        </w:rPr>
        <w:t>质疑应当遵守如下条款：</w:t>
      </w:r>
    </w:p>
    <w:p>
      <w:pPr>
        <w:spacing w:line="360" w:lineRule="auto"/>
        <w:outlineLvl w:val="0"/>
        <w:rPr>
          <w:rFonts w:ascii="宋体" w:hAnsi="宋体"/>
          <w:color w:val="000000" w:themeColor="text1"/>
          <w:szCs w:val="21"/>
        </w:rPr>
      </w:pPr>
      <w:r>
        <w:rPr>
          <w:rFonts w:hint="eastAsia" w:ascii="宋体" w:hAnsi="宋体"/>
          <w:color w:val="000000" w:themeColor="text1"/>
          <w:szCs w:val="21"/>
        </w:rPr>
        <w:t>24.1质疑应当在竞争性磋商报价人知道或应当知道自己的权益受到损害之日起七个工作日内以书面形式提出是指；</w:t>
      </w:r>
    </w:p>
    <w:p>
      <w:pPr>
        <w:spacing w:line="360" w:lineRule="auto"/>
        <w:ind w:firstLine="315" w:firstLineChars="150"/>
        <w:outlineLvl w:val="0"/>
        <w:rPr>
          <w:rFonts w:ascii="宋体" w:hAnsi="宋体"/>
          <w:color w:val="000000" w:themeColor="text1"/>
          <w:szCs w:val="21"/>
        </w:rPr>
      </w:pPr>
      <w:r>
        <w:rPr>
          <w:rFonts w:hint="eastAsia" w:ascii="宋体" w:hAnsi="宋体"/>
          <w:color w:val="000000" w:themeColor="text1"/>
          <w:szCs w:val="21"/>
        </w:rPr>
        <w:t>（1）对采购文件提出质疑的，为收到采购文件之日或者采购文件公告期限届满之日；</w:t>
      </w:r>
    </w:p>
    <w:p>
      <w:pPr>
        <w:spacing w:line="360" w:lineRule="auto"/>
        <w:ind w:firstLine="315" w:firstLineChars="150"/>
        <w:outlineLvl w:val="0"/>
        <w:rPr>
          <w:rFonts w:ascii="宋体" w:hAnsi="宋体"/>
          <w:color w:val="000000" w:themeColor="text1"/>
          <w:szCs w:val="21"/>
        </w:rPr>
      </w:pPr>
      <w:r>
        <w:rPr>
          <w:rFonts w:hint="eastAsia" w:ascii="宋体" w:hAnsi="宋体"/>
          <w:color w:val="000000" w:themeColor="text1"/>
          <w:szCs w:val="21"/>
        </w:rPr>
        <w:t>（2）对采购过程提出质疑的，为各采购程序环节结束之日；</w:t>
      </w:r>
    </w:p>
    <w:p>
      <w:pPr>
        <w:spacing w:line="360" w:lineRule="auto"/>
        <w:ind w:firstLine="315" w:firstLineChars="150"/>
        <w:outlineLvl w:val="0"/>
        <w:rPr>
          <w:rFonts w:ascii="宋体" w:hAnsi="宋体"/>
          <w:color w:val="000000" w:themeColor="text1"/>
          <w:szCs w:val="21"/>
        </w:rPr>
      </w:pPr>
      <w:r>
        <w:rPr>
          <w:rFonts w:hint="eastAsia" w:ascii="宋体" w:hAnsi="宋体"/>
          <w:color w:val="000000" w:themeColor="text1"/>
          <w:szCs w:val="21"/>
        </w:rPr>
        <w:t>（3）对中标或者成交结果提出质疑的，为中标或者成交结果公告期限届满之日；</w:t>
      </w:r>
    </w:p>
    <w:p>
      <w:pPr>
        <w:numPr>
          <w:ilvl w:val="0"/>
          <w:numId w:val="3"/>
        </w:numPr>
        <w:spacing w:line="360" w:lineRule="auto"/>
        <w:outlineLvl w:val="0"/>
        <w:rPr>
          <w:rFonts w:ascii="宋体" w:hAnsi="宋体"/>
          <w:color w:val="000000" w:themeColor="text1"/>
          <w:szCs w:val="21"/>
        </w:rPr>
      </w:pPr>
      <w:r>
        <w:rPr>
          <w:rFonts w:hint="eastAsia" w:ascii="宋体" w:hAnsi="宋体"/>
          <w:color w:val="000000" w:themeColor="text1"/>
          <w:szCs w:val="21"/>
        </w:rPr>
        <w:t>政府采购过程中除上述三项之外的其他事项。</w:t>
      </w:r>
    </w:p>
    <w:p>
      <w:pPr>
        <w:spacing w:line="360" w:lineRule="auto"/>
        <w:outlineLvl w:val="0"/>
        <w:rPr>
          <w:rFonts w:ascii="宋体" w:hAnsi="宋体"/>
          <w:color w:val="000000" w:themeColor="text1"/>
          <w:szCs w:val="21"/>
        </w:rPr>
      </w:pPr>
      <w:r>
        <w:rPr>
          <w:rFonts w:hint="eastAsia" w:ascii="宋体" w:hAnsi="宋体"/>
          <w:color w:val="000000" w:themeColor="text1"/>
          <w:szCs w:val="21"/>
        </w:rPr>
        <w:t>24.2竞争性磋商报价人质疑、投诉应当有明确的请求和必要的证明材料；</w:t>
      </w:r>
    </w:p>
    <w:p>
      <w:pPr>
        <w:spacing w:line="360" w:lineRule="auto"/>
        <w:outlineLvl w:val="0"/>
        <w:rPr>
          <w:rFonts w:ascii="宋体" w:hAnsi="宋体"/>
          <w:color w:val="000000" w:themeColor="text1"/>
          <w:szCs w:val="21"/>
        </w:rPr>
      </w:pPr>
      <w:r>
        <w:rPr>
          <w:rFonts w:hint="eastAsia" w:ascii="宋体" w:hAnsi="宋体"/>
          <w:color w:val="000000" w:themeColor="text1"/>
          <w:szCs w:val="21"/>
        </w:rPr>
        <w:t>24.3书面质疑应当署名，质疑竞争性磋商报价人为法人或者其他组织的，应由法定代表人（其他组织的为主要负责人）或者经授权的竞争性磋商报价人代表签字并加盖公章；竞争性磋商报价人为自然人的，应当在质疑书上签字并同时提供报价人身份证复印件；</w:t>
      </w:r>
    </w:p>
    <w:p>
      <w:pPr>
        <w:spacing w:line="360" w:lineRule="auto"/>
        <w:outlineLvl w:val="0"/>
        <w:rPr>
          <w:rFonts w:ascii="宋体" w:hAnsi="宋体"/>
          <w:color w:val="000000" w:themeColor="text1"/>
          <w:szCs w:val="21"/>
        </w:rPr>
      </w:pPr>
      <w:r>
        <w:rPr>
          <w:rFonts w:hint="eastAsia" w:ascii="宋体" w:hAnsi="宋体"/>
          <w:color w:val="000000" w:themeColor="text1"/>
          <w:szCs w:val="21"/>
        </w:rPr>
        <w:t>24.4竞争性磋商报价人委托代理人办理质疑事务的，代理人应当同时提交竞争性磋商报价人的授权委托书。</w:t>
      </w:r>
    </w:p>
    <w:p>
      <w:pPr>
        <w:spacing w:line="360" w:lineRule="auto"/>
        <w:outlineLvl w:val="0"/>
        <w:rPr>
          <w:rFonts w:ascii="宋体" w:hAnsi="宋体"/>
          <w:color w:val="000000" w:themeColor="text1"/>
          <w:szCs w:val="21"/>
        </w:rPr>
      </w:pPr>
      <w:r>
        <w:rPr>
          <w:rFonts w:hint="eastAsia" w:ascii="宋体" w:hAnsi="宋体"/>
          <w:color w:val="000000" w:themeColor="text1"/>
          <w:szCs w:val="21"/>
        </w:rPr>
        <w:t>24.5竞争性磋商报价人如果在质疑过程中，有采取不正当手段诋毁、排挤其他竞争性磋商报价人的情形的，提供虚假材料的，可能受到处以采购金额千分之五以上千分之十以下的罚款，列入不良行为记录名单，在一至三年内禁止参加政府采购活动等处罚，情节严重的，吊销营业执照，构成犯罪的，依法追究刑事责任。</w:t>
      </w:r>
    </w:p>
    <w:p>
      <w:pPr>
        <w:spacing w:line="360" w:lineRule="auto"/>
        <w:outlineLvl w:val="0"/>
        <w:rPr>
          <w:rFonts w:ascii="宋体" w:hAnsi="宋体"/>
          <w:color w:val="000000" w:themeColor="text1"/>
          <w:szCs w:val="21"/>
        </w:rPr>
      </w:pPr>
      <w:r>
        <w:rPr>
          <w:rFonts w:hint="eastAsia" w:ascii="宋体" w:hAnsi="宋体"/>
          <w:color w:val="000000" w:themeColor="text1"/>
          <w:szCs w:val="21"/>
        </w:rPr>
        <w:t>24.6如果竞争性磋商报价人在政府采购活动中知其权益受到损害，持有疑义，可以向采购人或代理机构提出询问或者质疑，根据采购人与代理机构签订委托协议的范围，对于采购程序的询问或质疑应向代理机构提出并由代理机构负责作出答复，对于竞争性磋商文件的技术需求（含评分细则）的询问或质疑应向采购人提出并由采购人负责作出答复。</w:t>
      </w:r>
    </w:p>
    <w:p>
      <w:pPr>
        <w:spacing w:line="360" w:lineRule="auto"/>
        <w:ind w:left="540"/>
        <w:outlineLvl w:val="0"/>
        <w:rPr>
          <w:rFonts w:ascii="宋体" w:hAnsi="宋体"/>
          <w:color w:val="000000" w:themeColor="text1"/>
          <w:szCs w:val="21"/>
        </w:rPr>
      </w:pPr>
      <w:r>
        <w:rPr>
          <w:rFonts w:hint="eastAsia" w:ascii="宋体" w:hAnsi="宋体"/>
          <w:color w:val="000000" w:themeColor="text1"/>
          <w:szCs w:val="21"/>
        </w:rPr>
        <w:t>（1）采购人或者采购代理机构应当在3个工作日内对竞争性磋商报价人依法提出的询问作出答复。</w:t>
      </w:r>
    </w:p>
    <w:p>
      <w:pPr>
        <w:spacing w:line="360" w:lineRule="auto"/>
        <w:ind w:left="540"/>
        <w:outlineLvl w:val="0"/>
        <w:rPr>
          <w:rFonts w:ascii="宋体" w:hAnsi="宋体"/>
          <w:color w:val="000000" w:themeColor="text1"/>
          <w:szCs w:val="21"/>
        </w:rPr>
      </w:pPr>
      <w:r>
        <w:rPr>
          <w:rFonts w:hint="eastAsia" w:ascii="宋体" w:hAnsi="宋体"/>
          <w:color w:val="000000" w:themeColor="text1"/>
          <w:szCs w:val="21"/>
        </w:rPr>
        <w:t>（2）采购人或者采购代理机构应当在7个工作日内对竞争性磋商报价人依法提出的书面质疑作出答复。</w:t>
      </w:r>
    </w:p>
    <w:p>
      <w:pPr>
        <w:spacing w:line="360" w:lineRule="auto"/>
        <w:ind w:left="540"/>
        <w:outlineLvl w:val="0"/>
        <w:rPr>
          <w:rFonts w:ascii="宋体" w:hAnsi="宋体"/>
          <w:color w:val="000000" w:themeColor="text1"/>
          <w:szCs w:val="21"/>
        </w:rPr>
      </w:pPr>
    </w:p>
    <w:p>
      <w:pPr>
        <w:spacing w:line="360" w:lineRule="auto"/>
        <w:ind w:left="540"/>
        <w:outlineLvl w:val="0"/>
        <w:rPr>
          <w:rFonts w:ascii="宋体" w:hAnsi="宋体"/>
          <w:color w:val="000000" w:themeColor="text1"/>
          <w:szCs w:val="21"/>
        </w:rPr>
      </w:pPr>
    </w:p>
    <w:p>
      <w:pPr>
        <w:spacing w:line="360" w:lineRule="auto"/>
        <w:ind w:left="540"/>
        <w:outlineLvl w:val="0"/>
        <w:rPr>
          <w:rFonts w:ascii="宋体" w:hAnsi="宋体"/>
          <w:color w:val="000000" w:themeColor="text1"/>
          <w:szCs w:val="21"/>
        </w:rPr>
      </w:pPr>
    </w:p>
    <w:p>
      <w:pPr>
        <w:spacing w:line="360" w:lineRule="auto"/>
        <w:ind w:left="540"/>
        <w:outlineLvl w:val="0"/>
        <w:rPr>
          <w:rFonts w:ascii="宋体" w:hAnsi="宋体"/>
          <w:color w:val="000000" w:themeColor="text1"/>
          <w:szCs w:val="21"/>
        </w:rPr>
      </w:pPr>
    </w:p>
    <w:p>
      <w:pPr>
        <w:spacing w:line="360" w:lineRule="auto"/>
        <w:ind w:left="540"/>
        <w:outlineLvl w:val="0"/>
        <w:rPr>
          <w:rFonts w:ascii="宋体" w:hAnsi="宋体"/>
          <w:color w:val="000000" w:themeColor="text1"/>
          <w:szCs w:val="21"/>
        </w:rPr>
      </w:pPr>
    </w:p>
    <w:p>
      <w:pPr>
        <w:tabs>
          <w:tab w:val="left" w:pos="5580"/>
        </w:tabs>
        <w:adjustRightInd w:val="0"/>
        <w:spacing w:before="120" w:line="360" w:lineRule="auto"/>
        <w:ind w:firstLine="2814" w:firstLineChars="1001"/>
        <w:rPr>
          <w:rFonts w:ascii="仿宋_GB2312"/>
          <w:b/>
          <w:color w:val="000000" w:themeColor="text1"/>
          <w:sz w:val="28"/>
        </w:rPr>
      </w:pPr>
      <w:r>
        <w:rPr>
          <w:rFonts w:hint="eastAsia" w:ascii="仿宋_GB2312"/>
          <w:b/>
          <w:color w:val="000000" w:themeColor="text1"/>
          <w:sz w:val="28"/>
        </w:rPr>
        <w:t>第三部分 技术服务要求</w:t>
      </w:r>
    </w:p>
    <w:p>
      <w:pPr>
        <w:spacing w:line="360" w:lineRule="auto"/>
        <w:jc w:val="center"/>
        <w:rPr>
          <w:rFonts w:ascii="仿宋" w:hAnsi="仿宋" w:eastAsia="仿宋"/>
          <w:b/>
          <w:bCs/>
          <w:color w:val="000000"/>
          <w:sz w:val="24"/>
        </w:rPr>
      </w:pPr>
    </w:p>
    <w:p>
      <w:pPr>
        <w:numPr>
          <w:ilvl w:val="0"/>
          <w:numId w:val="4"/>
        </w:numPr>
        <w:tabs>
          <w:tab w:val="left" w:pos="426"/>
        </w:tabs>
        <w:spacing w:line="360" w:lineRule="auto"/>
        <w:rPr>
          <w:rFonts w:asciiTheme="minorEastAsia" w:hAnsiTheme="minorEastAsia" w:eastAsiaTheme="minorEastAsia" w:cstheme="minorEastAsia"/>
          <w:sz w:val="24"/>
        </w:rPr>
      </w:pPr>
      <w:bookmarkStart w:id="31" w:name="_Hlt520273973"/>
      <w:bookmarkEnd w:id="31"/>
      <w:bookmarkStart w:id="32" w:name="_Hlt520274407"/>
      <w:bookmarkEnd w:id="32"/>
      <w:bookmarkStart w:id="33" w:name="_Hlt520343000"/>
      <w:bookmarkEnd w:id="33"/>
      <w:bookmarkStart w:id="34" w:name="_Hlt520274121"/>
      <w:bookmarkEnd w:id="34"/>
      <w:bookmarkStart w:id="35" w:name="_Hlt520271212"/>
      <w:bookmarkEnd w:id="35"/>
      <w:bookmarkStart w:id="36" w:name="_Hlt520274393"/>
      <w:bookmarkEnd w:id="36"/>
      <w:bookmarkStart w:id="37" w:name="_Hlt520273711"/>
      <w:bookmarkEnd w:id="37"/>
      <w:bookmarkStart w:id="38" w:name="_Hlt520343392"/>
      <w:bookmarkEnd w:id="38"/>
      <w:bookmarkStart w:id="39" w:name="_Hlt520350957"/>
      <w:bookmarkEnd w:id="39"/>
      <w:bookmarkStart w:id="40" w:name="_Hlt520350918"/>
      <w:bookmarkEnd w:id="40"/>
      <w:bookmarkStart w:id="41" w:name="_Hlt520274065"/>
      <w:bookmarkEnd w:id="41"/>
      <w:r>
        <w:rPr>
          <w:rFonts w:hint="eastAsia" w:asciiTheme="minorEastAsia" w:hAnsiTheme="minorEastAsia" w:eastAsiaTheme="minorEastAsia" w:cstheme="minorEastAsia"/>
          <w:sz w:val="24"/>
        </w:rPr>
        <w:t>项目总体要求</w:t>
      </w:r>
    </w:p>
    <w:p>
      <w:pPr>
        <w:numPr>
          <w:ilvl w:val="0"/>
          <w:numId w:val="5"/>
        </w:numPr>
        <w:tabs>
          <w:tab w:val="left" w:pos="851"/>
        </w:tabs>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招标范围包括：歌剧音乐厅中央空调系统运行维护保养项目。</w:t>
      </w:r>
    </w:p>
    <w:p>
      <w:pPr>
        <w:numPr>
          <w:ilvl w:val="0"/>
          <w:numId w:val="5"/>
        </w:numPr>
        <w:tabs>
          <w:tab w:val="left" w:pos="851"/>
        </w:tabs>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服务履行时间：2017年11月</w:t>
      </w:r>
      <w:r>
        <w:rPr>
          <w:rFonts w:hint="eastAsia" w:asciiTheme="minorEastAsia" w:hAnsiTheme="minorEastAsia" w:eastAsiaTheme="minorEastAsia" w:cstheme="minorEastAsia"/>
          <w:sz w:val="24"/>
          <w:lang w:val="en-US" w:eastAsia="zh-CN"/>
        </w:rPr>
        <w:t>10</w:t>
      </w:r>
      <w:r>
        <w:rPr>
          <w:rFonts w:hint="eastAsia" w:asciiTheme="minorEastAsia" w:hAnsiTheme="minorEastAsia" w:eastAsiaTheme="minorEastAsia" w:cstheme="minorEastAsia"/>
          <w:sz w:val="24"/>
        </w:rPr>
        <w:t>日至2018年11月</w:t>
      </w:r>
      <w:r>
        <w:rPr>
          <w:rFonts w:hint="eastAsia" w:asciiTheme="minorEastAsia" w:hAnsiTheme="minorEastAsia" w:eastAsiaTheme="minorEastAsia" w:cstheme="minorEastAsia"/>
          <w:sz w:val="24"/>
          <w:lang w:val="en-US" w:eastAsia="zh-CN"/>
        </w:rPr>
        <w:t>9</w:t>
      </w:r>
      <w:r>
        <w:rPr>
          <w:rFonts w:hint="eastAsia" w:asciiTheme="minorEastAsia" w:hAnsiTheme="minorEastAsia" w:eastAsiaTheme="minorEastAsia" w:cstheme="minorEastAsia"/>
          <w:sz w:val="24"/>
        </w:rPr>
        <w:t>日。</w:t>
      </w:r>
    </w:p>
    <w:p>
      <w:pPr>
        <w:numPr>
          <w:ilvl w:val="0"/>
          <w:numId w:val="5"/>
        </w:numPr>
        <w:tabs>
          <w:tab w:val="left" w:pos="851"/>
        </w:tabs>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人员配置要求：根据学校要求，歌剧音乐厅中央空调系统运行维护人员24小时值班，项目负责人现场出勤率不低于90%，敏感日及学院大型活动期间项目负责人必须在现场驻守。</w:t>
      </w:r>
    </w:p>
    <w:p>
      <w:pPr>
        <w:numPr>
          <w:ilvl w:val="0"/>
          <w:numId w:val="5"/>
        </w:numPr>
        <w:tabs>
          <w:tab w:val="left" w:pos="851"/>
        </w:tabs>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运行维保工作内容包括：供冷、供暖季前季后系统设备设施保养，运行期间的设备设施维护保养，压缩机检修保养，要求有设备设施保养方案，设备运行记录，每周一次水质检验检测报告，投药记录、每次零配件更换维修记录，设备故障记录，设备设施巡检记录，系统末端巡检、维修记录等等（具体内容详见技术需求篇），上述内容必须全部纳入年度总结报告中，年度总结报告于次年合同截止日期前10日内提供给甲方，年度报告中应针对系统运行期间存在的能耗问题、技术缺陷、安全隐患等进行全面总结，并编制节能改造方案。对于节能改造方案，院方将视节能改造方案的编制质量、可实施性等，给予适当费用补偿。</w:t>
      </w:r>
    </w:p>
    <w:p>
      <w:pPr>
        <w:numPr>
          <w:ilvl w:val="0"/>
          <w:numId w:val="5"/>
        </w:numPr>
        <w:tabs>
          <w:tab w:val="left" w:pos="851"/>
        </w:tabs>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度总结报告应有但不限于以下及部分构成：设备运行记录，水质检验报告，设备维修记录，设备保养记录，故障记录，投药记录，巡检记录，领导视察、单位来访记录，第三方现场检查、指导、维修记录、配合施工记录，必要的图片记录，节能改造方案等（注：每一项纪录应与相关单据一一对应）。</w:t>
      </w:r>
    </w:p>
    <w:p>
      <w:pPr>
        <w:numPr>
          <w:ilvl w:val="0"/>
          <w:numId w:val="5"/>
        </w:numPr>
        <w:tabs>
          <w:tab w:val="left" w:pos="851"/>
        </w:tabs>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关于中央空调系统供暖季前季后保养的内容，请投标报价单位给予必要补充，对于附件内中央空调系统供冷季前季后保养内容，投标报价单位如有异议或不同建议，可及时提出或给予必要补充。</w:t>
      </w:r>
    </w:p>
    <w:p>
      <w:pPr>
        <w:pStyle w:val="55"/>
        <w:numPr>
          <w:ilvl w:val="0"/>
          <w:numId w:val="5"/>
        </w:numPr>
        <w:adjustRightInd w:val="0"/>
        <w:snapToGrid w:val="0"/>
        <w:spacing w:line="360" w:lineRule="auto"/>
        <w:ind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期满，经甲方考核合格，并经双方协商一致同意，合同服务内容不变且价格不变，本合同可续签，但须另行签订经双方加盖公章的书面文本。经甲方考核，乙方服务为不合格的，不再续签合同，乙方不得对此提出异议。</w:t>
      </w:r>
    </w:p>
    <w:p>
      <w:pPr>
        <w:numPr>
          <w:ilvl w:val="0"/>
          <w:numId w:val="4"/>
        </w:numPr>
        <w:tabs>
          <w:tab w:val="left" w:pos="426"/>
        </w:tabs>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详细内容及相关要求：</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一、歌剧音乐厅中央空调系统维护工作内容：</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（一）中央音乐学院歌剧音乐厅中央空调系统供冷季前的维护项目</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1、中央空调系统机组、空调箱、室内机供冷季前维护、检修工作； </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2、中央空调系统循环水泵、补水泵供冷季前的维护工作；</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3、中央空调系统冷却水塔供冷季前的维护工作；</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4、中央空调系统末端风机盘管供冷季前的清洗、维护、检修工作；</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5、中央空调系统管道、系统阀门及相应配电系统供冷季前维护、检修工作。</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（二）歌剧音乐厅中央空调系统供冷运行期间的运行维护项目</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1、中央空调系统供冷季期间值机运行工作。</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1、各类空调设备冷媒量及运转工作压力测试。</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2、设备室内、外机各部位运转温度的测定。</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3、空调室内、外机运转电流/电压的测定。</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4、系统各关键部位的绝缘及冷凝水排放检测。</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5、空调室内、外机运转声/震动等的确认。</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6、设备运转保护装置动作确认。</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7、设备安装各类螺丝及紧固件的紧固及确认。</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8、设备冷媒是否泄露/冷冻油泄露的检查及检测。</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9、检测判断运转状态及运转是否正常。</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10、室内机过滤网及散热器的清洗及点检。</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11、室外机及散热器的清洗及检测。</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12、冷媒管保护带及室外机线槽重新整备。</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13、机组的电路检查内容：</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（1）检查机组的各控制电子板和控制电脑；</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（2）检查空调机组各模块强电配电线路是否可靠；（空开下口）</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（3）检查空调机组各压缩机继电器、接触器控制电路是否可靠；</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（4）检查机组各外部控制线路接线是否可靠；</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（5）检查机组的控制电脑和各控制板是否工作正常；</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（6）检查机组的各传感器是否工作正常；</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（7）检查空调机组内部的信号传递是否工作正常；</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（8）检查空调机组各压缩机绕组工作电流是否在正常范围之内；</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14、机组的压力值范围检查内容：</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（1）检查压缩机排气压力及吸气压力是否在正常范围之内；</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（2）检查阀温、吸气温度、排气温度是否在正常范围之内；</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15、机组的氟系统检查内容：</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（1）检查机组的每个焊口及角阀接口处是否有泄漏现象；</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（2）接上氟表检查氟系统是否在正常的压力范围之内；</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（3）检查机组的视液镜是否在正常范围之内；</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16、机组油系统的检查内容：</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（1）检查机组的油镜、观察油位是否正常；</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（2）检查机组的油温加热装置是否正常；</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（3）检查机组的油颜色是否正常；</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17、室内机电路系统检查内容：</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（1）检查空调室内机的接线是否牢靠；</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（2）检查空调室内机的信号传递系统是否正常；</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18、每月清扫工作：</w:t>
      </w:r>
    </w:p>
    <w:p>
      <w:pPr>
        <w:tabs>
          <w:tab w:val="left" w:pos="501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（1）每月清洗机组、空调箱等及配电系统清扫；</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（2）每月清洗室内出风、回风口过滤网及室内机配电清扫；</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（3）每月清扫机组配电柜；</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工作内容详见附件：</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中央空调系统设备日常保养内容》、《开利多头机冷水机组的操作规程》、《VRV多联开利机组的操作规程》、《中央空调系统运行要求》、《中央空调值机人员工作纪律》、《维修人员工作条例》、《项目部人员岗位职责》、《项目部安全管理制度》、《库房管理制度》。</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2、中央空调系统供冷季期间的技术检查和预防性的维修工作；</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工作内容详见附件：</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《中央空调冷水机组技术支持工作内容》。</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（三）中央空调冷却水系统的水质处理服务工作：</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1、为中央空调冷却水系统使用合格、充足的缓蚀阻垢剂和杀菌剂； </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2、每周一次派出水处理工作人员提取加药水样；</w:t>
      </w:r>
    </w:p>
    <w:p>
      <w:pPr>
        <w:tabs>
          <w:tab w:val="left" w:pos="5010"/>
        </w:tabs>
        <w:spacing w:line="360" w:lineRule="auto"/>
        <w:ind w:firstLine="48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 w:val="24"/>
        </w:rPr>
        <w:t>3、对中央空调冷却水系统水样进行化学试剂分析，并出具分析报告；</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4、每周及时将化验结果通报值机运行项目部处，指导值机运行人员的现场水处理工作；</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5、为中央空调冷却水系统建立水质情况档案，以备分析突发性故障之原因，为抢修提供可靠依据；</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6、保证冷却水水质达到国家规定的标准，并且保证冷水机组三年不用清洗冷凝器。</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（四）中央空调系统供冷结束后的过季保养工作项目（包括在供暖前的维护）：</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工作内容详见附件《中央空调系统供冷季后检修保养计划》</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（五）歌剧音乐厅维护设备范围中央空调机组、系统循环水泵、冷却水塔、空调箱、末端风机盘管设备、系统管道、管路阀门及相应的配电系统。 </w:t>
      </w:r>
    </w:p>
    <w:p>
      <w:pPr>
        <w:tabs>
          <w:tab w:val="left" w:pos="501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（六）中央空调机组冷却、冷冻系统清洗——清洗重点：冷凝器、蒸发器</w:t>
      </w:r>
    </w:p>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1、冷凝器、蒸发器清洗。</w:t>
      </w:r>
    </w:p>
    <w:p>
      <w:pPr>
        <w:adjustRightInd w:val="0"/>
        <w:snapToGrid w:val="0"/>
        <w:spacing w:line="360" w:lineRule="auto"/>
        <w:ind w:firstLine="600" w:firstLineChars="2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2、冷却系统管道清洗。</w:t>
      </w:r>
    </w:p>
    <w:p>
      <w:pPr>
        <w:adjustRightInd w:val="0"/>
        <w:snapToGrid w:val="0"/>
        <w:spacing w:line="360" w:lineRule="auto"/>
        <w:ind w:firstLine="600" w:firstLineChars="2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3、冷冻系统管道清洗。</w:t>
      </w:r>
    </w:p>
    <w:p>
      <w:pPr>
        <w:adjustRightInd w:val="0"/>
        <w:snapToGrid w:val="0"/>
        <w:spacing w:line="360" w:lineRule="auto"/>
        <w:ind w:firstLine="600" w:firstLineChars="2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4、严格按照《开利多机头冷水机组操作规程》等国家有关规定对室内机、室外机等进行清洗。</w:t>
      </w:r>
    </w:p>
    <w:p>
      <w:pPr>
        <w:adjustRightInd w:val="0"/>
        <w:snapToGrid w:val="0"/>
        <w:spacing w:line="360" w:lineRule="auto"/>
        <w:ind w:firstLine="600" w:firstLineChars="2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5、做好清洗记录，需要经由甲方负责老师签字确认。</w:t>
      </w:r>
    </w:p>
    <w:p>
      <w:pPr>
        <w:adjustRightInd w:val="0"/>
        <w:snapToGrid w:val="0"/>
        <w:spacing w:line="360" w:lineRule="auto"/>
        <w:ind w:firstLine="600" w:firstLineChars="250"/>
        <w:rPr>
          <w:rFonts w:asciiTheme="minorEastAsia" w:hAnsiTheme="minorEastAsia" w:eastAsiaTheme="minorEastAsia" w:cstheme="minorEastAsia"/>
          <w:sz w:val="24"/>
        </w:rPr>
      </w:pPr>
    </w:p>
    <w:p>
      <w:pPr>
        <w:adjustRightInd w:val="0"/>
        <w:snapToGrid w:val="0"/>
        <w:spacing w:line="360" w:lineRule="auto"/>
        <w:ind w:firstLine="600" w:firstLineChars="250"/>
        <w:rPr>
          <w:rFonts w:asciiTheme="minorEastAsia" w:hAnsiTheme="minorEastAsia" w:eastAsiaTheme="minorEastAsia" w:cstheme="minorEastAsia"/>
          <w:sz w:val="24"/>
        </w:rPr>
      </w:pPr>
    </w:p>
    <w:p>
      <w:pPr>
        <w:adjustRightInd w:val="0"/>
        <w:snapToGrid w:val="0"/>
        <w:spacing w:line="360" w:lineRule="auto"/>
        <w:ind w:firstLine="600" w:firstLineChars="250"/>
        <w:rPr>
          <w:rFonts w:asciiTheme="minorEastAsia" w:hAnsiTheme="minorEastAsia" w:eastAsiaTheme="minorEastAsia" w:cstheme="minorEastAsia"/>
          <w:szCs w:val="21"/>
        </w:rPr>
      </w:pPr>
      <w:r>
        <w:rPr>
          <w:rFonts w:hint="eastAsia" w:asciiTheme="minorEastAsia" w:hAnsiTheme="minorEastAsia" w:eastAsiaTheme="minorEastAsia" w:cstheme="minorEastAsia"/>
          <w:sz w:val="24"/>
        </w:rPr>
        <w:t>注：清洗及保养期间维修单，需与甲方负责老师提前沟通，认真做好清洗及保养期间的维修，并由甲方负责老师签字确认。</w:t>
      </w:r>
    </w:p>
    <w:p>
      <w:pPr>
        <w:adjustRightInd w:val="0"/>
        <w:snapToGrid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r>
        <w:rPr>
          <w:rFonts w:hint="eastAsia" w:asciiTheme="minorEastAsia" w:hAnsiTheme="minorEastAsia" w:eastAsiaTheme="minorEastAsia" w:cstheme="minorEastAsia"/>
          <w:szCs w:val="21"/>
        </w:rPr>
        <w:t>附表1：中央音乐学院</w:t>
      </w:r>
      <w:r>
        <w:rPr>
          <w:rFonts w:hint="eastAsia" w:asciiTheme="minorEastAsia" w:hAnsiTheme="minorEastAsia" w:eastAsiaTheme="minorEastAsia" w:cstheme="minorEastAsia"/>
          <w:szCs w:val="21"/>
          <w:lang w:val="en-US" w:eastAsia="zh-CN"/>
        </w:rPr>
        <w:t>歌剧音乐厅</w:t>
      </w:r>
      <w:r>
        <w:rPr>
          <w:rFonts w:hint="eastAsia" w:asciiTheme="minorEastAsia" w:hAnsiTheme="minorEastAsia" w:eastAsiaTheme="minorEastAsia" w:cstheme="minorEastAsia"/>
          <w:szCs w:val="21"/>
        </w:rPr>
        <w:t>中央空调系统设备明细</w:t>
      </w:r>
    </w:p>
    <w:tbl>
      <w:tblPr>
        <w:tblStyle w:val="27"/>
        <w:tblW w:w="8522" w:type="dxa"/>
        <w:tblInd w:w="0" w:type="dxa"/>
        <w:tblLayout w:type="fixed"/>
        <w:tblCellMar>
          <w:top w:w="0" w:type="dxa"/>
          <w:left w:w="108" w:type="dxa"/>
          <w:bottom w:w="0" w:type="dxa"/>
          <w:right w:w="108" w:type="dxa"/>
        </w:tblCellMar>
      </w:tblPr>
      <w:tblGrid>
        <w:gridCol w:w="476"/>
        <w:gridCol w:w="2113"/>
        <w:gridCol w:w="2906"/>
        <w:gridCol w:w="701"/>
        <w:gridCol w:w="1164"/>
        <w:gridCol w:w="1162"/>
      </w:tblGrid>
      <w:tr>
        <w:tblPrEx>
          <w:tblLayout w:type="fixed"/>
          <w:tblCellMar>
            <w:top w:w="0" w:type="dxa"/>
            <w:left w:w="108" w:type="dxa"/>
            <w:bottom w:w="0" w:type="dxa"/>
            <w:right w:w="108" w:type="dxa"/>
          </w:tblCellMar>
        </w:tblPrEx>
        <w:trPr>
          <w:trHeight w:val="750" w:hRule="atLeast"/>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序号</w:t>
            </w:r>
          </w:p>
        </w:tc>
        <w:tc>
          <w:tcPr>
            <w:tcW w:w="211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材料名称</w:t>
            </w:r>
          </w:p>
        </w:tc>
        <w:tc>
          <w:tcPr>
            <w:tcW w:w="290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规格</w:t>
            </w:r>
          </w:p>
        </w:tc>
        <w:tc>
          <w:tcPr>
            <w:tcW w:w="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单位</w:t>
            </w:r>
          </w:p>
        </w:tc>
        <w:tc>
          <w:tcPr>
            <w:tcW w:w="11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数量</w:t>
            </w:r>
          </w:p>
        </w:tc>
        <w:tc>
          <w:tcPr>
            <w:tcW w:w="11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备注</w:t>
            </w:r>
          </w:p>
        </w:tc>
      </w:tr>
      <w:tr>
        <w:tblPrEx>
          <w:tblLayout w:type="fixed"/>
          <w:tblCellMar>
            <w:top w:w="0" w:type="dxa"/>
            <w:left w:w="108" w:type="dxa"/>
            <w:bottom w:w="0" w:type="dxa"/>
            <w:right w:w="108" w:type="dxa"/>
          </w:tblCellMar>
        </w:tblPrEx>
        <w:trPr>
          <w:trHeight w:val="810"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211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贯流空气幕</w:t>
            </w:r>
          </w:p>
        </w:tc>
        <w:tc>
          <w:tcPr>
            <w:tcW w:w="2906" w:type="dxa"/>
            <w:tcBorders>
              <w:top w:val="nil"/>
              <w:left w:val="nil"/>
              <w:bottom w:val="single" w:color="auto" w:sz="4" w:space="0"/>
              <w:right w:val="single" w:color="auto" w:sz="4" w:space="0"/>
            </w:tcBorders>
            <w:shd w:val="clear" w:color="auto" w:fill="auto"/>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FY-35EICW2 L=1200mm，加热输出6240W/220V，空气流量1340m3/h</w:t>
            </w:r>
          </w:p>
        </w:tc>
        <w:tc>
          <w:tcPr>
            <w:tcW w:w="701"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164" w:type="dxa"/>
            <w:tcBorders>
              <w:top w:val="nil"/>
              <w:left w:val="nil"/>
              <w:bottom w:val="nil"/>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tcBorders>
              <w:top w:val="nil"/>
              <w:left w:val="nil"/>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松下</w:t>
            </w:r>
          </w:p>
        </w:tc>
      </w:tr>
      <w:tr>
        <w:tblPrEx>
          <w:tblLayout w:type="fixed"/>
          <w:tblCellMar>
            <w:top w:w="0" w:type="dxa"/>
            <w:left w:w="108" w:type="dxa"/>
            <w:bottom w:w="0" w:type="dxa"/>
            <w:right w:w="108" w:type="dxa"/>
          </w:tblCellMar>
        </w:tblPrEx>
        <w:trPr>
          <w:trHeight w:val="540"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2</w:t>
            </w:r>
          </w:p>
        </w:tc>
        <w:tc>
          <w:tcPr>
            <w:tcW w:w="211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贯流空气幕</w:t>
            </w:r>
          </w:p>
        </w:tc>
        <w:tc>
          <w:tcPr>
            <w:tcW w:w="2906" w:type="dxa"/>
            <w:tcBorders>
              <w:top w:val="nil"/>
              <w:left w:val="nil"/>
              <w:bottom w:val="single" w:color="auto" w:sz="4" w:space="0"/>
              <w:right w:val="single" w:color="auto" w:sz="4" w:space="0"/>
            </w:tcBorders>
            <w:shd w:val="clear" w:color="auto" w:fill="auto"/>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FY-35ESCW2 L=900mm,加热输出4660W/220V,空气流量1000m3/h</w:t>
            </w:r>
          </w:p>
        </w:tc>
        <w:tc>
          <w:tcPr>
            <w:tcW w:w="701"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164" w:type="dxa"/>
            <w:tcBorders>
              <w:top w:val="single" w:color="auto" w:sz="4" w:space="0"/>
              <w:left w:val="nil"/>
              <w:bottom w:val="nil"/>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tcBorders>
              <w:top w:val="nil"/>
              <w:left w:val="nil"/>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松下</w:t>
            </w:r>
          </w:p>
        </w:tc>
      </w:tr>
      <w:tr>
        <w:tblPrEx>
          <w:tblLayout w:type="fixed"/>
          <w:tblCellMar>
            <w:top w:w="0" w:type="dxa"/>
            <w:left w:w="108" w:type="dxa"/>
            <w:bottom w:w="0" w:type="dxa"/>
            <w:right w:w="108" w:type="dxa"/>
          </w:tblCellMar>
        </w:tblPrEx>
        <w:trPr>
          <w:trHeight w:val="1080"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3</w:t>
            </w:r>
          </w:p>
        </w:tc>
        <w:tc>
          <w:tcPr>
            <w:tcW w:w="2113" w:type="dxa"/>
            <w:tcBorders>
              <w:top w:val="nil"/>
              <w:left w:val="nil"/>
              <w:bottom w:val="single" w:color="000000" w:sz="4" w:space="0"/>
              <w:right w:val="single" w:color="000000"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恒温恒湿机组</w:t>
            </w:r>
          </w:p>
        </w:tc>
        <w:tc>
          <w:tcPr>
            <w:tcW w:w="2906" w:type="dxa"/>
            <w:tcBorders>
              <w:top w:val="nil"/>
              <w:left w:val="nil"/>
              <w:bottom w:val="single" w:color="000000" w:sz="4" w:space="0"/>
              <w:right w:val="single" w:color="000000"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7ECIV-100/7ECOH-280SW外机功率：10.5kw，内机加湿器功率：3.4kw，风机功率：1.5kw,加热器功率：6kw</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164" w:type="dxa"/>
            <w:tcBorders>
              <w:top w:val="single" w:color="auto" w:sz="4" w:space="0"/>
              <w:left w:val="nil"/>
              <w:bottom w:val="nil"/>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tcBorders>
              <w:top w:val="nil"/>
              <w:left w:val="nil"/>
              <w:bottom w:val="single" w:color="000000" w:sz="4" w:space="0"/>
              <w:right w:val="double" w:color="auto" w:sz="6"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易龙</w:t>
            </w:r>
          </w:p>
        </w:tc>
      </w:tr>
      <w:tr>
        <w:tblPrEx>
          <w:tblLayout w:type="fixed"/>
          <w:tblCellMar>
            <w:top w:w="0" w:type="dxa"/>
            <w:left w:w="108" w:type="dxa"/>
            <w:bottom w:w="0" w:type="dxa"/>
            <w:right w:w="108" w:type="dxa"/>
          </w:tblCellMar>
        </w:tblPrEx>
        <w:trPr>
          <w:trHeight w:val="600"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211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通风柱</w:t>
            </w: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TCD-B-S/250*160/RAL9005</w:t>
            </w:r>
          </w:p>
        </w:tc>
        <w:tc>
          <w:tcPr>
            <w:tcW w:w="701"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台</w:t>
            </w:r>
          </w:p>
        </w:tc>
        <w:tc>
          <w:tcPr>
            <w:tcW w:w="11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tcBorders>
              <w:top w:val="nil"/>
              <w:left w:val="nil"/>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妥思</w:t>
            </w:r>
          </w:p>
        </w:tc>
      </w:tr>
      <w:tr>
        <w:tblPrEx>
          <w:tblLayout w:type="fixed"/>
          <w:tblCellMar>
            <w:top w:w="0" w:type="dxa"/>
            <w:left w:w="108" w:type="dxa"/>
            <w:bottom w:w="0" w:type="dxa"/>
            <w:right w:w="108" w:type="dxa"/>
          </w:tblCellMar>
        </w:tblPrEx>
        <w:trPr>
          <w:trHeight w:val="859"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5</w:t>
            </w:r>
          </w:p>
        </w:tc>
        <w:tc>
          <w:tcPr>
            <w:tcW w:w="211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音乐厅侧送球形喷口（风口电动24V开关量调节，风口要求向下-20°角安装，SLC型风量调节阀配备24V电动开关量执行器）</w:t>
            </w: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球形喷口DUK-V-K-E2/400/RAL9010</w:t>
            </w:r>
          </w:p>
        </w:tc>
        <w:tc>
          <w:tcPr>
            <w:tcW w:w="70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台</w:t>
            </w: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vMerge w:val="restart"/>
            <w:tcBorders>
              <w:top w:val="nil"/>
              <w:left w:val="single" w:color="auto" w:sz="4" w:space="0"/>
              <w:bottom w:val="single" w:color="000000" w:sz="4" w:space="0"/>
              <w:right w:val="double" w:color="auto" w:sz="6"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妥思</w:t>
            </w:r>
          </w:p>
        </w:tc>
      </w:tr>
      <w:tr>
        <w:tblPrEx>
          <w:tblLayout w:type="fixed"/>
          <w:tblCellMar>
            <w:top w:w="0" w:type="dxa"/>
            <w:left w:w="108" w:type="dxa"/>
            <w:bottom w:w="0" w:type="dxa"/>
            <w:right w:w="108" w:type="dxa"/>
          </w:tblCellMar>
        </w:tblPrEx>
        <w:trPr>
          <w:trHeight w:val="859"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6</w:t>
            </w:r>
          </w:p>
        </w:tc>
        <w:tc>
          <w:tcPr>
            <w:tcW w:w="2113"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stheme="minorEastAsia"/>
                <w:color w:val="000000"/>
                <w:kern w:val="0"/>
                <w:szCs w:val="21"/>
              </w:rPr>
            </w:pP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SLC型风量调节阀SLC-A3-C1-D1-R/430</w:t>
            </w:r>
          </w:p>
        </w:tc>
        <w:tc>
          <w:tcPr>
            <w:tcW w:w="701"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stheme="minorEastAsia"/>
                <w:kern w:val="0"/>
                <w:szCs w:val="21"/>
              </w:rPr>
            </w:pP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vMerge w:val="continue"/>
            <w:tcBorders>
              <w:top w:val="nil"/>
              <w:left w:val="single" w:color="auto" w:sz="4" w:space="0"/>
              <w:bottom w:val="single" w:color="000000" w:sz="4" w:space="0"/>
              <w:right w:val="double" w:color="auto" w:sz="6" w:space="0"/>
            </w:tcBorders>
            <w:vAlign w:val="center"/>
          </w:tcPr>
          <w:p>
            <w:pPr>
              <w:widowControl/>
              <w:jc w:val="left"/>
              <w:rPr>
                <w:rFonts w:asciiTheme="minorEastAsia" w:hAnsiTheme="minorEastAsia" w:eastAsiaTheme="minorEastAsia" w:cstheme="minorEastAsia"/>
                <w:color w:val="000000"/>
                <w:kern w:val="0"/>
                <w:szCs w:val="21"/>
              </w:rPr>
            </w:pPr>
          </w:p>
        </w:tc>
      </w:tr>
      <w:tr>
        <w:tblPrEx>
          <w:tblLayout w:type="fixed"/>
          <w:tblCellMar>
            <w:top w:w="0" w:type="dxa"/>
            <w:left w:w="108" w:type="dxa"/>
            <w:bottom w:w="0" w:type="dxa"/>
            <w:right w:w="108" w:type="dxa"/>
          </w:tblCellMar>
        </w:tblPrEx>
        <w:trPr>
          <w:trHeight w:val="559"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7</w:t>
            </w:r>
          </w:p>
        </w:tc>
        <w:tc>
          <w:tcPr>
            <w:tcW w:w="211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音乐厅下送球形喷口（手动调节，SLC型风量调节阀配备24V电动开关量执行器）</w:t>
            </w: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DUK-V-A/400/RAL9010</w:t>
            </w:r>
          </w:p>
        </w:tc>
        <w:tc>
          <w:tcPr>
            <w:tcW w:w="70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台</w:t>
            </w: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tcBorders>
              <w:top w:val="nil"/>
              <w:left w:val="nil"/>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妥思</w:t>
            </w:r>
          </w:p>
        </w:tc>
      </w:tr>
      <w:tr>
        <w:tblPrEx>
          <w:tblLayout w:type="fixed"/>
          <w:tblCellMar>
            <w:top w:w="0" w:type="dxa"/>
            <w:left w:w="108" w:type="dxa"/>
            <w:bottom w:w="0" w:type="dxa"/>
            <w:right w:w="108" w:type="dxa"/>
          </w:tblCellMar>
        </w:tblPrEx>
        <w:trPr>
          <w:trHeight w:val="559"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8</w:t>
            </w:r>
          </w:p>
        </w:tc>
        <w:tc>
          <w:tcPr>
            <w:tcW w:w="2113"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stheme="minorEastAsia"/>
                <w:color w:val="000000"/>
                <w:kern w:val="0"/>
                <w:szCs w:val="21"/>
              </w:rPr>
            </w:pP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SLC-A3-C1-D1-R/395</w:t>
            </w:r>
          </w:p>
        </w:tc>
        <w:tc>
          <w:tcPr>
            <w:tcW w:w="701"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stheme="minorEastAsia"/>
                <w:kern w:val="0"/>
                <w:szCs w:val="21"/>
              </w:rPr>
            </w:pP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tcBorders>
              <w:top w:val="nil"/>
              <w:left w:val="nil"/>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w:t>
            </w:r>
          </w:p>
        </w:tc>
      </w:tr>
      <w:tr>
        <w:tblPrEx>
          <w:tblLayout w:type="fixed"/>
          <w:tblCellMar>
            <w:top w:w="0" w:type="dxa"/>
            <w:left w:w="108" w:type="dxa"/>
            <w:bottom w:w="0" w:type="dxa"/>
            <w:right w:w="108" w:type="dxa"/>
          </w:tblCellMar>
        </w:tblPrEx>
        <w:trPr>
          <w:trHeight w:val="559"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9</w:t>
            </w:r>
          </w:p>
        </w:tc>
        <w:tc>
          <w:tcPr>
            <w:tcW w:w="211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大堂球形喷口（手动调节）</w:t>
            </w: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DUK-V-A/400/RAL9010</w:t>
            </w:r>
          </w:p>
        </w:tc>
        <w:tc>
          <w:tcPr>
            <w:tcW w:w="701"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台</w:t>
            </w: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tcBorders>
              <w:top w:val="nil"/>
              <w:left w:val="nil"/>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妥思</w:t>
            </w:r>
          </w:p>
        </w:tc>
      </w:tr>
      <w:tr>
        <w:tblPrEx>
          <w:tblLayout w:type="fixed"/>
          <w:tblCellMar>
            <w:top w:w="0" w:type="dxa"/>
            <w:left w:w="108" w:type="dxa"/>
            <w:bottom w:w="0" w:type="dxa"/>
            <w:right w:w="108" w:type="dxa"/>
          </w:tblCellMar>
        </w:tblPrEx>
        <w:trPr>
          <w:trHeight w:val="600"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10</w:t>
            </w:r>
          </w:p>
        </w:tc>
        <w:tc>
          <w:tcPr>
            <w:tcW w:w="211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旋流风口（产品配备静压箱）</w:t>
            </w: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VDL-V/400/RAL9010</w:t>
            </w:r>
          </w:p>
        </w:tc>
        <w:tc>
          <w:tcPr>
            <w:tcW w:w="70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台</w:t>
            </w: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tcBorders>
              <w:top w:val="nil"/>
              <w:left w:val="nil"/>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妥思</w:t>
            </w:r>
          </w:p>
        </w:tc>
      </w:tr>
      <w:tr>
        <w:tblPrEx>
          <w:tblLayout w:type="fixed"/>
          <w:tblCellMar>
            <w:top w:w="0" w:type="dxa"/>
            <w:left w:w="108" w:type="dxa"/>
            <w:bottom w:w="0" w:type="dxa"/>
            <w:right w:w="108" w:type="dxa"/>
          </w:tblCellMar>
        </w:tblPrEx>
        <w:trPr>
          <w:trHeight w:val="600"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11</w:t>
            </w:r>
          </w:p>
        </w:tc>
        <w:tc>
          <w:tcPr>
            <w:tcW w:w="2113"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stheme="minorEastAsia"/>
                <w:color w:val="000000"/>
                <w:kern w:val="0"/>
                <w:szCs w:val="21"/>
              </w:rPr>
            </w:pPr>
          </w:p>
        </w:tc>
        <w:tc>
          <w:tcPr>
            <w:tcW w:w="2906" w:type="dxa"/>
            <w:tcBorders>
              <w:top w:val="nil"/>
              <w:left w:val="nil"/>
              <w:bottom w:val="nil"/>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VDW-R-Z-V-M-L/600*24/RAL9010</w:t>
            </w:r>
          </w:p>
        </w:tc>
        <w:tc>
          <w:tcPr>
            <w:tcW w:w="701"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stheme="minorEastAsia"/>
                <w:kern w:val="0"/>
                <w:szCs w:val="21"/>
              </w:rPr>
            </w:pPr>
          </w:p>
        </w:tc>
        <w:tc>
          <w:tcPr>
            <w:tcW w:w="1164" w:type="dxa"/>
            <w:tcBorders>
              <w:top w:val="nil"/>
              <w:left w:val="nil"/>
              <w:bottom w:val="nil"/>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tcBorders>
              <w:top w:val="nil"/>
              <w:left w:val="nil"/>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w:t>
            </w:r>
          </w:p>
        </w:tc>
      </w:tr>
      <w:tr>
        <w:tblPrEx>
          <w:tblLayout w:type="fixed"/>
          <w:tblCellMar>
            <w:top w:w="0" w:type="dxa"/>
            <w:left w:w="108" w:type="dxa"/>
            <w:bottom w:w="0" w:type="dxa"/>
            <w:right w:w="108" w:type="dxa"/>
          </w:tblCellMar>
        </w:tblPrEx>
        <w:trPr>
          <w:trHeight w:val="642"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12</w:t>
            </w:r>
          </w:p>
        </w:tc>
        <w:tc>
          <w:tcPr>
            <w:tcW w:w="211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螺杆式冷水机组</w:t>
            </w:r>
          </w:p>
        </w:tc>
        <w:tc>
          <w:tcPr>
            <w:tcW w:w="290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30HXC130B Q=464kw N=64kw</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冷冻水 L1=80T/H H1=50KPa</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冷却水 L2=96T/H H1=77KPa</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 xml:space="preserve">夏季空调冷源：冷冻水7-12℃ </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冷却水28-33℃ COP：4.70 冷媒：R134a</w:t>
            </w:r>
          </w:p>
        </w:tc>
        <w:tc>
          <w:tcPr>
            <w:tcW w:w="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台</w:t>
            </w:r>
          </w:p>
        </w:tc>
        <w:tc>
          <w:tcPr>
            <w:tcW w:w="11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2</w:t>
            </w:r>
          </w:p>
        </w:tc>
        <w:tc>
          <w:tcPr>
            <w:tcW w:w="1162" w:type="dxa"/>
            <w:tcBorders>
              <w:top w:val="nil"/>
              <w:left w:val="nil"/>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开利</w:t>
            </w:r>
          </w:p>
        </w:tc>
      </w:tr>
      <w:tr>
        <w:tblPrEx>
          <w:tblLayout w:type="fixed"/>
          <w:tblCellMar>
            <w:top w:w="0" w:type="dxa"/>
            <w:left w:w="108" w:type="dxa"/>
            <w:bottom w:w="0" w:type="dxa"/>
            <w:right w:w="108" w:type="dxa"/>
          </w:tblCellMar>
        </w:tblPrEx>
        <w:trPr>
          <w:trHeight w:val="642"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13</w:t>
            </w:r>
          </w:p>
        </w:tc>
        <w:tc>
          <w:tcPr>
            <w:tcW w:w="211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组合式空调机组</w:t>
            </w: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39CQ2025 机组风量38000m3/h</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表冷(加热)段：制冷量148kw</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 xml:space="preserve">              制热量152kw</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夏季电加热段：再热量11kw</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冬季电蒸汽加湿段：加湿量：35kg/h 耗电量26.25kw</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机外余压：1000Pa 风机耗电量：32.16kw(变频风机)</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G3初效过滤段：初阻力50Pa，终阻力100Pa</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F6中效过滤器：初阻力80Pa，终阻力160Pa</w:t>
            </w:r>
          </w:p>
        </w:tc>
        <w:tc>
          <w:tcPr>
            <w:tcW w:w="701"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台</w:t>
            </w: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tcBorders>
              <w:top w:val="nil"/>
              <w:left w:val="nil"/>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开利</w:t>
            </w:r>
          </w:p>
        </w:tc>
      </w:tr>
      <w:tr>
        <w:tblPrEx>
          <w:tblLayout w:type="fixed"/>
          <w:tblCellMar>
            <w:top w:w="0" w:type="dxa"/>
            <w:left w:w="108" w:type="dxa"/>
            <w:bottom w:w="0" w:type="dxa"/>
            <w:right w:w="108" w:type="dxa"/>
          </w:tblCellMar>
        </w:tblPrEx>
        <w:trPr>
          <w:trHeight w:val="642"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14</w:t>
            </w:r>
          </w:p>
        </w:tc>
        <w:tc>
          <w:tcPr>
            <w:tcW w:w="211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组合式空调机组</w:t>
            </w: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39CQ1117 机组风量13000m3/h</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表冷(加热)段：制冷量112kw</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 xml:space="preserve">              制热量136.7kw</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夏季电加热段：再热量2kw</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冬季电蒸汽加湿段：加湿量：20.9kg/h 耗电量15.68kw</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机外余压：800Pa 风机耗电量：12.44kw</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G3初效过滤段：初阻力50Pa，终阻力100Pa</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F6中效过滤器：初阻力80Pa，终阻力160Pa</w:t>
            </w:r>
          </w:p>
        </w:tc>
        <w:tc>
          <w:tcPr>
            <w:tcW w:w="701"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台</w:t>
            </w: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tcBorders>
              <w:top w:val="nil"/>
              <w:left w:val="nil"/>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开利</w:t>
            </w:r>
          </w:p>
        </w:tc>
      </w:tr>
      <w:tr>
        <w:tblPrEx>
          <w:tblLayout w:type="fixed"/>
          <w:tblCellMar>
            <w:top w:w="0" w:type="dxa"/>
            <w:left w:w="108" w:type="dxa"/>
            <w:bottom w:w="0" w:type="dxa"/>
            <w:right w:w="108" w:type="dxa"/>
          </w:tblCellMar>
        </w:tblPrEx>
        <w:trPr>
          <w:trHeight w:val="642"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15</w:t>
            </w:r>
          </w:p>
        </w:tc>
        <w:tc>
          <w:tcPr>
            <w:tcW w:w="211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组合式空调机组</w:t>
            </w: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39CQ1117 机组风量：13100m3/h</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一次回风量：5100m3/h</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表冷(加热)段：制冷量109kw</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 xml:space="preserve">              制热量134.1kw</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冬季电蒸汽加湿段：加湿量：40.63kg/h 耗电量30.47kw</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机外余压：800Pa 风机耗电量：12.44kw</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G3初效过滤段：初阻力50Pa，终阻力100Pa</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F6中效过滤器：初阻力80Pa，终阻力160Pa</w:t>
            </w:r>
          </w:p>
        </w:tc>
        <w:tc>
          <w:tcPr>
            <w:tcW w:w="701"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台</w:t>
            </w: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tcBorders>
              <w:top w:val="nil"/>
              <w:left w:val="nil"/>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开利</w:t>
            </w:r>
          </w:p>
        </w:tc>
      </w:tr>
      <w:tr>
        <w:tblPrEx>
          <w:tblLayout w:type="fixed"/>
          <w:tblCellMar>
            <w:top w:w="0" w:type="dxa"/>
            <w:left w:w="108" w:type="dxa"/>
            <w:bottom w:w="0" w:type="dxa"/>
            <w:right w:w="108" w:type="dxa"/>
          </w:tblCellMar>
        </w:tblPrEx>
        <w:trPr>
          <w:trHeight w:val="642"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16</w:t>
            </w:r>
          </w:p>
        </w:tc>
        <w:tc>
          <w:tcPr>
            <w:tcW w:w="211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组合式空调机组</w:t>
            </w: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39CQ1621 机组风量：23000m3/h</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表冷(加热)段：制冷量162kw</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 xml:space="preserve">              制热量202kw</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冬季电蒸汽加湿段：加湿量：20.9kg/h 耗电量15.68kw</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机外余压：570Pa 风机耗电量：16.78kw</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G3初效过滤段：初阻力50Pa，终阻力100Pa</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F6中效过滤器：初阻力80Pa，终阻力160Pa</w:t>
            </w:r>
          </w:p>
        </w:tc>
        <w:tc>
          <w:tcPr>
            <w:tcW w:w="701"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台</w:t>
            </w: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tcBorders>
              <w:top w:val="nil"/>
              <w:left w:val="nil"/>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开利</w:t>
            </w:r>
          </w:p>
        </w:tc>
      </w:tr>
      <w:tr>
        <w:tblPrEx>
          <w:tblLayout w:type="fixed"/>
          <w:tblCellMar>
            <w:top w:w="0" w:type="dxa"/>
            <w:left w:w="108" w:type="dxa"/>
            <w:bottom w:w="0" w:type="dxa"/>
            <w:right w:w="108" w:type="dxa"/>
          </w:tblCellMar>
        </w:tblPrEx>
        <w:trPr>
          <w:trHeight w:val="642"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17</w:t>
            </w:r>
          </w:p>
        </w:tc>
        <w:tc>
          <w:tcPr>
            <w:tcW w:w="211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吊顶式新风机组</w:t>
            </w: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DBFP2.5I</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机组风量:2500m3/h</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机外静压：290Pa，制冷量:31.7kw，制热量:34.5kw，风机耗电量:0.86kw，湿膜加湿量:9.7kg/h，机组尺寸:1018*986*500(H)，噪声:61dB(A)，重量:70kg</w:t>
            </w:r>
          </w:p>
        </w:tc>
        <w:tc>
          <w:tcPr>
            <w:tcW w:w="701"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台</w:t>
            </w: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tcBorders>
              <w:top w:val="nil"/>
              <w:left w:val="nil"/>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开利</w:t>
            </w:r>
          </w:p>
        </w:tc>
      </w:tr>
      <w:tr>
        <w:tblPrEx>
          <w:tblLayout w:type="fixed"/>
          <w:tblCellMar>
            <w:top w:w="0" w:type="dxa"/>
            <w:left w:w="108" w:type="dxa"/>
            <w:bottom w:w="0" w:type="dxa"/>
            <w:right w:w="108" w:type="dxa"/>
          </w:tblCellMar>
        </w:tblPrEx>
        <w:trPr>
          <w:trHeight w:val="642"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18</w:t>
            </w:r>
          </w:p>
        </w:tc>
        <w:tc>
          <w:tcPr>
            <w:tcW w:w="211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户式中央空调</w:t>
            </w: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38VR004H102010 室外机制量:12kw/220V/4500W</w:t>
            </w:r>
          </w:p>
        </w:tc>
        <w:tc>
          <w:tcPr>
            <w:tcW w:w="70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台</w:t>
            </w: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vMerge w:val="restart"/>
            <w:tcBorders>
              <w:top w:val="nil"/>
              <w:left w:val="single" w:color="auto" w:sz="4" w:space="0"/>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开利</w:t>
            </w:r>
          </w:p>
        </w:tc>
      </w:tr>
      <w:tr>
        <w:tblPrEx>
          <w:tblLayout w:type="fixed"/>
          <w:tblCellMar>
            <w:top w:w="0" w:type="dxa"/>
            <w:left w:w="108" w:type="dxa"/>
            <w:bottom w:w="0" w:type="dxa"/>
            <w:right w:w="108" w:type="dxa"/>
          </w:tblCellMar>
        </w:tblPrEx>
        <w:trPr>
          <w:trHeight w:val="642"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19</w:t>
            </w:r>
          </w:p>
        </w:tc>
        <w:tc>
          <w:tcPr>
            <w:tcW w:w="2113"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stheme="minorEastAsia"/>
                <w:kern w:val="0"/>
                <w:szCs w:val="21"/>
              </w:rPr>
            </w:pP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40VK032 室内机制冷量:8kw/220V/100W</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室内机形式:四面出风嵌入式</w:t>
            </w:r>
          </w:p>
        </w:tc>
        <w:tc>
          <w:tcPr>
            <w:tcW w:w="701"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stheme="minorEastAsia"/>
                <w:kern w:val="0"/>
                <w:szCs w:val="21"/>
              </w:rPr>
            </w:pP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vMerge w:val="continue"/>
            <w:tcBorders>
              <w:top w:val="nil"/>
              <w:left w:val="single" w:color="auto" w:sz="4" w:space="0"/>
              <w:bottom w:val="single" w:color="auto" w:sz="4" w:space="0"/>
              <w:right w:val="double" w:color="auto" w:sz="6" w:space="0"/>
            </w:tcBorders>
            <w:vAlign w:val="center"/>
          </w:tcPr>
          <w:p>
            <w:pPr>
              <w:widowControl/>
              <w:jc w:val="left"/>
              <w:rPr>
                <w:rFonts w:asciiTheme="minorEastAsia" w:hAnsiTheme="minorEastAsia" w:eastAsiaTheme="minorEastAsia" w:cstheme="minorEastAsia"/>
                <w:kern w:val="0"/>
                <w:szCs w:val="21"/>
              </w:rPr>
            </w:pPr>
          </w:p>
        </w:tc>
      </w:tr>
      <w:tr>
        <w:tblPrEx>
          <w:tblLayout w:type="fixed"/>
          <w:tblCellMar>
            <w:top w:w="0" w:type="dxa"/>
            <w:left w:w="108" w:type="dxa"/>
            <w:bottom w:w="0" w:type="dxa"/>
            <w:right w:w="108" w:type="dxa"/>
          </w:tblCellMar>
        </w:tblPrEx>
        <w:trPr>
          <w:trHeight w:val="642"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20</w:t>
            </w:r>
          </w:p>
        </w:tc>
        <w:tc>
          <w:tcPr>
            <w:tcW w:w="211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户式中央空调</w:t>
            </w: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38VR003H102010 室外机制量:8kw/220V/3400W</w:t>
            </w:r>
          </w:p>
        </w:tc>
        <w:tc>
          <w:tcPr>
            <w:tcW w:w="70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台</w:t>
            </w: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vMerge w:val="restart"/>
            <w:tcBorders>
              <w:top w:val="nil"/>
              <w:left w:val="single" w:color="auto" w:sz="4" w:space="0"/>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开利</w:t>
            </w:r>
          </w:p>
        </w:tc>
      </w:tr>
      <w:tr>
        <w:tblPrEx>
          <w:tblLayout w:type="fixed"/>
          <w:tblCellMar>
            <w:top w:w="0" w:type="dxa"/>
            <w:left w:w="108" w:type="dxa"/>
            <w:bottom w:w="0" w:type="dxa"/>
            <w:right w:w="108" w:type="dxa"/>
          </w:tblCellMar>
        </w:tblPrEx>
        <w:trPr>
          <w:trHeight w:val="642"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21</w:t>
            </w:r>
          </w:p>
        </w:tc>
        <w:tc>
          <w:tcPr>
            <w:tcW w:w="2113"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stheme="minorEastAsia"/>
                <w:kern w:val="0"/>
                <w:szCs w:val="21"/>
              </w:rPr>
            </w:pP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40VK024 室内机制冷量:5.6kw/220V/90W</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室内机形式:四面出风嵌入式</w:t>
            </w:r>
          </w:p>
        </w:tc>
        <w:tc>
          <w:tcPr>
            <w:tcW w:w="701"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stheme="minorEastAsia"/>
                <w:kern w:val="0"/>
                <w:szCs w:val="21"/>
              </w:rPr>
            </w:pP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vMerge w:val="continue"/>
            <w:tcBorders>
              <w:top w:val="nil"/>
              <w:left w:val="single" w:color="auto" w:sz="4" w:space="0"/>
              <w:bottom w:val="single" w:color="auto" w:sz="4" w:space="0"/>
              <w:right w:val="double" w:color="auto" w:sz="6" w:space="0"/>
            </w:tcBorders>
            <w:vAlign w:val="center"/>
          </w:tcPr>
          <w:p>
            <w:pPr>
              <w:widowControl/>
              <w:jc w:val="left"/>
              <w:rPr>
                <w:rFonts w:asciiTheme="minorEastAsia" w:hAnsiTheme="minorEastAsia" w:eastAsiaTheme="minorEastAsia" w:cstheme="minorEastAsia"/>
                <w:kern w:val="0"/>
                <w:szCs w:val="21"/>
              </w:rPr>
            </w:pPr>
          </w:p>
        </w:tc>
      </w:tr>
      <w:tr>
        <w:tblPrEx>
          <w:tblLayout w:type="fixed"/>
          <w:tblCellMar>
            <w:top w:w="0" w:type="dxa"/>
            <w:left w:w="108" w:type="dxa"/>
            <w:bottom w:w="0" w:type="dxa"/>
            <w:right w:w="108" w:type="dxa"/>
          </w:tblCellMar>
        </w:tblPrEx>
        <w:trPr>
          <w:trHeight w:val="642"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22</w:t>
            </w:r>
          </w:p>
        </w:tc>
        <w:tc>
          <w:tcPr>
            <w:tcW w:w="211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户式中央空调</w:t>
            </w: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38VR005H102010 室外机制量:14kw/220V/5000W</w:t>
            </w:r>
          </w:p>
        </w:tc>
        <w:tc>
          <w:tcPr>
            <w:tcW w:w="70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台</w:t>
            </w: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vMerge w:val="restart"/>
            <w:tcBorders>
              <w:top w:val="nil"/>
              <w:left w:val="single" w:color="auto" w:sz="4" w:space="0"/>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开利</w:t>
            </w:r>
          </w:p>
        </w:tc>
      </w:tr>
      <w:tr>
        <w:tblPrEx>
          <w:tblLayout w:type="fixed"/>
          <w:tblCellMar>
            <w:top w:w="0" w:type="dxa"/>
            <w:left w:w="108" w:type="dxa"/>
            <w:bottom w:w="0" w:type="dxa"/>
            <w:right w:w="108" w:type="dxa"/>
          </w:tblCellMar>
        </w:tblPrEx>
        <w:trPr>
          <w:trHeight w:val="642"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23</w:t>
            </w:r>
          </w:p>
        </w:tc>
        <w:tc>
          <w:tcPr>
            <w:tcW w:w="2113"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stheme="minorEastAsia"/>
                <w:kern w:val="0"/>
                <w:szCs w:val="21"/>
              </w:rPr>
            </w:pP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40VK052 室内机制量:12.5kw/220V/160W</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室内机形式:四面出风嵌入式</w:t>
            </w:r>
          </w:p>
        </w:tc>
        <w:tc>
          <w:tcPr>
            <w:tcW w:w="701"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stheme="minorEastAsia"/>
                <w:kern w:val="0"/>
                <w:szCs w:val="21"/>
              </w:rPr>
            </w:pP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vMerge w:val="continue"/>
            <w:tcBorders>
              <w:top w:val="nil"/>
              <w:left w:val="single" w:color="auto" w:sz="4" w:space="0"/>
              <w:bottom w:val="single" w:color="auto" w:sz="4" w:space="0"/>
              <w:right w:val="double" w:color="auto" w:sz="6" w:space="0"/>
            </w:tcBorders>
            <w:vAlign w:val="center"/>
          </w:tcPr>
          <w:p>
            <w:pPr>
              <w:widowControl/>
              <w:jc w:val="left"/>
              <w:rPr>
                <w:rFonts w:asciiTheme="minorEastAsia" w:hAnsiTheme="minorEastAsia" w:eastAsiaTheme="minorEastAsia" w:cstheme="minorEastAsia"/>
                <w:kern w:val="0"/>
                <w:szCs w:val="21"/>
              </w:rPr>
            </w:pPr>
          </w:p>
        </w:tc>
      </w:tr>
      <w:tr>
        <w:tblPrEx>
          <w:tblLayout w:type="fixed"/>
          <w:tblCellMar>
            <w:top w:w="0" w:type="dxa"/>
            <w:left w:w="108" w:type="dxa"/>
            <w:bottom w:w="0" w:type="dxa"/>
            <w:right w:w="108" w:type="dxa"/>
          </w:tblCellMar>
        </w:tblPrEx>
        <w:trPr>
          <w:trHeight w:val="642"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24</w:t>
            </w:r>
          </w:p>
        </w:tc>
        <w:tc>
          <w:tcPr>
            <w:tcW w:w="211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户式中央空调</w:t>
            </w: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38VR004H10201S 室外机制量:10kw/220V/3750W</w:t>
            </w:r>
          </w:p>
        </w:tc>
        <w:tc>
          <w:tcPr>
            <w:tcW w:w="70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台</w:t>
            </w: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vMerge w:val="restart"/>
            <w:tcBorders>
              <w:top w:val="nil"/>
              <w:left w:val="single" w:color="auto" w:sz="4" w:space="0"/>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开利</w:t>
            </w:r>
          </w:p>
        </w:tc>
      </w:tr>
      <w:tr>
        <w:tblPrEx>
          <w:tblLayout w:type="fixed"/>
          <w:tblCellMar>
            <w:top w:w="0" w:type="dxa"/>
            <w:left w:w="108" w:type="dxa"/>
            <w:bottom w:w="0" w:type="dxa"/>
            <w:right w:w="108" w:type="dxa"/>
          </w:tblCellMar>
        </w:tblPrEx>
        <w:trPr>
          <w:trHeight w:val="642"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25</w:t>
            </w:r>
          </w:p>
        </w:tc>
        <w:tc>
          <w:tcPr>
            <w:tcW w:w="2113"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stheme="minorEastAsia"/>
                <w:kern w:val="0"/>
                <w:szCs w:val="21"/>
              </w:rPr>
            </w:pP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42VD032.3 室内机制冷量:8kw/220V/100W</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室内机形式:侧出风/下回风/暗装</w:t>
            </w:r>
          </w:p>
        </w:tc>
        <w:tc>
          <w:tcPr>
            <w:tcW w:w="701"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stheme="minorEastAsia"/>
                <w:kern w:val="0"/>
                <w:szCs w:val="21"/>
              </w:rPr>
            </w:pP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vMerge w:val="continue"/>
            <w:tcBorders>
              <w:top w:val="nil"/>
              <w:left w:val="single" w:color="auto" w:sz="4" w:space="0"/>
              <w:bottom w:val="single" w:color="auto" w:sz="4" w:space="0"/>
              <w:right w:val="double" w:color="auto" w:sz="6" w:space="0"/>
            </w:tcBorders>
            <w:vAlign w:val="center"/>
          </w:tcPr>
          <w:p>
            <w:pPr>
              <w:widowControl/>
              <w:jc w:val="left"/>
              <w:rPr>
                <w:rFonts w:asciiTheme="minorEastAsia" w:hAnsiTheme="minorEastAsia" w:eastAsiaTheme="minorEastAsia" w:cstheme="minorEastAsia"/>
                <w:kern w:val="0"/>
                <w:szCs w:val="21"/>
              </w:rPr>
            </w:pPr>
          </w:p>
        </w:tc>
      </w:tr>
      <w:tr>
        <w:tblPrEx>
          <w:tblLayout w:type="fixed"/>
          <w:tblCellMar>
            <w:top w:w="0" w:type="dxa"/>
            <w:left w:w="108" w:type="dxa"/>
            <w:bottom w:w="0" w:type="dxa"/>
            <w:right w:w="108" w:type="dxa"/>
          </w:tblCellMar>
        </w:tblPrEx>
        <w:trPr>
          <w:trHeight w:val="810"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26</w:t>
            </w:r>
          </w:p>
        </w:tc>
        <w:tc>
          <w:tcPr>
            <w:tcW w:w="211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分体空调</w:t>
            </w: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42CXH018+38YL018 制冷量:5.1kw/220V/2000W</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室内机形式:侧出风/下回风/暗装</w:t>
            </w:r>
          </w:p>
        </w:tc>
        <w:tc>
          <w:tcPr>
            <w:tcW w:w="701"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台</w:t>
            </w: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tcBorders>
              <w:top w:val="nil"/>
              <w:left w:val="nil"/>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开利</w:t>
            </w:r>
          </w:p>
        </w:tc>
      </w:tr>
      <w:tr>
        <w:tblPrEx>
          <w:tblLayout w:type="fixed"/>
          <w:tblCellMar>
            <w:top w:w="0" w:type="dxa"/>
            <w:left w:w="108" w:type="dxa"/>
            <w:bottom w:w="0" w:type="dxa"/>
            <w:right w:w="108" w:type="dxa"/>
          </w:tblCellMar>
        </w:tblPrEx>
        <w:trPr>
          <w:trHeight w:val="810"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27</w:t>
            </w:r>
          </w:p>
        </w:tc>
        <w:tc>
          <w:tcPr>
            <w:tcW w:w="211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风机盘管                 (三排管带回风箱)</w:t>
            </w: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42CE006303A 风量:480-1020m3/h，冷量:3.39-5.64kw，热量:5.04-8.85kw，输入功率:92W，机外静压:30Pa</w:t>
            </w:r>
          </w:p>
        </w:tc>
        <w:tc>
          <w:tcPr>
            <w:tcW w:w="701"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台</w:t>
            </w: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tcBorders>
              <w:top w:val="nil"/>
              <w:left w:val="nil"/>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开利</w:t>
            </w:r>
          </w:p>
        </w:tc>
      </w:tr>
      <w:tr>
        <w:tblPrEx>
          <w:tblLayout w:type="fixed"/>
          <w:tblCellMar>
            <w:top w:w="0" w:type="dxa"/>
            <w:left w:w="108" w:type="dxa"/>
            <w:bottom w:w="0" w:type="dxa"/>
            <w:right w:w="108" w:type="dxa"/>
          </w:tblCellMar>
        </w:tblPrEx>
        <w:trPr>
          <w:trHeight w:val="810"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28</w:t>
            </w:r>
          </w:p>
        </w:tc>
        <w:tc>
          <w:tcPr>
            <w:tcW w:w="211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风机盘管(三排管带回风箱)</w:t>
            </w: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42CE006305A 风量:480-1020m3/h，冷量:3.39-5.64kw，热量:5.04-8.85kw，输入功率:92W，机外静压:50Pa</w:t>
            </w:r>
          </w:p>
        </w:tc>
        <w:tc>
          <w:tcPr>
            <w:tcW w:w="701"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台</w:t>
            </w: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tcBorders>
              <w:top w:val="nil"/>
              <w:left w:val="nil"/>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开利</w:t>
            </w:r>
          </w:p>
        </w:tc>
      </w:tr>
      <w:tr>
        <w:tblPrEx>
          <w:tblLayout w:type="fixed"/>
          <w:tblCellMar>
            <w:top w:w="0" w:type="dxa"/>
            <w:left w:w="108" w:type="dxa"/>
            <w:bottom w:w="0" w:type="dxa"/>
            <w:right w:w="108" w:type="dxa"/>
          </w:tblCellMar>
        </w:tblPrEx>
        <w:trPr>
          <w:trHeight w:val="810"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29</w:t>
            </w:r>
          </w:p>
        </w:tc>
        <w:tc>
          <w:tcPr>
            <w:tcW w:w="211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风机盘管(三排管带回风箱)</w:t>
            </w: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42CE008303A 风量:710-1360m3/h，冷量:4.69-7.33kw，热量:7.59-11.85kw，输入功率:117W，机外静压:30Pa</w:t>
            </w:r>
          </w:p>
        </w:tc>
        <w:tc>
          <w:tcPr>
            <w:tcW w:w="701"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台</w:t>
            </w: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tcBorders>
              <w:top w:val="nil"/>
              <w:left w:val="nil"/>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开利</w:t>
            </w:r>
          </w:p>
        </w:tc>
      </w:tr>
      <w:tr>
        <w:tblPrEx>
          <w:tblLayout w:type="fixed"/>
          <w:tblCellMar>
            <w:top w:w="0" w:type="dxa"/>
            <w:left w:w="108" w:type="dxa"/>
            <w:bottom w:w="0" w:type="dxa"/>
            <w:right w:w="108" w:type="dxa"/>
          </w:tblCellMar>
        </w:tblPrEx>
        <w:trPr>
          <w:trHeight w:val="810"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30</w:t>
            </w:r>
          </w:p>
        </w:tc>
        <w:tc>
          <w:tcPr>
            <w:tcW w:w="211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风机盘管(三排管带回风箱)</w:t>
            </w: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42CE010303A 风量:850-1700m3/h，冷量:5.79-9.19kw，热量:9.33-15.04kw，输入功率:142W，机外静压:30Pa</w:t>
            </w:r>
          </w:p>
        </w:tc>
        <w:tc>
          <w:tcPr>
            <w:tcW w:w="701"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台</w:t>
            </w: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tcBorders>
              <w:top w:val="nil"/>
              <w:left w:val="nil"/>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开利</w:t>
            </w:r>
          </w:p>
        </w:tc>
      </w:tr>
      <w:tr>
        <w:tblPrEx>
          <w:tblLayout w:type="fixed"/>
          <w:tblCellMar>
            <w:top w:w="0" w:type="dxa"/>
            <w:left w:w="108" w:type="dxa"/>
            <w:bottom w:w="0" w:type="dxa"/>
            <w:right w:w="108" w:type="dxa"/>
          </w:tblCellMar>
        </w:tblPrEx>
        <w:trPr>
          <w:trHeight w:val="810"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31</w:t>
            </w:r>
          </w:p>
        </w:tc>
        <w:tc>
          <w:tcPr>
            <w:tcW w:w="211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风机盘管(三排管带回风箱)</w:t>
            </w: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42CE002303A 风量:195-340m3/h，冷量:2.3kw，热量:3.6kw，输入功率:40W，机外静压:30Pa</w:t>
            </w:r>
          </w:p>
        </w:tc>
        <w:tc>
          <w:tcPr>
            <w:tcW w:w="701"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台</w:t>
            </w: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tcBorders>
              <w:top w:val="nil"/>
              <w:left w:val="nil"/>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开利</w:t>
            </w:r>
          </w:p>
        </w:tc>
      </w:tr>
      <w:tr>
        <w:tblPrEx>
          <w:tblLayout w:type="fixed"/>
          <w:tblCellMar>
            <w:top w:w="0" w:type="dxa"/>
            <w:left w:w="108" w:type="dxa"/>
            <w:bottom w:w="0" w:type="dxa"/>
            <w:right w:w="108" w:type="dxa"/>
          </w:tblCellMar>
        </w:tblPrEx>
        <w:trPr>
          <w:trHeight w:val="930"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32</w:t>
            </w:r>
          </w:p>
        </w:tc>
        <w:tc>
          <w:tcPr>
            <w:tcW w:w="211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风机盘管 (三排管带回风箱)</w:t>
            </w: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42CE012303A 风量:1180-2040m3/h，冷量:11.50kw，热量:17.2kw，输入功率:210W，机外静压:30Pa</w:t>
            </w:r>
          </w:p>
        </w:tc>
        <w:tc>
          <w:tcPr>
            <w:tcW w:w="701"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台</w:t>
            </w: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tcBorders>
              <w:top w:val="nil"/>
              <w:left w:val="nil"/>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开利</w:t>
            </w:r>
          </w:p>
        </w:tc>
      </w:tr>
      <w:tr>
        <w:tblPrEx>
          <w:tblLayout w:type="fixed"/>
          <w:tblCellMar>
            <w:top w:w="0" w:type="dxa"/>
            <w:left w:w="108" w:type="dxa"/>
            <w:bottom w:w="0" w:type="dxa"/>
            <w:right w:w="108" w:type="dxa"/>
          </w:tblCellMar>
        </w:tblPrEx>
        <w:trPr>
          <w:trHeight w:val="930"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33</w:t>
            </w:r>
          </w:p>
        </w:tc>
        <w:tc>
          <w:tcPr>
            <w:tcW w:w="211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风机盘管(三排管带回风箱)</w:t>
            </w: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42CE006303A 风量:480-1020m3/h，冷量:3.39-5.64kw，热量:5.04-8.85kw，输入功率:92W，机外静压:30Pa</w:t>
            </w:r>
          </w:p>
        </w:tc>
        <w:tc>
          <w:tcPr>
            <w:tcW w:w="701"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台</w:t>
            </w: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tcBorders>
              <w:top w:val="nil"/>
              <w:left w:val="nil"/>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开利</w:t>
            </w:r>
          </w:p>
        </w:tc>
      </w:tr>
      <w:tr>
        <w:tblPrEx>
          <w:tblLayout w:type="fixed"/>
          <w:tblCellMar>
            <w:top w:w="0" w:type="dxa"/>
            <w:left w:w="108" w:type="dxa"/>
            <w:bottom w:w="0" w:type="dxa"/>
            <w:right w:w="108" w:type="dxa"/>
          </w:tblCellMar>
        </w:tblPrEx>
        <w:trPr>
          <w:trHeight w:val="930"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34</w:t>
            </w:r>
          </w:p>
        </w:tc>
        <w:tc>
          <w:tcPr>
            <w:tcW w:w="211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风机盘管(三排管带回风箱)</w:t>
            </w: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DXF060SQ 风量:600m3/h，显热效率%:72.1(夏)/74.2(冬),全压:177Pa，输入功率:0.09*2kw</w:t>
            </w:r>
          </w:p>
        </w:tc>
        <w:tc>
          <w:tcPr>
            <w:tcW w:w="701"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台</w:t>
            </w: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tcBorders>
              <w:top w:val="nil"/>
              <w:left w:val="nil"/>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开利</w:t>
            </w:r>
          </w:p>
        </w:tc>
      </w:tr>
      <w:tr>
        <w:tblPrEx>
          <w:tblLayout w:type="fixed"/>
          <w:tblCellMar>
            <w:top w:w="0" w:type="dxa"/>
            <w:left w:w="108" w:type="dxa"/>
            <w:bottom w:w="0" w:type="dxa"/>
            <w:right w:w="108" w:type="dxa"/>
          </w:tblCellMar>
        </w:tblPrEx>
        <w:trPr>
          <w:trHeight w:val="642"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35</w:t>
            </w:r>
          </w:p>
        </w:tc>
        <w:tc>
          <w:tcPr>
            <w:tcW w:w="211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多联机室外机</w:t>
            </w: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38VR022H109013 冷量:61.5kw，输入功率:19.05kw/380V</w:t>
            </w:r>
          </w:p>
        </w:tc>
        <w:tc>
          <w:tcPr>
            <w:tcW w:w="701"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台</w:t>
            </w: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tcBorders>
              <w:top w:val="nil"/>
              <w:left w:val="nil"/>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开利</w:t>
            </w:r>
          </w:p>
        </w:tc>
      </w:tr>
      <w:tr>
        <w:tblPrEx>
          <w:tblLayout w:type="fixed"/>
          <w:tblCellMar>
            <w:top w:w="0" w:type="dxa"/>
            <w:left w:w="108" w:type="dxa"/>
            <w:bottom w:w="0" w:type="dxa"/>
            <w:right w:w="108" w:type="dxa"/>
          </w:tblCellMar>
        </w:tblPrEx>
        <w:trPr>
          <w:trHeight w:val="642"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36</w:t>
            </w:r>
          </w:p>
        </w:tc>
        <w:tc>
          <w:tcPr>
            <w:tcW w:w="211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多联机室内机</w:t>
            </w: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40VK032 风量:729-1236m3/h，冷量:8.0kw，输入功率:100W/220V</w:t>
            </w:r>
          </w:p>
        </w:tc>
        <w:tc>
          <w:tcPr>
            <w:tcW w:w="701"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台</w:t>
            </w: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tcBorders>
              <w:top w:val="nil"/>
              <w:left w:val="nil"/>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开利</w:t>
            </w:r>
          </w:p>
        </w:tc>
      </w:tr>
      <w:tr>
        <w:tblPrEx>
          <w:tblLayout w:type="fixed"/>
          <w:tblCellMar>
            <w:top w:w="0" w:type="dxa"/>
            <w:left w:w="108" w:type="dxa"/>
            <w:bottom w:w="0" w:type="dxa"/>
            <w:right w:w="108" w:type="dxa"/>
          </w:tblCellMar>
        </w:tblPrEx>
        <w:trPr>
          <w:trHeight w:val="642"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37</w:t>
            </w:r>
          </w:p>
        </w:tc>
        <w:tc>
          <w:tcPr>
            <w:tcW w:w="211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多联机室内机</w:t>
            </w: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40VZ012 风量:410-500m3/h，冷量:3.6kw，输入功率:80W/220V</w:t>
            </w:r>
          </w:p>
        </w:tc>
        <w:tc>
          <w:tcPr>
            <w:tcW w:w="701"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台</w:t>
            </w: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tcBorders>
              <w:top w:val="nil"/>
              <w:left w:val="nil"/>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开利</w:t>
            </w:r>
          </w:p>
        </w:tc>
      </w:tr>
      <w:tr>
        <w:tblPrEx>
          <w:tblLayout w:type="fixed"/>
          <w:tblCellMar>
            <w:top w:w="0" w:type="dxa"/>
            <w:left w:w="108" w:type="dxa"/>
            <w:bottom w:w="0" w:type="dxa"/>
            <w:right w:w="108" w:type="dxa"/>
          </w:tblCellMar>
        </w:tblPrEx>
        <w:trPr>
          <w:trHeight w:val="1050"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38</w:t>
            </w:r>
          </w:p>
        </w:tc>
        <w:tc>
          <w:tcPr>
            <w:tcW w:w="211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风机盘管(立式明装)</w:t>
            </w: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42VL006 风量:585-1020m3/h，冷量:4.1kw(显冷)/5.4(全冷)，热量:8.72kw，输入功率:108W</w:t>
            </w:r>
          </w:p>
        </w:tc>
        <w:tc>
          <w:tcPr>
            <w:tcW w:w="701"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台</w:t>
            </w: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tcBorders>
              <w:top w:val="nil"/>
              <w:left w:val="nil"/>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开利</w:t>
            </w:r>
          </w:p>
        </w:tc>
      </w:tr>
      <w:tr>
        <w:tblPrEx>
          <w:tblLayout w:type="fixed"/>
          <w:tblCellMar>
            <w:top w:w="0" w:type="dxa"/>
            <w:left w:w="108" w:type="dxa"/>
            <w:bottom w:w="0" w:type="dxa"/>
            <w:right w:w="108" w:type="dxa"/>
          </w:tblCellMar>
        </w:tblPrEx>
        <w:trPr>
          <w:trHeight w:val="1050"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39</w:t>
            </w:r>
          </w:p>
        </w:tc>
        <w:tc>
          <w:tcPr>
            <w:tcW w:w="211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户式中央空调</w:t>
            </w: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38VR003H102010 室外机制量:8kw/220V/3400W</w:t>
            </w:r>
          </w:p>
        </w:tc>
        <w:tc>
          <w:tcPr>
            <w:tcW w:w="70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台</w:t>
            </w: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vMerge w:val="restart"/>
            <w:tcBorders>
              <w:top w:val="nil"/>
              <w:left w:val="single" w:color="auto" w:sz="4" w:space="0"/>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开利</w:t>
            </w:r>
          </w:p>
        </w:tc>
      </w:tr>
      <w:tr>
        <w:tblPrEx>
          <w:tblLayout w:type="fixed"/>
          <w:tblCellMar>
            <w:top w:w="0" w:type="dxa"/>
            <w:left w:w="108" w:type="dxa"/>
            <w:bottom w:w="0" w:type="dxa"/>
            <w:right w:w="108" w:type="dxa"/>
          </w:tblCellMar>
        </w:tblPrEx>
        <w:trPr>
          <w:trHeight w:val="1050"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40</w:t>
            </w:r>
          </w:p>
        </w:tc>
        <w:tc>
          <w:tcPr>
            <w:tcW w:w="2113" w:type="dxa"/>
            <w:vMerge w:val="continue"/>
            <w:tcBorders>
              <w:top w:val="nil"/>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cstheme="minorEastAsia"/>
                <w:kern w:val="0"/>
                <w:szCs w:val="21"/>
              </w:rPr>
            </w:pP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42VD024.3 室内机制冷量:5.6kw/220V/90W</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室内机形式:侧出风/下回风/暗装</w:t>
            </w:r>
          </w:p>
        </w:tc>
        <w:tc>
          <w:tcPr>
            <w:tcW w:w="701"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stheme="minorEastAsia"/>
                <w:kern w:val="0"/>
                <w:szCs w:val="21"/>
              </w:rPr>
            </w:pP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vMerge w:val="continue"/>
            <w:tcBorders>
              <w:top w:val="nil"/>
              <w:left w:val="single" w:color="auto" w:sz="4" w:space="0"/>
              <w:bottom w:val="single" w:color="auto" w:sz="4" w:space="0"/>
              <w:right w:val="double" w:color="auto" w:sz="6" w:space="0"/>
            </w:tcBorders>
            <w:vAlign w:val="center"/>
          </w:tcPr>
          <w:p>
            <w:pPr>
              <w:widowControl/>
              <w:jc w:val="left"/>
              <w:rPr>
                <w:rFonts w:asciiTheme="minorEastAsia" w:hAnsiTheme="minorEastAsia" w:eastAsiaTheme="minorEastAsia" w:cstheme="minorEastAsia"/>
                <w:kern w:val="0"/>
                <w:szCs w:val="21"/>
              </w:rPr>
            </w:pPr>
          </w:p>
        </w:tc>
      </w:tr>
      <w:tr>
        <w:tblPrEx>
          <w:tblLayout w:type="fixed"/>
          <w:tblCellMar>
            <w:top w:w="0" w:type="dxa"/>
            <w:left w:w="108" w:type="dxa"/>
            <w:bottom w:w="0" w:type="dxa"/>
            <w:right w:w="108" w:type="dxa"/>
          </w:tblCellMar>
        </w:tblPrEx>
        <w:trPr>
          <w:trHeight w:val="1050"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41</w:t>
            </w:r>
          </w:p>
        </w:tc>
        <w:tc>
          <w:tcPr>
            <w:tcW w:w="211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新风热交换机组</w:t>
            </w: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39CQ0811 机组风量:5500m3/h，机外静压：450Pa 40-50mm箱体</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长*宽*高：4050*1340*1510mm</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机组最终尺寸以工厂布局图为准</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新风侧：新风段+过滤段(板式+袋式)+转轮段 全热回收效率不低于60%</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盘管段：冷量:53.9kw(全热)/30.4kw(显热)，冷水流量：9.2m3/h，加热量：47.9kw，热水流量：4.2m3/h</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G3初效过滤段：初阻力50Pa，终阻力100Pa</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F6中效过滤器：初阻力80Pa，终阻力160Pa</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加湿段+挡水板：管式温升双次气化加湿器 加湿量:19.4kg/h 耗电量15kw</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风机段：6.17kw 风量：5500m3/h，余压：450Pa</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排风侧：进风段+过滤段(板式+袋式)+中间段 40-50mm箱体</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转轮段：转轮宽高=1340*1510mm</w:t>
            </w:r>
            <w:r>
              <w:rPr>
                <w:rFonts w:hint="eastAsia" w:asciiTheme="minorEastAsia" w:hAnsiTheme="minorEastAsia" w:eastAsiaTheme="minorEastAsia" w:cstheme="minorEastAsia"/>
                <w:kern w:val="0"/>
                <w:szCs w:val="21"/>
              </w:rPr>
              <w:br w:type="textWrapping"/>
            </w:r>
            <w:r>
              <w:rPr>
                <w:rFonts w:hint="eastAsia" w:asciiTheme="minorEastAsia" w:hAnsiTheme="minorEastAsia" w:eastAsiaTheme="minorEastAsia" w:cstheme="minorEastAsia"/>
                <w:kern w:val="0"/>
                <w:szCs w:val="21"/>
              </w:rPr>
              <w:t>风机段：4.51kw 风量：5500m3/h，余压：350Pa</w:t>
            </w:r>
          </w:p>
        </w:tc>
        <w:tc>
          <w:tcPr>
            <w:tcW w:w="701"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台</w:t>
            </w: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tcBorders>
              <w:top w:val="nil"/>
              <w:left w:val="nil"/>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开利</w:t>
            </w:r>
          </w:p>
        </w:tc>
      </w:tr>
      <w:tr>
        <w:tblPrEx>
          <w:tblLayout w:type="fixed"/>
          <w:tblCellMar>
            <w:top w:w="0" w:type="dxa"/>
            <w:left w:w="108" w:type="dxa"/>
            <w:bottom w:w="0" w:type="dxa"/>
            <w:right w:w="108" w:type="dxa"/>
          </w:tblCellMar>
        </w:tblPrEx>
        <w:trPr>
          <w:trHeight w:val="1050"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42</w:t>
            </w:r>
          </w:p>
        </w:tc>
        <w:tc>
          <w:tcPr>
            <w:tcW w:w="211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xml:space="preserve">多联机室内机 </w:t>
            </w: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40VK056H10200010制冷量：14KW 制热量：15KW,功率：0.16KW：重量：34+6kg：标准风量：1800m3/h噪声：41/39/37dB(A)</w:t>
            </w:r>
          </w:p>
        </w:tc>
        <w:tc>
          <w:tcPr>
            <w:tcW w:w="701"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台</w:t>
            </w: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tcBorders>
              <w:top w:val="nil"/>
              <w:left w:val="nil"/>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开利</w:t>
            </w:r>
          </w:p>
        </w:tc>
      </w:tr>
      <w:tr>
        <w:tblPrEx>
          <w:tblLayout w:type="fixed"/>
          <w:tblCellMar>
            <w:top w:w="0" w:type="dxa"/>
            <w:left w:w="108" w:type="dxa"/>
            <w:bottom w:w="0" w:type="dxa"/>
            <w:right w:w="108" w:type="dxa"/>
          </w:tblCellMar>
        </w:tblPrEx>
        <w:trPr>
          <w:trHeight w:val="1050"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43</w:t>
            </w:r>
          </w:p>
        </w:tc>
        <w:tc>
          <w:tcPr>
            <w:tcW w:w="211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xml:space="preserve">多联机室内机 </w:t>
            </w: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40VK009H10200010 制冷量：2.8KW 制热量：3.2KW,功率：0.16KW：重量：33+6kg：标准风量：1540m3/h噪声：40/38/36dB(A)</w:t>
            </w:r>
          </w:p>
        </w:tc>
        <w:tc>
          <w:tcPr>
            <w:tcW w:w="701"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台</w:t>
            </w: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tcBorders>
              <w:top w:val="nil"/>
              <w:left w:val="nil"/>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开利</w:t>
            </w:r>
          </w:p>
        </w:tc>
      </w:tr>
      <w:tr>
        <w:tblPrEx>
          <w:tblLayout w:type="fixed"/>
          <w:tblCellMar>
            <w:top w:w="0" w:type="dxa"/>
            <w:left w:w="108" w:type="dxa"/>
            <w:bottom w:w="0" w:type="dxa"/>
            <w:right w:w="108" w:type="dxa"/>
          </w:tblCellMar>
        </w:tblPrEx>
        <w:trPr>
          <w:trHeight w:val="1050"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44</w:t>
            </w:r>
          </w:p>
        </w:tc>
        <w:tc>
          <w:tcPr>
            <w:tcW w:w="211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xml:space="preserve">多联机室内机 </w:t>
            </w: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40VK036H10200010 制冷量：9KW 制热量：10KW,功率：0.16KW：重量：33+6kg：标准风量：1540m3/h噪声：40/38/36dB(A)</w:t>
            </w:r>
          </w:p>
        </w:tc>
        <w:tc>
          <w:tcPr>
            <w:tcW w:w="701"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台</w:t>
            </w: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tcBorders>
              <w:top w:val="nil"/>
              <w:left w:val="nil"/>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开利</w:t>
            </w:r>
          </w:p>
        </w:tc>
      </w:tr>
      <w:tr>
        <w:tblPrEx>
          <w:tblLayout w:type="fixed"/>
          <w:tblCellMar>
            <w:top w:w="0" w:type="dxa"/>
            <w:left w:w="108" w:type="dxa"/>
            <w:bottom w:w="0" w:type="dxa"/>
            <w:right w:w="108" w:type="dxa"/>
          </w:tblCellMar>
        </w:tblPrEx>
        <w:trPr>
          <w:trHeight w:val="1050"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45</w:t>
            </w:r>
          </w:p>
        </w:tc>
        <w:tc>
          <w:tcPr>
            <w:tcW w:w="211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xml:space="preserve">多联机室内机 </w:t>
            </w: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40VK048H10200010 制冷量：11.2KW 制热量：12.5KW,功率：0.16KW：重量：33+6kg：标准风量：1540m3/h噪声：41/39/37dB(A)</w:t>
            </w:r>
          </w:p>
        </w:tc>
        <w:tc>
          <w:tcPr>
            <w:tcW w:w="701"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台</w:t>
            </w: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tcBorders>
              <w:top w:val="nil"/>
              <w:left w:val="nil"/>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开利</w:t>
            </w:r>
          </w:p>
        </w:tc>
      </w:tr>
      <w:tr>
        <w:tblPrEx>
          <w:tblLayout w:type="fixed"/>
          <w:tblCellMar>
            <w:top w:w="0" w:type="dxa"/>
            <w:left w:w="108" w:type="dxa"/>
            <w:bottom w:w="0" w:type="dxa"/>
            <w:right w:w="108" w:type="dxa"/>
          </w:tblCellMar>
        </w:tblPrEx>
        <w:trPr>
          <w:trHeight w:val="1050"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46</w:t>
            </w:r>
          </w:p>
        </w:tc>
        <w:tc>
          <w:tcPr>
            <w:tcW w:w="211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xml:space="preserve">多联机室内机 </w:t>
            </w: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40VK052H10200010 制冷量：12.5KW 制热量：13.5KW,功率：0.16KW：重量：33+6kg：标准风量：1540m3/h噪声：41/39/37dB(A)</w:t>
            </w:r>
          </w:p>
        </w:tc>
        <w:tc>
          <w:tcPr>
            <w:tcW w:w="701"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台</w:t>
            </w: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tcBorders>
              <w:top w:val="nil"/>
              <w:left w:val="nil"/>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开利</w:t>
            </w:r>
          </w:p>
        </w:tc>
      </w:tr>
      <w:tr>
        <w:tblPrEx>
          <w:tblLayout w:type="fixed"/>
          <w:tblCellMar>
            <w:top w:w="0" w:type="dxa"/>
            <w:left w:w="108" w:type="dxa"/>
            <w:bottom w:w="0" w:type="dxa"/>
            <w:right w:w="108" w:type="dxa"/>
          </w:tblCellMar>
        </w:tblPrEx>
        <w:trPr>
          <w:trHeight w:val="1050"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47</w:t>
            </w:r>
          </w:p>
        </w:tc>
        <w:tc>
          <w:tcPr>
            <w:tcW w:w="211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xml:space="preserve">多联体空调机室外机 </w:t>
            </w:r>
          </w:p>
        </w:tc>
        <w:tc>
          <w:tcPr>
            <w:tcW w:w="2906"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38VR020H109013  制冷量:56KW,额定功率：19.9KW,外形尺寸（宽x高x深）：1960x1615x765净重：460kg,额定电流：33.6A电源：380~3N~50Hz（V-Ph-Hz）</w:t>
            </w:r>
          </w:p>
        </w:tc>
        <w:tc>
          <w:tcPr>
            <w:tcW w:w="701"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台</w:t>
            </w: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tcBorders>
              <w:top w:val="nil"/>
              <w:left w:val="nil"/>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开利</w:t>
            </w:r>
          </w:p>
        </w:tc>
      </w:tr>
      <w:tr>
        <w:tblPrEx>
          <w:tblLayout w:type="fixed"/>
          <w:tblCellMar>
            <w:top w:w="0" w:type="dxa"/>
            <w:left w:w="108" w:type="dxa"/>
            <w:bottom w:w="0" w:type="dxa"/>
            <w:right w:w="108" w:type="dxa"/>
          </w:tblCellMar>
        </w:tblPrEx>
        <w:trPr>
          <w:trHeight w:val="1050"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48</w:t>
            </w:r>
          </w:p>
        </w:tc>
        <w:tc>
          <w:tcPr>
            <w:tcW w:w="211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xml:space="preserve">多联体空调机室外机 </w:t>
            </w: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38VR014H109011 制冷量：68.0KW,制冷功率：22.85KW,外形尺寸（宽x高x深）：=980x1615x800+1290x1615x750重量：610kg,电源：380~3N~50Hz（V-Ph-Hz）</w:t>
            </w:r>
          </w:p>
        </w:tc>
        <w:tc>
          <w:tcPr>
            <w:tcW w:w="701"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台</w:t>
            </w: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tcBorders>
              <w:top w:val="nil"/>
              <w:left w:val="nil"/>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开利</w:t>
            </w:r>
          </w:p>
        </w:tc>
      </w:tr>
      <w:tr>
        <w:tblPrEx>
          <w:tblLayout w:type="fixed"/>
          <w:tblCellMar>
            <w:top w:w="0" w:type="dxa"/>
            <w:left w:w="108" w:type="dxa"/>
            <w:bottom w:w="0" w:type="dxa"/>
            <w:right w:w="108" w:type="dxa"/>
          </w:tblCellMar>
        </w:tblPrEx>
        <w:trPr>
          <w:trHeight w:val="1050"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49</w:t>
            </w:r>
          </w:p>
        </w:tc>
        <w:tc>
          <w:tcPr>
            <w:tcW w:w="211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xml:space="preserve">多联体空调机室外机 </w:t>
            </w: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38VR016H109011 制冷量:90.0kW 制冷功率:31.80kW,外形尺寸（宽x高x深）：=1290x1615x750+1290x1615x750重量：700kg,电源：380~3N~50Hz（V-Ph-Hz）</w:t>
            </w:r>
          </w:p>
        </w:tc>
        <w:tc>
          <w:tcPr>
            <w:tcW w:w="701"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台</w:t>
            </w: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tcBorders>
              <w:top w:val="nil"/>
              <w:left w:val="nil"/>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开利</w:t>
            </w:r>
          </w:p>
        </w:tc>
      </w:tr>
      <w:tr>
        <w:tblPrEx>
          <w:tblLayout w:type="fixed"/>
          <w:tblCellMar>
            <w:top w:w="0" w:type="dxa"/>
            <w:left w:w="108" w:type="dxa"/>
            <w:bottom w:w="0" w:type="dxa"/>
            <w:right w:w="108" w:type="dxa"/>
          </w:tblCellMar>
        </w:tblPrEx>
        <w:trPr>
          <w:trHeight w:val="1200"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50</w:t>
            </w:r>
          </w:p>
        </w:tc>
        <w:tc>
          <w:tcPr>
            <w:tcW w:w="211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真空脱气机</w:t>
            </w: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ZX-ZT-0.6C/H最大工作压力1.5Mpa</w:t>
            </w:r>
            <w:r>
              <w:rPr>
                <w:rFonts w:hint="eastAsia" w:asciiTheme="minorEastAsia" w:hAnsiTheme="minorEastAsia" w:eastAsiaTheme="minorEastAsia" w:cstheme="minorEastAsia"/>
                <w:color w:val="000000"/>
                <w:kern w:val="0"/>
                <w:szCs w:val="21"/>
              </w:rPr>
              <w:br w:type="textWrapping"/>
            </w:r>
            <w:r>
              <w:rPr>
                <w:rFonts w:hint="eastAsia" w:asciiTheme="minorEastAsia" w:hAnsiTheme="minorEastAsia" w:eastAsiaTheme="minorEastAsia" w:cstheme="minorEastAsia"/>
                <w:color w:val="000000"/>
                <w:kern w:val="0"/>
                <w:szCs w:val="21"/>
              </w:rPr>
              <w:t>最大处理水容积150m³</w:t>
            </w:r>
            <w:r>
              <w:rPr>
                <w:rFonts w:hint="eastAsia" w:asciiTheme="minorEastAsia" w:hAnsiTheme="minorEastAsia" w:eastAsiaTheme="minorEastAsia" w:cstheme="minorEastAsia"/>
                <w:color w:val="000000"/>
                <w:kern w:val="0"/>
                <w:szCs w:val="21"/>
              </w:rPr>
              <w:br w:type="textWrapping"/>
            </w:r>
            <w:r>
              <w:rPr>
                <w:rFonts w:hint="eastAsia" w:asciiTheme="minorEastAsia" w:hAnsiTheme="minorEastAsia" w:eastAsiaTheme="minorEastAsia" w:cstheme="minorEastAsia"/>
                <w:color w:val="000000"/>
                <w:kern w:val="0"/>
                <w:szCs w:val="21"/>
              </w:rPr>
              <w:t xml:space="preserve">N=3.1Kw </w:t>
            </w:r>
            <w:r>
              <w:rPr>
                <w:rFonts w:hint="eastAsia" w:asciiTheme="minorEastAsia" w:hAnsiTheme="minorEastAsia" w:eastAsiaTheme="minorEastAsia" w:cstheme="minorEastAsia"/>
                <w:color w:val="000000"/>
                <w:kern w:val="0"/>
                <w:szCs w:val="21"/>
              </w:rPr>
              <w:br w:type="textWrapping"/>
            </w:r>
            <w:r>
              <w:rPr>
                <w:rFonts w:hint="eastAsia" w:asciiTheme="minorEastAsia" w:hAnsiTheme="minorEastAsia" w:eastAsiaTheme="minorEastAsia" w:cstheme="minorEastAsia"/>
                <w:color w:val="000000"/>
                <w:kern w:val="0"/>
                <w:szCs w:val="21"/>
              </w:rPr>
              <w:t xml:space="preserve">尺寸：650×500×1350 </w:t>
            </w:r>
            <w:r>
              <w:rPr>
                <w:rFonts w:hint="eastAsia" w:asciiTheme="minorEastAsia" w:hAnsiTheme="minorEastAsia" w:eastAsiaTheme="minorEastAsia" w:cstheme="minorEastAsia"/>
                <w:color w:val="000000"/>
                <w:kern w:val="0"/>
                <w:szCs w:val="21"/>
              </w:rPr>
              <w:br w:type="textWrapping"/>
            </w:r>
            <w:r>
              <w:rPr>
                <w:rFonts w:hint="eastAsia" w:asciiTheme="minorEastAsia" w:hAnsiTheme="minorEastAsia" w:eastAsiaTheme="minorEastAsia" w:cstheme="minorEastAsia"/>
                <w:color w:val="000000"/>
                <w:kern w:val="0"/>
                <w:szCs w:val="21"/>
              </w:rPr>
              <w:t>净重160Kg</w:t>
            </w:r>
          </w:p>
        </w:tc>
        <w:tc>
          <w:tcPr>
            <w:tcW w:w="701"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台</w:t>
            </w: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tcBorders>
              <w:top w:val="nil"/>
              <w:left w:val="nil"/>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w:t>
            </w:r>
          </w:p>
        </w:tc>
      </w:tr>
      <w:tr>
        <w:tblPrEx>
          <w:tblLayout w:type="fixed"/>
          <w:tblCellMar>
            <w:top w:w="0" w:type="dxa"/>
            <w:left w:w="108" w:type="dxa"/>
            <w:bottom w:w="0" w:type="dxa"/>
            <w:right w:w="108" w:type="dxa"/>
          </w:tblCellMar>
        </w:tblPrEx>
        <w:trPr>
          <w:trHeight w:val="1200"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51</w:t>
            </w:r>
          </w:p>
        </w:tc>
        <w:tc>
          <w:tcPr>
            <w:tcW w:w="211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旁流水处理器</w:t>
            </w: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ZX-PL-4Q最大工作压力1.0Mpa</w:t>
            </w:r>
            <w:r>
              <w:rPr>
                <w:rFonts w:hint="eastAsia" w:asciiTheme="minorEastAsia" w:hAnsiTheme="minorEastAsia" w:eastAsiaTheme="minorEastAsia" w:cstheme="minorEastAsia"/>
                <w:color w:val="000000"/>
                <w:kern w:val="0"/>
                <w:szCs w:val="21"/>
              </w:rPr>
              <w:br w:type="textWrapping"/>
            </w:r>
            <w:r>
              <w:rPr>
                <w:rFonts w:hint="eastAsia" w:asciiTheme="minorEastAsia" w:hAnsiTheme="minorEastAsia" w:eastAsiaTheme="minorEastAsia" w:cstheme="minorEastAsia"/>
                <w:color w:val="000000"/>
                <w:kern w:val="0"/>
                <w:szCs w:val="21"/>
              </w:rPr>
              <w:t>杀菌灭藻率大于97%</w:t>
            </w:r>
            <w:r>
              <w:rPr>
                <w:rFonts w:hint="eastAsia" w:asciiTheme="minorEastAsia" w:hAnsiTheme="minorEastAsia" w:eastAsiaTheme="minorEastAsia" w:cstheme="minorEastAsia"/>
                <w:color w:val="000000"/>
                <w:kern w:val="0"/>
                <w:szCs w:val="21"/>
              </w:rPr>
              <w:br w:type="textWrapping"/>
            </w:r>
            <w:r>
              <w:rPr>
                <w:rFonts w:hint="eastAsia" w:asciiTheme="minorEastAsia" w:hAnsiTheme="minorEastAsia" w:eastAsiaTheme="minorEastAsia" w:cstheme="minorEastAsia"/>
                <w:color w:val="000000"/>
                <w:kern w:val="0"/>
                <w:szCs w:val="21"/>
              </w:rPr>
              <w:t>防垢除垢有效率95%</w:t>
            </w:r>
            <w:r>
              <w:rPr>
                <w:rFonts w:hint="eastAsia" w:asciiTheme="minorEastAsia" w:hAnsiTheme="minorEastAsia" w:eastAsiaTheme="minorEastAsia" w:cstheme="minorEastAsia"/>
                <w:color w:val="000000"/>
                <w:kern w:val="0"/>
                <w:szCs w:val="21"/>
              </w:rPr>
              <w:br w:type="textWrapping"/>
            </w:r>
            <w:r>
              <w:rPr>
                <w:rFonts w:hint="eastAsia" w:asciiTheme="minorEastAsia" w:hAnsiTheme="minorEastAsia" w:eastAsiaTheme="minorEastAsia" w:cstheme="minorEastAsia"/>
                <w:color w:val="000000"/>
                <w:kern w:val="0"/>
                <w:szCs w:val="21"/>
              </w:rPr>
              <w:t>220v,50Hz,450w(单相)适用管径DN200mm</w:t>
            </w:r>
          </w:p>
        </w:tc>
        <w:tc>
          <w:tcPr>
            <w:tcW w:w="701"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台</w:t>
            </w: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tcBorders>
              <w:top w:val="nil"/>
              <w:left w:val="nil"/>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w:t>
            </w:r>
          </w:p>
        </w:tc>
      </w:tr>
      <w:tr>
        <w:tblPrEx>
          <w:tblLayout w:type="fixed"/>
          <w:tblCellMar>
            <w:top w:w="0" w:type="dxa"/>
            <w:left w:w="108" w:type="dxa"/>
            <w:bottom w:w="0" w:type="dxa"/>
            <w:right w:w="108" w:type="dxa"/>
          </w:tblCellMar>
        </w:tblPrEx>
        <w:trPr>
          <w:trHeight w:val="960"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52</w:t>
            </w:r>
          </w:p>
        </w:tc>
        <w:tc>
          <w:tcPr>
            <w:tcW w:w="211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旁流水处理器</w:t>
            </w: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最大工作压力1.0Mpa,杀菌灭藻率大于97%防垢除垢有效率95%,220v,50Hz,200w(单相)适用管径DN200mm</w:t>
            </w:r>
          </w:p>
        </w:tc>
        <w:tc>
          <w:tcPr>
            <w:tcW w:w="701"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台</w:t>
            </w: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tcBorders>
              <w:top w:val="nil"/>
              <w:left w:val="nil"/>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w:t>
            </w:r>
          </w:p>
        </w:tc>
      </w:tr>
      <w:tr>
        <w:tblPrEx>
          <w:tblLayout w:type="fixed"/>
          <w:tblCellMar>
            <w:top w:w="0" w:type="dxa"/>
            <w:left w:w="108" w:type="dxa"/>
            <w:bottom w:w="0" w:type="dxa"/>
            <w:right w:w="108" w:type="dxa"/>
          </w:tblCellMar>
        </w:tblPrEx>
        <w:trPr>
          <w:trHeight w:val="720"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53</w:t>
            </w:r>
          </w:p>
        </w:tc>
        <w:tc>
          <w:tcPr>
            <w:tcW w:w="211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全自动智能加药装置</w:t>
            </w: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ZX-JY-KGA01Q=0.79-12.1L/h H=103m N=100w(220v)</w:t>
            </w:r>
            <w:r>
              <w:rPr>
                <w:rFonts w:hint="eastAsia" w:asciiTheme="minorEastAsia" w:hAnsiTheme="minorEastAsia" w:eastAsiaTheme="minorEastAsia" w:cstheme="minorEastAsia"/>
                <w:color w:val="000000"/>
                <w:kern w:val="0"/>
                <w:szCs w:val="21"/>
              </w:rPr>
              <w:br w:type="textWrapping"/>
            </w:r>
            <w:r>
              <w:rPr>
                <w:rFonts w:hint="eastAsia" w:asciiTheme="minorEastAsia" w:hAnsiTheme="minorEastAsia" w:eastAsiaTheme="minorEastAsia" w:cstheme="minorEastAsia"/>
                <w:color w:val="000000"/>
                <w:kern w:val="0"/>
                <w:szCs w:val="21"/>
              </w:rPr>
              <w:t>0-900m³/Hr</w:t>
            </w:r>
          </w:p>
        </w:tc>
        <w:tc>
          <w:tcPr>
            <w:tcW w:w="701"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台</w:t>
            </w: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tcBorders>
              <w:top w:val="nil"/>
              <w:left w:val="nil"/>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w:t>
            </w:r>
          </w:p>
        </w:tc>
      </w:tr>
      <w:tr>
        <w:tblPrEx>
          <w:tblLayout w:type="fixed"/>
          <w:tblCellMar>
            <w:top w:w="0" w:type="dxa"/>
            <w:left w:w="108" w:type="dxa"/>
            <w:bottom w:w="0" w:type="dxa"/>
            <w:right w:w="108" w:type="dxa"/>
          </w:tblCellMar>
        </w:tblPrEx>
        <w:trPr>
          <w:trHeight w:val="960"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54</w:t>
            </w:r>
          </w:p>
        </w:tc>
        <w:tc>
          <w:tcPr>
            <w:tcW w:w="211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全自动软水器</w:t>
            </w: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ZX-RS-D-250产水量1.0-1.5m³/h，</w:t>
            </w:r>
            <w:r>
              <w:rPr>
                <w:rFonts w:hint="eastAsia" w:asciiTheme="minorEastAsia" w:hAnsiTheme="minorEastAsia" w:eastAsiaTheme="minorEastAsia" w:cstheme="minorEastAsia"/>
                <w:color w:val="000000"/>
                <w:kern w:val="0"/>
                <w:szCs w:val="21"/>
              </w:rPr>
              <w:br w:type="textWrapping"/>
            </w:r>
            <w:r>
              <w:rPr>
                <w:rFonts w:hint="eastAsia" w:asciiTheme="minorEastAsia" w:hAnsiTheme="minorEastAsia" w:eastAsiaTheme="minorEastAsia" w:cstheme="minorEastAsia"/>
                <w:color w:val="000000"/>
                <w:kern w:val="0"/>
                <w:szCs w:val="21"/>
              </w:rPr>
              <w:t>外形尺寸：1500×550×1900</w:t>
            </w:r>
            <w:r>
              <w:rPr>
                <w:rFonts w:hint="eastAsia" w:asciiTheme="minorEastAsia" w:hAnsiTheme="minorEastAsia" w:eastAsiaTheme="minorEastAsia" w:cstheme="minorEastAsia"/>
                <w:color w:val="000000"/>
                <w:kern w:val="0"/>
                <w:szCs w:val="21"/>
              </w:rPr>
              <w:br w:type="textWrapping"/>
            </w:r>
            <w:r>
              <w:rPr>
                <w:rFonts w:hint="eastAsia" w:asciiTheme="minorEastAsia" w:hAnsiTheme="minorEastAsia" w:eastAsiaTheme="minorEastAsia" w:cstheme="minorEastAsia"/>
                <w:color w:val="000000"/>
                <w:kern w:val="0"/>
                <w:szCs w:val="21"/>
              </w:rPr>
              <w:t>单阀双罐，一用一备 盐箱（mm）420×850×1(个)，树脂量（L）50×2</w:t>
            </w:r>
          </w:p>
        </w:tc>
        <w:tc>
          <w:tcPr>
            <w:tcW w:w="701"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台</w:t>
            </w: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tcBorders>
              <w:top w:val="nil"/>
              <w:left w:val="nil"/>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w:t>
            </w:r>
          </w:p>
        </w:tc>
      </w:tr>
      <w:tr>
        <w:tblPrEx>
          <w:tblLayout w:type="fixed"/>
          <w:tblCellMar>
            <w:top w:w="0" w:type="dxa"/>
            <w:left w:w="108" w:type="dxa"/>
            <w:bottom w:w="0" w:type="dxa"/>
            <w:right w:w="108" w:type="dxa"/>
          </w:tblCellMar>
        </w:tblPrEx>
        <w:trPr>
          <w:trHeight w:val="270"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55</w:t>
            </w:r>
          </w:p>
        </w:tc>
        <w:tc>
          <w:tcPr>
            <w:tcW w:w="211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软化水箱（玻璃钢）</w:t>
            </w: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V=1m³,尺寸1100×1100×1100mm</w:t>
            </w:r>
          </w:p>
        </w:tc>
        <w:tc>
          <w:tcPr>
            <w:tcW w:w="701"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台</w:t>
            </w: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tcBorders>
              <w:top w:val="nil"/>
              <w:left w:val="nil"/>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w:t>
            </w:r>
          </w:p>
        </w:tc>
      </w:tr>
      <w:tr>
        <w:tblPrEx>
          <w:tblLayout w:type="fixed"/>
          <w:tblCellMar>
            <w:top w:w="0" w:type="dxa"/>
            <w:left w:w="108" w:type="dxa"/>
            <w:bottom w:w="0" w:type="dxa"/>
            <w:right w:w="108" w:type="dxa"/>
          </w:tblCellMar>
        </w:tblPrEx>
        <w:trPr>
          <w:trHeight w:val="540" w:hRule="atLeast"/>
        </w:trPr>
        <w:tc>
          <w:tcPr>
            <w:tcW w:w="476"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56</w:t>
            </w:r>
          </w:p>
        </w:tc>
        <w:tc>
          <w:tcPr>
            <w:tcW w:w="211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冷却塔</w:t>
            </w:r>
          </w:p>
        </w:tc>
        <w:tc>
          <w:tcPr>
            <w:tcW w:w="290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CTA-140UFW-J 进出水温度37~32°C，循环水量123t/h</w:t>
            </w:r>
          </w:p>
        </w:tc>
        <w:tc>
          <w:tcPr>
            <w:tcW w:w="701"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台</w:t>
            </w: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tcBorders>
              <w:top w:val="nil"/>
              <w:left w:val="nil"/>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w:t>
            </w:r>
          </w:p>
        </w:tc>
      </w:tr>
      <w:tr>
        <w:tblPrEx>
          <w:tblLayout w:type="fixed"/>
          <w:tblCellMar>
            <w:top w:w="0" w:type="dxa"/>
            <w:left w:w="108" w:type="dxa"/>
            <w:bottom w:w="0" w:type="dxa"/>
            <w:right w:w="108" w:type="dxa"/>
          </w:tblCellMar>
        </w:tblPrEx>
        <w:trPr>
          <w:trHeight w:val="540" w:hRule="atLeast"/>
        </w:trPr>
        <w:tc>
          <w:tcPr>
            <w:tcW w:w="476" w:type="dxa"/>
            <w:tcBorders>
              <w:top w:val="single" w:color="auto" w:sz="4" w:space="0"/>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57</w:t>
            </w:r>
          </w:p>
        </w:tc>
        <w:tc>
          <w:tcPr>
            <w:tcW w:w="211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3层VRV空调 外机</w:t>
            </w:r>
          </w:p>
        </w:tc>
        <w:tc>
          <w:tcPr>
            <w:tcW w:w="290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GMV-140WL/BS</w:t>
            </w:r>
          </w:p>
        </w:tc>
        <w:tc>
          <w:tcPr>
            <w:tcW w:w="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台</w:t>
            </w:r>
          </w:p>
        </w:tc>
        <w:tc>
          <w:tcPr>
            <w:tcW w:w="11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162" w:type="dxa"/>
            <w:tcBorders>
              <w:top w:val="single" w:color="auto" w:sz="4" w:space="0"/>
              <w:left w:val="nil"/>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p>
        </w:tc>
      </w:tr>
      <w:tr>
        <w:tblPrEx>
          <w:tblLayout w:type="fixed"/>
          <w:tblCellMar>
            <w:top w:w="0" w:type="dxa"/>
            <w:left w:w="108" w:type="dxa"/>
            <w:bottom w:w="0" w:type="dxa"/>
            <w:right w:w="108" w:type="dxa"/>
          </w:tblCellMar>
        </w:tblPrEx>
        <w:trPr>
          <w:trHeight w:val="540" w:hRule="atLeast"/>
        </w:trPr>
        <w:tc>
          <w:tcPr>
            <w:tcW w:w="476" w:type="dxa"/>
            <w:tcBorders>
              <w:top w:val="single" w:color="auto" w:sz="4" w:space="0"/>
              <w:left w:val="double" w:color="auto" w:sz="6"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58</w:t>
            </w:r>
          </w:p>
        </w:tc>
        <w:tc>
          <w:tcPr>
            <w:tcW w:w="211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3层VRV空调 内机</w:t>
            </w:r>
          </w:p>
        </w:tc>
        <w:tc>
          <w:tcPr>
            <w:tcW w:w="290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GMV-NR50T/A</w:t>
            </w:r>
          </w:p>
        </w:tc>
        <w:tc>
          <w:tcPr>
            <w:tcW w:w="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台</w:t>
            </w:r>
          </w:p>
        </w:tc>
        <w:tc>
          <w:tcPr>
            <w:tcW w:w="11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3</w:t>
            </w:r>
          </w:p>
        </w:tc>
        <w:tc>
          <w:tcPr>
            <w:tcW w:w="1162" w:type="dxa"/>
            <w:tcBorders>
              <w:top w:val="single" w:color="auto" w:sz="4" w:space="0"/>
              <w:left w:val="nil"/>
              <w:bottom w:val="single" w:color="auto" w:sz="4" w:space="0"/>
              <w:right w:val="double" w:color="auto" w:sz="6"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p>
        </w:tc>
      </w:tr>
    </w:tbl>
    <w:p>
      <w:pPr>
        <w:adjustRightInd w:val="0"/>
        <w:snapToGrid w:val="0"/>
        <w:rPr>
          <w:rFonts w:asciiTheme="minorEastAsia" w:hAnsiTheme="minorEastAsia" w:eastAsiaTheme="minorEastAsia" w:cstheme="minorEastAsia"/>
          <w:szCs w:val="21"/>
        </w:rPr>
      </w:pPr>
    </w:p>
    <w:p>
      <w:pPr>
        <w:widowControl/>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p>
      <w:pPr>
        <w:tabs>
          <w:tab w:val="left" w:pos="5010"/>
        </w:tabs>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附件：</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【附件1】</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质量方针</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以满足客户需求为目标，</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保证服务项目安全、可靠、迅捷和完好；</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以规范化管理为导向，</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保证服务质量持续改进、不断提高。</w:t>
      </w:r>
    </w:p>
    <w:p>
      <w:pPr>
        <w:tabs>
          <w:tab w:val="left" w:pos="5010"/>
        </w:tabs>
        <w:ind w:firstLine="420" w:firstLineChars="200"/>
        <w:rPr>
          <w:rFonts w:asciiTheme="minorEastAsia" w:hAnsiTheme="minorEastAsia" w:eastAsiaTheme="minorEastAsia" w:cstheme="minorEastAsia"/>
          <w:szCs w:val="21"/>
        </w:rPr>
      </w:pP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质量目标</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设备安装工程验收合格率               100%；</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设备维修、维护服务上门及时率          95%；</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供冷季运行设备完好率                  95%；</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用户中央空调系统故障处理率           100%；</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针对客户意见处理及时率               100%；</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各岗位人员上岗合格率                 100%；</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客户投诉率不高于                      5%。</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客户满意率达到                        90%；</w:t>
      </w:r>
    </w:p>
    <w:p>
      <w:pPr>
        <w:tabs>
          <w:tab w:val="left" w:pos="5010"/>
        </w:tabs>
        <w:ind w:firstLine="420" w:firstLineChars="200"/>
        <w:rPr>
          <w:rFonts w:asciiTheme="minorEastAsia" w:hAnsiTheme="minorEastAsia" w:eastAsiaTheme="minorEastAsia" w:cstheme="minorEastAsia"/>
          <w:szCs w:val="21"/>
        </w:rPr>
      </w:pP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r>
        <w:rPr>
          <w:rFonts w:hint="eastAsia" w:asciiTheme="minorEastAsia" w:hAnsiTheme="minorEastAsia" w:eastAsiaTheme="minorEastAsia" w:cstheme="minorEastAsia"/>
          <w:szCs w:val="21"/>
        </w:rPr>
        <w:t>【附件2】</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中央空调系统供冷前维护内容</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一、中央空调冷水机组供冷季前的维护工作：</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强电系统</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⑴、检查所有机组进线电缆通道内的所有导线外皮有无破损现象、有无过电流现象（绝缘变色）；强电接线端子有无松动、接线鼻子有无变形断裂的现象；检查所有导线绑扎是否牢固、是否与机架外壳有相蹭的地方；检查强电导线各软管接头是否有松动的现象。</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⑵、检查压机接线端子有无松动现象，导线外壳有无变色现象，接线鼻子有无变形断裂的现象。</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⑶、检查各接触器、马达保护器的接线端子是否牢固，接线鼻子是否有变形断裂的现象；接触器各触头是否接触完好，触点有无粘连、烧损现象，马达保护器调整电流是否正常；接触器动合磁铁是否动作正常。</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⑷、检查SSM电路是否工作正常，当热敏电阻超过规定值时，M1、M2能否在规定时间内断开。</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⑸、检查压机电加热线是否工作正常。</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⑹、检查压机各项启动电流、工作电流是否在允许的范围之内。</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⑺、检测压机强电电路绝缘等级是否在允许范围之内。</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⑻、检查380V、220V、24V各项电压的电压值是否在允许范围之内。</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⑼、检查各压机绕阻之间的阻值是否在规定范围之内。</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控制系统</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⑴、检测各温度控制器、冰点保护器的温度开关、压力开关是否灵敏，保护值是否正确，单元出水的2℃保护是否可靠；检查各控制电路的24V工作电压是否工作正常；控制接线排紧固螺丝是否拧紧，各工作指示灯是否工作正常；检测工作温度自保电路是否有拖后、超前的现象。</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⑵、检查各温度传感器的值是否正确，误差范围是否在规定范围之内，安装位置是否正确，传感器有无从探管中掉出的现象。</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⑶、检查各电子板380V、24V保险有无松动的现象。</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⑷、检查各高、低压继电器状态是否正常，接线端子有无松动。</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⑸、检查中间继电器工作状态是否正常，触点有无烧损、接触不良的现象，接线端子有无松动，接线鼻子有无断裂的现象。</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⑹、检查中间继电器插头有无锈蚀的现象与中继插座之间的配合是否紧密牢固。</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⑺、检查控制电路对断水流、过高压、过低压、低水温的反应是否在规定范围之内。</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氟系统</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⑴、检查压缩机油容量是否满足，在规定范围之内油的浊度是否在允许的范围之内。</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⑵、检查压机的各螺旋口有无泄漏的现象。</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⑶、检查压机平衡压力、排气压力、吸气压力是否在允许范围之内。</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⑷、检查压机排气温度、吸气温度是否在允许范围之内。</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⑸、检查阀温、吸气温度及单元冷冻水出水温度是否在允许范围之内，阀温与单元出水温度的比值是否正确。</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⑹、检查膨胀阀有无结霜，调整盖松动及漏氟现象。</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⑺、检查加热线的热量是否正常。</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⑻、检查压机工作状态是否正常，有无异常的振动、噪音。</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水系统</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⑴、检查在标准水流工况下，进出冷水机组冷冻水的压力差、冷却水的压力差，如压力差超过标准值应用专用化学药剂对板式换热器进行清洗。</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⑵、检查水管道中是否有漏水现象并更换失效的密封胶圈。</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⑶、检查冷冻系统、冷却系统管道，更换破损的保温及损坏的压力表、温度计、阀门等。</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二、中央空调系统循环水泵供冷季前的维护工作：</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1、将水泵解体，检查电机定子线包颜色、绝缘程度，对于绝缘程度较低的电机定子进行重新烘干浸漆处理；</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2、用专用药液清洗水泵叶轮、叶轮涡壳，更换涡壳密封垫；</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3、调整水泵叶轮间隙及水泵叶轮的动平衡； </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4、检查水泵内外接线端子有无断裂的现象；</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5、更换水泵机械密封；</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6、对于游隙超差的电机轴承更换为日产精工牌低噪声DDCM级专用电机轴承。</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7、检查维护水泵电机配电线路，检查水泵内外接线端子是否有断裂现象，摇测配电线路绝缘程度，对于绝缘低的线路或过电流的线路进行换线处理；</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三、中央空调系统冷却水塔供冷季前的维护工作：</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1、用专用化学药剂清洗冷却水塔散热片。</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2、清理冷却水塔布水器、布水器喷嘴，更换损坏的布水器喷嘴；并对布水器进行除锈、防腐及刷漆的工作。</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3、对冷却水塔风机扇叶进行除锈、防腐、刷漆。</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4、清理冷却水塔过滤网、接水盘，如果接水盘有漏水现象，进行修补；</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5、维修水塔补水装置、卸水装置，更换失效的浮球阀，检查调整水箱水位计；</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6、将风机电机解体，检查电机定子绕组线包，是否有变色和过电流现象，摇测电机绝缘，对于绝缘低的定子线包进行烘干、浸漆处理；</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7、检查风机、电机轴承，更换润滑脂，将游隙超差的风机电机轴承更换为日产精工牌DDCM级专用电机轴承；</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8、重做风机电机封水密封，重新安装风机并做防锈、防腐处理；</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9、检查风机电机的配电线路、接线端子，有无断裂的现象，导线有无过电流的现象及配电线路绝缘程度，对损坏的相应部分做更换处理；</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10、调整风机电机皮带松紧度，更换布水轮轴承。</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四、中央空调系统装配式空调箱供冷季前的维护工作：</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1、风机电机解体，控制电机转子线包颜色有无变色、过电流现象。</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2、摇测电机绝缘，对于绝缘低的电机进行烘干、浸漆处理。</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3、检测电机转子轴承的游隙，对于游隙超差的轴承做更换处理。</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4、检查并调整风机电机皮带轮的平行度，调整风机电机皮带的松紧度。</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5、检查风机减震装置、风道阀门是否正常。</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6、检测与该风机相匹配的防火调节阀是否工作正常。</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7、检查空调箱及全新风空气处理机组进出水温度差、压力差，对数值超差的空调箱用专用化学药剂清洗盘管内侧。</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8、检查空调箱及全新风空气处理机组凝结水接水盘、凝水管出水弯儿，打通堵塞的凝水管，重新调整凝水管的出水弯度。</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9、检查空调箱及全新风空气处理机组的箱体，更换破损的密封条，对漏水处做补胶处理，对锈蚀处做防锈处理。</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10、对空调箱及全新风空气处理机组的内、外进行清理、除尘。</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五、中央空调系统末端供冷季前的维护、检修工作：</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1、根据风机盘管出风情况，检修风机电机，清理风机盘管换热器、进风口。</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2、将所有风机盘管的过滤网清洗一次，检查风机盘管进出水管温度差，对于温差较大的风机盘管进行反冲洗。</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3、检查风机盘管配电线路有无松动现象。</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4、清理风机盘管凝水盘，打通凝水管。</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5、风机盘管做满水试验。</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6、检查风机盘管电机，并对噪音较大、轴向动较大的电机更换电机轴承。</w:t>
      </w:r>
    </w:p>
    <w:p>
      <w:pPr>
        <w:tabs>
          <w:tab w:val="left" w:pos="5010"/>
        </w:tabs>
        <w:ind w:firstLine="420" w:firstLineChars="200"/>
        <w:rPr>
          <w:rFonts w:asciiTheme="minorEastAsia" w:hAnsiTheme="minorEastAsia" w:eastAsiaTheme="minorEastAsia" w:cstheme="minorEastAsia"/>
          <w:szCs w:val="21"/>
        </w:rPr>
      </w:pP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r>
        <w:rPr>
          <w:rFonts w:hint="eastAsia" w:asciiTheme="minorEastAsia" w:hAnsiTheme="minorEastAsia" w:eastAsiaTheme="minorEastAsia" w:cstheme="minorEastAsia"/>
          <w:szCs w:val="21"/>
        </w:rPr>
        <w:t>【附件3】</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中央空调系统设备日常保养内容</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一、机组的保养</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1、每日检查机组冷却水、冷冻水管口的进、出水压力差；</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2、每日测量工作电流是否在正常范围之内；</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3、每日对机组进行擦拭工作；</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4、每周对机组进行至少两次的反冲洗；</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5、每周对冷却水的水质进行化验；</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6、每月检查机组各模块强电、弱点的配电线路是否可靠；</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7、每月检查各压缩机油的容量和清洁度；</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8、每月对接触器、接线端子进行紧固；</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9、供冷季前先用“冰点校零”，再用点温计与感温探头进行校对的方法，检查各路传感器测温是否正确；</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10、供冷季前后用清洗剂清洗电脑内主板、电源板，机组的单元电子板、总接口板，接触器的触头。</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二、中央空调系统循环水泵的保养</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1、每日测量水泵的工作电流；</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2、每日测量水泵的壳温；</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3、每日检查水泵的前后压力差；</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4、每日检查水泵叶轮的转速；</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5、每日检查水泵电机轴承有无异常噪音；</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6、每日检查水泵机械密封，观察有无漏水，有无异常噪音；</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7、每日对水泵壳体进行擦拭工作；</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8、每月检查维护水泵电机配电线路，摇测绝缘程度；</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9、每月检查水泵密封圈；</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10、每年对水泵电机轴承上油；</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11、每年调整水泵叶轮间隙及水泵叶轮的动平衡；</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12、每两年更换水泵电机轴承润滑脂，并更换游隙超差的轴承。</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三、中央空调系统末端风机盘管的保养</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1、供冷季前对其风机盘管的过滤网清洗一次，检查风机盘管进出水管温度差，对于温差较大的风机盘管进行反冲洗；</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2、每月检查风机盘管配电线路有无松动现象；</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3、每月检查风机盘管的三速开关是否正常，风速是否符合标准；</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4、每月检查风机盘管电机，有无异常噪音；</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5、每月清理风机盘管凝水盘，打通凝水管；</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6、每年对风机盘管做满水试验。</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四、装配式空调箱的保养</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1、每日检查空调机组供、回水的压差和温差，电机工作电流是否在正常范围之内；</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2、每日检查风道阀门是否正常，有无漏风象；</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3、每日检查空调机组的管道阀门有无漏水现象；</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4、每周检查调整空调机组风机电机皮带；</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5、每月对风机轴承换油；</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6、每月对风机支架的螺丝进行紧固；</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7、每月检查风机减震装置是否正常；</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8、每月清洗空调箱过滤网、换热器肋片；</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9、每月对风机电机轴承进行上油；</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10、每月检查风机电机的配电线路，摇测电机绝缘；</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11、每月对空调机组内部进行清洁工作；</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12、每两年用专用药液清洗换热片；</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13、每两年更换电机润滑脂。</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五、冷却水塔的保养</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1、每日检查水塔补水装置；</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2、每日检查水箱水位，及时调整水位计；</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3、每日检查水塔布水情况；</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4、每日测量风机工作电流，是否在正常范围之内；</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5、每周清洗水塔塔盘及其过滤网；</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6、每月调节风机皮带的松紧度；</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7、每月检查风机的配电线路，摇测电机绝缘程度；</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8、每月检查风机电机轴承，检查有无异常噪音；</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9、供冷季前对冷却塔的填料进行清洗，必要时用药液进行清洗。</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六、中央空调系统各配电柜的保养</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1、每月检查各配电柜的电压和电流是否在正常范围之间；</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2、每月检查各连接导线是否有过电流的现象；</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3、每月检查各类接触器、继电器、热保护器是否可靠；</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4、每月清洗各接触器的触头；</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5、每月对配电柜内部进行清洁工作；</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6、每月对各接线柱接线端子进行紧固；</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7、每月对各汇流母排的连接进行紧固。</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七、水泵的保养</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使用时检查水泵有无异常噪音；</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使用时检查水泵上有无被赃物堵住；</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每周对水池进行清洗；</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每月检查维护水泵电机配电线路，摇测绝缘程度；</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每月检查水泵密封圈；</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每年对水泵电机轴承上油；</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每两年更换水泵电机轴承润滑脂，并更换游隙超差的轴承。</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八、中央空调系统管路水过滤器的保养</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1、每日检查水过滤器有无漏水现象；</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2、根据系统水质情况每天（每周、每月）对水过滤器进行冲洗；</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3、如发现水过滤器有脏堵现象，则将其拆卸进行清洗。</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九、温度计的保养</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1、每日对温度计进行擦拭工作；</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2、每月用电温计对水温进行测量，与温度计显示温度对比，判断温度计好坏。</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十、压力表的保养</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1、每日对压力表进行擦拭工作；</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2、每月用新的压力表进行校准。</w:t>
      </w:r>
    </w:p>
    <w:p>
      <w:pPr>
        <w:tabs>
          <w:tab w:val="left" w:pos="5010"/>
        </w:tabs>
        <w:ind w:firstLine="420" w:firstLineChars="200"/>
        <w:rPr>
          <w:rFonts w:asciiTheme="minorEastAsia" w:hAnsiTheme="minorEastAsia" w:eastAsiaTheme="minorEastAsia" w:cstheme="minorEastAsia"/>
          <w:szCs w:val="21"/>
        </w:rPr>
      </w:pP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r>
        <w:rPr>
          <w:rFonts w:hint="eastAsia" w:asciiTheme="minorEastAsia" w:hAnsiTheme="minorEastAsia" w:eastAsiaTheme="minorEastAsia" w:cstheme="minorEastAsia"/>
          <w:szCs w:val="21"/>
        </w:rPr>
        <w:t>【附件4】</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开利多机头冷水机组操作规程</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一、冷水机组空载运行操作规程</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1、检查主电源接线和电压是否符合荷技术规范。</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2、检查控制开关柜的控制元件、控制线路、电器联接，确保线路联接、电压与要求相符。</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3、检查各压缩机曲轴箱内的油位是否正常。</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4、检查油加热器是否可以正常工作。</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5、检查机组各密封处接头、法兰、焊口、各阀门有无泄漏现象。</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6、检查冷水机组温度传感器、压力传感器、多级控制器是否正常。</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7、检查冷水机组冷却系统、冷冻系统水流开关动作是否正常、水流保护是否可靠。</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8、打开吸气、排气截止阀。</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9、在蒸发器冷冻水正常循环情况下，打开液路操作阀，将冷媒导入蒸发器。</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10、检查氟利昂充注量是否符合开机要求。</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11、压缩机曲轴箱和油加热器通电24小时，检查油温、油位是否正常。</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12、断开各压机的动力开关，机组通电，进行 “空运转”，调试机组控制系统。</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二、冷水机组正式开机运行操作规程</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1、先检查冷却水塔，膨胀水箱是否亏水，水塔风扇是否工作正常，水塔布水轮转速是否工作正常，布水杆有无脱落。</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2、开启冷却泵，冷冻泵和水塔并检查主电路是否闭合，主接触器是否吸合，各水泵有无异常噪音、振动，是否工作正常。</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3、检查冷却水系统进入机组的压力，进出机组的压力差，如发现压力或压力差变大及时反冲，发现压差过小及时检查水路阀门或过滤器过滤网有无堵塞。</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4、开启冷却泵、冷冻泵，水泵运行15分钟后，检查压力值是否正常，再启动机组。</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5、开启机组20分钟后，检查冷却水进出温度、冷冻水进出温度，如发现冷却水温超过35℃，应停机检查水泵、水塔工况，如发现冷冻水温度（蒸发温度低于水温1倍）过低或机组无故不起机，则反冲冷冻水系统。</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6、如发现冷水机组产生故障机，应分析并排除产生故障机的原因，再从电脑上排除故障机。</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7、待机组冷冻水回水温度降到12℃以下时，再打开新风机组。</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8、关机时先关掉冷水机组、冷却水泵、冷却塔。</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9、待冷冻水温升到18℃以上，再关冷冻水泵、新风机组。</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10、每天清洗一次冷却水过滤器、过滤网。</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11、每天对冷却水系统反冲一次，反冲水量占总水量的1/2。</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12、每周清洗一次水塔过滤网和水塔塔盘。</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13、每天三次检查冷却水塔是否亏水。</w:t>
      </w:r>
      <w:r>
        <w:rPr>
          <w:rFonts w:hint="eastAsia" w:asciiTheme="minorEastAsia" w:hAnsiTheme="minorEastAsia" w:eastAsiaTheme="minorEastAsia" w:cstheme="minorEastAsia"/>
          <w:szCs w:val="21"/>
        </w:rPr>
        <w:br w:type="page"/>
      </w:r>
      <w:r>
        <w:rPr>
          <w:rFonts w:hint="eastAsia" w:asciiTheme="minorEastAsia" w:hAnsiTheme="minorEastAsia" w:eastAsiaTheme="minorEastAsia" w:cstheme="minorEastAsia"/>
          <w:szCs w:val="21"/>
        </w:rPr>
        <w:t>【附件5】</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中央空调系统运行要求</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1、按照中央空调用户要求按时开启和关闭中央空调系统。</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2、每季度清洗一次所有风机盘管过滤网，如有故障应及时清理、维修、更换零件。</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3、每月清洗一次新风机组过滤网。</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4、每天对冷却水系统反冲一次。</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5、每月对所有空调系统（配电柜、水泵、水塔、新风机组等）进行一次常规保养，未经主管工程师许可不得随意变动配电柜及冷水机组内的设定数值。</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6、每周清洗一次水塔过滤网和水塔水盘。</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7、每二小时对中央空调系统各主要设备运行工况进行记录，填写运行记录表，每半小时检查一次水泵及电机的温升，并检查运行电流是否在额定电流范围值之内，是否缺相运行，水泵冷却水是否亏水。</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8、对于水系统水质较差的，每天清洗一次冷却系统Y型过滤器。</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9、每周清洗一次冷冻系统Y型过滤器。</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10、每天抽查检测各楼层系统末端的温度，及出风情况。</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11、每两小时检查定压罐定压装置、冷却塔、水系统补水水箱是否亏水，冷却塔是否溢水，风扇转速是否正常。</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12、每天擦拭一遍机房内的所有设备。</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13、每天清理一次机房内卫生，要做到机房内整洁，所有物品摆放整齐。</w:t>
      </w:r>
    </w:p>
    <w:p>
      <w:pPr>
        <w:tabs>
          <w:tab w:val="left" w:pos="5010"/>
        </w:tabs>
        <w:ind w:firstLine="420" w:firstLineChars="200"/>
        <w:rPr>
          <w:rFonts w:asciiTheme="minorEastAsia" w:hAnsiTheme="minorEastAsia" w:eastAsiaTheme="minorEastAsia" w:cstheme="minorEastAsia"/>
          <w:szCs w:val="21"/>
        </w:rPr>
      </w:pP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p>
      <w:pPr>
        <w:tabs>
          <w:tab w:val="left" w:pos="5010"/>
        </w:tabs>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【附件6】</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中央空调机组技术支持工作内容</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1、检查并记录机组的冷却水压力差、冷冻水压力差值，并检查用户日常记录表，观察进入机组的压力变化趋势。</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2、启动所有压机工作20分钟后，记录冷却水进出水温度值，测量每一压机的冷凝温度、排气温度、吸气温度，对于冷凝温度超过标准的冷水机组，分析温度过高的原因，找出处理办法，并报公司备案。</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3、测量并记录20%压机逐次轮换三项电流值并检查该压机电源箱内连接导线有无松动、变色，接线端子有无松动现象。</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4、检查电脑故障档案，检查并记录所有故障的发生时间、类型，发生故障（应调准机器电脑时钟）为用户分析产生故障的原因。</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5、检查机组电脑控制系统是否工作正常，检查机组氟系统是否工作正常。</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6、定时对机组进行反冲、排污（模块机每天反冲一次，螺杆机每周排污一次）。</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7、检查水塔是否工作正常，布水轮转速是否工作正常，水塔塔盘中、水质中有无藻类滋生，水塔工作电流是否在允许范围之内。</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8、检查所有压机工作时的阀温、水温是否工作在允许的范围之内，如果阀温与水温相差超过一倍时，及时督促值机人员反冲冷冻系统。</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9、排除已产生的故障机。</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10、检查水泵温升、水泵扬程、水泵电流是否在允许范围之内，水泵工作有无异常噪音。</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11、检查设备现场的药品用量、存量，存量不足的及时给予补充，质量不合格或过期的药品及时处理。</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12、对于系统冷却水温超过37℃的系统，及时对水泵、水塔的工况进行检查，找出产生故障的原因进行修复，并报甲方和公司备案。</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13、对风冷机组检查盘管换热器内外侧的清洁程度。</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14、对于风冷机应检查各传感器有无掉出测温管的现象，冷却风扇有无振动噪音。</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15、检查中央空调系统的空调箱及其他末端工作是否正常，并向用户提出建设性意见。</w:t>
      </w:r>
    </w:p>
    <w:p>
      <w:pPr>
        <w:tabs>
          <w:tab w:val="left" w:pos="5010"/>
        </w:tabs>
        <w:ind w:firstLine="420" w:firstLineChars="200"/>
        <w:rPr>
          <w:rFonts w:asciiTheme="minorEastAsia" w:hAnsiTheme="minorEastAsia" w:eastAsiaTheme="minorEastAsia" w:cstheme="minorEastAsia"/>
          <w:szCs w:val="21"/>
        </w:rPr>
      </w:pPr>
    </w:p>
    <w:p>
      <w:pPr>
        <w:tabs>
          <w:tab w:val="left" w:pos="5010"/>
        </w:tabs>
        <w:ind w:firstLine="420" w:firstLineChars="200"/>
        <w:rPr>
          <w:rFonts w:asciiTheme="minorEastAsia" w:hAnsiTheme="minorEastAsia" w:eastAsiaTheme="minorEastAsia" w:cstheme="minorEastAsia"/>
          <w:szCs w:val="21"/>
        </w:rPr>
      </w:pP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r>
        <w:rPr>
          <w:rFonts w:hint="eastAsia" w:asciiTheme="minorEastAsia" w:hAnsiTheme="minorEastAsia" w:eastAsiaTheme="minorEastAsia" w:cstheme="minorEastAsia"/>
          <w:szCs w:val="21"/>
        </w:rPr>
        <w:t>【附件7】</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中央空调系统供冷季后检修保养内容</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1、将所有风机盘管过滤网清洗一次，用毛刷清理风机盘管凝水盘。</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2、检查风机盘管有无出风量过小、噪音过大的现象，对于发生该现象的盘管，则清理换热器进风口，更换电机轴承。</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3、冷冻系统撤水，清理Y型过滤器过滤网，重新上水清洗管道，待管道内水清洁为止，然后重新上水。</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4、检查管道，对于锈蚀的管道空调系统设备（如：水泵、阀门）和破损的保温，做重新刷漆、保温的工作。</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5、更换损坏的阀门、压力表及温度计。</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6、清理膨胀水箱、补水箱，并对其内外做防锈处理。</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7、检查膨胀水箱、补水箱的自动补水系统和液位控制系统是否可靠。</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8、将冷却塔内污泥、藻类、水碱全部清理干净，将冷却塔电机皮带摘下另行保管。将风机轴承换油。将风机架调整螺栓，水塔补水、卸水阀门，阀门安装螺栓，全部做油封处理。</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9、关闭冷却塔自动补水管，放尽室外所有管道内的水，关闭冷却管道室外阀门，并将补水管从室内拆开，将室外管道（补水管、冷却管、电线管）重新做防锈处理。</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10、检查配电柜内及所有设备的配电盒内的接线端子是否牢固，所有导线有无过电流现象，及时更换损坏的导线、端子板、柱并将内部灰尘清理干净。</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11、检查配电柜内所有接触器、空开、中间继电器内触点是否有烧损现象，及时更换损坏的元件并将内部灰尘清理干净。</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12、利用系统内的水，对机组冷冻、冷却系统进行反复冲洗，直到水清洁为止，清理冷却系统Y型过滤器、过滤网，将进、出机组的阀门关闭，将排水阀门关闭。</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13、将机组内外擦拭干净，将电源配电盒打开，检查接线端子是否牢固、是否过电流、绝缘是否完好，电源进线与机组机架之间是否固定牢固、是否有磨损的现象，并清理接线盒内的灰尘。</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14、将机组各压机配电箱打开，检查其内部接线端子是否牢固，导线有无过电流现象，主接触器触头有无烧损现象并清理内部灰尘。</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15、将机组总接口板、单元板温度控制板、电脑主板、电脑电源板、电脑单元板用无水乙醇擦拭干净（由专业工程师完成）。</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16、清洗空调箱、过滤网，检修空调箱电机、风机轴承，检修空调器的电机轴承；检查风机传送皮带并增加备用皮带。</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17、检修冷冻泵、冷却泵、补水泵的电机轴承和水泵机械密封，摇测电机绝缘。</w:t>
      </w:r>
    </w:p>
    <w:p>
      <w:pPr>
        <w:tabs>
          <w:tab w:val="left" w:pos="5010"/>
        </w:tabs>
        <w:ind w:firstLine="420" w:firstLineChars="200"/>
        <w:rPr>
          <w:rFonts w:asciiTheme="minorEastAsia" w:hAnsiTheme="minorEastAsia" w:eastAsiaTheme="minorEastAsia" w:cstheme="minorEastAsia"/>
          <w:szCs w:val="21"/>
        </w:rPr>
      </w:pP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r>
        <w:rPr>
          <w:rFonts w:hint="eastAsia" w:asciiTheme="minorEastAsia" w:hAnsiTheme="minorEastAsia" w:eastAsiaTheme="minorEastAsia" w:cstheme="minorEastAsia"/>
          <w:szCs w:val="21"/>
        </w:rPr>
        <w:t>【附件8】</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维修人员工作条例</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1、维修人员必须认真阅读所运行机组的说明书，熟悉所代维项目部使用的机组的工作原理及构造。</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2、维修人员必须清楚机组的正常工作状态，熟悉故障的产生原因，熟练掌握排除故障的方法。</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3、维修人员必须熟悉中央空调系统中水泵、水塔、空调箱、系统的构造、原理和正常的工作状态。对于设备、系统故障能够做到判断准确，及时排除。</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4、维修人员必须了解所运行中央空调系统各类设备的配电系统的控制原理、设备安全运行的要求、正常工作状态。</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5、维修人员在上岗前必须检查维修工具包内的维修工具及常用的维修材料是否齐备，维修人员在岗时必须携带维修工具包，以备随时抢修、维修。</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6、中央空调系统运行前，维修人员听从维修领班的调配，按照《中央空调系统供冷前维护计划》的要求对中央空调系统进行维护保养。</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7、维修人员在没有接到维修、抢修工作时，需按照《中央空调系统水设备日常保养计划》的要求对中央空调系统进行维护保养。</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8、设备维护工作完成后，维修人员需要及时对维护的工作内容进行记录，填写“设备维护记录表”，并将填好的记录表交由维修领班管理存档。</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9、维修人员在接到抢修、维修任务后，确保5分钟到达故障现场，迅速查清故障原因，及时排除故障，维修工作结束后，要对所维修的设备进行试机，观察其运行情况，确保故障彻底排除，维修工作结束。</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维修工作完成后，维修人员需要在现场根据实际情况填写一份维修工作记录单，对于中央空调各类设备的维修填写“设备报修记录表”，请用户代表进行验收并签字确认；对于系统中其他附件的维修填写“维修单”，请故障发生所在地的负责人签字确认。对于维修记录每日工作结束后交维修领班存档。</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11、维修人员在维护保养、维修、抢修工作结束后及时清理工作现场的杂物，做到文明施工。</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12、维修工具使用完毕，擦净后放回维修工具包，不得随意丢放。维修人员要做到妥善保存维修工具，维修工具的维修、更换需要及时上报，如因此影响维修工作进程，由维修人员承担延误工作的后果。</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如发生中央空调系统因故断电，维修领班必须立即赶赴中央空调控制室，或派技术可靠的维修人员赶赴现场，协助运行领班处理好系统的各种紧急情况，并与值机运行人员相互协作，确保供电后尽快恢复系统运行。</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14、维修人员在维修工作中需严格按照设备的操作规程和安全用电的原则，在维修工作中严禁违章操作，凡因在工作中违章而造成的人员伤害或设备的损坏，均由当事人负责。</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15、维修人员在维修过程中如因违反操作规程而将用户的设备损坏，由该维修人员赔偿设备价格的20％，维修领班负担30％，公司承担50％的赔偿费。</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16、维修人员需对维修业务熟练，对于维修的内容要求一次维修成功，对于因维修人员工作失误而造成的一项维修工作多次复修的，公司将根据情节对相应人员做出处罚。</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17、维修人员应认真解答用户提出的问题，让用户了解设备产生故障的原因和今后避免发生故障的方法。</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18、维修人员应尽量满足维修用户提出的要求，对于用户提出的投诉，如果责任确在维修人员，公司将视情节做出处罚。</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19、维修人员维修工作中应注意自己的仪表、谈吐。</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20、维修人员不得擅自向用户索要或接收用户的任何财物。</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r>
        <w:rPr>
          <w:rFonts w:hint="eastAsia" w:asciiTheme="minorEastAsia" w:hAnsiTheme="minorEastAsia" w:eastAsiaTheme="minorEastAsia" w:cstheme="minorEastAsia"/>
          <w:szCs w:val="21"/>
        </w:rPr>
        <w:t>【附件9】</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中央空调值机人员工作纪律</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1、严格按照中央空调系统运行要求进行每天的运行工作。</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2、严格遵守设备的操作规程，运行操作及维修中央空调系统的各个设备。违章操作造成的设备损坏由当事人和设备负责人按比例共同承担（比例根据情节而定）。</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3、各代维护点设备负责人负责组织按中央空调系统运行要求对管理的设备进行经常的维护和保养，并指导其他人员对设备的操作和运行。</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值机人员要坚守岗位，有事要事前请假，请假时间不得超过24小时，如果请假时间超过24小时，须提前1周请假；请假时间需经中标单位项目部经理批准，对于请假的员工必须按时归队，逾期不能归队者必须向中标单位项目部经理续假，否则以旷工处理；旷工三天以上按除名处理。在供冷季无特殊情况请假不得超过3天，对工作在有全年代维任务的代维点员工，探亲假由中标单位项目部经理统一安排，春节期间原则上不放假，对于春节期间需要探亲的员工，需在1个月之前将原因书面呈报给中标单位项目部经理。</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5、值机人员当班时不许看与工作无关的书报、小说，不许会客。</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6、值机人员不准脱离岗位，备勤人员在没有维修工作的情况下不得外出。值班人员不得外出、不得做与工作无关的事。</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7、值机人员不许在代维点抽烟、喝酒、打闹，一经发现从重处罚。</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8、在代维点值机人员要衣冠整齐，在代维工作中使用文明用语，不得进入甲方无人的办公室和工作间。</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9、值机人员在值机过程中发现系统设备出现故障时，必须立即报告项目主管，隐藏事故不报者，一经发现从重处罚。</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10、值机人员在检查和维修工作中要注意保护甲方的设备、装修，维修工作完成后要将场地清理干净。</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11、学院不提供住宿，机房不允许外来人员进入。</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12、每天必须清扫一次机房卫生。</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13、严格遵守中央音乐学院相关规章制度。</w:t>
      </w:r>
    </w:p>
    <w:p>
      <w:pPr>
        <w:tabs>
          <w:tab w:val="left" w:pos="5010"/>
        </w:tabs>
        <w:ind w:firstLine="420" w:firstLineChars="200"/>
        <w:rPr>
          <w:rFonts w:asciiTheme="minorEastAsia" w:hAnsiTheme="minorEastAsia" w:eastAsiaTheme="minorEastAsia" w:cstheme="minorEastAsia"/>
          <w:szCs w:val="21"/>
        </w:rPr>
      </w:pP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r>
        <w:rPr>
          <w:rFonts w:hint="eastAsia" w:asciiTheme="minorEastAsia" w:hAnsiTheme="minorEastAsia" w:eastAsiaTheme="minorEastAsia" w:cstheme="minorEastAsia"/>
          <w:szCs w:val="21"/>
        </w:rPr>
        <w:t>【附件10】</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项目部人员岗位职责</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一、项目经理</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1、任职条件</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（1）基本素质：具有丰富的中央空调的专业知识，责任心强，善于沟通，具有团队合作的意识，具有良好的心理素质和一定的组织管理能力，身体健康。持有制冷设备维修工种 二级/技师职业资格证书。35周岁以上至50周岁以下。</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（2）文化程度：大学专科或专科以上。</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（3）工作经验：策划管理过大、中型中央空调系统的维护，并具有10年以上管理经验。</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特殊要求：熟悉中央空调各类机组的运行要求，熟悉中央空调系统主要设备的使用注意事项、工作性能、操作及维护的要求、运行工况，同时要求具有较扎实的配电基础，并有一定的实践经验，能够带领全体工作人员完成规定的工作。</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2、岗位职责</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（1）贯彻、执行用户单位的各种方针、政策和制度。与客户建立良好的合作关系，与公司物业管理部保持及时有效的联系。</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（2）负责定期向公司领导汇报项目部管理工作情况，做好上级的指示、工作任务的下达并监督执行，同时及时将员工建议、请求上传有关领导。</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（3）负责中央空调系统供冷运行中的各项工作的生产调度，负责供冷运行时人员、物资的管理。</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（4）根据运行时的记录表、工作日志及维修时使用的记录表，负责对运行班、维修班的工作情况进行每周的讲评，确保两个班组安全、高效的完成相应的工作内容。保证供冷的正常进行。</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（5）根据ISO9001质量管理体系要求，审定并监督各项管理制度、规程的执行。确保客户使用的中央空调系统的安全、稳定、良好的运行。</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（6）供冷季结束后审阅运行班领编写的“工作总结”及相关工作记录，并负责将运行档案整理、装订后交由客户代表阅览。</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（7）负责健全项目部培训制度，确保员工掌握必备的专业技能。</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（8）负责组织项目部的全体人员学习中央空调运行项目部的各项规章制度及岗位责任，定期进行必要的安全教育。</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（9）及时将客户对中央空调系统的要求给予公布，并监督责任部门相关改进工作的执行。</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（10）负责了解、掌握下属员工思想状态和工作情况，做好思想品德教育工作，负责本部门员工的业绩评估，并按照有关的奖惩制度实施奖惩。</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（11）以用户的需求为出发点，带领所属人员完成项目部的各项工作。</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二、运行领班</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1、任职条件</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（1）基本素质：掌握一定的中央空调专业知识和基本技能，责任心强，善于沟通，具有一定的现场组织能力和管理能力，身体健康。持有中央空调系统操作员高级职业资格证书。35周岁以上至50周岁以下。</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（2）文化程度：中专</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（3）工作经验：具有6年以上大、中型中央空调系统的运行维护经验。</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特殊要求：熟悉中央空调机组的结构、工作原理、操作及运行要求，熟知其常见的故障及解决方法，并能够对机组进行日常的维护和检查，了解中央空调系统各主要机械设备的工作性能、工艺要求、运行工况、维护要求、使用注意事项等，同时要求具有较扎实的配电基础，并有一定的实践经验。非常熟悉中央空调系统基本组成和工作原理。</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2、岗位职责</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（1）负责对调试完成的中央空调系统进行验收、接管，针对用户提出的供冷要求，安排进行供冷运行的调整。</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（2）组织值机运行人员学习《中央空调系统运行要求》及《中央空调系统值机运行人员要求》，并确保下属人员按要求进行值机运行，完成相应的工作。</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（3）确保所有中央空调系统的设备正常运行，本着安全运行的原则，指导、监督值机运行人员不发生违章操作。</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随时掌握中央空调系统中的各主要动力设备的运行情况，对中央空调系统发生的异常情况及时做出正确判断，并立即通知维修班进行处理。并负责对维修后的效果进行二次检验，报修人员需对维修工作予以确认。</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（5）如值机运行人员在系统运行中遇到疑难问题，负责与项目经理尽快取得联系，分析、解决运行问题。</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督促值机运行人员按要求认真详细的对各设备的运行记录表进行填写，对每班值机运行人员的工作情况进行如实记录，并负责对各项记录做好档案的保存。确保中央空调系统的运行情况有据可查，并为维修人员提供可靠的记录档案。</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（7）根据一周的人员工作情况，中央空调系统设备运行情况，每周向项目经理进行工作汇报。</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（8）组织完成上级领导指派的其它工作。</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三、库房管理人员（为兼职人员）</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1、任职条件</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（1）基本素质：工作认真负责，一丝不苟，为人正直，人际关系融洽。年龄25岁以上至45岁以下，身体健康。持有中央空调系统操作员中级职业资格证书。</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（2）文化程度：中专</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（3）工作经验：具有3年以上材料库房管理经验。</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2、工作职责：</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（1）按照《库房管理规定》进行库房的管理。</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（2）负责统计材料的库存量、月用量，当所用物资出现短缺时，上报维修领班，同时负责甲方部分物品的接收和管理。</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（3）货物入库必须严格检验，根据申购的数量及规格，检查货物的有效期、数量、质量，符合要求方可入库。</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（4）在货物入库时，物品装卸要轻拿轻放，分类码放整齐，杜绝不安全隐患。</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（5）加强对库存物资的管理，落实防火措施及卫生措施，保证库存物品的完好无损，存放合理，摆放整齐美观。</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（6）物品到货后要对相应记录表进行登记，准确如实记录。</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（7）发货时需经维修领班审批后方可出库；发货后要及时登记有关记录。</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（8）按期做好每月的盘点工作，做到帐物相符、帐帐相符。</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（9）完成上级领导指派的其它工作。</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四、值机运行人员</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1、任职条件</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（1）基本素质：掌握一定的中央空调专业知识和制冷技术，较高的实操技能，理解能力较强肯钻研，有责任心，善于沟通，年龄25岁以上至45岁以下，身体健康。持有中央空调系统操作员中级职业资格证书。</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（2）文化程度：中专</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（3）工作经验：具有3年以上大、中型中央空调系统的运行维护经验。</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特殊要求：非常熟悉中央空调系统的工作原理和基本组成，熟悉制冷原理及制冷系统设备构成，并能够对制冷设备进行简单的维修，了解冷水机组的工作原理及基本的运行要求何操作程序，了解空调系统配电原理及使用要求。</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2、工作职责</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负责空调系统调试后的运行管理工作，按照《中央空调系统运行要求》及《中央空调系统值机运行人员工作纪律》对系统的运行进行管理。负责对用户的中央空调系统进行检查，并巡查、记录主要设备运行工况，并对每次记录情况进行分析，发现异常立即报给维修领班。</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负责对中央空调系统及主要设备故障的及时发现并确认，同时将故障事实报给维修领班予以处理，确保系统的故障和故障隐患的尽早发现，使得故障设备及时维修，故障现象及时排除，确保中央空调系统各使用设备的正常运转。</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（3）自觉学习中央空调运行项目部的规章制度，了解用户对项目部人员的要求，熟知各自的岗位责任，并严格遵守《中央空调系统值机运行人员工作纪律》。</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（4）听从运行领班的指派调度，完成上级交给的各项工作。</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五、维修人员</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1、任职条件</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基本素质：掌握一定的中央空调专业知识和制冷技术，具有较高空调系统维修技能，理解能力较强，肯钻研，有责任心，善于沟通，身体健康，年龄25岁以上至45岁以下。持有中央空调系统操作员中级职业资格证书。</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（2）文化程度：中专</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（3）工作经验：具有3年以上大、中型中央空调系统的维护经验。</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特殊要求：非常熟悉中央空调系统的工作原理和基本组成，熟悉空调水系统和风系统的结构、各设备的组成部件及其使用工况要求，能够准确地察觉空调系统在使用中的故障隐患，能够对设备故障进行维修、调试。</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2、工作职责</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（1）按照《维修人员工作条例》对中央空调系统出现的故障进行维修工作，不得违章操作。</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（2）在中央空调系统运行前，负责对系统中的各设备（冷水机组、空调箱、循环水泵、水塔、风机盘管等）进行检查、维修、维护保养等工作。</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（3）熟练掌握整套系统的调试规程和操作要求，为保证中央空调系统的运行效果，负责对整套系统进行调试，使其满足供冷要求的同时，确保系统正常运行。</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（4）在中央空调系统运行中，负责对中央空调系统的各类设备进行日常的保养工作。</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（5）在中央空调系统运行中，负责对系统运行中的故障进行及时准确的判断和有效的维修、抢修，对于自己处理不了的问题及时通知项目经理。</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（6）定期检查常用的工具、仪器，对损坏的维修工具、仪器进行汇总，向公司汇报，并登记于《工具台帐》。</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（7）供冷过程中及时对各自的维修工具包内的材料进行补充，经库房管理员登记方可领取。</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（8）确保维修工作工程中相应维修记录的及时填写，妥善保留维修工作记录，按时将一周的维修记录表上交维修领班进行存档、综合管理。</w:t>
      </w:r>
    </w:p>
    <w:p>
      <w:pPr>
        <w:tabs>
          <w:tab w:val="left" w:pos="5010"/>
        </w:tabs>
        <w:ind w:firstLine="420" w:firstLineChars="200"/>
        <w:rPr>
          <w:rFonts w:asciiTheme="minorEastAsia" w:hAnsiTheme="minorEastAsia" w:eastAsiaTheme="minorEastAsia" w:cstheme="minorEastAsia"/>
          <w:szCs w:val="21"/>
        </w:rPr>
      </w:pPr>
    </w:p>
    <w:p>
      <w:pPr>
        <w:tabs>
          <w:tab w:val="left" w:pos="5010"/>
        </w:tabs>
        <w:ind w:firstLine="420" w:firstLineChars="200"/>
        <w:rPr>
          <w:rFonts w:asciiTheme="minorEastAsia" w:hAnsiTheme="minorEastAsia" w:eastAsiaTheme="minorEastAsia" w:cstheme="minorEastAsia"/>
          <w:szCs w:val="21"/>
        </w:rPr>
      </w:pPr>
    </w:p>
    <w:p>
      <w:pPr>
        <w:tabs>
          <w:tab w:val="left" w:pos="5010"/>
        </w:tabs>
        <w:ind w:firstLine="420" w:firstLineChars="200"/>
        <w:rPr>
          <w:rFonts w:asciiTheme="minorEastAsia" w:hAnsiTheme="minorEastAsia" w:eastAsiaTheme="minorEastAsia" w:cstheme="minorEastAsia"/>
          <w:szCs w:val="21"/>
        </w:rPr>
      </w:pP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r>
        <w:rPr>
          <w:rFonts w:hint="eastAsia" w:asciiTheme="minorEastAsia" w:hAnsiTheme="minorEastAsia" w:eastAsiaTheme="minorEastAsia" w:cstheme="minorEastAsia"/>
          <w:szCs w:val="21"/>
        </w:rPr>
        <w:t>【附件11】</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库房管理制度</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1、库房管理区内严禁烟火，库房所配备的消防设备必须保证安全有效，消除不安全隐患，未经准许非领料人员禁止私自动用库房内物资。</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2、认真做好“六防”（防火、防水、防潮、防鼠、防盗、防爆）的相关工作。</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库管员要尽职尽责、耐心细致、坚持原则，做到库房物品的妥善保管、摆放有序、标识清晰，并做到帐物相符、帐卡相符、物卡相符，保持库房卫生的清洁，根据实际情况合理调配物资，当所用物资出现短缺时，上报维修领班，由维修领班报请项目经理批准，确保物资的供应及时。</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4、维修所用设备、工具、材料等均应做入库、出库手续，损坏、丢失的要做到有帐可查。</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5、材料、物资入库时，库管员必须与送货人对所送材料、物资的数量及质量进行核对检查，核对无误后方可入库，如遇问题及时上报给项目经理解决。</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6、材料、物资入库后，库管员要做好入库登记，填写“ⅩⅩⅩ入库单”；每月要对库房内材料物资进行统计，填写“ⅩⅩⅩ库房月统计表”，并向甲方有关人员呈报物料本月的使用情况。</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7、材料、物资一经入库，与物资有关的一切事宜由库管员负责，因库管员管理不善引起的工作事故由库房管理员承担责任。</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8、材料、物资出库时，提料人员要在“ⅩⅩⅩ出库单”上注明使用地点，并签字确认，库管员负责填写 “出库单”上其他项目。</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9、库管员需将维修人员使用的工具汇总统计，登记于“工具台帐”本，凡库房帐目上已注册的各种设备、工具等如有丢失，按公司制度由有关负责人及当事人进行赔偿。</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10、库管员要认真负责，做到物资、帐目清楚，材料、工具及记录不丢失、不损坏，手续齐全，有问题及时向领导汇报，并保管好甲方的物品（包括办公物品）。</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11、库管员要对出库材料进行严格监督，不得违反本制度。</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12、严格遵守中央音乐学院相关规章制度。</w:t>
      </w:r>
    </w:p>
    <w:p>
      <w:pPr>
        <w:tabs>
          <w:tab w:val="left" w:pos="5010"/>
        </w:tabs>
        <w:ind w:firstLine="420" w:firstLineChars="200"/>
        <w:rPr>
          <w:rFonts w:asciiTheme="minorEastAsia" w:hAnsiTheme="minorEastAsia" w:eastAsiaTheme="minorEastAsia" w:cstheme="minorEastAsia"/>
          <w:szCs w:val="21"/>
        </w:rPr>
      </w:pPr>
    </w:p>
    <w:p>
      <w:pPr>
        <w:tabs>
          <w:tab w:val="left" w:pos="5010"/>
        </w:tabs>
        <w:ind w:firstLine="420" w:firstLineChars="200"/>
        <w:rPr>
          <w:rFonts w:asciiTheme="minorEastAsia" w:hAnsiTheme="minorEastAsia" w:eastAsiaTheme="minorEastAsia" w:cstheme="minorEastAsia"/>
          <w:szCs w:val="21"/>
        </w:rPr>
      </w:pP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r>
        <w:rPr>
          <w:rFonts w:hint="eastAsia" w:asciiTheme="minorEastAsia" w:hAnsiTheme="minorEastAsia" w:eastAsiaTheme="minorEastAsia" w:cstheme="minorEastAsia"/>
          <w:szCs w:val="21"/>
        </w:rPr>
        <w:t>【附件12】</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项目部安全管理制度</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1、全体项目部人员严格遵守用户单位制定的与中央空调系统运行相关的安全管理制度。</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2、杜绝重大设备事故与人身伤亡事故，确保供电、供水、供热、通风有线、无线通讯等设备正常运行。</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3、项目部各岗位人员（值机运行人员、维修人员、库房管理人员）上岗前必须充分休息，上岗后保持旺盛精力、精神集中，不做与本职工作无关的事情。</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4、坚守岗位，严禁擅离值守，禁止将工作转交他人或自行换班。不得在值班室或工作现场大声喧哗、嬉戏打闹。</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5、变配电柜必须可靠接地，保证接地电阻值合格。</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6、检修弱电设备时，必须防止配电系统电源短路。</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7、从事配电维修工作必须穿好绝缘胶鞋，使用安全用具，穿戴使用前务必进行绝缘性能的检查，使用后妥善保管。</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8、非电工人员严禁触摸电器设备的带电部位。</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9、严禁在各种设备上坐卧、休息、踩踏和行走，机械设备在运行中的转动部分不准进行清扫和修理。</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10、不准在值班室内会客，不准将无关人员带入工作现场。</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11、清楚消防器材的位置、性能及使用方法，书记火警电话119、匪警电话110、急救电话120和999。</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12、值班室工作现场严禁堆放易燃、易爆、腐蚀、有毒及一切与工作无关的物品。</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13、不准私拉电线，不准私接电器设备，不准使用明火电热器具，严禁违章用电。</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14、检修设备时机、具、料必须码放整齐，不得随意乱放。</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15、项目部各岗位人员在岗时及上岗前4小时之内严禁饮酒。</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16、值机运行人员发现设备缺陷及时上报、记录，对安全构成重大威胁的设备立即停止运行。并及时报给维修人员及项目经理。</w:t>
      </w:r>
    </w:p>
    <w:p>
      <w:pPr>
        <w:tabs>
          <w:tab w:val="left" w:pos="5010"/>
        </w:tabs>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17、全体项目部人员必须遵守各自工作岗位的工作规范，同时执行本安全管理制度的要求。</w:t>
      </w:r>
    </w:p>
    <w:p>
      <w:pPr>
        <w:tabs>
          <w:tab w:val="left" w:pos="5010"/>
        </w:tabs>
        <w:ind w:firstLine="420" w:firstLineChars="200"/>
        <w:rPr>
          <w:rFonts w:asciiTheme="minorEastAsia" w:hAnsiTheme="minorEastAsia" w:eastAsiaTheme="minorEastAsia" w:cstheme="minorEastAsia"/>
          <w:szCs w:val="21"/>
        </w:rPr>
      </w:pPr>
    </w:p>
    <w:p>
      <w:pPr>
        <w:tabs>
          <w:tab w:val="left" w:pos="5010"/>
        </w:tabs>
        <w:ind w:firstLine="420" w:firstLineChars="200"/>
        <w:rPr>
          <w:rFonts w:asciiTheme="minorEastAsia" w:hAnsiTheme="minorEastAsia" w:eastAsiaTheme="minorEastAsia" w:cstheme="minorEastAsia"/>
          <w:szCs w:val="21"/>
        </w:rPr>
      </w:pPr>
    </w:p>
    <w:p>
      <w:pPr>
        <w:tabs>
          <w:tab w:val="left" w:pos="5010"/>
        </w:tabs>
        <w:ind w:firstLine="420" w:firstLineChars="200"/>
        <w:rPr>
          <w:rFonts w:asciiTheme="minorEastAsia" w:hAnsiTheme="minorEastAsia" w:eastAsiaTheme="minorEastAsia" w:cstheme="minorEastAsia"/>
          <w:szCs w:val="21"/>
        </w:rPr>
      </w:pPr>
    </w:p>
    <w:p>
      <w:pPr>
        <w:tabs>
          <w:tab w:val="left" w:pos="5010"/>
        </w:tabs>
        <w:ind w:firstLine="420" w:firstLineChars="200"/>
        <w:rPr>
          <w:rFonts w:asciiTheme="minorEastAsia" w:hAnsiTheme="minorEastAsia" w:eastAsiaTheme="minorEastAsia" w:cstheme="minorEastAsia"/>
          <w:szCs w:val="21"/>
        </w:rPr>
      </w:pPr>
    </w:p>
    <w:p>
      <w:pPr>
        <w:tabs>
          <w:tab w:val="left" w:pos="5010"/>
        </w:tabs>
        <w:ind w:firstLine="420" w:firstLineChars="200"/>
        <w:rPr>
          <w:rFonts w:asciiTheme="minorEastAsia" w:hAnsiTheme="minorEastAsia" w:eastAsiaTheme="minorEastAsia" w:cstheme="minorEastAsia"/>
          <w:szCs w:val="21"/>
        </w:rPr>
      </w:pPr>
    </w:p>
    <w:p>
      <w:pPr>
        <w:tabs>
          <w:tab w:val="left" w:pos="5010"/>
        </w:tabs>
        <w:ind w:firstLine="420" w:firstLineChars="200"/>
        <w:rPr>
          <w:rFonts w:asciiTheme="minorEastAsia" w:hAnsiTheme="minorEastAsia" w:eastAsiaTheme="minorEastAsia" w:cstheme="minorEastAsia"/>
          <w:szCs w:val="21"/>
        </w:rPr>
      </w:pPr>
    </w:p>
    <w:p>
      <w:pPr>
        <w:tabs>
          <w:tab w:val="left" w:pos="5010"/>
        </w:tabs>
        <w:ind w:firstLine="420" w:firstLineChars="200"/>
        <w:rPr>
          <w:rFonts w:asciiTheme="minorEastAsia" w:hAnsiTheme="minorEastAsia" w:eastAsiaTheme="minorEastAsia" w:cstheme="minorEastAsia"/>
          <w:szCs w:val="21"/>
        </w:rPr>
      </w:pPr>
    </w:p>
    <w:p>
      <w:pPr>
        <w:tabs>
          <w:tab w:val="left" w:pos="5010"/>
        </w:tabs>
        <w:ind w:firstLine="420" w:firstLineChars="200"/>
        <w:rPr>
          <w:rFonts w:asciiTheme="minorEastAsia" w:hAnsiTheme="minorEastAsia" w:eastAsiaTheme="minorEastAsia" w:cstheme="minorEastAsia"/>
          <w:szCs w:val="21"/>
        </w:rPr>
      </w:pPr>
    </w:p>
    <w:p>
      <w:pPr>
        <w:tabs>
          <w:tab w:val="left" w:pos="5010"/>
        </w:tabs>
        <w:ind w:firstLine="420" w:firstLineChars="200"/>
        <w:rPr>
          <w:rFonts w:asciiTheme="minorEastAsia" w:hAnsiTheme="minorEastAsia" w:eastAsiaTheme="minorEastAsia" w:cstheme="minorEastAsia"/>
          <w:szCs w:val="21"/>
        </w:rPr>
      </w:pPr>
    </w:p>
    <w:p>
      <w:pPr>
        <w:tabs>
          <w:tab w:val="left" w:pos="5010"/>
        </w:tabs>
        <w:ind w:firstLine="420" w:firstLineChars="200"/>
        <w:rPr>
          <w:rFonts w:asciiTheme="minorEastAsia" w:hAnsiTheme="minorEastAsia" w:eastAsiaTheme="minorEastAsia" w:cstheme="minorEastAsia"/>
          <w:szCs w:val="21"/>
        </w:rPr>
      </w:pPr>
    </w:p>
    <w:p>
      <w:pPr>
        <w:tabs>
          <w:tab w:val="left" w:pos="5010"/>
        </w:tabs>
        <w:ind w:firstLine="420" w:firstLineChars="200"/>
        <w:rPr>
          <w:rFonts w:asciiTheme="minorEastAsia" w:hAnsiTheme="minorEastAsia" w:eastAsiaTheme="minorEastAsia" w:cstheme="minorEastAsia"/>
          <w:szCs w:val="21"/>
        </w:rPr>
      </w:pPr>
    </w:p>
    <w:p>
      <w:pPr>
        <w:tabs>
          <w:tab w:val="left" w:pos="5010"/>
        </w:tabs>
        <w:ind w:firstLine="420" w:firstLineChars="200"/>
        <w:rPr>
          <w:rFonts w:asciiTheme="minorEastAsia" w:hAnsiTheme="minorEastAsia" w:eastAsiaTheme="minorEastAsia" w:cstheme="minorEastAsia"/>
          <w:szCs w:val="21"/>
        </w:rPr>
      </w:pPr>
    </w:p>
    <w:p>
      <w:pPr>
        <w:tabs>
          <w:tab w:val="left" w:pos="5010"/>
        </w:tabs>
        <w:ind w:firstLine="420" w:firstLineChars="200"/>
        <w:rPr>
          <w:rFonts w:asciiTheme="minorEastAsia" w:hAnsiTheme="minorEastAsia" w:eastAsiaTheme="minorEastAsia" w:cstheme="minorEastAsia"/>
          <w:szCs w:val="21"/>
        </w:rPr>
      </w:pPr>
    </w:p>
    <w:p>
      <w:pPr>
        <w:tabs>
          <w:tab w:val="left" w:pos="5010"/>
        </w:tabs>
        <w:ind w:firstLine="420" w:firstLineChars="200"/>
        <w:rPr>
          <w:rFonts w:asciiTheme="minorEastAsia" w:hAnsiTheme="minorEastAsia" w:eastAsiaTheme="minorEastAsia" w:cstheme="minorEastAsia"/>
          <w:szCs w:val="21"/>
        </w:rPr>
      </w:pPr>
    </w:p>
    <w:p>
      <w:pPr>
        <w:tabs>
          <w:tab w:val="left" w:pos="5010"/>
        </w:tabs>
        <w:ind w:firstLine="420" w:firstLineChars="200"/>
        <w:rPr>
          <w:rFonts w:asciiTheme="minorEastAsia" w:hAnsiTheme="minorEastAsia" w:eastAsiaTheme="minorEastAsia" w:cstheme="minorEastAsia"/>
          <w:szCs w:val="21"/>
        </w:rPr>
      </w:pPr>
    </w:p>
    <w:p>
      <w:pPr>
        <w:tabs>
          <w:tab w:val="left" w:pos="5010"/>
        </w:tabs>
        <w:ind w:firstLine="420" w:firstLineChars="200"/>
        <w:rPr>
          <w:rFonts w:asciiTheme="minorEastAsia" w:hAnsiTheme="minorEastAsia" w:eastAsiaTheme="minorEastAsia" w:cstheme="minorEastAsia"/>
          <w:szCs w:val="21"/>
        </w:rPr>
      </w:pPr>
    </w:p>
    <w:p>
      <w:pPr>
        <w:tabs>
          <w:tab w:val="left" w:pos="5580"/>
        </w:tabs>
        <w:adjustRightInd w:val="0"/>
        <w:spacing w:before="120" w:line="360" w:lineRule="auto"/>
        <w:ind w:firstLine="2814" w:firstLineChars="1001"/>
        <w:rPr>
          <w:rFonts w:ascii="仿宋_GB2312"/>
          <w:b/>
          <w:color w:val="000000" w:themeColor="text1"/>
          <w:sz w:val="28"/>
        </w:rPr>
      </w:pPr>
      <w:r>
        <w:rPr>
          <w:rFonts w:hint="eastAsia" w:ascii="仿宋_GB2312"/>
          <w:b/>
          <w:color w:val="000000" w:themeColor="text1"/>
          <w:sz w:val="28"/>
        </w:rPr>
        <w:t>第四部分响应文件格式</w:t>
      </w:r>
    </w:p>
    <w:p>
      <w:pPr>
        <w:widowControl/>
        <w:jc w:val="left"/>
        <w:rPr>
          <w:rFonts w:ascii="仿宋_GB2312" w:hAnsi="宋体"/>
          <w:b/>
          <w:color w:val="000000" w:themeColor="text1"/>
          <w:kern w:val="0"/>
          <w:sz w:val="24"/>
          <w:szCs w:val="20"/>
        </w:rPr>
      </w:pPr>
    </w:p>
    <w:p>
      <w:pPr>
        <w:pStyle w:val="3"/>
        <w:tabs>
          <w:tab w:val="left" w:pos="5580"/>
        </w:tabs>
        <w:spacing w:line="22" w:lineRule="atLeast"/>
        <w:rPr>
          <w:rFonts w:ascii="仿宋_GB2312" w:hAnsi="宋体" w:eastAsia="宋体"/>
          <w:color w:val="000000" w:themeColor="text1"/>
          <w:sz w:val="24"/>
        </w:rPr>
      </w:pPr>
      <w:r>
        <w:rPr>
          <w:rFonts w:hint="eastAsia" w:ascii="仿宋_GB2312" w:hAnsi="宋体" w:eastAsia="宋体"/>
          <w:color w:val="000000" w:themeColor="text1"/>
          <w:sz w:val="24"/>
        </w:rPr>
        <w:t>附件</w:t>
      </w:r>
      <w:r>
        <w:rPr>
          <w:rFonts w:ascii="仿宋_GB2312" w:hAnsi="宋体" w:eastAsia="宋体"/>
          <w:color w:val="000000" w:themeColor="text1"/>
          <w:sz w:val="24"/>
        </w:rPr>
        <w:t>1</w:t>
      </w:r>
      <w:r>
        <w:rPr>
          <w:rFonts w:hint="eastAsia" w:ascii="仿宋_GB2312" w:hAnsi="宋体" w:eastAsia="宋体"/>
          <w:color w:val="000000" w:themeColor="text1"/>
          <w:sz w:val="24"/>
        </w:rPr>
        <w:t>　　　　报价函（格式）</w:t>
      </w:r>
    </w:p>
    <w:p>
      <w:pPr>
        <w:tabs>
          <w:tab w:val="left" w:pos="5580"/>
        </w:tabs>
        <w:spacing w:before="120" w:line="360" w:lineRule="auto"/>
        <w:rPr>
          <w:rFonts w:ascii="仿宋_GB2312" w:hAnsi="宋体"/>
          <w:color w:val="000000" w:themeColor="text1"/>
          <w:sz w:val="24"/>
        </w:rPr>
      </w:pPr>
    </w:p>
    <w:p>
      <w:pPr>
        <w:spacing w:before="120" w:line="360" w:lineRule="auto"/>
        <w:rPr>
          <w:rFonts w:ascii="宋体" w:hAnsi="宋体"/>
          <w:color w:val="000000" w:themeColor="text1"/>
          <w:sz w:val="24"/>
        </w:rPr>
      </w:pPr>
      <w:r>
        <w:rPr>
          <w:rFonts w:hint="eastAsia" w:ascii="宋体" w:hAnsi="宋体"/>
          <w:color w:val="000000" w:themeColor="text1"/>
        </w:rPr>
        <w:t>致：</w:t>
      </w:r>
      <w:r>
        <w:rPr>
          <w:rFonts w:hint="eastAsia" w:ascii="宋体" w:hAnsi="宋体"/>
          <w:color w:val="000000" w:themeColor="text1"/>
          <w:sz w:val="24"/>
        </w:rPr>
        <w:t>**</w:t>
      </w:r>
    </w:p>
    <w:p>
      <w:pPr>
        <w:tabs>
          <w:tab w:val="left" w:pos="630"/>
        </w:tabs>
        <w:adjustRightInd w:val="0"/>
        <w:snapToGrid w:val="0"/>
        <w:spacing w:line="360" w:lineRule="auto"/>
        <w:ind w:firstLine="420"/>
        <w:rPr>
          <w:rFonts w:ascii="宋体" w:hAnsi="宋体"/>
          <w:color w:val="000000" w:themeColor="text1"/>
          <w:szCs w:val="21"/>
        </w:rPr>
      </w:pPr>
      <w:r>
        <w:rPr>
          <w:rFonts w:hint="eastAsia" w:ascii="宋体" w:hAnsi="宋体"/>
          <w:color w:val="000000" w:themeColor="text1"/>
          <w:szCs w:val="21"/>
        </w:rPr>
        <w:t>__________________________（报价人全称）授权_________________（全权代表姓名）_________________ （职务、职称）为全权代表，参加贵方组织的“  ”（项目编号：**）竞争性磋商的有关活动，并对此项目进行响应。为此：</w:t>
      </w:r>
    </w:p>
    <w:p>
      <w:pPr>
        <w:tabs>
          <w:tab w:val="left" w:pos="630"/>
        </w:tabs>
        <w:adjustRightInd w:val="0"/>
        <w:snapToGrid w:val="0"/>
        <w:spacing w:line="360" w:lineRule="auto"/>
        <w:ind w:firstLine="420"/>
        <w:rPr>
          <w:rFonts w:ascii="宋体" w:hAnsi="宋体"/>
          <w:color w:val="000000" w:themeColor="text1"/>
          <w:szCs w:val="21"/>
        </w:rPr>
      </w:pPr>
      <w:r>
        <w:rPr>
          <w:rFonts w:hint="eastAsia" w:ascii="宋体" w:hAnsi="宋体"/>
          <w:color w:val="000000" w:themeColor="text1"/>
          <w:szCs w:val="21"/>
        </w:rPr>
        <w:t>一、我方同意在本项目磋商文件中规定的报价在</w:t>
      </w:r>
      <w:r>
        <w:rPr>
          <w:rFonts w:hint="eastAsia" w:hAnsi="宋体"/>
          <w:color w:val="000000" w:themeColor="text1"/>
          <w:szCs w:val="21"/>
        </w:rPr>
        <w:t>磋商之日</w:t>
      </w:r>
      <w:r>
        <w:rPr>
          <w:rFonts w:hint="eastAsia" w:ascii="宋体" w:hAnsi="宋体"/>
          <w:color w:val="000000" w:themeColor="text1"/>
          <w:szCs w:val="21"/>
        </w:rPr>
        <w:t>起（报价有效期）天内遵守本响应文件中的承诺且在此期限期满之前均具有约束力。我方同意并遵守本磋商文件“竞争性磋商报价人须知”中第九条第二款关于延长报价有效期的规定。</w:t>
      </w:r>
    </w:p>
    <w:p>
      <w:pPr>
        <w:tabs>
          <w:tab w:val="left" w:pos="630"/>
        </w:tabs>
        <w:adjustRightInd w:val="0"/>
        <w:snapToGrid w:val="0"/>
        <w:spacing w:line="360" w:lineRule="auto"/>
        <w:ind w:firstLine="420"/>
        <w:rPr>
          <w:rFonts w:ascii="宋体" w:hAnsi="宋体"/>
          <w:color w:val="000000" w:themeColor="text1"/>
          <w:szCs w:val="21"/>
        </w:rPr>
      </w:pPr>
      <w:r>
        <w:rPr>
          <w:rFonts w:hint="eastAsia" w:ascii="宋体" w:hAnsi="宋体"/>
          <w:color w:val="000000" w:themeColor="text1"/>
          <w:szCs w:val="21"/>
        </w:rPr>
        <w:t xml:space="preserve">二、我方承诺具备《中华人民共和国政府采购法》中规定的参加政府采购活动的竞争性磋商报价人应当具备的条件，并提供相应的证明材料： </w:t>
      </w:r>
    </w:p>
    <w:p>
      <w:pPr>
        <w:tabs>
          <w:tab w:val="left" w:pos="630"/>
        </w:tabs>
        <w:adjustRightInd w:val="0"/>
        <w:snapToGrid w:val="0"/>
        <w:spacing w:line="360" w:lineRule="auto"/>
        <w:ind w:left="420" w:leftChars="200" w:firstLine="420" w:firstLineChars="200"/>
        <w:rPr>
          <w:rFonts w:ascii="宋体" w:hAnsi="宋体"/>
          <w:color w:val="000000" w:themeColor="text1"/>
          <w:szCs w:val="21"/>
        </w:rPr>
      </w:pPr>
      <w:r>
        <w:rPr>
          <w:rFonts w:hint="eastAsia" w:ascii="宋体" w:hAnsi="宋体"/>
          <w:color w:val="000000" w:themeColor="text1"/>
          <w:szCs w:val="21"/>
        </w:rPr>
        <w:t>1. 具有独立承担民事责任的能力；</w:t>
      </w:r>
    </w:p>
    <w:p>
      <w:pPr>
        <w:tabs>
          <w:tab w:val="left" w:pos="630"/>
        </w:tabs>
        <w:adjustRightInd w:val="0"/>
        <w:snapToGrid w:val="0"/>
        <w:spacing w:line="360" w:lineRule="auto"/>
        <w:ind w:left="420" w:leftChars="200" w:firstLine="420" w:firstLineChars="200"/>
        <w:rPr>
          <w:rFonts w:ascii="宋体" w:hAnsi="宋体"/>
          <w:color w:val="000000" w:themeColor="text1"/>
          <w:szCs w:val="21"/>
        </w:rPr>
      </w:pPr>
      <w:r>
        <w:rPr>
          <w:rFonts w:hint="eastAsia" w:ascii="宋体" w:hAnsi="宋体"/>
          <w:color w:val="000000" w:themeColor="text1"/>
          <w:szCs w:val="21"/>
        </w:rPr>
        <w:t>2. 具有良好的商业信誉和健全的财务会计制度；</w:t>
      </w:r>
    </w:p>
    <w:p>
      <w:pPr>
        <w:tabs>
          <w:tab w:val="left" w:pos="630"/>
        </w:tabs>
        <w:adjustRightInd w:val="0"/>
        <w:snapToGrid w:val="0"/>
        <w:spacing w:line="360" w:lineRule="auto"/>
        <w:ind w:left="420" w:leftChars="200" w:firstLine="420" w:firstLineChars="200"/>
        <w:rPr>
          <w:rFonts w:ascii="宋体" w:hAnsi="宋体"/>
          <w:color w:val="000000" w:themeColor="text1"/>
          <w:szCs w:val="21"/>
        </w:rPr>
      </w:pPr>
      <w:r>
        <w:rPr>
          <w:rFonts w:hint="eastAsia" w:ascii="宋体" w:hAnsi="宋体"/>
          <w:color w:val="000000" w:themeColor="text1"/>
          <w:szCs w:val="21"/>
        </w:rPr>
        <w:t>3. 具有履行合同所必需的货物和专业技术能力；</w:t>
      </w:r>
    </w:p>
    <w:p>
      <w:pPr>
        <w:tabs>
          <w:tab w:val="left" w:pos="630"/>
        </w:tabs>
        <w:adjustRightInd w:val="0"/>
        <w:snapToGrid w:val="0"/>
        <w:spacing w:line="360" w:lineRule="auto"/>
        <w:ind w:left="420" w:leftChars="200" w:firstLine="420" w:firstLineChars="200"/>
        <w:rPr>
          <w:rFonts w:ascii="宋体" w:hAnsi="宋体"/>
          <w:color w:val="000000" w:themeColor="text1"/>
          <w:szCs w:val="21"/>
        </w:rPr>
      </w:pPr>
      <w:r>
        <w:rPr>
          <w:rFonts w:hint="eastAsia" w:ascii="宋体" w:hAnsi="宋体"/>
          <w:color w:val="000000" w:themeColor="text1"/>
          <w:szCs w:val="21"/>
        </w:rPr>
        <w:t>4. 有依法缴纳税收和社会保障资金的良好记录；</w:t>
      </w:r>
    </w:p>
    <w:p>
      <w:pPr>
        <w:tabs>
          <w:tab w:val="left" w:pos="630"/>
        </w:tabs>
        <w:adjustRightInd w:val="0"/>
        <w:snapToGrid w:val="0"/>
        <w:spacing w:line="360" w:lineRule="auto"/>
        <w:ind w:left="420" w:leftChars="200" w:firstLine="420" w:firstLineChars="200"/>
        <w:rPr>
          <w:rFonts w:ascii="宋体" w:hAnsi="宋体"/>
          <w:color w:val="000000" w:themeColor="text1"/>
          <w:szCs w:val="21"/>
        </w:rPr>
      </w:pPr>
      <w:r>
        <w:rPr>
          <w:rFonts w:hint="eastAsia" w:ascii="宋体" w:hAnsi="宋体"/>
          <w:color w:val="000000" w:themeColor="text1"/>
          <w:szCs w:val="21"/>
        </w:rPr>
        <w:t>5. 参加此项采购活动前三年内，在经营活动中没有重大违法记录。</w:t>
      </w:r>
    </w:p>
    <w:p>
      <w:pPr>
        <w:pStyle w:val="11"/>
        <w:tabs>
          <w:tab w:val="left" w:pos="5580"/>
        </w:tabs>
        <w:spacing w:line="300" w:lineRule="auto"/>
        <w:ind w:firstLine="420" w:firstLineChars="200"/>
        <w:rPr>
          <w:rFonts w:hAnsi="宋体"/>
          <w:color w:val="000000" w:themeColor="text1"/>
        </w:rPr>
      </w:pPr>
      <w:r>
        <w:rPr>
          <w:rFonts w:hint="eastAsia" w:hAnsi="宋体"/>
          <w:color w:val="000000" w:themeColor="text1"/>
          <w:szCs w:val="21"/>
        </w:rPr>
        <w:t>三、</w:t>
      </w:r>
      <w:r>
        <w:rPr>
          <w:rFonts w:hAnsi="宋体"/>
          <w:color w:val="000000" w:themeColor="text1"/>
        </w:rPr>
        <w:t>我方承诺，与贵方聘请的为此项目提供咨询服务的公司及任何附属机构均无关联，我方不是贵方的附属机构。</w:t>
      </w:r>
    </w:p>
    <w:p>
      <w:pPr>
        <w:tabs>
          <w:tab w:val="left" w:pos="630"/>
        </w:tabs>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四、我方已详细阅读全部磋商文件及全部参考资料和有关附件。我方已经完全理解了磋商文件中的各项内容和各项权利义务的真实含义，并承诺在发生争议时不会以对磋商文件存在误解、不明白的条款为由，对贵中心行使任何法律上的抗辩权。</w:t>
      </w:r>
    </w:p>
    <w:p>
      <w:pPr>
        <w:tabs>
          <w:tab w:val="left" w:pos="630"/>
        </w:tabs>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五、提供磋商文件规定的全部文件，包括响应文件正本份、响应文件副本份。</w:t>
      </w:r>
    </w:p>
    <w:p>
      <w:pPr>
        <w:tabs>
          <w:tab w:val="left" w:pos="630"/>
        </w:tabs>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六、按磋商文件要求提供和交付的货物和服务的报价详见响应文件。</w:t>
      </w:r>
    </w:p>
    <w:p>
      <w:pPr>
        <w:tabs>
          <w:tab w:val="left" w:pos="630"/>
        </w:tabs>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七、保证忠实地执行双方所签订的合同，并承担合同规定的责任和义务。</w:t>
      </w:r>
    </w:p>
    <w:p>
      <w:pPr>
        <w:tabs>
          <w:tab w:val="left" w:pos="630"/>
        </w:tabs>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八、承诺完全满足和响应磋商文件中的各项商务和技术要求，若有偏差，已在响应文件中显著处予以明确特别说明。</w:t>
      </w:r>
    </w:p>
    <w:p>
      <w:pPr>
        <w:tabs>
          <w:tab w:val="left" w:pos="630"/>
        </w:tabs>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九、</w:t>
      </w:r>
      <w:r>
        <w:rPr>
          <w:rFonts w:hint="eastAsia" w:ascii="宋体" w:hAnsi="宋体"/>
          <w:szCs w:val="21"/>
        </w:rPr>
        <w:t>本磋商文件有效期为磋商响应文件截止期结束后</w:t>
      </w:r>
      <w:r>
        <w:rPr>
          <w:rFonts w:hint="eastAsia" w:ascii="宋体" w:hAnsi="宋体"/>
          <w:szCs w:val="21"/>
          <w:u w:val="single"/>
        </w:rPr>
        <w:t>90</w:t>
      </w:r>
      <w:r>
        <w:rPr>
          <w:rFonts w:hint="eastAsia" w:ascii="宋体" w:hAnsi="宋体"/>
          <w:szCs w:val="21"/>
        </w:rPr>
        <w:t>日历日。供应商将按照磋商文件的规定履行合同责任和义务。</w:t>
      </w:r>
      <w:r>
        <w:rPr>
          <w:rFonts w:hint="eastAsia" w:ascii="宋体" w:hAnsi="宋体"/>
          <w:color w:val="000000" w:themeColor="text1"/>
          <w:szCs w:val="21"/>
        </w:rPr>
        <w:t>。</w:t>
      </w:r>
    </w:p>
    <w:p>
      <w:pPr>
        <w:tabs>
          <w:tab w:val="left" w:pos="630"/>
        </w:tabs>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十、如果在规定的报价有效期内撤回响应文件，同意我方的磋商保证金将被不予退还。</w:t>
      </w:r>
    </w:p>
    <w:p>
      <w:pPr>
        <w:tabs>
          <w:tab w:val="left" w:pos="630"/>
        </w:tabs>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十一、我方同意贵方提出的最低报价不作为成交保证的规定。</w:t>
      </w:r>
    </w:p>
    <w:p>
      <w:pPr>
        <w:tabs>
          <w:tab w:val="left" w:pos="630"/>
        </w:tabs>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十二、我方愿意如实提供任何与本项磋商有关的数据、情况和技术资料。</w:t>
      </w:r>
    </w:p>
    <w:p>
      <w:pPr>
        <w:tabs>
          <w:tab w:val="left" w:pos="735"/>
        </w:tabs>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十三、我方已详细审核全部响应文件，包括响应文件修改书（如有的话）、参考资料及有关附件，确认无误。</w:t>
      </w:r>
    </w:p>
    <w:p>
      <w:pPr>
        <w:tabs>
          <w:tab w:val="left" w:pos="630"/>
        </w:tabs>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十四、我方承诺：贵方若需追加采购本项目磋商文件所列货物及相关服务的，在不改变合同其他实质性条款的前提下，按相同或更优惠的优惠幅度保证供货。</w:t>
      </w:r>
    </w:p>
    <w:p>
      <w:pPr>
        <w:tabs>
          <w:tab w:val="left" w:pos="735"/>
        </w:tabs>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十五、我方将严格遵守《中华人民共和国政府采购法》的有关规定，若有下列情形之一的，将被有关部门处罚，列入不良行为记录名单，在一至三年内禁止参加政府采购活动；有违法所得的，并处没收违法所得；情节严重的，由工商行政管理机关吊销营业执照；构成犯罪的，依法追究刑事责任：</w:t>
      </w:r>
    </w:p>
    <w:p>
      <w:pPr>
        <w:tabs>
          <w:tab w:val="left" w:pos="630"/>
        </w:tabs>
        <w:adjustRightInd w:val="0"/>
        <w:snapToGrid w:val="0"/>
        <w:spacing w:line="360" w:lineRule="auto"/>
        <w:ind w:left="420" w:leftChars="200" w:firstLine="210" w:firstLineChars="100"/>
        <w:rPr>
          <w:rFonts w:ascii="宋体" w:hAnsi="宋体"/>
          <w:color w:val="000000" w:themeColor="text1"/>
          <w:szCs w:val="21"/>
        </w:rPr>
      </w:pPr>
      <w:r>
        <w:rPr>
          <w:rFonts w:hint="eastAsia" w:ascii="宋体" w:hAnsi="宋体"/>
          <w:color w:val="000000" w:themeColor="text1"/>
          <w:szCs w:val="21"/>
        </w:rPr>
        <w:t>1. 提供虚假材料谋取成交的；</w:t>
      </w:r>
    </w:p>
    <w:p>
      <w:pPr>
        <w:tabs>
          <w:tab w:val="left" w:pos="630"/>
        </w:tabs>
        <w:adjustRightInd w:val="0"/>
        <w:snapToGrid w:val="0"/>
        <w:spacing w:line="360" w:lineRule="auto"/>
        <w:ind w:left="420" w:leftChars="200" w:firstLine="210" w:firstLineChars="100"/>
        <w:rPr>
          <w:rFonts w:ascii="宋体" w:hAnsi="宋体"/>
          <w:color w:val="000000" w:themeColor="text1"/>
          <w:szCs w:val="21"/>
        </w:rPr>
      </w:pPr>
      <w:r>
        <w:rPr>
          <w:rFonts w:hint="eastAsia" w:ascii="宋体" w:hAnsi="宋体"/>
          <w:color w:val="000000" w:themeColor="text1"/>
          <w:szCs w:val="21"/>
        </w:rPr>
        <w:t>2. 采取不正当手段诋毁、排挤其他竞争性磋商报价人的；</w:t>
      </w:r>
    </w:p>
    <w:p>
      <w:pPr>
        <w:tabs>
          <w:tab w:val="left" w:pos="630"/>
        </w:tabs>
        <w:adjustRightInd w:val="0"/>
        <w:snapToGrid w:val="0"/>
        <w:spacing w:line="360" w:lineRule="auto"/>
        <w:ind w:left="420" w:leftChars="200" w:firstLine="210" w:firstLineChars="100"/>
        <w:rPr>
          <w:rFonts w:ascii="宋体" w:hAnsi="宋体"/>
          <w:color w:val="000000" w:themeColor="text1"/>
          <w:szCs w:val="21"/>
        </w:rPr>
      </w:pPr>
      <w:r>
        <w:rPr>
          <w:rFonts w:hint="eastAsia" w:ascii="宋体" w:hAnsi="宋体"/>
          <w:color w:val="000000" w:themeColor="text1"/>
          <w:szCs w:val="21"/>
        </w:rPr>
        <w:t>3. 与其他竞争性磋商报价人或磋商小组恶意串通的；</w:t>
      </w:r>
    </w:p>
    <w:p>
      <w:pPr>
        <w:tabs>
          <w:tab w:val="left" w:pos="630"/>
        </w:tabs>
        <w:adjustRightInd w:val="0"/>
        <w:snapToGrid w:val="0"/>
        <w:spacing w:line="360" w:lineRule="auto"/>
        <w:ind w:left="420" w:leftChars="200" w:firstLine="210" w:firstLineChars="100"/>
        <w:rPr>
          <w:rFonts w:ascii="宋体" w:hAnsi="宋体"/>
          <w:color w:val="000000" w:themeColor="text1"/>
          <w:szCs w:val="21"/>
        </w:rPr>
      </w:pPr>
      <w:r>
        <w:rPr>
          <w:rFonts w:hint="eastAsia" w:ascii="宋体" w:hAnsi="宋体"/>
          <w:color w:val="000000" w:themeColor="text1"/>
          <w:szCs w:val="21"/>
        </w:rPr>
        <w:t>4. 向磋商小组行贿或提供其他不正当利益的；</w:t>
      </w:r>
    </w:p>
    <w:p>
      <w:pPr>
        <w:tabs>
          <w:tab w:val="left" w:pos="630"/>
        </w:tabs>
        <w:adjustRightInd w:val="0"/>
        <w:snapToGrid w:val="0"/>
        <w:spacing w:line="360" w:lineRule="auto"/>
        <w:ind w:left="420" w:leftChars="200" w:firstLine="210" w:firstLineChars="100"/>
        <w:rPr>
          <w:rFonts w:ascii="宋体" w:hAnsi="宋体"/>
          <w:color w:val="000000" w:themeColor="text1"/>
          <w:szCs w:val="21"/>
        </w:rPr>
      </w:pPr>
      <w:r>
        <w:rPr>
          <w:rFonts w:hint="eastAsia" w:ascii="宋体" w:hAnsi="宋体"/>
          <w:color w:val="000000" w:themeColor="text1"/>
          <w:szCs w:val="21"/>
        </w:rPr>
        <w:t>5. 拒绝有关部门监督检查或提供虚假情况的。</w:t>
      </w:r>
    </w:p>
    <w:p>
      <w:pPr>
        <w:tabs>
          <w:tab w:val="left" w:pos="630"/>
        </w:tabs>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十六、我方承诺：我方在本项目磋商中的陈述和本响应文件的一切资料均为真实合法，没有不实的描述、承诺或者伪造、变造的情形。如果我方在本项目磋商中做虚假陈述或者在响应文件中提供虚假资料，本响应文件无效，并自愿接受有关处罚，及由此带来的法律后果。</w:t>
      </w:r>
    </w:p>
    <w:p>
      <w:pPr>
        <w:tabs>
          <w:tab w:val="left" w:pos="630"/>
        </w:tabs>
        <w:adjustRightInd w:val="0"/>
        <w:snapToGrid w:val="0"/>
        <w:spacing w:beforeLines="60" w:line="360" w:lineRule="auto"/>
        <w:ind w:left="420" w:hanging="420" w:hangingChars="200"/>
        <w:rPr>
          <w:rFonts w:ascii="宋体" w:hAnsi="宋体"/>
          <w:color w:val="000000" w:themeColor="text1"/>
          <w:szCs w:val="21"/>
        </w:rPr>
      </w:pPr>
      <w:r>
        <w:rPr>
          <w:rFonts w:hint="eastAsia" w:ascii="宋体" w:hAnsi="宋体"/>
          <w:color w:val="000000" w:themeColor="text1"/>
          <w:szCs w:val="21"/>
        </w:rPr>
        <w:t>与本次磋商有关的一切往来通讯请寄：</w:t>
      </w:r>
    </w:p>
    <w:p>
      <w:pPr>
        <w:tabs>
          <w:tab w:val="left" w:pos="630"/>
        </w:tabs>
        <w:adjustRightInd w:val="0"/>
        <w:snapToGrid w:val="0"/>
        <w:spacing w:line="360" w:lineRule="auto"/>
        <w:ind w:left="420" w:hanging="420" w:hangingChars="200"/>
        <w:rPr>
          <w:rFonts w:ascii="宋体" w:hAnsi="宋体"/>
          <w:color w:val="000000" w:themeColor="text1"/>
          <w:szCs w:val="21"/>
          <w:u w:val="single"/>
        </w:rPr>
      </w:pPr>
      <w:r>
        <w:rPr>
          <w:rFonts w:hint="eastAsia" w:ascii="宋体" w:hAnsi="宋体"/>
          <w:color w:val="000000" w:themeColor="text1"/>
          <w:szCs w:val="21"/>
        </w:rPr>
        <w:t>地址：邮编：</w:t>
      </w:r>
    </w:p>
    <w:p>
      <w:pPr>
        <w:tabs>
          <w:tab w:val="left" w:pos="630"/>
        </w:tabs>
        <w:adjustRightInd w:val="0"/>
        <w:snapToGrid w:val="0"/>
        <w:spacing w:line="360" w:lineRule="auto"/>
        <w:ind w:left="420" w:hanging="420" w:hangingChars="200"/>
        <w:rPr>
          <w:rFonts w:ascii="宋体" w:hAnsi="宋体"/>
          <w:color w:val="000000" w:themeColor="text1"/>
          <w:szCs w:val="21"/>
          <w:u w:val="single"/>
        </w:rPr>
      </w:pPr>
      <w:r>
        <w:rPr>
          <w:rFonts w:hint="eastAsia" w:ascii="宋体" w:hAnsi="宋体"/>
          <w:color w:val="000000" w:themeColor="text1"/>
          <w:szCs w:val="21"/>
        </w:rPr>
        <w:t>电话：传真：</w:t>
      </w:r>
    </w:p>
    <w:p>
      <w:pPr>
        <w:tabs>
          <w:tab w:val="left" w:pos="630"/>
        </w:tabs>
        <w:adjustRightInd w:val="0"/>
        <w:snapToGrid w:val="0"/>
        <w:spacing w:afterLines="50" w:line="360" w:lineRule="auto"/>
        <w:ind w:firstLine="5145" w:firstLineChars="2450"/>
        <w:rPr>
          <w:rFonts w:ascii="宋体" w:hAnsi="宋体"/>
          <w:color w:val="000000" w:themeColor="text1"/>
          <w:szCs w:val="21"/>
        </w:rPr>
      </w:pPr>
    </w:p>
    <w:p>
      <w:pPr>
        <w:tabs>
          <w:tab w:val="left" w:pos="630"/>
        </w:tabs>
        <w:adjustRightInd w:val="0"/>
        <w:snapToGrid w:val="0"/>
        <w:spacing w:afterLines="50" w:line="360" w:lineRule="auto"/>
        <w:ind w:firstLine="5145" w:firstLineChars="2450"/>
        <w:rPr>
          <w:rFonts w:ascii="宋体" w:hAnsi="宋体"/>
          <w:color w:val="000000" w:themeColor="text1"/>
          <w:szCs w:val="21"/>
        </w:rPr>
      </w:pPr>
      <w:r>
        <w:rPr>
          <w:rFonts w:hint="eastAsia" w:ascii="宋体" w:hAnsi="宋体"/>
          <w:color w:val="000000" w:themeColor="text1"/>
          <w:szCs w:val="21"/>
        </w:rPr>
        <w:t>报价人授权代表（签字）：</w:t>
      </w:r>
    </w:p>
    <w:p>
      <w:pPr>
        <w:tabs>
          <w:tab w:val="left" w:pos="630"/>
        </w:tabs>
        <w:adjustRightInd w:val="0"/>
        <w:snapToGrid w:val="0"/>
        <w:spacing w:afterLines="50" w:line="360" w:lineRule="auto"/>
        <w:ind w:firstLine="5145" w:firstLineChars="2450"/>
        <w:rPr>
          <w:rFonts w:ascii="宋体" w:hAnsi="宋体"/>
          <w:color w:val="000000" w:themeColor="text1"/>
          <w:szCs w:val="21"/>
        </w:rPr>
      </w:pPr>
      <w:r>
        <w:rPr>
          <w:rFonts w:hint="eastAsia" w:ascii="宋体" w:hAnsi="宋体"/>
          <w:color w:val="000000" w:themeColor="text1"/>
          <w:szCs w:val="21"/>
        </w:rPr>
        <w:t>报价人（公章）：</w:t>
      </w:r>
    </w:p>
    <w:p>
      <w:pPr>
        <w:tabs>
          <w:tab w:val="left" w:pos="630"/>
        </w:tabs>
        <w:adjustRightInd w:val="0"/>
        <w:snapToGrid w:val="0"/>
        <w:spacing w:line="360" w:lineRule="auto"/>
        <w:ind w:left="420" w:leftChars="200" w:right="420" w:firstLine="4725" w:firstLineChars="2250"/>
        <w:rPr>
          <w:rFonts w:ascii="宋体" w:hAnsi="宋体"/>
          <w:color w:val="000000" w:themeColor="text1"/>
          <w:szCs w:val="21"/>
        </w:rPr>
      </w:pPr>
      <w:r>
        <w:rPr>
          <w:rFonts w:hint="eastAsia" w:ascii="宋体" w:hAnsi="宋体"/>
          <w:color w:val="000000" w:themeColor="text1"/>
          <w:szCs w:val="21"/>
        </w:rPr>
        <w:t>日　期：    年   月   日</w:t>
      </w:r>
    </w:p>
    <w:p>
      <w:pPr>
        <w:rPr>
          <w:color w:val="000000" w:themeColor="text1"/>
        </w:rPr>
        <w:sectPr>
          <w:footerReference r:id="rId3" w:type="default"/>
          <w:pgSz w:w="11906" w:h="16838"/>
          <w:pgMar w:top="1440" w:right="1800" w:bottom="1440" w:left="1800" w:header="851" w:footer="992" w:gutter="0"/>
          <w:cols w:space="425" w:num="1"/>
          <w:docGrid w:type="lines" w:linePitch="312" w:charSpace="0"/>
        </w:sectPr>
      </w:pPr>
    </w:p>
    <w:p>
      <w:pPr>
        <w:pStyle w:val="3"/>
        <w:tabs>
          <w:tab w:val="left" w:pos="5580"/>
        </w:tabs>
        <w:rPr>
          <w:rFonts w:ascii="仿宋_GB2312" w:hAnsi="宋体" w:eastAsia="宋体"/>
          <w:color w:val="000000" w:themeColor="text1"/>
          <w:sz w:val="24"/>
        </w:rPr>
      </w:pPr>
      <w:r>
        <w:rPr>
          <w:rFonts w:hint="eastAsia" w:ascii="仿宋_GB2312" w:hAnsi="宋体" w:eastAsia="宋体"/>
          <w:color w:val="000000" w:themeColor="text1"/>
          <w:sz w:val="24"/>
        </w:rPr>
        <w:t>附件</w:t>
      </w:r>
      <w:r>
        <w:rPr>
          <w:rFonts w:ascii="仿宋_GB2312" w:hAnsi="宋体" w:eastAsia="宋体"/>
          <w:color w:val="000000" w:themeColor="text1"/>
          <w:sz w:val="24"/>
        </w:rPr>
        <w:t>2</w:t>
      </w:r>
      <w:r>
        <w:rPr>
          <w:rFonts w:hint="eastAsia" w:ascii="仿宋_GB2312" w:hAnsi="宋体" w:eastAsia="宋体"/>
          <w:color w:val="000000" w:themeColor="text1"/>
          <w:sz w:val="24"/>
        </w:rPr>
        <w:t>　　　　报价表</w:t>
      </w:r>
      <w:r>
        <w:rPr>
          <w:rFonts w:hint="eastAsia" w:ascii="仿宋_GB2312" w:hAnsi="宋体" w:eastAsia="宋体"/>
          <w:color w:val="000000" w:themeColor="text1"/>
          <w:sz w:val="24"/>
        </w:rPr>
        <w:cr/>
      </w:r>
    </w:p>
    <w:p>
      <w:pPr>
        <w:pStyle w:val="4"/>
        <w:tabs>
          <w:tab w:val="left" w:pos="5580"/>
        </w:tabs>
        <w:rPr>
          <w:rFonts w:ascii="仿宋_GB2312" w:hAnsi="宋体"/>
          <w:color w:val="000000" w:themeColor="text1"/>
        </w:rPr>
      </w:pPr>
    </w:p>
    <w:tbl>
      <w:tblPr>
        <w:tblStyle w:val="27"/>
        <w:tblpPr w:leftFromText="180" w:rightFromText="180" w:vertAnchor="text" w:horzAnchor="margin" w:tblpXSpec="center" w:tblpY="774"/>
        <w:tblW w:w="9104" w:type="dxa"/>
        <w:tblInd w:w="0" w:type="dxa"/>
        <w:tblLayout w:type="fixed"/>
        <w:tblCellMar>
          <w:top w:w="0" w:type="dxa"/>
          <w:left w:w="0" w:type="dxa"/>
          <w:bottom w:w="0" w:type="dxa"/>
          <w:right w:w="0" w:type="dxa"/>
        </w:tblCellMar>
      </w:tblPr>
      <w:tblGrid>
        <w:gridCol w:w="730"/>
        <w:gridCol w:w="2456"/>
        <w:gridCol w:w="2554"/>
        <w:gridCol w:w="2655"/>
        <w:gridCol w:w="709"/>
      </w:tblGrid>
      <w:tr>
        <w:tblPrEx>
          <w:tblLayout w:type="fixed"/>
          <w:tblCellMar>
            <w:top w:w="0" w:type="dxa"/>
            <w:left w:w="0" w:type="dxa"/>
            <w:bottom w:w="0" w:type="dxa"/>
            <w:right w:w="0" w:type="dxa"/>
          </w:tblCellMar>
        </w:tblPrEx>
        <w:trPr>
          <w:trHeight w:val="662" w:hRule="atLeast"/>
        </w:trPr>
        <w:tc>
          <w:tcPr>
            <w:tcW w:w="730" w:type="dxa"/>
            <w:tcBorders>
              <w:top w:val="single" w:color="auto" w:sz="4" w:space="0"/>
              <w:left w:val="single" w:color="auto" w:sz="4" w:space="0"/>
              <w:bottom w:val="single" w:color="auto" w:sz="8" w:space="0"/>
              <w:right w:val="single" w:color="auto" w:sz="4" w:space="0"/>
            </w:tcBorders>
            <w:vAlign w:val="center"/>
          </w:tcPr>
          <w:p>
            <w:pPr>
              <w:tabs>
                <w:tab w:val="left" w:pos="5580"/>
              </w:tabs>
              <w:jc w:val="center"/>
              <w:rPr>
                <w:rFonts w:ascii="宋体" w:hAnsi="宋体"/>
                <w:color w:val="000000" w:themeColor="text1"/>
                <w:sz w:val="24"/>
              </w:rPr>
            </w:pPr>
            <w:r>
              <w:rPr>
                <w:rFonts w:hint="eastAsia" w:ascii="宋体" w:hAnsi="宋体"/>
                <w:color w:val="000000" w:themeColor="text1"/>
                <w:sz w:val="24"/>
              </w:rPr>
              <w:t>序号</w:t>
            </w:r>
          </w:p>
        </w:tc>
        <w:tc>
          <w:tcPr>
            <w:tcW w:w="2456" w:type="dxa"/>
            <w:tcBorders>
              <w:top w:val="single" w:color="auto" w:sz="4" w:space="0"/>
              <w:left w:val="single" w:color="auto" w:sz="4" w:space="0"/>
              <w:bottom w:val="single" w:color="auto" w:sz="8" w:space="0"/>
              <w:right w:val="single" w:color="auto" w:sz="4" w:space="0"/>
            </w:tcBorders>
            <w:vAlign w:val="center"/>
          </w:tcPr>
          <w:p>
            <w:pPr>
              <w:tabs>
                <w:tab w:val="left" w:pos="5580"/>
              </w:tabs>
              <w:ind w:right="-199" w:firstLine="480" w:firstLineChars="200"/>
              <w:rPr>
                <w:rFonts w:ascii="宋体" w:hAnsi="宋体"/>
                <w:color w:val="000000" w:themeColor="text1"/>
                <w:sz w:val="24"/>
              </w:rPr>
            </w:pPr>
            <w:r>
              <w:rPr>
                <w:rFonts w:hint="eastAsia" w:ascii="宋体" w:hAnsi="宋体"/>
                <w:color w:val="000000" w:themeColor="text1"/>
                <w:sz w:val="24"/>
              </w:rPr>
              <w:t>名 称</w:t>
            </w:r>
          </w:p>
        </w:tc>
        <w:tc>
          <w:tcPr>
            <w:tcW w:w="2554" w:type="dxa"/>
            <w:tcBorders>
              <w:top w:val="single" w:color="auto" w:sz="4" w:space="0"/>
              <w:left w:val="single" w:color="auto" w:sz="8" w:space="0"/>
              <w:bottom w:val="single" w:color="auto" w:sz="8" w:space="0"/>
              <w:right w:val="single" w:color="auto" w:sz="4" w:space="0"/>
            </w:tcBorders>
            <w:vAlign w:val="center"/>
          </w:tcPr>
          <w:p>
            <w:pPr>
              <w:tabs>
                <w:tab w:val="left" w:pos="5580"/>
              </w:tabs>
              <w:ind w:left="163" w:hanging="163"/>
              <w:jc w:val="center"/>
              <w:rPr>
                <w:rFonts w:ascii="宋体" w:hAnsi="宋体"/>
                <w:color w:val="000000" w:themeColor="text1"/>
                <w:sz w:val="24"/>
              </w:rPr>
            </w:pPr>
            <w:r>
              <w:rPr>
                <w:rFonts w:hint="eastAsia" w:ascii="宋体" w:hAnsi="宋体"/>
                <w:color w:val="000000" w:themeColor="text1"/>
                <w:sz w:val="24"/>
              </w:rPr>
              <w:t>报价（人民币 元）</w:t>
            </w:r>
          </w:p>
        </w:tc>
        <w:tc>
          <w:tcPr>
            <w:tcW w:w="2655" w:type="dxa"/>
            <w:tcBorders>
              <w:top w:val="single" w:color="auto" w:sz="8" w:space="0"/>
              <w:left w:val="nil"/>
              <w:bottom w:val="nil"/>
              <w:right w:val="single" w:color="auto" w:sz="4" w:space="0"/>
            </w:tcBorders>
            <w:vAlign w:val="center"/>
          </w:tcPr>
          <w:p>
            <w:pPr>
              <w:tabs>
                <w:tab w:val="left" w:pos="5580"/>
              </w:tabs>
              <w:jc w:val="center"/>
              <w:rPr>
                <w:rFonts w:ascii="宋体" w:hAnsi="宋体"/>
                <w:color w:val="000000" w:themeColor="text1"/>
                <w:sz w:val="24"/>
              </w:rPr>
            </w:pPr>
            <w:r>
              <w:rPr>
                <w:rFonts w:hint="eastAsia" w:ascii="宋体" w:hAnsi="宋体"/>
                <w:color w:val="000000" w:themeColor="text1"/>
                <w:sz w:val="24"/>
              </w:rPr>
              <w:t>服务期</w:t>
            </w:r>
          </w:p>
        </w:tc>
        <w:tc>
          <w:tcPr>
            <w:tcW w:w="709" w:type="dxa"/>
            <w:tcBorders>
              <w:top w:val="single" w:color="auto" w:sz="8" w:space="0"/>
              <w:left w:val="nil"/>
              <w:bottom w:val="nil"/>
              <w:right w:val="single" w:color="auto" w:sz="8" w:space="0"/>
            </w:tcBorders>
            <w:vAlign w:val="center"/>
          </w:tcPr>
          <w:p>
            <w:pPr>
              <w:tabs>
                <w:tab w:val="left" w:pos="5580"/>
              </w:tabs>
              <w:jc w:val="center"/>
              <w:rPr>
                <w:rFonts w:ascii="宋体" w:hAnsi="宋体"/>
                <w:color w:val="000000" w:themeColor="text1"/>
                <w:sz w:val="24"/>
              </w:rPr>
            </w:pPr>
            <w:r>
              <w:rPr>
                <w:rFonts w:hint="eastAsia" w:ascii="宋体" w:hAnsi="宋体"/>
                <w:color w:val="000000" w:themeColor="text1"/>
                <w:sz w:val="24"/>
              </w:rPr>
              <w:t>备注</w:t>
            </w:r>
          </w:p>
        </w:tc>
      </w:tr>
      <w:tr>
        <w:tblPrEx>
          <w:tblLayout w:type="fixed"/>
          <w:tblCellMar>
            <w:top w:w="0" w:type="dxa"/>
            <w:left w:w="0" w:type="dxa"/>
            <w:bottom w:w="0" w:type="dxa"/>
            <w:right w:w="0" w:type="dxa"/>
          </w:tblCellMar>
        </w:tblPrEx>
        <w:trPr>
          <w:cantSplit/>
          <w:trHeight w:val="1016" w:hRule="atLeast"/>
        </w:trPr>
        <w:tc>
          <w:tcPr>
            <w:tcW w:w="730" w:type="dxa"/>
            <w:tcBorders>
              <w:top w:val="single" w:color="auto" w:sz="4" w:space="0"/>
              <w:left w:val="single" w:color="auto" w:sz="8" w:space="0"/>
              <w:bottom w:val="single" w:color="auto" w:sz="4" w:space="0"/>
              <w:right w:val="single" w:color="auto" w:sz="4" w:space="0"/>
            </w:tcBorders>
            <w:vAlign w:val="center"/>
          </w:tcPr>
          <w:p>
            <w:pPr>
              <w:tabs>
                <w:tab w:val="left" w:pos="5580"/>
              </w:tabs>
              <w:ind w:left="-697"/>
              <w:jc w:val="center"/>
              <w:rPr>
                <w:rFonts w:ascii="仿宋_GB2312" w:hAnsi="宋体" w:eastAsia="仿宋_GB2312"/>
                <w:color w:val="000000" w:themeColor="text1"/>
                <w:sz w:val="24"/>
              </w:rPr>
            </w:pPr>
          </w:p>
        </w:tc>
        <w:tc>
          <w:tcPr>
            <w:tcW w:w="2456" w:type="dxa"/>
            <w:tcBorders>
              <w:top w:val="single" w:color="auto" w:sz="4" w:space="0"/>
              <w:left w:val="single" w:color="auto" w:sz="4" w:space="0"/>
              <w:bottom w:val="single" w:color="auto" w:sz="4" w:space="0"/>
              <w:right w:val="single" w:color="auto" w:sz="4" w:space="0"/>
            </w:tcBorders>
            <w:vAlign w:val="center"/>
          </w:tcPr>
          <w:p>
            <w:pPr>
              <w:tabs>
                <w:tab w:val="left" w:pos="5580"/>
              </w:tabs>
              <w:ind w:left="-697"/>
              <w:jc w:val="center"/>
              <w:rPr>
                <w:rFonts w:ascii="仿宋_GB2312" w:hAnsi="宋体" w:eastAsia="仿宋_GB2312"/>
                <w:color w:val="000000" w:themeColor="text1"/>
                <w:sz w:val="24"/>
              </w:rPr>
            </w:pPr>
          </w:p>
        </w:tc>
        <w:tc>
          <w:tcPr>
            <w:tcW w:w="2554" w:type="dxa"/>
            <w:tcBorders>
              <w:top w:val="single" w:color="auto" w:sz="8" w:space="0"/>
              <w:left w:val="single" w:color="auto" w:sz="8" w:space="0"/>
              <w:bottom w:val="single" w:color="auto" w:sz="4" w:space="0"/>
              <w:right w:val="single" w:color="auto" w:sz="4" w:space="0"/>
            </w:tcBorders>
            <w:vAlign w:val="center"/>
          </w:tcPr>
          <w:p>
            <w:pPr>
              <w:tabs>
                <w:tab w:val="left" w:pos="5580"/>
              </w:tabs>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　</w:t>
            </w:r>
          </w:p>
        </w:tc>
        <w:tc>
          <w:tcPr>
            <w:tcW w:w="2655" w:type="dxa"/>
            <w:tcBorders>
              <w:top w:val="single" w:color="auto" w:sz="8" w:space="0"/>
              <w:left w:val="nil"/>
              <w:bottom w:val="single" w:color="auto" w:sz="4" w:space="0"/>
              <w:right w:val="single" w:color="auto" w:sz="4" w:space="0"/>
            </w:tcBorders>
            <w:vAlign w:val="center"/>
          </w:tcPr>
          <w:p>
            <w:pPr>
              <w:tabs>
                <w:tab w:val="left" w:pos="5580"/>
              </w:tabs>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　</w:t>
            </w:r>
          </w:p>
        </w:tc>
        <w:tc>
          <w:tcPr>
            <w:tcW w:w="709" w:type="dxa"/>
            <w:tcBorders>
              <w:top w:val="single" w:color="auto" w:sz="8" w:space="0"/>
              <w:left w:val="nil"/>
              <w:bottom w:val="single" w:color="auto" w:sz="4" w:space="0"/>
              <w:right w:val="single" w:color="auto" w:sz="8" w:space="0"/>
            </w:tcBorders>
            <w:vAlign w:val="center"/>
          </w:tcPr>
          <w:p>
            <w:pPr>
              <w:tabs>
                <w:tab w:val="left" w:pos="5580"/>
              </w:tabs>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　</w:t>
            </w:r>
          </w:p>
        </w:tc>
      </w:tr>
    </w:tbl>
    <w:p>
      <w:pPr>
        <w:pStyle w:val="11"/>
        <w:tabs>
          <w:tab w:val="left" w:pos="5580"/>
        </w:tabs>
        <w:spacing w:before="120" w:line="22" w:lineRule="atLeast"/>
        <w:ind w:firstLine="480" w:firstLineChars="200"/>
        <w:rPr>
          <w:rFonts w:hAnsi="宋体"/>
          <w:color w:val="000000" w:themeColor="text1"/>
          <w:sz w:val="24"/>
          <w:u w:val="single"/>
        </w:rPr>
      </w:pPr>
      <w:r>
        <w:rPr>
          <w:rFonts w:hint="eastAsia" w:hAnsi="宋体"/>
          <w:color w:val="000000" w:themeColor="text1"/>
          <w:sz w:val="24"/>
        </w:rPr>
        <w:t>项目名称                             项目编号</w:t>
      </w:r>
      <w:r>
        <w:rPr>
          <w:rFonts w:hint="eastAsia" w:ascii="仿宋_GB2312" w:hAnsi="宋体" w:eastAsia="仿宋_GB2312"/>
          <w:color w:val="000000" w:themeColor="text1"/>
          <w:sz w:val="24"/>
        </w:rPr>
        <w:t>：</w:t>
      </w:r>
    </w:p>
    <w:p>
      <w:pPr>
        <w:tabs>
          <w:tab w:val="left" w:pos="1800"/>
          <w:tab w:val="left" w:pos="5580"/>
        </w:tabs>
        <w:ind w:firstLine="480" w:firstLineChars="200"/>
        <w:jc w:val="left"/>
        <w:rPr>
          <w:rFonts w:ascii="仿宋_GB2312" w:hAnsi="宋体" w:eastAsia="仿宋_GB2312"/>
          <w:color w:val="000000" w:themeColor="text1"/>
          <w:sz w:val="24"/>
        </w:rPr>
      </w:pPr>
      <w:r>
        <w:rPr>
          <w:rFonts w:hint="eastAsia" w:ascii="仿宋_GB2312" w:hAnsi="宋体" w:eastAsia="仿宋_GB2312"/>
          <w:color w:val="000000" w:themeColor="text1"/>
          <w:sz w:val="24"/>
        </w:rPr>
        <w:t xml:space="preserve">                                  　</w:t>
      </w:r>
    </w:p>
    <w:p>
      <w:pPr>
        <w:pStyle w:val="11"/>
        <w:tabs>
          <w:tab w:val="left" w:pos="5580"/>
        </w:tabs>
        <w:spacing w:before="120" w:line="22" w:lineRule="atLeast"/>
        <w:ind w:left="678" w:leftChars="114" w:hanging="439" w:hangingChars="183"/>
        <w:rPr>
          <w:rFonts w:hAnsi="宋体"/>
          <w:color w:val="000000" w:themeColor="text1"/>
          <w:sz w:val="24"/>
        </w:rPr>
      </w:pPr>
      <w:r>
        <w:rPr>
          <w:rFonts w:hint="eastAsia" w:hAnsi="宋体"/>
          <w:color w:val="000000" w:themeColor="text1"/>
          <w:sz w:val="24"/>
        </w:rPr>
        <w:t>该报价为供应商完成项目所涉及维修费用、人工、税金等所有费用；</w:t>
      </w:r>
    </w:p>
    <w:p>
      <w:pPr>
        <w:pStyle w:val="11"/>
        <w:tabs>
          <w:tab w:val="left" w:pos="5580"/>
        </w:tabs>
        <w:spacing w:before="120" w:line="22" w:lineRule="atLeast"/>
        <w:ind w:left="678" w:leftChars="114" w:hanging="439" w:hangingChars="183"/>
        <w:rPr>
          <w:rFonts w:hAnsi="宋体"/>
          <w:color w:val="000000" w:themeColor="text1"/>
          <w:sz w:val="24"/>
          <w:highlight w:val="yellow"/>
        </w:rPr>
      </w:pPr>
      <w:r>
        <w:rPr>
          <w:rFonts w:hint="eastAsia" w:hAnsi="宋体"/>
          <w:color w:val="000000" w:themeColor="text1"/>
          <w:sz w:val="24"/>
        </w:rPr>
        <w:t>项目完成期为完成本项目所需的最短时间周期。</w:t>
      </w:r>
    </w:p>
    <w:p>
      <w:pPr>
        <w:pStyle w:val="11"/>
        <w:tabs>
          <w:tab w:val="left" w:pos="5580"/>
        </w:tabs>
        <w:spacing w:before="120" w:line="22" w:lineRule="atLeast"/>
        <w:ind w:left="678" w:leftChars="114" w:hanging="439" w:hangingChars="183"/>
        <w:rPr>
          <w:rFonts w:ascii="仿宋_GB2312" w:hAnsi="宋体" w:eastAsia="仿宋_GB2312"/>
          <w:color w:val="000000" w:themeColor="text1"/>
          <w:sz w:val="24"/>
        </w:rPr>
      </w:pPr>
      <w:r>
        <w:rPr>
          <w:rFonts w:hint="eastAsia" w:hAnsi="宋体"/>
          <w:color w:val="000000" w:themeColor="text1"/>
          <w:sz w:val="24"/>
        </w:rPr>
        <w:t>竞争性磋商报价人名称（盖章）：</w:t>
      </w:r>
    </w:p>
    <w:p>
      <w:pPr>
        <w:pStyle w:val="11"/>
        <w:tabs>
          <w:tab w:val="left" w:pos="5580"/>
        </w:tabs>
        <w:spacing w:before="120" w:line="22" w:lineRule="atLeast"/>
        <w:ind w:firstLine="240" w:firstLineChars="100"/>
        <w:rPr>
          <w:rFonts w:hAnsi="宋体"/>
          <w:color w:val="000000" w:themeColor="text1"/>
          <w:sz w:val="24"/>
          <w:u w:val="single"/>
        </w:rPr>
      </w:pPr>
      <w:r>
        <w:rPr>
          <w:rFonts w:hint="eastAsia" w:hAnsi="宋体"/>
          <w:color w:val="000000" w:themeColor="text1"/>
          <w:sz w:val="24"/>
        </w:rPr>
        <w:t>竞争性磋商报价人被授权人签字</w:t>
      </w:r>
      <w:r>
        <w:rPr>
          <w:rFonts w:hAnsi="宋体"/>
          <w:color w:val="000000" w:themeColor="text1"/>
          <w:sz w:val="24"/>
        </w:rPr>
        <w:t>:</w:t>
      </w:r>
      <w:r>
        <w:rPr>
          <w:rFonts w:hAnsi="宋体"/>
          <w:color w:val="000000" w:themeColor="text1"/>
          <w:sz w:val="24"/>
          <w:u w:val="single"/>
        </w:rPr>
        <w:tab/>
      </w:r>
    </w:p>
    <w:p>
      <w:pPr>
        <w:pStyle w:val="11"/>
        <w:tabs>
          <w:tab w:val="left" w:pos="5580"/>
        </w:tabs>
        <w:spacing w:before="120" w:line="22" w:lineRule="atLeast"/>
        <w:ind w:firstLine="360"/>
        <w:rPr>
          <w:rFonts w:ascii="仿宋_GB2312" w:hAnsi="宋体"/>
          <w:color w:val="000000" w:themeColor="text1"/>
          <w:sz w:val="24"/>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widowControl/>
        <w:jc w:val="left"/>
        <w:rPr>
          <w:rFonts w:ascii="宋体" w:hAnsi="宋体"/>
          <w:b/>
          <w:color w:val="000000" w:themeColor="text1"/>
          <w:sz w:val="24"/>
        </w:rPr>
      </w:pPr>
      <w:r>
        <w:rPr>
          <w:rFonts w:hAnsi="宋体"/>
          <w:b/>
          <w:color w:val="000000" w:themeColor="text1"/>
          <w:sz w:val="24"/>
        </w:rPr>
        <w:br w:type="page"/>
      </w:r>
    </w:p>
    <w:p>
      <w:pPr>
        <w:pStyle w:val="11"/>
        <w:tabs>
          <w:tab w:val="left" w:pos="5580"/>
        </w:tabs>
        <w:rPr>
          <w:rFonts w:hAnsi="宋体"/>
          <w:b/>
          <w:color w:val="000000" w:themeColor="text1"/>
          <w:sz w:val="24"/>
        </w:rPr>
      </w:pPr>
      <w:r>
        <w:rPr>
          <w:rFonts w:hint="eastAsia" w:hAnsi="宋体"/>
          <w:b/>
          <w:color w:val="000000" w:themeColor="text1"/>
          <w:sz w:val="24"/>
          <w:szCs w:val="24"/>
        </w:rPr>
        <w:t>附件</w:t>
      </w:r>
      <w:r>
        <w:rPr>
          <w:rFonts w:hAnsi="宋体"/>
          <w:b/>
          <w:color w:val="000000" w:themeColor="text1"/>
          <w:sz w:val="24"/>
          <w:szCs w:val="24"/>
        </w:rPr>
        <w:t>3</w:t>
      </w:r>
      <w:r>
        <w:rPr>
          <w:rFonts w:hint="eastAsia" w:hAnsi="宋体"/>
          <w:b/>
          <w:color w:val="000000" w:themeColor="text1"/>
          <w:sz w:val="24"/>
        </w:rPr>
        <w:t xml:space="preserve">          法人营业执照副本</w:t>
      </w:r>
    </w:p>
    <w:p>
      <w:pPr>
        <w:pStyle w:val="11"/>
        <w:tabs>
          <w:tab w:val="left" w:pos="5580"/>
        </w:tabs>
        <w:jc w:val="center"/>
        <w:rPr>
          <w:rFonts w:ascii="仿宋_GB2312" w:hAnsi="宋体"/>
          <w:b/>
          <w:color w:val="000000" w:themeColor="text1"/>
          <w:sz w:val="24"/>
        </w:rPr>
      </w:pPr>
    </w:p>
    <w:p>
      <w:pPr>
        <w:rPr>
          <w:bCs/>
          <w:color w:val="000000" w:themeColor="text1"/>
          <w:sz w:val="24"/>
        </w:rPr>
      </w:pPr>
      <w:r>
        <w:rPr>
          <w:rFonts w:hint="eastAsia"/>
          <w:bCs/>
          <w:color w:val="000000" w:themeColor="text1"/>
          <w:sz w:val="24"/>
        </w:rPr>
        <w:t>（复印件加盖公章）</w:t>
      </w:r>
    </w:p>
    <w:p>
      <w:pPr>
        <w:rPr>
          <w:b/>
          <w:bCs/>
          <w:color w:val="000000" w:themeColor="text1"/>
          <w:sz w:val="24"/>
        </w:rPr>
      </w:pPr>
    </w:p>
    <w:p>
      <w:pPr>
        <w:rPr>
          <w:b/>
          <w:bCs/>
          <w:color w:val="000000" w:themeColor="text1"/>
          <w:sz w:val="24"/>
        </w:rPr>
      </w:pPr>
    </w:p>
    <w:p>
      <w:pPr>
        <w:rPr>
          <w:b/>
          <w:bCs/>
          <w:color w:val="000000" w:themeColor="text1"/>
          <w:sz w:val="24"/>
        </w:rPr>
      </w:pPr>
    </w:p>
    <w:p>
      <w:pPr>
        <w:rPr>
          <w:b/>
          <w:bCs/>
          <w:color w:val="000000" w:themeColor="text1"/>
          <w:sz w:val="24"/>
        </w:rPr>
      </w:pPr>
    </w:p>
    <w:p>
      <w:pPr>
        <w:rPr>
          <w:b/>
          <w:bCs/>
          <w:color w:val="000000" w:themeColor="text1"/>
          <w:sz w:val="24"/>
        </w:rPr>
      </w:pPr>
    </w:p>
    <w:p>
      <w:pPr>
        <w:rPr>
          <w:b/>
          <w:bCs/>
          <w:color w:val="000000" w:themeColor="text1"/>
          <w:sz w:val="24"/>
        </w:rPr>
      </w:pPr>
    </w:p>
    <w:p>
      <w:pPr>
        <w:rPr>
          <w:b/>
          <w:bCs/>
          <w:color w:val="000000" w:themeColor="text1"/>
          <w:sz w:val="24"/>
        </w:rPr>
      </w:pPr>
    </w:p>
    <w:p>
      <w:pPr>
        <w:rPr>
          <w:b/>
          <w:bCs/>
          <w:color w:val="000000" w:themeColor="text1"/>
          <w:sz w:val="24"/>
        </w:rPr>
      </w:pPr>
    </w:p>
    <w:p>
      <w:pPr>
        <w:rPr>
          <w:b/>
          <w:bCs/>
          <w:color w:val="000000" w:themeColor="text1"/>
          <w:sz w:val="24"/>
        </w:rPr>
      </w:pPr>
    </w:p>
    <w:p>
      <w:pPr>
        <w:rPr>
          <w:b/>
          <w:bCs/>
          <w:color w:val="000000" w:themeColor="text1"/>
          <w:sz w:val="24"/>
        </w:rPr>
      </w:pPr>
    </w:p>
    <w:p>
      <w:pPr>
        <w:rPr>
          <w:b/>
          <w:bCs/>
          <w:color w:val="000000" w:themeColor="text1"/>
          <w:sz w:val="24"/>
        </w:rPr>
      </w:pPr>
    </w:p>
    <w:p>
      <w:pPr>
        <w:rPr>
          <w:b/>
          <w:bCs/>
          <w:color w:val="000000" w:themeColor="text1"/>
          <w:sz w:val="24"/>
        </w:rPr>
      </w:pPr>
    </w:p>
    <w:p>
      <w:pPr>
        <w:rPr>
          <w:b/>
          <w:bCs/>
          <w:color w:val="000000" w:themeColor="text1"/>
          <w:sz w:val="24"/>
        </w:rPr>
      </w:pPr>
    </w:p>
    <w:p>
      <w:pPr>
        <w:rPr>
          <w:rFonts w:ascii="宋体" w:hAnsi="宋体"/>
          <w:b/>
          <w:bCs/>
          <w:color w:val="000000" w:themeColor="text1"/>
          <w:sz w:val="24"/>
        </w:rPr>
      </w:pPr>
      <w:r>
        <w:rPr>
          <w:rFonts w:hint="eastAsia" w:ascii="宋体" w:hAnsi="宋体"/>
          <w:b/>
          <w:bCs/>
          <w:color w:val="000000" w:themeColor="text1"/>
          <w:sz w:val="24"/>
        </w:rPr>
        <w:t>附件</w:t>
      </w:r>
      <w:r>
        <w:rPr>
          <w:rFonts w:ascii="宋体" w:hAnsi="宋体"/>
          <w:b/>
          <w:bCs/>
          <w:color w:val="000000" w:themeColor="text1"/>
          <w:sz w:val="24"/>
        </w:rPr>
        <w:t>4</w:t>
      </w:r>
      <w:r>
        <w:rPr>
          <w:rFonts w:hint="eastAsia" w:ascii="宋体" w:hAnsi="宋体"/>
          <w:b/>
          <w:bCs/>
          <w:color w:val="000000" w:themeColor="text1"/>
          <w:sz w:val="24"/>
        </w:rPr>
        <w:t>纳税证明</w:t>
      </w:r>
    </w:p>
    <w:p>
      <w:pPr>
        <w:rPr>
          <w:rFonts w:ascii="仿宋_GB2312" w:hAnsi="宋体"/>
          <w:b/>
          <w:bCs/>
          <w:color w:val="000000" w:themeColor="text1"/>
          <w:sz w:val="24"/>
        </w:rPr>
      </w:pPr>
    </w:p>
    <w:p>
      <w:pPr>
        <w:ind w:left="1155" w:leftChars="250" w:hanging="630" w:hangingChars="300"/>
        <w:rPr>
          <w:rFonts w:ascii="仿宋_GB2312" w:hAnsi="宋体"/>
          <w:color w:val="000000" w:themeColor="text1"/>
          <w:szCs w:val="20"/>
        </w:rPr>
      </w:pPr>
      <w:r>
        <w:rPr>
          <w:rFonts w:hint="eastAsia" w:ascii="仿宋_GB2312" w:hAnsi="宋体"/>
          <w:color w:val="000000" w:themeColor="text1"/>
          <w:szCs w:val="20"/>
        </w:rPr>
        <w:t>说明：</w:t>
      </w:r>
      <w:r>
        <w:rPr>
          <w:rFonts w:hint="eastAsia" w:ascii="宋体" w:hAnsi="宋体"/>
          <w:color w:val="000000" w:themeColor="text1"/>
          <w:szCs w:val="21"/>
        </w:rPr>
        <w:t>提供响应文件递交截止时间前三个月内任意一个月的纳税入账票据证明，须加盖本单位公章。</w:t>
      </w:r>
    </w:p>
    <w:p>
      <w:pPr>
        <w:tabs>
          <w:tab w:val="left" w:pos="5580"/>
        </w:tabs>
        <w:adjustRightInd w:val="0"/>
        <w:spacing w:before="120" w:line="360" w:lineRule="auto"/>
        <w:ind w:firstLine="3373" w:firstLineChars="1200"/>
        <w:rPr>
          <w:rFonts w:ascii="仿宋_GB2312"/>
          <w:b/>
          <w:color w:val="000000" w:themeColor="text1"/>
          <w:sz w:val="28"/>
        </w:rPr>
      </w:pPr>
    </w:p>
    <w:p>
      <w:pPr>
        <w:tabs>
          <w:tab w:val="left" w:pos="5580"/>
        </w:tabs>
        <w:adjustRightInd w:val="0"/>
        <w:spacing w:before="120" w:line="360" w:lineRule="auto"/>
        <w:ind w:firstLine="3373" w:firstLineChars="1200"/>
        <w:rPr>
          <w:rFonts w:ascii="仿宋_GB2312"/>
          <w:b/>
          <w:color w:val="000000" w:themeColor="text1"/>
          <w:sz w:val="28"/>
        </w:rPr>
      </w:pPr>
    </w:p>
    <w:p>
      <w:pPr>
        <w:rPr>
          <w:rFonts w:ascii="宋体" w:hAnsi="宋体"/>
          <w:b/>
          <w:color w:val="000000" w:themeColor="text1"/>
          <w:sz w:val="24"/>
        </w:rPr>
      </w:pPr>
    </w:p>
    <w:p>
      <w:pPr>
        <w:rPr>
          <w:rFonts w:ascii="宋体" w:hAnsi="宋体"/>
          <w:b/>
          <w:color w:val="000000" w:themeColor="text1"/>
          <w:sz w:val="24"/>
        </w:rPr>
      </w:pPr>
    </w:p>
    <w:p>
      <w:pPr>
        <w:rPr>
          <w:rFonts w:ascii="宋体" w:hAnsi="宋体"/>
          <w:b/>
          <w:color w:val="000000" w:themeColor="text1"/>
          <w:sz w:val="24"/>
        </w:rPr>
      </w:pPr>
    </w:p>
    <w:p>
      <w:pPr>
        <w:rPr>
          <w:rFonts w:ascii="宋体" w:hAnsi="宋体"/>
          <w:b/>
          <w:color w:val="000000" w:themeColor="text1"/>
          <w:sz w:val="24"/>
        </w:rPr>
      </w:pPr>
    </w:p>
    <w:p>
      <w:pPr>
        <w:rPr>
          <w:rFonts w:ascii="宋体" w:hAnsi="宋体"/>
          <w:b/>
          <w:color w:val="000000" w:themeColor="text1"/>
          <w:sz w:val="24"/>
        </w:rPr>
      </w:pPr>
    </w:p>
    <w:p>
      <w:pPr>
        <w:rPr>
          <w:rFonts w:ascii="宋体" w:hAnsi="宋体"/>
          <w:b/>
          <w:color w:val="000000" w:themeColor="text1"/>
          <w:sz w:val="24"/>
        </w:rPr>
      </w:pPr>
    </w:p>
    <w:p>
      <w:pPr>
        <w:rPr>
          <w:rFonts w:ascii="宋体" w:hAnsi="宋体"/>
          <w:b/>
          <w:color w:val="000000" w:themeColor="text1"/>
          <w:sz w:val="24"/>
        </w:rPr>
      </w:pPr>
    </w:p>
    <w:p>
      <w:pPr>
        <w:rPr>
          <w:rFonts w:ascii="宋体" w:hAnsi="宋体"/>
          <w:b/>
          <w:color w:val="000000" w:themeColor="text1"/>
          <w:sz w:val="24"/>
        </w:rPr>
      </w:pPr>
    </w:p>
    <w:p>
      <w:pPr>
        <w:rPr>
          <w:rFonts w:ascii="宋体" w:hAnsi="宋体"/>
          <w:b/>
          <w:color w:val="000000" w:themeColor="text1"/>
          <w:sz w:val="24"/>
        </w:rPr>
      </w:pPr>
    </w:p>
    <w:p>
      <w:pPr>
        <w:rPr>
          <w:rFonts w:ascii="宋体" w:hAnsi="宋体"/>
          <w:b/>
          <w:color w:val="000000" w:themeColor="text1"/>
          <w:sz w:val="24"/>
        </w:rPr>
      </w:pPr>
    </w:p>
    <w:p>
      <w:pPr>
        <w:rPr>
          <w:rFonts w:ascii="宋体" w:hAnsi="宋体"/>
          <w:b/>
          <w:color w:val="000000" w:themeColor="text1"/>
          <w:sz w:val="24"/>
        </w:rPr>
      </w:pPr>
    </w:p>
    <w:p>
      <w:pPr>
        <w:rPr>
          <w:rFonts w:ascii="宋体" w:hAnsi="宋体"/>
          <w:b/>
          <w:color w:val="000000" w:themeColor="text1"/>
          <w:sz w:val="24"/>
        </w:rPr>
      </w:pPr>
    </w:p>
    <w:p>
      <w:pPr>
        <w:rPr>
          <w:rFonts w:ascii="宋体" w:hAnsi="宋体"/>
          <w:b/>
          <w:color w:val="000000" w:themeColor="text1"/>
          <w:sz w:val="24"/>
        </w:rPr>
      </w:pPr>
    </w:p>
    <w:p>
      <w:pPr>
        <w:rPr>
          <w:rFonts w:ascii="宋体" w:hAnsi="宋体"/>
          <w:b/>
          <w:color w:val="000000" w:themeColor="text1"/>
          <w:sz w:val="24"/>
        </w:rPr>
      </w:pPr>
    </w:p>
    <w:p>
      <w:pPr>
        <w:rPr>
          <w:rFonts w:ascii="宋体" w:hAnsi="宋体"/>
          <w:b/>
          <w:color w:val="000000" w:themeColor="text1"/>
          <w:sz w:val="24"/>
        </w:rPr>
      </w:pPr>
    </w:p>
    <w:p>
      <w:pPr>
        <w:rPr>
          <w:rFonts w:ascii="宋体" w:hAnsi="宋体"/>
          <w:b/>
          <w:color w:val="000000" w:themeColor="text1"/>
          <w:sz w:val="24"/>
        </w:rPr>
      </w:pPr>
    </w:p>
    <w:p>
      <w:pPr>
        <w:rPr>
          <w:rFonts w:ascii="宋体" w:hAnsi="宋体"/>
          <w:b/>
          <w:color w:val="000000" w:themeColor="text1"/>
          <w:sz w:val="24"/>
        </w:rPr>
      </w:pPr>
    </w:p>
    <w:p>
      <w:pPr>
        <w:rPr>
          <w:rFonts w:ascii="宋体" w:hAnsi="宋体"/>
          <w:b/>
          <w:color w:val="000000" w:themeColor="text1"/>
          <w:sz w:val="24"/>
        </w:rPr>
      </w:pPr>
    </w:p>
    <w:p>
      <w:pPr>
        <w:rPr>
          <w:rFonts w:ascii="宋体" w:hAnsi="宋体"/>
          <w:b/>
          <w:color w:val="000000" w:themeColor="text1"/>
          <w:sz w:val="24"/>
        </w:rPr>
      </w:pPr>
    </w:p>
    <w:p>
      <w:pPr>
        <w:rPr>
          <w:rFonts w:ascii="宋体" w:hAnsi="宋体"/>
          <w:b/>
          <w:color w:val="000000" w:themeColor="text1"/>
          <w:sz w:val="24"/>
        </w:rPr>
      </w:pPr>
    </w:p>
    <w:p>
      <w:pPr>
        <w:rPr>
          <w:rFonts w:ascii="仿宋_GB2312" w:hAnsi="宋体"/>
          <w:b/>
          <w:color w:val="000000" w:themeColor="text1"/>
          <w:sz w:val="24"/>
          <w:u w:val="single"/>
        </w:rPr>
      </w:pPr>
      <w:r>
        <w:rPr>
          <w:rFonts w:hint="eastAsia" w:ascii="宋体" w:hAnsi="宋体"/>
          <w:b/>
          <w:color w:val="000000" w:themeColor="text1"/>
          <w:sz w:val="24"/>
        </w:rPr>
        <w:t>附件</w:t>
      </w:r>
      <w:r>
        <w:rPr>
          <w:rFonts w:ascii="宋体" w:hAnsi="宋体"/>
          <w:b/>
          <w:color w:val="000000" w:themeColor="text1"/>
          <w:sz w:val="24"/>
        </w:rPr>
        <w:t>5</w:t>
      </w:r>
      <w:r>
        <w:rPr>
          <w:rFonts w:hint="eastAsia" w:ascii="仿宋_GB2312" w:hAnsi="宋体"/>
          <w:b/>
          <w:color w:val="000000" w:themeColor="text1"/>
          <w:sz w:val="24"/>
        </w:rPr>
        <w:t>法定代表人授权书</w:t>
      </w:r>
      <w:r>
        <w:rPr>
          <w:rFonts w:ascii="仿宋_GB2312" w:hAnsi="宋体"/>
          <w:b/>
          <w:color w:val="000000" w:themeColor="text1"/>
          <w:sz w:val="24"/>
        </w:rPr>
        <w:t>(</w:t>
      </w:r>
      <w:r>
        <w:rPr>
          <w:rFonts w:hint="eastAsia" w:ascii="仿宋_GB2312" w:hAnsi="宋体"/>
          <w:b/>
          <w:color w:val="000000" w:themeColor="text1"/>
          <w:sz w:val="24"/>
        </w:rPr>
        <w:t>格式</w:t>
      </w:r>
      <w:r>
        <w:rPr>
          <w:rFonts w:ascii="仿宋_GB2312" w:hAnsi="宋体"/>
          <w:b/>
          <w:color w:val="000000" w:themeColor="text1"/>
          <w:sz w:val="24"/>
        </w:rPr>
        <w:t>)</w:t>
      </w:r>
    </w:p>
    <w:p>
      <w:pPr>
        <w:pStyle w:val="11"/>
        <w:rPr>
          <w:rFonts w:ascii="仿宋_GB2312" w:hAnsi="宋体"/>
          <w:color w:val="000000" w:themeColor="text1"/>
          <w:sz w:val="24"/>
        </w:rPr>
      </w:pPr>
      <w:r>
        <w:rPr>
          <w:rFonts w:hint="eastAsia" w:ascii="仿宋_GB2312" w:hAnsi="宋体"/>
          <w:color w:val="000000" w:themeColor="text1"/>
          <w:sz w:val="24"/>
          <w:u w:val="single"/>
        </w:rPr>
        <w:cr/>
      </w:r>
    </w:p>
    <w:p>
      <w:pPr>
        <w:pStyle w:val="11"/>
        <w:tabs>
          <w:tab w:val="left" w:pos="180"/>
          <w:tab w:val="left" w:pos="360"/>
          <w:tab w:val="left" w:pos="540"/>
          <w:tab w:val="left" w:pos="5580"/>
        </w:tabs>
        <w:spacing w:line="360" w:lineRule="auto"/>
        <w:rPr>
          <w:rFonts w:hAnsi="宋体"/>
          <w:color w:val="000000" w:themeColor="text1"/>
          <w:sz w:val="24"/>
        </w:rPr>
      </w:pPr>
      <w:r>
        <w:rPr>
          <w:rFonts w:ascii="仿宋_GB2312" w:hAnsi="宋体"/>
          <w:color w:val="000000" w:themeColor="text1"/>
          <w:sz w:val="24"/>
        </w:rPr>
        <w:cr/>
      </w:r>
      <w:r>
        <w:rPr>
          <w:rFonts w:hint="eastAsia" w:hAnsi="宋体"/>
          <w:color w:val="000000" w:themeColor="text1"/>
          <w:sz w:val="24"/>
        </w:rPr>
        <w:t xml:space="preserve"> 本授权书声明：注册于</w:t>
      </w:r>
      <w:r>
        <w:rPr>
          <w:rFonts w:hint="eastAsia" w:hAnsi="宋体"/>
          <w:color w:val="000000" w:themeColor="text1"/>
          <w:sz w:val="24"/>
          <w:u w:val="single"/>
        </w:rPr>
        <w:t>（国家或地区的名称）</w:t>
      </w:r>
      <w:r>
        <w:rPr>
          <w:rFonts w:hint="eastAsia" w:hAnsi="宋体"/>
          <w:color w:val="000000" w:themeColor="text1"/>
          <w:sz w:val="24"/>
        </w:rPr>
        <w:t>的（</w:t>
      </w:r>
      <w:r>
        <w:rPr>
          <w:rFonts w:hint="eastAsia" w:hAnsi="宋体"/>
          <w:i/>
          <w:color w:val="000000" w:themeColor="text1"/>
          <w:sz w:val="24"/>
          <w:u w:val="single"/>
        </w:rPr>
        <w:t>公司名称</w:t>
      </w:r>
      <w:r>
        <w:rPr>
          <w:rFonts w:hint="eastAsia" w:hAnsi="宋体"/>
          <w:color w:val="000000" w:themeColor="text1"/>
          <w:sz w:val="24"/>
        </w:rPr>
        <w:t>）的在下面签字的（</w:t>
      </w:r>
      <w:r>
        <w:rPr>
          <w:rFonts w:hint="eastAsia" w:hAnsi="宋体"/>
          <w:i/>
          <w:color w:val="000000" w:themeColor="text1"/>
          <w:sz w:val="24"/>
          <w:u w:val="single"/>
        </w:rPr>
        <w:t>法人代表姓名、职务</w:t>
      </w:r>
      <w:r>
        <w:rPr>
          <w:rFonts w:hint="eastAsia" w:hAnsi="宋体"/>
          <w:color w:val="000000" w:themeColor="text1"/>
          <w:sz w:val="24"/>
        </w:rPr>
        <w:t>）代表本公司授权（</w:t>
      </w:r>
      <w:r>
        <w:rPr>
          <w:rFonts w:hint="eastAsia" w:hAnsi="宋体"/>
          <w:i/>
          <w:color w:val="000000" w:themeColor="text1"/>
          <w:sz w:val="24"/>
          <w:u w:val="single"/>
        </w:rPr>
        <w:t>单位名称</w:t>
      </w:r>
      <w:r>
        <w:rPr>
          <w:rFonts w:hint="eastAsia" w:hAnsi="宋体"/>
          <w:color w:val="000000" w:themeColor="text1"/>
          <w:sz w:val="24"/>
        </w:rPr>
        <w:t>）的在下面签字的（</w:t>
      </w:r>
      <w:r>
        <w:rPr>
          <w:rFonts w:hint="eastAsia" w:hAnsi="宋体"/>
          <w:i/>
          <w:color w:val="000000" w:themeColor="text1"/>
          <w:sz w:val="24"/>
          <w:u w:val="single"/>
        </w:rPr>
        <w:t>被授权人的姓名、职务</w:t>
      </w:r>
      <w:r>
        <w:rPr>
          <w:rFonts w:hint="eastAsia" w:hAnsi="宋体"/>
          <w:color w:val="000000" w:themeColor="text1"/>
          <w:sz w:val="24"/>
        </w:rPr>
        <w:t>）为本公司的合法代理人，就（</w:t>
      </w:r>
      <w:r>
        <w:rPr>
          <w:rFonts w:hint="eastAsia" w:hAnsi="宋体"/>
          <w:i/>
          <w:iCs/>
          <w:color w:val="000000" w:themeColor="text1"/>
          <w:sz w:val="24"/>
          <w:u w:val="single"/>
        </w:rPr>
        <w:t>项目编号、项目</w:t>
      </w:r>
      <w:r>
        <w:rPr>
          <w:rFonts w:hint="eastAsia" w:hAnsi="宋体"/>
          <w:i/>
          <w:color w:val="000000" w:themeColor="text1"/>
          <w:sz w:val="24"/>
          <w:u w:val="single"/>
        </w:rPr>
        <w:t>名称</w:t>
      </w:r>
      <w:r>
        <w:rPr>
          <w:rFonts w:hint="eastAsia" w:hAnsi="宋体"/>
          <w:color w:val="000000" w:themeColor="text1"/>
          <w:sz w:val="24"/>
        </w:rPr>
        <w:t>）的采购（含竞争性磋商和转为其他方式），以本公司名义处理一切与之有关的事务。</w:t>
      </w:r>
      <w:r>
        <w:rPr>
          <w:rFonts w:hint="eastAsia" w:hAnsi="宋体"/>
          <w:color w:val="000000" w:themeColor="text1"/>
          <w:sz w:val="24"/>
        </w:rPr>
        <w:cr/>
      </w:r>
      <w:r>
        <w:rPr>
          <w:rFonts w:hint="eastAsia" w:hAnsi="宋体"/>
          <w:color w:val="000000" w:themeColor="text1"/>
          <w:sz w:val="24"/>
        </w:rPr>
        <w:t>　　</w:t>
      </w:r>
    </w:p>
    <w:p>
      <w:pPr>
        <w:pStyle w:val="11"/>
        <w:tabs>
          <w:tab w:val="left" w:pos="5580"/>
        </w:tabs>
        <w:spacing w:line="360" w:lineRule="auto"/>
        <w:ind w:firstLine="480"/>
        <w:rPr>
          <w:rFonts w:hAnsi="宋体"/>
          <w:color w:val="000000" w:themeColor="text1"/>
          <w:sz w:val="24"/>
        </w:rPr>
      </w:pPr>
      <w:r>
        <w:rPr>
          <w:rFonts w:hint="eastAsia" w:hAnsi="宋体"/>
          <w:color w:val="000000" w:themeColor="text1"/>
          <w:sz w:val="24"/>
        </w:rPr>
        <w:t>本授权书于</w:t>
      </w:r>
      <w:r>
        <w:rPr>
          <w:rFonts w:hAnsi="宋体"/>
          <w:color w:val="000000" w:themeColor="text1"/>
          <w:sz w:val="24"/>
        </w:rPr>
        <w:t>__________</w:t>
      </w:r>
      <w:r>
        <w:rPr>
          <w:rFonts w:hint="eastAsia" w:hAnsi="宋体"/>
          <w:color w:val="000000" w:themeColor="text1"/>
          <w:sz w:val="24"/>
        </w:rPr>
        <w:t>年</w:t>
      </w:r>
      <w:r>
        <w:rPr>
          <w:rFonts w:hAnsi="宋体"/>
          <w:color w:val="000000" w:themeColor="text1"/>
          <w:sz w:val="24"/>
        </w:rPr>
        <w:t>_____</w:t>
      </w:r>
      <w:r>
        <w:rPr>
          <w:rFonts w:hint="eastAsia" w:hAnsi="宋体"/>
          <w:color w:val="000000" w:themeColor="text1"/>
          <w:sz w:val="24"/>
        </w:rPr>
        <w:t>月</w:t>
      </w:r>
      <w:r>
        <w:rPr>
          <w:rFonts w:hAnsi="宋体"/>
          <w:color w:val="000000" w:themeColor="text1"/>
          <w:sz w:val="24"/>
        </w:rPr>
        <w:t>______</w:t>
      </w:r>
      <w:r>
        <w:rPr>
          <w:rFonts w:hint="eastAsia" w:hAnsi="宋体"/>
          <w:color w:val="000000" w:themeColor="text1"/>
          <w:sz w:val="24"/>
        </w:rPr>
        <w:t>日签字生效</w:t>
      </w:r>
      <w:r>
        <w:rPr>
          <w:rFonts w:hAnsi="宋体"/>
          <w:color w:val="000000" w:themeColor="text1"/>
          <w:sz w:val="24"/>
        </w:rPr>
        <w:t>,</w:t>
      </w:r>
      <w:r>
        <w:rPr>
          <w:rFonts w:hint="eastAsia" w:hAnsi="宋体"/>
          <w:color w:val="000000" w:themeColor="text1"/>
          <w:sz w:val="24"/>
        </w:rPr>
        <w:t>特此声明。</w:t>
      </w:r>
      <w:r>
        <w:rPr>
          <w:rFonts w:hint="eastAsia" w:hAnsi="宋体"/>
          <w:color w:val="000000" w:themeColor="text1"/>
          <w:sz w:val="24"/>
        </w:rPr>
        <w:cr/>
      </w:r>
      <w:r>
        <w:rPr>
          <w:rFonts w:hint="eastAsia" w:hAnsi="宋体"/>
          <w:color w:val="000000" w:themeColor="text1"/>
          <w:sz w:val="24"/>
        </w:rPr>
        <w:cr/>
      </w:r>
      <w:r>
        <w:rPr>
          <w:rFonts w:hint="eastAsia" w:hAnsi="宋体"/>
          <w:color w:val="000000" w:themeColor="text1"/>
          <w:sz w:val="24"/>
        </w:rPr>
        <w:cr/>
      </w:r>
      <w:r>
        <w:rPr>
          <w:rFonts w:hAnsi="宋体"/>
          <w:color w:val="000000" w:themeColor="text1"/>
          <w:sz w:val="24"/>
        </w:rPr>
        <w:t xml:space="preserve">    </w:t>
      </w:r>
      <w:r>
        <w:rPr>
          <w:rFonts w:hint="eastAsia" w:hAnsi="宋体"/>
          <w:color w:val="000000" w:themeColor="text1"/>
          <w:sz w:val="24"/>
        </w:rPr>
        <w:t xml:space="preserve">供应商代表：           性别：        身份证号：                       </w:t>
      </w:r>
    </w:p>
    <w:p>
      <w:pPr>
        <w:pStyle w:val="11"/>
        <w:tabs>
          <w:tab w:val="left" w:pos="5580"/>
        </w:tabs>
        <w:spacing w:line="360" w:lineRule="auto"/>
        <w:ind w:firstLine="480"/>
        <w:rPr>
          <w:rFonts w:hAnsi="宋体"/>
          <w:color w:val="000000" w:themeColor="text1"/>
          <w:sz w:val="24"/>
        </w:rPr>
      </w:pPr>
      <w:r>
        <w:rPr>
          <w:rFonts w:hint="eastAsia" w:hAnsi="宋体"/>
          <w:color w:val="000000" w:themeColor="text1"/>
          <w:sz w:val="24"/>
        </w:rPr>
        <w:t xml:space="preserve">单位：                  部门：           职务：                    </w:t>
      </w:r>
    </w:p>
    <w:p>
      <w:pPr>
        <w:pStyle w:val="11"/>
        <w:tabs>
          <w:tab w:val="left" w:pos="5580"/>
        </w:tabs>
        <w:spacing w:line="360" w:lineRule="auto"/>
        <w:ind w:firstLine="480"/>
        <w:rPr>
          <w:rFonts w:hAnsi="宋体"/>
          <w:color w:val="000000" w:themeColor="text1"/>
          <w:sz w:val="24"/>
        </w:rPr>
      </w:pPr>
      <w:r>
        <w:rPr>
          <w:rFonts w:hint="eastAsia" w:hAnsi="宋体"/>
          <w:color w:val="000000" w:themeColor="text1"/>
          <w:sz w:val="24"/>
        </w:rPr>
        <w:t xml:space="preserve">详细通讯地址：                                                     </w:t>
      </w:r>
    </w:p>
    <w:p>
      <w:pPr>
        <w:pStyle w:val="11"/>
        <w:tabs>
          <w:tab w:val="left" w:pos="5580"/>
        </w:tabs>
        <w:spacing w:line="360" w:lineRule="auto"/>
        <w:ind w:firstLine="480"/>
        <w:rPr>
          <w:rFonts w:hAnsi="宋体"/>
          <w:color w:val="000000" w:themeColor="text1"/>
          <w:sz w:val="24"/>
        </w:rPr>
      </w:pPr>
      <w:r>
        <w:rPr>
          <w:rFonts w:hint="eastAsia" w:hAnsi="宋体"/>
          <w:color w:val="000000" w:themeColor="text1"/>
          <w:sz w:val="24"/>
        </w:rPr>
        <w:t xml:space="preserve">邮政编码:                电话：                             </w:t>
      </w:r>
    </w:p>
    <w:p>
      <w:pPr>
        <w:pStyle w:val="11"/>
        <w:tabs>
          <w:tab w:val="left" w:pos="5580"/>
        </w:tabs>
        <w:spacing w:line="360" w:lineRule="auto"/>
        <w:ind w:firstLine="480"/>
        <w:rPr>
          <w:rFonts w:hAnsi="宋体"/>
          <w:color w:val="000000" w:themeColor="text1"/>
          <w:sz w:val="24"/>
        </w:rPr>
      </w:pPr>
    </w:p>
    <w:p>
      <w:pPr>
        <w:pStyle w:val="11"/>
        <w:tabs>
          <w:tab w:val="left" w:pos="5580"/>
        </w:tabs>
        <w:spacing w:line="360" w:lineRule="auto"/>
        <w:ind w:firstLine="480"/>
        <w:rPr>
          <w:rFonts w:hAnsi="宋体"/>
          <w:color w:val="000000" w:themeColor="text1"/>
          <w:sz w:val="24"/>
        </w:rPr>
      </w:pPr>
    </w:p>
    <w:p>
      <w:pPr>
        <w:pStyle w:val="11"/>
        <w:tabs>
          <w:tab w:val="left" w:pos="5580"/>
        </w:tabs>
        <w:spacing w:line="360" w:lineRule="auto"/>
        <w:ind w:firstLine="480"/>
        <w:rPr>
          <w:rFonts w:hAnsi="宋体"/>
          <w:color w:val="000000" w:themeColor="text1"/>
          <w:sz w:val="24"/>
        </w:rPr>
      </w:pPr>
    </w:p>
    <w:p>
      <w:pPr>
        <w:pStyle w:val="11"/>
        <w:tabs>
          <w:tab w:val="left" w:pos="5580"/>
        </w:tabs>
        <w:spacing w:line="360" w:lineRule="auto"/>
        <w:ind w:firstLine="480"/>
        <w:rPr>
          <w:rFonts w:hAnsi="宋体"/>
          <w:color w:val="000000" w:themeColor="text1"/>
          <w:sz w:val="24"/>
        </w:rPr>
      </w:pPr>
      <w:r>
        <w:rPr>
          <w:rFonts w:hint="eastAsia" w:hAnsi="宋体"/>
          <w:color w:val="000000" w:themeColor="text1"/>
          <w:sz w:val="24"/>
        </w:rPr>
        <w:t xml:space="preserve">授权方 </w:t>
      </w:r>
    </w:p>
    <w:p>
      <w:pPr>
        <w:pStyle w:val="11"/>
        <w:tabs>
          <w:tab w:val="left" w:pos="5580"/>
        </w:tabs>
        <w:spacing w:line="360" w:lineRule="auto"/>
        <w:ind w:firstLine="480"/>
        <w:rPr>
          <w:rFonts w:hAnsi="宋体"/>
          <w:color w:val="000000" w:themeColor="text1"/>
          <w:sz w:val="24"/>
        </w:rPr>
      </w:pPr>
    </w:p>
    <w:p>
      <w:pPr>
        <w:pStyle w:val="11"/>
        <w:tabs>
          <w:tab w:val="left" w:pos="5580"/>
        </w:tabs>
        <w:spacing w:line="360" w:lineRule="auto"/>
        <w:ind w:firstLine="480"/>
        <w:rPr>
          <w:rFonts w:hAnsi="宋体"/>
          <w:color w:val="000000" w:themeColor="text1"/>
          <w:sz w:val="24"/>
        </w:rPr>
      </w:pPr>
      <w:r>
        <w:rPr>
          <w:rFonts w:hint="eastAsia" w:hAnsi="宋体"/>
          <w:color w:val="000000" w:themeColor="text1"/>
          <w:sz w:val="24"/>
        </w:rPr>
        <w:t>供应商（全称并加盖公章）：</w:t>
      </w:r>
    </w:p>
    <w:p>
      <w:pPr>
        <w:pStyle w:val="11"/>
        <w:tabs>
          <w:tab w:val="left" w:pos="5580"/>
        </w:tabs>
        <w:spacing w:line="360" w:lineRule="auto"/>
        <w:ind w:firstLine="480"/>
        <w:rPr>
          <w:rFonts w:hAnsi="宋体"/>
          <w:color w:val="000000" w:themeColor="text1"/>
          <w:sz w:val="24"/>
        </w:rPr>
      </w:pPr>
      <w:r>
        <w:rPr>
          <w:rFonts w:hint="eastAsia" w:hAnsi="宋体"/>
          <w:color w:val="000000" w:themeColor="text1"/>
          <w:sz w:val="24"/>
        </w:rPr>
        <w:t>法定代表人签字或盖章：</w:t>
      </w:r>
    </w:p>
    <w:p>
      <w:pPr>
        <w:pStyle w:val="11"/>
        <w:tabs>
          <w:tab w:val="left" w:pos="5580"/>
        </w:tabs>
        <w:spacing w:line="360" w:lineRule="auto"/>
        <w:ind w:firstLine="480"/>
        <w:rPr>
          <w:rFonts w:hAnsi="宋体"/>
          <w:color w:val="000000" w:themeColor="text1"/>
          <w:sz w:val="24"/>
        </w:rPr>
      </w:pPr>
      <w:r>
        <w:rPr>
          <w:rFonts w:hint="eastAsia" w:hAnsi="宋体"/>
          <w:color w:val="000000" w:themeColor="text1"/>
          <w:sz w:val="24"/>
        </w:rPr>
        <w:t>日    期：</w:t>
      </w:r>
    </w:p>
    <w:p>
      <w:pPr>
        <w:pStyle w:val="11"/>
        <w:tabs>
          <w:tab w:val="left" w:pos="5580"/>
        </w:tabs>
        <w:spacing w:line="360" w:lineRule="auto"/>
        <w:ind w:firstLine="480"/>
        <w:rPr>
          <w:rFonts w:hAnsi="宋体"/>
          <w:color w:val="000000" w:themeColor="text1"/>
          <w:sz w:val="24"/>
        </w:rPr>
      </w:pPr>
    </w:p>
    <w:p>
      <w:pPr>
        <w:pStyle w:val="11"/>
        <w:tabs>
          <w:tab w:val="left" w:pos="5580"/>
        </w:tabs>
        <w:spacing w:line="360" w:lineRule="auto"/>
        <w:ind w:firstLine="480"/>
        <w:rPr>
          <w:rFonts w:hAnsi="宋体"/>
          <w:color w:val="000000" w:themeColor="text1"/>
          <w:sz w:val="24"/>
        </w:rPr>
      </w:pPr>
      <w:r>
        <w:rPr>
          <w:rFonts w:hint="eastAsia" w:hAnsi="宋体"/>
          <w:color w:val="000000" w:themeColor="text1"/>
          <w:sz w:val="24"/>
        </w:rPr>
        <w:t xml:space="preserve">接受授权方                                                       </w:t>
      </w:r>
    </w:p>
    <w:p>
      <w:pPr>
        <w:pStyle w:val="11"/>
        <w:tabs>
          <w:tab w:val="left" w:pos="5580"/>
        </w:tabs>
        <w:spacing w:line="360" w:lineRule="auto"/>
        <w:ind w:firstLine="480"/>
        <w:rPr>
          <w:rFonts w:hAnsi="宋体"/>
          <w:color w:val="000000" w:themeColor="text1"/>
          <w:sz w:val="24"/>
        </w:rPr>
      </w:pPr>
    </w:p>
    <w:p>
      <w:pPr>
        <w:pStyle w:val="11"/>
        <w:tabs>
          <w:tab w:val="left" w:pos="5580"/>
        </w:tabs>
        <w:spacing w:line="360" w:lineRule="auto"/>
        <w:ind w:firstLine="480"/>
        <w:rPr>
          <w:rFonts w:hAnsi="宋体"/>
          <w:color w:val="000000" w:themeColor="text1"/>
          <w:sz w:val="24"/>
        </w:rPr>
      </w:pPr>
      <w:r>
        <w:rPr>
          <w:rFonts w:hint="eastAsia" w:hAnsi="宋体"/>
          <w:color w:val="000000" w:themeColor="text1"/>
          <w:sz w:val="24"/>
        </w:rPr>
        <w:t>供应商代表签字：</w:t>
      </w:r>
    </w:p>
    <w:p>
      <w:pPr>
        <w:pStyle w:val="11"/>
        <w:tabs>
          <w:tab w:val="left" w:pos="5580"/>
        </w:tabs>
        <w:spacing w:line="360" w:lineRule="auto"/>
        <w:ind w:firstLine="480"/>
        <w:rPr>
          <w:rFonts w:hAnsi="宋体"/>
          <w:color w:val="000000" w:themeColor="text1"/>
          <w:sz w:val="24"/>
        </w:rPr>
      </w:pPr>
      <w:r>
        <w:rPr>
          <w:rFonts w:hint="eastAsia" w:hAnsi="宋体"/>
          <w:color w:val="000000" w:themeColor="text1"/>
          <w:sz w:val="24"/>
        </w:rPr>
        <w:t>日    期：</w:t>
      </w:r>
    </w:p>
    <w:p>
      <w:pPr>
        <w:pStyle w:val="11"/>
        <w:tabs>
          <w:tab w:val="left" w:pos="5580"/>
        </w:tabs>
        <w:spacing w:line="360" w:lineRule="auto"/>
        <w:ind w:firstLine="480"/>
        <w:rPr>
          <w:rFonts w:hAnsi="宋体"/>
          <w:color w:val="000000" w:themeColor="text1"/>
          <w:sz w:val="24"/>
        </w:rPr>
      </w:pPr>
    </w:p>
    <w:p>
      <w:pPr>
        <w:rPr>
          <w:rFonts w:ascii="宋体" w:hAnsi="宋体"/>
          <w:color w:val="000000" w:themeColor="text1"/>
          <w:sz w:val="24"/>
        </w:rPr>
      </w:pPr>
    </w:p>
    <w:p>
      <w:pPr>
        <w:rPr>
          <w:rFonts w:ascii="宋体" w:hAnsi="宋体"/>
          <w:b/>
          <w:bCs/>
          <w:color w:val="000000" w:themeColor="text1"/>
          <w:sz w:val="18"/>
          <w:szCs w:val="18"/>
        </w:rPr>
      </w:pPr>
    </w:p>
    <w:p>
      <w:pPr>
        <w:spacing w:line="360" w:lineRule="auto"/>
        <w:rPr>
          <w:rFonts w:ascii="宋体" w:hAnsi="宋体"/>
          <w:b/>
          <w:color w:val="000000" w:themeColor="text1"/>
          <w:sz w:val="28"/>
          <w:szCs w:val="28"/>
        </w:rPr>
      </w:pPr>
      <w:r>
        <w:rPr>
          <w:rFonts w:hint="eastAsia" w:ascii="宋体" w:hAnsi="宋体"/>
          <w:b/>
          <w:color w:val="000000" w:themeColor="text1"/>
          <w:sz w:val="28"/>
          <w:szCs w:val="28"/>
        </w:rPr>
        <w:t>附件</w:t>
      </w:r>
      <w:r>
        <w:rPr>
          <w:rFonts w:ascii="宋体" w:hAnsi="宋体"/>
          <w:b/>
          <w:color w:val="000000" w:themeColor="text1"/>
          <w:sz w:val="28"/>
          <w:szCs w:val="28"/>
        </w:rPr>
        <w:t>6</w:t>
      </w:r>
      <w:r>
        <w:rPr>
          <w:rFonts w:hint="eastAsia" w:ascii="宋体" w:hAnsi="宋体"/>
          <w:b/>
          <w:color w:val="000000" w:themeColor="text1"/>
          <w:sz w:val="28"/>
          <w:szCs w:val="28"/>
        </w:rPr>
        <w:t xml:space="preserve">                 报价人情况表</w:t>
      </w:r>
    </w:p>
    <w:p>
      <w:pPr>
        <w:tabs>
          <w:tab w:val="left" w:pos="630"/>
        </w:tabs>
        <w:adjustRightInd w:val="0"/>
        <w:snapToGrid w:val="0"/>
        <w:spacing w:line="360" w:lineRule="auto"/>
        <w:rPr>
          <w:rFonts w:ascii="宋体" w:hAnsi="宋体"/>
          <w:color w:val="000000" w:themeColor="text1"/>
          <w:szCs w:val="21"/>
        </w:rPr>
      </w:pPr>
      <w:r>
        <w:rPr>
          <w:rFonts w:hint="eastAsia" w:ascii="宋体" w:hAnsi="宋体"/>
          <w:color w:val="000000" w:themeColor="text1"/>
          <w:szCs w:val="21"/>
        </w:rPr>
        <w:t>1、名称及基本情况：</w:t>
      </w:r>
    </w:p>
    <w:p>
      <w:pPr>
        <w:snapToGrid w:val="0"/>
        <w:spacing w:line="360" w:lineRule="auto"/>
        <w:rPr>
          <w:rFonts w:ascii="宋体" w:hAnsi="宋体"/>
          <w:color w:val="000000" w:themeColor="text1"/>
          <w:szCs w:val="21"/>
        </w:rPr>
      </w:pPr>
      <w:r>
        <w:rPr>
          <w:rFonts w:hint="eastAsia" w:ascii="宋体" w:hAnsi="宋体"/>
          <w:color w:val="000000" w:themeColor="text1"/>
          <w:szCs w:val="21"/>
        </w:rPr>
        <w:t>（1）报价人名称：</w:t>
      </w:r>
    </w:p>
    <w:p>
      <w:pPr>
        <w:snapToGrid w:val="0"/>
        <w:spacing w:line="360" w:lineRule="auto"/>
        <w:rPr>
          <w:rFonts w:ascii="宋体" w:hAnsi="宋体"/>
          <w:color w:val="000000" w:themeColor="text1"/>
          <w:szCs w:val="21"/>
        </w:rPr>
      </w:pPr>
      <w:r>
        <w:rPr>
          <w:rFonts w:hint="eastAsia" w:ascii="宋体" w:hAnsi="宋体"/>
          <w:color w:val="000000" w:themeColor="text1"/>
          <w:szCs w:val="21"/>
        </w:rPr>
        <w:t>（2）地址： 邮编：</w:t>
      </w:r>
    </w:p>
    <w:p>
      <w:pPr>
        <w:snapToGrid w:val="0"/>
        <w:spacing w:line="360" w:lineRule="auto"/>
        <w:ind w:firstLine="525" w:firstLineChars="250"/>
        <w:rPr>
          <w:rFonts w:ascii="宋体" w:hAnsi="宋体"/>
          <w:color w:val="000000" w:themeColor="text1"/>
          <w:szCs w:val="21"/>
          <w:u w:val="single"/>
        </w:rPr>
      </w:pPr>
      <w:r>
        <w:rPr>
          <w:rFonts w:hint="eastAsia" w:ascii="宋体" w:hAnsi="宋体"/>
          <w:color w:val="000000" w:themeColor="text1"/>
          <w:szCs w:val="21"/>
        </w:rPr>
        <w:t>电话： 传真：</w:t>
      </w:r>
    </w:p>
    <w:p>
      <w:pPr>
        <w:snapToGrid w:val="0"/>
        <w:spacing w:line="360" w:lineRule="auto"/>
        <w:rPr>
          <w:rFonts w:ascii="宋体" w:hAnsi="宋体"/>
          <w:color w:val="000000" w:themeColor="text1"/>
          <w:szCs w:val="21"/>
        </w:rPr>
      </w:pPr>
      <w:r>
        <w:rPr>
          <w:rFonts w:hint="eastAsia" w:ascii="宋体" w:hAnsi="宋体"/>
          <w:color w:val="000000" w:themeColor="text1"/>
          <w:szCs w:val="21"/>
        </w:rPr>
        <w:t>（3）成立和/或注册日期：</w:t>
      </w:r>
    </w:p>
    <w:p>
      <w:pPr>
        <w:snapToGrid w:val="0"/>
        <w:spacing w:line="360" w:lineRule="auto"/>
        <w:rPr>
          <w:rFonts w:ascii="宋体" w:hAnsi="宋体"/>
          <w:color w:val="000000" w:themeColor="text1"/>
          <w:szCs w:val="21"/>
        </w:rPr>
      </w:pPr>
      <w:r>
        <w:rPr>
          <w:rFonts w:hint="eastAsia" w:ascii="宋体" w:hAnsi="宋体"/>
          <w:color w:val="000000" w:themeColor="text1"/>
          <w:szCs w:val="21"/>
        </w:rPr>
        <w:t>（4）公司性质：</w:t>
      </w:r>
    </w:p>
    <w:p>
      <w:pPr>
        <w:snapToGrid w:val="0"/>
        <w:spacing w:line="360" w:lineRule="auto"/>
        <w:rPr>
          <w:rFonts w:ascii="宋体" w:hAnsi="宋体"/>
          <w:color w:val="000000" w:themeColor="text1"/>
          <w:szCs w:val="21"/>
        </w:rPr>
      </w:pPr>
      <w:r>
        <w:rPr>
          <w:rFonts w:hint="eastAsia" w:ascii="宋体" w:hAnsi="宋体"/>
          <w:color w:val="000000" w:themeColor="text1"/>
          <w:szCs w:val="21"/>
        </w:rPr>
        <w:t>（5）法定代表人：</w:t>
      </w:r>
    </w:p>
    <w:p>
      <w:pPr>
        <w:snapToGrid w:val="0"/>
        <w:spacing w:line="360" w:lineRule="auto"/>
        <w:rPr>
          <w:rFonts w:ascii="宋体" w:hAnsi="宋体"/>
          <w:color w:val="000000" w:themeColor="text1"/>
          <w:szCs w:val="21"/>
        </w:rPr>
      </w:pPr>
      <w:r>
        <w:rPr>
          <w:rFonts w:hint="eastAsia" w:ascii="宋体" w:hAnsi="宋体"/>
          <w:color w:val="000000" w:themeColor="text1"/>
          <w:szCs w:val="21"/>
        </w:rPr>
        <w:t>（6）职员人数：</w:t>
      </w:r>
    </w:p>
    <w:p>
      <w:pPr>
        <w:snapToGrid w:val="0"/>
        <w:spacing w:line="360" w:lineRule="auto"/>
        <w:rPr>
          <w:rFonts w:ascii="宋体" w:hAnsi="宋体"/>
          <w:color w:val="000000" w:themeColor="text1"/>
          <w:szCs w:val="21"/>
        </w:rPr>
      </w:pPr>
      <w:r>
        <w:rPr>
          <w:rFonts w:hint="eastAsia" w:ascii="宋体" w:hAnsi="宋体"/>
          <w:color w:val="000000" w:themeColor="text1"/>
          <w:szCs w:val="21"/>
        </w:rPr>
        <w:t>（7）注册资本：</w:t>
      </w:r>
    </w:p>
    <w:p>
      <w:pPr>
        <w:snapToGrid w:val="0"/>
        <w:spacing w:line="360" w:lineRule="auto"/>
        <w:rPr>
          <w:rFonts w:ascii="宋体" w:hAnsi="宋体"/>
          <w:color w:val="000000" w:themeColor="text1"/>
          <w:szCs w:val="21"/>
        </w:rPr>
      </w:pPr>
      <w:r>
        <w:rPr>
          <w:rFonts w:hint="eastAsia" w:ascii="宋体" w:hAnsi="宋体"/>
          <w:color w:val="000000" w:themeColor="text1"/>
          <w:szCs w:val="21"/>
        </w:rPr>
        <w:t>（8）实收资本：</w:t>
      </w:r>
    </w:p>
    <w:p>
      <w:pPr>
        <w:spacing w:line="240" w:lineRule="exact"/>
        <w:rPr>
          <w:rFonts w:ascii="宋体" w:hAnsi="宋体"/>
          <w:color w:val="000000" w:themeColor="text1"/>
          <w:szCs w:val="21"/>
          <w:u w:val="single"/>
        </w:rPr>
      </w:pPr>
      <w:r>
        <w:rPr>
          <w:rFonts w:hint="eastAsia" w:ascii="宋体" w:hAnsi="宋体"/>
          <w:color w:val="000000" w:themeColor="text1"/>
          <w:szCs w:val="21"/>
        </w:rPr>
        <w:t>（9）2016年年末资产负债表及2016年度利润表：</w:t>
      </w:r>
    </w:p>
    <w:p>
      <w:pPr>
        <w:spacing w:line="240" w:lineRule="exact"/>
        <w:rPr>
          <w:rFonts w:ascii="宋体" w:hAnsi="宋体"/>
          <w:color w:val="000000" w:themeColor="text1"/>
          <w:szCs w:val="21"/>
        </w:rPr>
      </w:pPr>
    </w:p>
    <w:p>
      <w:pPr>
        <w:spacing w:line="240" w:lineRule="exact"/>
        <w:rPr>
          <w:rFonts w:ascii="宋体" w:hAnsi="宋体"/>
          <w:color w:val="000000" w:themeColor="text1"/>
          <w:szCs w:val="21"/>
        </w:rPr>
      </w:pPr>
      <w:r>
        <w:rPr>
          <w:rFonts w:hint="eastAsia" w:ascii="宋体" w:hAnsi="宋体"/>
          <w:color w:val="000000" w:themeColor="text1"/>
          <w:szCs w:val="21"/>
        </w:rPr>
        <w:t>&lt;1&gt; 固定资产：</w:t>
      </w:r>
    </w:p>
    <w:p>
      <w:pPr>
        <w:spacing w:line="240" w:lineRule="exact"/>
        <w:rPr>
          <w:rFonts w:ascii="宋体" w:hAnsi="宋体"/>
          <w:color w:val="000000" w:themeColor="text1"/>
          <w:szCs w:val="21"/>
        </w:rPr>
      </w:pPr>
    </w:p>
    <w:p>
      <w:pPr>
        <w:spacing w:line="240" w:lineRule="exact"/>
        <w:ind w:firstLine="1260" w:firstLineChars="600"/>
        <w:rPr>
          <w:rFonts w:ascii="宋体" w:hAnsi="宋体"/>
          <w:color w:val="000000" w:themeColor="text1"/>
          <w:szCs w:val="21"/>
        </w:rPr>
      </w:pPr>
      <w:r>
        <w:rPr>
          <w:rFonts w:hint="eastAsia" w:ascii="宋体" w:hAnsi="宋体"/>
          <w:color w:val="000000" w:themeColor="text1"/>
          <w:szCs w:val="21"/>
        </w:rPr>
        <w:t>原值：</w:t>
      </w:r>
    </w:p>
    <w:p>
      <w:pPr>
        <w:spacing w:line="240" w:lineRule="exact"/>
        <w:rPr>
          <w:rFonts w:ascii="宋体" w:hAnsi="宋体"/>
          <w:color w:val="000000" w:themeColor="text1"/>
          <w:szCs w:val="21"/>
        </w:rPr>
      </w:pPr>
    </w:p>
    <w:p>
      <w:pPr>
        <w:spacing w:line="240" w:lineRule="exact"/>
        <w:ind w:firstLine="1155" w:firstLineChars="550"/>
        <w:rPr>
          <w:rFonts w:ascii="宋体" w:hAnsi="宋体"/>
          <w:color w:val="000000" w:themeColor="text1"/>
          <w:szCs w:val="21"/>
          <w:u w:val="single"/>
        </w:rPr>
      </w:pPr>
      <w:r>
        <w:rPr>
          <w:rFonts w:hint="eastAsia" w:ascii="宋体" w:hAnsi="宋体"/>
          <w:color w:val="000000" w:themeColor="text1"/>
          <w:szCs w:val="21"/>
        </w:rPr>
        <w:t xml:space="preserve"> 净值：</w:t>
      </w:r>
    </w:p>
    <w:p>
      <w:pPr>
        <w:spacing w:line="240" w:lineRule="exact"/>
        <w:ind w:firstLine="735" w:firstLineChars="350"/>
        <w:rPr>
          <w:rFonts w:ascii="宋体" w:hAnsi="宋体"/>
          <w:color w:val="000000" w:themeColor="text1"/>
          <w:szCs w:val="21"/>
        </w:rPr>
      </w:pPr>
    </w:p>
    <w:p>
      <w:pPr>
        <w:spacing w:line="240" w:lineRule="exact"/>
        <w:ind w:firstLine="420" w:firstLineChars="200"/>
        <w:rPr>
          <w:rFonts w:ascii="宋体" w:hAnsi="宋体"/>
          <w:color w:val="000000" w:themeColor="text1"/>
          <w:szCs w:val="21"/>
        </w:rPr>
      </w:pPr>
      <w:r>
        <w:rPr>
          <w:rFonts w:hint="eastAsia" w:ascii="宋体" w:hAnsi="宋体"/>
          <w:color w:val="000000" w:themeColor="text1"/>
          <w:szCs w:val="21"/>
        </w:rPr>
        <w:t>&lt;2&gt;流动资产：</w:t>
      </w:r>
    </w:p>
    <w:p>
      <w:pPr>
        <w:spacing w:line="240" w:lineRule="exact"/>
        <w:rPr>
          <w:rFonts w:ascii="宋体" w:hAnsi="宋体"/>
          <w:color w:val="000000" w:themeColor="text1"/>
          <w:szCs w:val="21"/>
        </w:rPr>
      </w:pPr>
    </w:p>
    <w:p>
      <w:pPr>
        <w:spacing w:line="240" w:lineRule="exact"/>
        <w:ind w:firstLine="420" w:firstLineChars="200"/>
        <w:rPr>
          <w:rFonts w:ascii="宋体" w:hAnsi="宋体"/>
          <w:color w:val="000000" w:themeColor="text1"/>
          <w:szCs w:val="21"/>
        </w:rPr>
      </w:pPr>
      <w:r>
        <w:rPr>
          <w:rFonts w:hint="eastAsia" w:ascii="宋体" w:hAnsi="宋体"/>
          <w:color w:val="000000" w:themeColor="text1"/>
          <w:szCs w:val="21"/>
        </w:rPr>
        <w:t>&lt;3&gt; 长期负债：</w:t>
      </w:r>
    </w:p>
    <w:p>
      <w:pPr>
        <w:spacing w:line="240" w:lineRule="exact"/>
        <w:ind w:firstLine="420" w:firstLineChars="200"/>
        <w:rPr>
          <w:rFonts w:ascii="宋体" w:hAnsi="宋体"/>
          <w:color w:val="000000" w:themeColor="text1"/>
          <w:szCs w:val="21"/>
        </w:rPr>
      </w:pPr>
    </w:p>
    <w:p>
      <w:pPr>
        <w:spacing w:line="240" w:lineRule="exact"/>
        <w:ind w:firstLine="420" w:firstLineChars="200"/>
        <w:rPr>
          <w:rFonts w:ascii="宋体" w:hAnsi="宋体"/>
          <w:color w:val="000000" w:themeColor="text1"/>
          <w:szCs w:val="21"/>
          <w:u w:val="single"/>
        </w:rPr>
      </w:pPr>
      <w:r>
        <w:rPr>
          <w:rFonts w:hint="eastAsia" w:ascii="宋体" w:hAnsi="宋体"/>
          <w:color w:val="000000" w:themeColor="text1"/>
          <w:szCs w:val="21"/>
        </w:rPr>
        <w:t>&lt;4&gt; 短期负债：</w:t>
      </w:r>
    </w:p>
    <w:p>
      <w:pPr>
        <w:spacing w:line="240" w:lineRule="exact"/>
        <w:ind w:firstLine="420" w:firstLineChars="200"/>
        <w:rPr>
          <w:rFonts w:ascii="宋体" w:hAnsi="宋体"/>
          <w:color w:val="000000" w:themeColor="text1"/>
          <w:szCs w:val="21"/>
          <w:u w:val="single"/>
        </w:rPr>
      </w:pPr>
    </w:p>
    <w:p>
      <w:pPr>
        <w:spacing w:line="240" w:lineRule="exact"/>
        <w:ind w:firstLine="420" w:firstLineChars="200"/>
        <w:rPr>
          <w:rFonts w:ascii="宋体" w:hAnsi="宋体"/>
          <w:color w:val="000000" w:themeColor="text1"/>
          <w:szCs w:val="21"/>
          <w:u w:val="single"/>
        </w:rPr>
      </w:pPr>
      <w:r>
        <w:rPr>
          <w:rFonts w:hint="eastAsia" w:ascii="宋体" w:hAnsi="宋体"/>
          <w:color w:val="000000" w:themeColor="text1"/>
          <w:szCs w:val="21"/>
        </w:rPr>
        <w:t>&lt;5&gt; 主营业务收入：</w:t>
      </w:r>
    </w:p>
    <w:p>
      <w:pPr>
        <w:spacing w:line="240" w:lineRule="exact"/>
        <w:ind w:firstLine="420" w:firstLineChars="200"/>
        <w:rPr>
          <w:rFonts w:ascii="宋体" w:hAnsi="宋体"/>
          <w:color w:val="000000" w:themeColor="text1"/>
          <w:szCs w:val="21"/>
          <w:u w:val="single"/>
        </w:rPr>
      </w:pPr>
    </w:p>
    <w:p>
      <w:pPr>
        <w:spacing w:line="240" w:lineRule="exact"/>
        <w:ind w:firstLine="420" w:firstLineChars="200"/>
        <w:rPr>
          <w:rFonts w:ascii="宋体" w:hAnsi="宋体"/>
          <w:color w:val="000000" w:themeColor="text1"/>
          <w:szCs w:val="21"/>
          <w:u w:val="single"/>
        </w:rPr>
      </w:pPr>
      <w:r>
        <w:rPr>
          <w:rFonts w:hint="eastAsia" w:ascii="宋体" w:hAnsi="宋体"/>
          <w:color w:val="000000" w:themeColor="text1"/>
          <w:szCs w:val="21"/>
        </w:rPr>
        <w:t>&lt;6&gt; 净利润：</w:t>
      </w:r>
    </w:p>
    <w:p>
      <w:pPr>
        <w:tabs>
          <w:tab w:val="left" w:pos="630"/>
        </w:tabs>
        <w:snapToGrid w:val="0"/>
        <w:spacing w:line="360" w:lineRule="auto"/>
        <w:ind w:firstLine="480"/>
        <w:rPr>
          <w:rFonts w:ascii="宋体" w:hAnsi="宋体"/>
          <w:color w:val="000000" w:themeColor="text1"/>
          <w:szCs w:val="21"/>
        </w:rPr>
      </w:pPr>
    </w:p>
    <w:p>
      <w:pPr>
        <w:tabs>
          <w:tab w:val="left" w:pos="630"/>
        </w:tabs>
        <w:snapToGrid w:val="0"/>
        <w:spacing w:line="360" w:lineRule="auto"/>
        <w:rPr>
          <w:rFonts w:ascii="宋体" w:hAnsi="宋体"/>
          <w:color w:val="000000" w:themeColor="text1"/>
          <w:szCs w:val="21"/>
        </w:rPr>
      </w:pPr>
      <w:r>
        <w:rPr>
          <w:rFonts w:hint="eastAsia" w:ascii="宋体" w:hAnsi="宋体"/>
          <w:color w:val="000000" w:themeColor="text1"/>
          <w:szCs w:val="21"/>
        </w:rPr>
        <w:t>2、报价人认为需要声明的其他情况：</w:t>
      </w:r>
    </w:p>
    <w:p>
      <w:pPr>
        <w:tabs>
          <w:tab w:val="left" w:pos="630"/>
        </w:tabs>
        <w:snapToGrid w:val="0"/>
        <w:spacing w:beforeLines="100" w:afterLines="100" w:line="360" w:lineRule="auto"/>
        <w:ind w:firstLine="420" w:firstLineChars="200"/>
        <w:rPr>
          <w:rFonts w:ascii="宋体" w:hAnsi="宋体"/>
          <w:color w:val="000000" w:themeColor="text1"/>
          <w:szCs w:val="21"/>
        </w:rPr>
      </w:pPr>
      <w:r>
        <w:rPr>
          <w:rFonts w:hint="eastAsia" w:ascii="宋体" w:hAnsi="宋体"/>
          <w:color w:val="000000" w:themeColor="text1"/>
          <w:szCs w:val="21"/>
        </w:rPr>
        <w:t>兹证明上述声明是真实的、正确的，并提供了全部能提供的资料和数据，我们同意遵照贵方要求出示有关证明文件。</w:t>
      </w:r>
    </w:p>
    <w:p>
      <w:pPr>
        <w:tabs>
          <w:tab w:val="left" w:pos="630"/>
        </w:tabs>
        <w:adjustRightInd w:val="0"/>
        <w:snapToGrid w:val="0"/>
        <w:spacing w:afterLines="50" w:line="360" w:lineRule="auto"/>
        <w:ind w:firstLine="5145" w:firstLineChars="2450"/>
        <w:rPr>
          <w:rFonts w:ascii="宋体" w:hAnsi="宋体"/>
          <w:color w:val="000000" w:themeColor="text1"/>
          <w:szCs w:val="21"/>
        </w:rPr>
      </w:pPr>
      <w:r>
        <w:rPr>
          <w:rFonts w:hint="eastAsia" w:ascii="宋体" w:hAnsi="宋体"/>
          <w:color w:val="000000" w:themeColor="text1"/>
          <w:szCs w:val="21"/>
        </w:rPr>
        <w:t>报价人授权代表（签字）：</w:t>
      </w:r>
    </w:p>
    <w:p>
      <w:pPr>
        <w:ind w:right="840" w:firstLine="6090" w:firstLineChars="2900"/>
        <w:rPr>
          <w:rFonts w:ascii="宋体" w:hAnsi="宋体"/>
          <w:color w:val="000000" w:themeColor="text1"/>
          <w:szCs w:val="21"/>
        </w:rPr>
      </w:pPr>
      <w:r>
        <w:rPr>
          <w:rFonts w:hint="eastAsia" w:ascii="宋体" w:hAnsi="宋体"/>
          <w:color w:val="000000" w:themeColor="text1"/>
          <w:szCs w:val="21"/>
        </w:rPr>
        <w:t>报价人（公章）：</w:t>
      </w:r>
    </w:p>
    <w:p>
      <w:pPr>
        <w:ind w:right="840" w:firstLine="6090" w:firstLineChars="2900"/>
        <w:rPr>
          <w:rFonts w:ascii="宋体" w:hAnsi="宋体"/>
          <w:color w:val="000000" w:themeColor="text1"/>
          <w:szCs w:val="21"/>
        </w:rPr>
      </w:pPr>
    </w:p>
    <w:p>
      <w:pPr>
        <w:ind w:right="840"/>
        <w:rPr>
          <w:rFonts w:ascii="宋体" w:hAnsi="宋体"/>
          <w:color w:val="000000" w:themeColor="text1"/>
          <w:szCs w:val="21"/>
        </w:rPr>
      </w:pPr>
    </w:p>
    <w:p>
      <w:pPr>
        <w:widowControl/>
        <w:jc w:val="left"/>
        <w:rPr>
          <w:rFonts w:ascii="宋体" w:hAnsi="Courier New"/>
          <w:b/>
          <w:color w:val="000000" w:themeColor="text1"/>
          <w:sz w:val="28"/>
          <w:szCs w:val="28"/>
        </w:rPr>
      </w:pPr>
    </w:p>
    <w:p>
      <w:pPr>
        <w:pStyle w:val="11"/>
        <w:tabs>
          <w:tab w:val="left" w:pos="5580"/>
        </w:tabs>
        <w:spacing w:line="360" w:lineRule="auto"/>
        <w:rPr>
          <w:rFonts w:ascii="仿宋_GB2312" w:hAnsi="宋体"/>
          <w:color w:val="000000" w:themeColor="text1"/>
          <w:sz w:val="28"/>
          <w:szCs w:val="28"/>
        </w:rPr>
      </w:pPr>
      <w:r>
        <w:rPr>
          <w:rFonts w:hint="eastAsia"/>
          <w:b/>
          <w:color w:val="000000" w:themeColor="text1"/>
          <w:sz w:val="28"/>
          <w:szCs w:val="28"/>
        </w:rPr>
        <w:t>附件</w:t>
      </w:r>
      <w:r>
        <w:rPr>
          <w:b/>
          <w:color w:val="000000" w:themeColor="text1"/>
          <w:sz w:val="28"/>
          <w:szCs w:val="28"/>
        </w:rPr>
        <w:t>7</w:t>
      </w:r>
      <w:r>
        <w:rPr>
          <w:rFonts w:hint="eastAsia"/>
          <w:b/>
          <w:color w:val="000000" w:themeColor="text1"/>
          <w:sz w:val="28"/>
          <w:szCs w:val="28"/>
        </w:rPr>
        <w:t>　　         竞争性磋商报价人的资信证明</w:t>
      </w:r>
    </w:p>
    <w:p>
      <w:pPr>
        <w:tabs>
          <w:tab w:val="left" w:pos="5580"/>
        </w:tabs>
        <w:spacing w:before="120" w:line="360" w:lineRule="auto"/>
        <w:ind w:firstLine="2964" w:firstLineChars="1406"/>
        <w:rPr>
          <w:rFonts w:ascii="仿宋_GB2312" w:hAnsi="宋体" w:eastAsia="仿宋_GB2312"/>
          <w:b/>
          <w:color w:val="000000" w:themeColor="text1"/>
          <w:szCs w:val="21"/>
        </w:rPr>
      </w:pPr>
    </w:p>
    <w:p>
      <w:pPr>
        <w:tabs>
          <w:tab w:val="left" w:pos="5580"/>
        </w:tabs>
        <w:spacing w:before="120" w:line="360" w:lineRule="auto"/>
        <w:rPr>
          <w:rFonts w:ascii="仿宋_GB2312" w:hAnsi="宋体" w:eastAsia="仿宋_GB2312"/>
          <w:b/>
          <w:color w:val="000000" w:themeColor="text1"/>
          <w:szCs w:val="21"/>
        </w:rPr>
      </w:pPr>
    </w:p>
    <w:p>
      <w:pPr>
        <w:tabs>
          <w:tab w:val="left" w:pos="5580"/>
        </w:tabs>
        <w:spacing w:before="120" w:line="360" w:lineRule="auto"/>
        <w:ind w:firstLine="480" w:firstLineChars="200"/>
        <w:rPr>
          <w:rFonts w:ascii="宋体" w:hAnsi="宋体"/>
          <w:color w:val="000000" w:themeColor="text1"/>
          <w:sz w:val="24"/>
        </w:rPr>
      </w:pPr>
      <w:r>
        <w:rPr>
          <w:rFonts w:hint="eastAsia" w:ascii="宋体" w:hAnsi="宋体"/>
          <w:color w:val="000000" w:themeColor="text1"/>
          <w:sz w:val="24"/>
        </w:rPr>
        <w:t>说明：</w:t>
      </w:r>
    </w:p>
    <w:p>
      <w:pPr>
        <w:tabs>
          <w:tab w:val="left" w:pos="5580"/>
        </w:tabs>
        <w:spacing w:before="120" w:line="360" w:lineRule="auto"/>
        <w:ind w:firstLine="480" w:firstLineChars="200"/>
        <w:rPr>
          <w:rFonts w:ascii="宋体" w:hAnsi="宋体"/>
          <w:bCs/>
          <w:color w:val="000000" w:themeColor="text1"/>
          <w:sz w:val="24"/>
        </w:rPr>
      </w:pPr>
      <w:r>
        <w:rPr>
          <w:rFonts w:ascii="宋体" w:hAnsi="宋体"/>
          <w:color w:val="000000" w:themeColor="text1"/>
          <w:sz w:val="24"/>
        </w:rPr>
        <w:t>1</w:t>
      </w:r>
      <w:r>
        <w:rPr>
          <w:rFonts w:hint="eastAsia" w:ascii="宋体" w:hAnsi="宋体"/>
          <w:color w:val="000000" w:themeColor="text1"/>
          <w:sz w:val="24"/>
        </w:rPr>
        <w:t>、竞争性磋商报价人在《响应文件》中，必须提供本单位上年度经会计师事务所出具的年度审计报告（后附报表）复印件并加盖</w:t>
      </w:r>
      <w:r>
        <w:rPr>
          <w:rFonts w:hint="eastAsia" w:ascii="宋体" w:hAnsi="宋体"/>
          <w:bCs/>
          <w:color w:val="000000" w:themeColor="text1"/>
          <w:sz w:val="24"/>
        </w:rPr>
        <w:t>本单位公章。</w:t>
      </w:r>
    </w:p>
    <w:p>
      <w:pPr>
        <w:tabs>
          <w:tab w:val="left" w:pos="5580"/>
        </w:tabs>
        <w:spacing w:before="120" w:line="360" w:lineRule="auto"/>
        <w:ind w:firstLine="480" w:firstLineChars="200"/>
        <w:rPr>
          <w:rFonts w:ascii="宋体" w:hAnsi="宋体"/>
          <w:color w:val="000000" w:themeColor="text1"/>
          <w:sz w:val="24"/>
        </w:rPr>
      </w:pPr>
      <w:r>
        <w:rPr>
          <w:rFonts w:ascii="宋体" w:hAnsi="宋体"/>
          <w:color w:val="000000" w:themeColor="text1"/>
          <w:sz w:val="24"/>
        </w:rPr>
        <w:t>2</w:t>
      </w:r>
      <w:r>
        <w:rPr>
          <w:rFonts w:hint="eastAsia" w:ascii="宋体" w:hAnsi="宋体"/>
          <w:color w:val="000000" w:themeColor="text1"/>
          <w:sz w:val="24"/>
        </w:rPr>
        <w:t>、如竞争性磋商报价人无法提供上年度审计报告，则须提供银行出具的资信证明原件。</w:t>
      </w:r>
    </w:p>
    <w:p>
      <w:pPr>
        <w:tabs>
          <w:tab w:val="left" w:pos="5580"/>
        </w:tabs>
        <w:spacing w:before="120" w:line="360" w:lineRule="auto"/>
        <w:ind w:firstLine="480" w:firstLineChars="200"/>
        <w:rPr>
          <w:rFonts w:ascii="宋体" w:hAnsi="宋体"/>
          <w:color w:val="000000" w:themeColor="text1"/>
          <w:sz w:val="24"/>
        </w:rPr>
      </w:pPr>
      <w:r>
        <w:rPr>
          <w:rFonts w:ascii="宋体" w:hAnsi="宋体"/>
          <w:color w:val="000000" w:themeColor="text1"/>
          <w:sz w:val="24"/>
        </w:rPr>
        <w:t>3</w:t>
      </w:r>
      <w:r>
        <w:rPr>
          <w:rFonts w:hint="eastAsia" w:ascii="宋体" w:hAnsi="宋体"/>
          <w:color w:val="000000" w:themeColor="text1"/>
          <w:sz w:val="24"/>
        </w:rPr>
        <w:t>、银行资信证明应是对单位基本账户（人民币结算账户）出具的资信证明，应能说明该竞争性磋商报价人与银行之间业务往来正常，企业信誉良好等。银行出具的存款证明不能替代银行资信证明。</w:t>
      </w:r>
    </w:p>
    <w:p>
      <w:pPr>
        <w:rPr>
          <w:rFonts w:ascii="宋体" w:hAnsi="宋体"/>
          <w:color w:val="000000" w:themeColor="text1"/>
          <w:sz w:val="24"/>
        </w:rPr>
      </w:pPr>
    </w:p>
    <w:p>
      <w:pPr>
        <w:rPr>
          <w:rFonts w:ascii="宋体" w:hAnsi="宋体"/>
          <w:color w:val="000000" w:themeColor="text1"/>
          <w:sz w:val="24"/>
        </w:rPr>
      </w:pPr>
    </w:p>
    <w:p>
      <w:pPr>
        <w:rPr>
          <w:rFonts w:ascii="宋体" w:hAnsi="宋体"/>
          <w:color w:val="000000" w:themeColor="text1"/>
          <w:sz w:val="24"/>
        </w:rPr>
      </w:pPr>
    </w:p>
    <w:p>
      <w:pPr>
        <w:rPr>
          <w:rFonts w:ascii="宋体" w:hAnsi="宋体"/>
          <w:color w:val="000000" w:themeColor="text1"/>
          <w:sz w:val="24"/>
        </w:rPr>
      </w:pPr>
    </w:p>
    <w:p>
      <w:pPr>
        <w:rPr>
          <w:rFonts w:ascii="宋体" w:hAnsi="宋体"/>
          <w:color w:val="000000" w:themeColor="text1"/>
          <w:sz w:val="24"/>
        </w:rPr>
      </w:pPr>
    </w:p>
    <w:p>
      <w:pPr>
        <w:rPr>
          <w:rFonts w:ascii="宋体" w:hAnsi="宋体"/>
          <w:color w:val="000000" w:themeColor="text1"/>
          <w:sz w:val="24"/>
        </w:rPr>
      </w:pPr>
    </w:p>
    <w:p>
      <w:pPr>
        <w:rPr>
          <w:rFonts w:ascii="宋体" w:hAnsi="宋体"/>
          <w:color w:val="000000" w:themeColor="text1"/>
          <w:sz w:val="24"/>
        </w:rPr>
      </w:pPr>
    </w:p>
    <w:p>
      <w:pPr>
        <w:rPr>
          <w:rFonts w:ascii="宋体" w:hAnsi="宋体"/>
          <w:color w:val="000000" w:themeColor="text1"/>
          <w:sz w:val="24"/>
        </w:rPr>
      </w:pPr>
    </w:p>
    <w:p>
      <w:pPr>
        <w:rPr>
          <w:rFonts w:ascii="宋体" w:hAnsi="宋体"/>
          <w:color w:val="000000" w:themeColor="text1"/>
          <w:sz w:val="24"/>
        </w:rPr>
      </w:pPr>
    </w:p>
    <w:p>
      <w:pPr>
        <w:rPr>
          <w:rFonts w:ascii="宋体" w:hAnsi="宋体"/>
          <w:color w:val="000000" w:themeColor="text1"/>
          <w:sz w:val="24"/>
        </w:rPr>
      </w:pPr>
    </w:p>
    <w:p>
      <w:pPr>
        <w:rPr>
          <w:rFonts w:ascii="宋体" w:hAnsi="宋体"/>
          <w:color w:val="000000" w:themeColor="text1"/>
          <w:sz w:val="24"/>
        </w:rPr>
      </w:pPr>
    </w:p>
    <w:p>
      <w:pPr>
        <w:rPr>
          <w:rFonts w:ascii="宋体" w:hAnsi="宋体"/>
          <w:color w:val="000000" w:themeColor="text1"/>
          <w:sz w:val="24"/>
        </w:rPr>
      </w:pPr>
    </w:p>
    <w:p>
      <w:pPr>
        <w:rPr>
          <w:rFonts w:ascii="宋体" w:hAnsi="宋体"/>
          <w:color w:val="000000" w:themeColor="text1"/>
          <w:sz w:val="24"/>
        </w:rPr>
      </w:pPr>
    </w:p>
    <w:p>
      <w:pPr>
        <w:rPr>
          <w:rFonts w:ascii="宋体" w:hAnsi="宋体"/>
          <w:color w:val="000000" w:themeColor="text1"/>
          <w:sz w:val="24"/>
        </w:rPr>
      </w:pPr>
    </w:p>
    <w:p>
      <w:pPr>
        <w:rPr>
          <w:rFonts w:ascii="宋体" w:hAnsi="宋体"/>
          <w:color w:val="000000" w:themeColor="text1"/>
          <w:sz w:val="24"/>
        </w:rPr>
      </w:pPr>
    </w:p>
    <w:p>
      <w:pPr>
        <w:rPr>
          <w:rFonts w:ascii="仿宋_GB2312" w:hAnsi="宋体"/>
          <w:b/>
          <w:color w:val="000000" w:themeColor="text1"/>
          <w:sz w:val="28"/>
          <w:szCs w:val="28"/>
        </w:rPr>
      </w:pPr>
      <w:r>
        <w:rPr>
          <w:rFonts w:hint="eastAsia" w:ascii="宋体" w:hAnsi="宋体"/>
          <w:b/>
          <w:color w:val="000000" w:themeColor="text1"/>
          <w:sz w:val="28"/>
          <w:szCs w:val="28"/>
        </w:rPr>
        <w:t>附件</w:t>
      </w:r>
      <w:r>
        <w:rPr>
          <w:rFonts w:ascii="宋体" w:hAnsi="宋体"/>
          <w:b/>
          <w:color w:val="000000" w:themeColor="text1"/>
          <w:sz w:val="28"/>
          <w:szCs w:val="28"/>
        </w:rPr>
        <w:t>8</w:t>
      </w:r>
      <w:r>
        <w:rPr>
          <w:rFonts w:hint="eastAsia" w:ascii="仿宋_GB2312" w:hAnsi="宋体"/>
          <w:b/>
          <w:color w:val="000000" w:themeColor="text1"/>
          <w:sz w:val="28"/>
          <w:szCs w:val="28"/>
        </w:rPr>
        <w:t>社会保障资金缴纳证明</w:t>
      </w:r>
    </w:p>
    <w:p>
      <w:pPr>
        <w:pStyle w:val="11"/>
        <w:tabs>
          <w:tab w:val="left" w:pos="5580"/>
        </w:tabs>
        <w:jc w:val="center"/>
        <w:rPr>
          <w:rFonts w:ascii="仿宋_GB2312" w:hAnsi="宋体"/>
          <w:b/>
          <w:color w:val="000000" w:themeColor="text1"/>
          <w:sz w:val="24"/>
        </w:rPr>
      </w:pPr>
    </w:p>
    <w:p>
      <w:pPr>
        <w:ind w:left="1365" w:leftChars="350" w:hanging="630" w:hangingChars="300"/>
        <w:rPr>
          <w:rFonts w:eastAsia="仿宋_GB2312"/>
          <w:color w:val="000000" w:themeColor="text1"/>
          <w:sz w:val="24"/>
        </w:rPr>
      </w:pPr>
      <w:r>
        <w:rPr>
          <w:rFonts w:hint="eastAsia"/>
          <w:color w:val="000000" w:themeColor="text1"/>
        </w:rPr>
        <w:t>说明：竞争性磋商报价人须提供响应文件递交截止日前三个月内任意一个月的缴纳社会保障资金的入帐票据凭证复印件，须加盖单位公章</w:t>
      </w:r>
    </w:p>
    <w:p>
      <w:pPr>
        <w:rPr>
          <w:rFonts w:ascii="宋体" w:hAnsi="宋体"/>
          <w:b/>
          <w:bCs/>
          <w:color w:val="000000" w:themeColor="text1"/>
          <w:sz w:val="24"/>
        </w:rPr>
      </w:pPr>
    </w:p>
    <w:p>
      <w:pPr>
        <w:rPr>
          <w:rFonts w:ascii="宋体" w:hAnsi="宋体"/>
          <w:b/>
          <w:bCs/>
          <w:color w:val="000000" w:themeColor="text1"/>
          <w:sz w:val="24"/>
        </w:rPr>
      </w:pPr>
    </w:p>
    <w:p>
      <w:pPr>
        <w:rPr>
          <w:rFonts w:ascii="宋体" w:hAnsi="宋体"/>
          <w:b/>
          <w:bCs/>
          <w:color w:val="000000" w:themeColor="text1"/>
          <w:sz w:val="24"/>
        </w:rPr>
      </w:pPr>
    </w:p>
    <w:p>
      <w:pPr>
        <w:widowControl/>
        <w:jc w:val="left"/>
        <w:rPr>
          <w:rFonts w:ascii="宋体" w:hAnsi="宋体"/>
          <w:b/>
          <w:bCs/>
          <w:color w:val="000000" w:themeColor="text1"/>
          <w:sz w:val="24"/>
        </w:rPr>
      </w:pPr>
      <w:r>
        <w:rPr>
          <w:rFonts w:ascii="宋体" w:hAnsi="宋体"/>
          <w:b/>
          <w:bCs/>
          <w:color w:val="000000" w:themeColor="text1"/>
          <w:sz w:val="24"/>
        </w:rPr>
        <w:br w:type="page"/>
      </w:r>
    </w:p>
    <w:p>
      <w:pPr>
        <w:jc w:val="center"/>
        <w:rPr>
          <w:rFonts w:ascii="仿宋_GB2312" w:hAnsi="宋体"/>
          <w:color w:val="000000" w:themeColor="text1"/>
          <w:sz w:val="24"/>
        </w:rPr>
      </w:pPr>
      <w:r>
        <w:rPr>
          <w:rFonts w:hint="eastAsia" w:ascii="宋体" w:hAnsi="宋体"/>
          <w:b/>
          <w:bCs/>
          <w:color w:val="000000" w:themeColor="text1"/>
          <w:sz w:val="24"/>
        </w:rPr>
        <w:t>附件</w:t>
      </w:r>
      <w:r>
        <w:rPr>
          <w:rFonts w:ascii="宋体" w:hAnsi="宋体"/>
          <w:b/>
          <w:bCs/>
          <w:color w:val="000000" w:themeColor="text1"/>
          <w:sz w:val="24"/>
        </w:rPr>
        <w:t>9磋商文件规定的其他文件</w:t>
      </w:r>
    </w:p>
    <w:p>
      <w:pPr>
        <w:spacing w:line="360" w:lineRule="auto"/>
        <w:jc w:val="center"/>
        <w:outlineLvl w:val="0"/>
        <w:rPr>
          <w:rFonts w:ascii="宋体" w:hAnsi="宋体"/>
          <w:b/>
          <w:color w:val="000000" w:themeColor="text1"/>
          <w:sz w:val="24"/>
        </w:rPr>
      </w:pPr>
    </w:p>
    <w:p>
      <w:pPr>
        <w:pStyle w:val="20"/>
        <w:snapToGrid w:val="0"/>
        <w:spacing w:before="0" w:beforeAutospacing="0" w:after="0" w:afterAutospacing="0" w:line="480" w:lineRule="auto"/>
        <w:rPr>
          <w:b/>
          <w:color w:val="000000" w:themeColor="text1"/>
        </w:rPr>
      </w:pPr>
    </w:p>
    <w:p>
      <w:pPr>
        <w:pStyle w:val="20"/>
        <w:snapToGrid w:val="0"/>
        <w:spacing w:before="0" w:beforeAutospacing="0" w:after="0" w:afterAutospacing="0" w:line="480" w:lineRule="auto"/>
        <w:rPr>
          <w:b/>
          <w:color w:val="000000" w:themeColor="text1"/>
        </w:rPr>
      </w:pPr>
    </w:p>
    <w:p>
      <w:pPr>
        <w:pStyle w:val="20"/>
        <w:snapToGrid w:val="0"/>
        <w:spacing w:before="0" w:beforeAutospacing="0" w:after="0" w:afterAutospacing="0" w:line="480" w:lineRule="auto"/>
        <w:rPr>
          <w:b/>
          <w:color w:val="000000" w:themeColor="text1"/>
        </w:rPr>
      </w:pPr>
    </w:p>
    <w:p>
      <w:pPr>
        <w:widowControl/>
        <w:jc w:val="left"/>
        <w:rPr>
          <w:rFonts w:ascii="宋体" w:hAnsi="宋体"/>
          <w:color w:val="000000" w:themeColor="text1"/>
          <w:sz w:val="24"/>
        </w:rPr>
      </w:pPr>
      <w:r>
        <w:rPr>
          <w:b/>
          <w:color w:val="000000" w:themeColor="text1"/>
        </w:rPr>
        <w:br w:type="page"/>
      </w:r>
    </w:p>
    <w:p>
      <w:pPr>
        <w:spacing w:line="360" w:lineRule="auto"/>
        <w:rPr>
          <w:rFonts w:ascii="宋体" w:hAnsi="宋体"/>
          <w:b/>
          <w:bCs/>
          <w:color w:val="000000" w:themeColor="text1"/>
          <w:sz w:val="28"/>
          <w:szCs w:val="28"/>
        </w:rPr>
      </w:pPr>
    </w:p>
    <w:p>
      <w:pPr>
        <w:spacing w:line="360" w:lineRule="auto"/>
        <w:rPr>
          <w:rFonts w:ascii="宋体" w:hAnsi="宋体"/>
          <w:b/>
          <w:color w:val="000000" w:themeColor="text1"/>
          <w:sz w:val="28"/>
          <w:szCs w:val="28"/>
        </w:rPr>
      </w:pPr>
      <w:r>
        <w:rPr>
          <w:rFonts w:hint="eastAsia" w:ascii="宋体" w:hAnsi="宋体"/>
          <w:b/>
          <w:bCs/>
          <w:color w:val="000000" w:themeColor="text1"/>
          <w:sz w:val="28"/>
          <w:szCs w:val="28"/>
        </w:rPr>
        <w:t>附件10</w:t>
      </w:r>
      <w:r>
        <w:rPr>
          <w:rFonts w:hint="eastAsia" w:ascii="宋体" w:hAnsi="宋体"/>
          <w:b/>
          <w:color w:val="000000" w:themeColor="text1"/>
          <w:sz w:val="28"/>
          <w:szCs w:val="28"/>
        </w:rPr>
        <w:t>技术需求响应方案及其他相关文件</w:t>
      </w:r>
    </w:p>
    <w:p>
      <w:pPr>
        <w:spacing w:line="360" w:lineRule="auto"/>
        <w:jc w:val="left"/>
        <w:outlineLvl w:val="0"/>
        <w:rPr>
          <w:rFonts w:hAnsi="宋体"/>
          <w:bCs/>
          <w:color w:val="000000" w:themeColor="text1"/>
          <w:sz w:val="24"/>
        </w:rPr>
      </w:pPr>
      <w:r>
        <w:rPr>
          <w:rFonts w:hint="eastAsia" w:hAnsi="宋体"/>
          <w:bCs/>
          <w:color w:val="000000" w:themeColor="text1"/>
          <w:sz w:val="24"/>
        </w:rPr>
        <w:t>根据竞争性磋商文件的要求，自行编写，如第三部分技术要求中有*条款，应包含对于该条款进行响应的描述、文件或其他证明材料</w:t>
      </w:r>
    </w:p>
    <w:p>
      <w:pPr>
        <w:ind w:right="840"/>
        <w:rPr>
          <w:rFonts w:ascii="宋体" w:hAnsi="宋体"/>
          <w:color w:val="000000" w:themeColor="text1"/>
          <w:sz w:val="24"/>
        </w:rPr>
      </w:pPr>
    </w:p>
    <w:p>
      <w:pPr>
        <w:ind w:right="840"/>
        <w:rPr>
          <w:rFonts w:ascii="宋体" w:hAnsi="宋体"/>
          <w:color w:val="000000" w:themeColor="text1"/>
          <w:sz w:val="24"/>
        </w:rPr>
      </w:pPr>
    </w:p>
    <w:p>
      <w:pPr>
        <w:ind w:right="840"/>
        <w:rPr>
          <w:rFonts w:ascii="宋体" w:hAnsi="宋体"/>
          <w:color w:val="000000" w:themeColor="text1"/>
          <w:sz w:val="24"/>
        </w:rPr>
      </w:pPr>
    </w:p>
    <w:p>
      <w:pPr>
        <w:ind w:right="840"/>
        <w:rPr>
          <w:rFonts w:ascii="宋体" w:hAnsi="宋体"/>
          <w:color w:val="000000" w:themeColor="text1"/>
          <w:sz w:val="24"/>
        </w:rPr>
      </w:pPr>
    </w:p>
    <w:p>
      <w:pPr>
        <w:ind w:right="840"/>
        <w:rPr>
          <w:rFonts w:ascii="宋体" w:hAnsi="宋体"/>
          <w:color w:val="000000" w:themeColor="text1"/>
          <w:sz w:val="24"/>
        </w:rPr>
      </w:pPr>
    </w:p>
    <w:p>
      <w:pPr>
        <w:ind w:right="840"/>
        <w:rPr>
          <w:rFonts w:ascii="宋体" w:hAnsi="宋体"/>
          <w:color w:val="000000" w:themeColor="text1"/>
          <w:sz w:val="24"/>
        </w:rPr>
      </w:pPr>
    </w:p>
    <w:p>
      <w:pPr>
        <w:ind w:right="840"/>
        <w:rPr>
          <w:rFonts w:ascii="宋体" w:hAnsi="宋体"/>
          <w:color w:val="000000" w:themeColor="text1"/>
          <w:sz w:val="24"/>
        </w:rPr>
      </w:pPr>
    </w:p>
    <w:p>
      <w:pPr>
        <w:ind w:right="840"/>
        <w:rPr>
          <w:rFonts w:ascii="宋体" w:hAnsi="宋体"/>
          <w:color w:val="000000" w:themeColor="text1"/>
          <w:sz w:val="24"/>
        </w:rPr>
      </w:pPr>
    </w:p>
    <w:p>
      <w:pPr>
        <w:ind w:right="840"/>
        <w:rPr>
          <w:rFonts w:ascii="宋体" w:hAnsi="宋体"/>
          <w:color w:val="000000" w:themeColor="text1"/>
          <w:sz w:val="24"/>
        </w:rPr>
      </w:pPr>
    </w:p>
    <w:p>
      <w:pPr>
        <w:ind w:right="840"/>
        <w:rPr>
          <w:rFonts w:ascii="宋体" w:hAnsi="宋体"/>
          <w:color w:val="000000" w:themeColor="text1"/>
          <w:sz w:val="24"/>
        </w:rPr>
      </w:pPr>
    </w:p>
    <w:p>
      <w:pPr>
        <w:ind w:right="840"/>
        <w:rPr>
          <w:rFonts w:ascii="宋体" w:hAnsi="宋体"/>
          <w:color w:val="000000" w:themeColor="text1"/>
          <w:sz w:val="24"/>
        </w:rPr>
      </w:pPr>
    </w:p>
    <w:p>
      <w:pPr>
        <w:ind w:right="840"/>
        <w:rPr>
          <w:color w:val="000000" w:themeColor="text1"/>
        </w:rPr>
      </w:pPr>
    </w:p>
    <w:p>
      <w:pPr>
        <w:ind w:right="840"/>
        <w:rPr>
          <w:color w:val="000000" w:themeColor="text1"/>
        </w:rPr>
      </w:pPr>
    </w:p>
    <w:p>
      <w:pPr>
        <w:ind w:right="840"/>
        <w:rPr>
          <w:color w:val="000000" w:themeColor="text1"/>
        </w:rPr>
      </w:pPr>
    </w:p>
    <w:p>
      <w:pPr>
        <w:ind w:right="840"/>
        <w:rPr>
          <w:color w:val="000000" w:themeColor="text1"/>
        </w:rPr>
      </w:pPr>
    </w:p>
    <w:p>
      <w:pPr>
        <w:ind w:right="840"/>
        <w:rPr>
          <w:color w:val="000000" w:themeColor="text1"/>
        </w:rPr>
      </w:pPr>
    </w:p>
    <w:p>
      <w:pPr>
        <w:ind w:right="840"/>
        <w:rPr>
          <w:color w:val="000000" w:themeColor="text1"/>
        </w:rPr>
      </w:pPr>
    </w:p>
    <w:p>
      <w:pPr>
        <w:ind w:right="840"/>
        <w:rPr>
          <w:color w:val="000000" w:themeColor="text1"/>
        </w:rPr>
      </w:pPr>
    </w:p>
    <w:p>
      <w:pPr>
        <w:ind w:right="840"/>
        <w:rPr>
          <w:color w:val="000000" w:themeColor="text1"/>
        </w:rPr>
      </w:pPr>
    </w:p>
    <w:p>
      <w:pPr>
        <w:ind w:right="840"/>
        <w:rPr>
          <w:color w:val="000000" w:themeColor="text1"/>
        </w:rPr>
      </w:pPr>
    </w:p>
    <w:p>
      <w:pPr>
        <w:ind w:right="840"/>
        <w:rPr>
          <w:color w:val="000000" w:themeColor="text1"/>
        </w:rPr>
      </w:pPr>
    </w:p>
    <w:p>
      <w:pPr>
        <w:ind w:right="840"/>
        <w:rPr>
          <w:color w:val="000000" w:themeColor="text1"/>
        </w:rPr>
      </w:pPr>
    </w:p>
    <w:p>
      <w:pPr>
        <w:ind w:right="840"/>
        <w:rPr>
          <w:color w:val="000000" w:themeColor="text1"/>
        </w:rPr>
      </w:pPr>
    </w:p>
    <w:p>
      <w:pPr>
        <w:ind w:right="840"/>
        <w:rPr>
          <w:color w:val="000000" w:themeColor="text1"/>
        </w:rPr>
      </w:pPr>
    </w:p>
    <w:p>
      <w:pPr>
        <w:ind w:right="840"/>
        <w:rPr>
          <w:color w:val="000000" w:themeColor="text1"/>
        </w:rPr>
      </w:pPr>
    </w:p>
    <w:p>
      <w:pPr>
        <w:ind w:right="840"/>
        <w:rPr>
          <w:color w:val="000000" w:themeColor="text1"/>
        </w:rPr>
      </w:pPr>
    </w:p>
    <w:p>
      <w:pPr>
        <w:ind w:right="840"/>
        <w:rPr>
          <w:color w:val="000000" w:themeColor="text1"/>
        </w:rPr>
      </w:pPr>
    </w:p>
    <w:p>
      <w:pPr>
        <w:ind w:right="840"/>
        <w:rPr>
          <w:color w:val="000000" w:themeColor="text1"/>
        </w:rPr>
      </w:pPr>
    </w:p>
    <w:p>
      <w:pPr>
        <w:ind w:right="840"/>
        <w:rPr>
          <w:color w:val="000000" w:themeColor="text1"/>
        </w:rPr>
      </w:pPr>
    </w:p>
    <w:p>
      <w:pPr>
        <w:ind w:right="840"/>
        <w:rPr>
          <w:color w:val="000000" w:themeColor="text1"/>
        </w:rPr>
      </w:pPr>
    </w:p>
    <w:p>
      <w:pPr>
        <w:ind w:right="840"/>
        <w:rPr>
          <w:color w:val="000000" w:themeColor="text1"/>
        </w:rPr>
      </w:pPr>
    </w:p>
    <w:p>
      <w:pPr>
        <w:ind w:right="840"/>
        <w:rPr>
          <w:color w:val="000000" w:themeColor="text1"/>
        </w:rPr>
      </w:pPr>
    </w:p>
    <w:p>
      <w:pPr>
        <w:ind w:right="840"/>
        <w:rPr>
          <w:color w:val="000000" w:themeColor="text1"/>
        </w:rPr>
      </w:pPr>
    </w:p>
    <w:p>
      <w:pPr>
        <w:ind w:right="840"/>
        <w:rPr>
          <w:color w:val="000000" w:themeColor="text1"/>
        </w:rPr>
      </w:pPr>
    </w:p>
    <w:p>
      <w:pPr>
        <w:ind w:right="840"/>
        <w:rPr>
          <w:color w:val="000000" w:themeColor="text1"/>
        </w:rPr>
      </w:pPr>
    </w:p>
    <w:p>
      <w:pPr>
        <w:ind w:right="840"/>
        <w:rPr>
          <w:color w:val="000000" w:themeColor="text1"/>
        </w:rPr>
      </w:pPr>
    </w:p>
    <w:p>
      <w:pPr>
        <w:ind w:right="840"/>
        <w:rPr>
          <w:color w:val="000000" w:themeColor="text1"/>
        </w:rPr>
      </w:pPr>
    </w:p>
    <w:p>
      <w:pPr>
        <w:rPr>
          <w:rFonts w:ascii="仿宋_GB2312"/>
          <w:color w:val="000000" w:themeColor="text1"/>
          <w:sz w:val="28"/>
          <w:szCs w:val="28"/>
          <w:u w:val="single"/>
        </w:rPr>
      </w:pPr>
      <w:r>
        <w:rPr>
          <w:rFonts w:hint="eastAsia" w:ascii="宋体" w:hAnsi="宋体"/>
          <w:b/>
          <w:bCs/>
          <w:color w:val="000000" w:themeColor="text1"/>
          <w:sz w:val="28"/>
          <w:szCs w:val="28"/>
        </w:rPr>
        <w:t xml:space="preserve">附件11保证金退还证明函  </w:t>
      </w:r>
    </w:p>
    <w:p>
      <w:pPr>
        <w:tabs>
          <w:tab w:val="left" w:pos="5580"/>
        </w:tabs>
        <w:spacing w:before="120" w:line="360" w:lineRule="auto"/>
        <w:ind w:left="420"/>
        <w:rPr>
          <w:rFonts w:ascii="宋体" w:hAnsi="宋体"/>
          <w:color w:val="000000" w:themeColor="text1"/>
          <w:sz w:val="24"/>
        </w:rPr>
      </w:pPr>
    </w:p>
    <w:p>
      <w:pPr>
        <w:pStyle w:val="11"/>
        <w:spacing w:line="360" w:lineRule="auto"/>
        <w:rPr>
          <w:rFonts w:hAnsi="宋体"/>
          <w:color w:val="000000" w:themeColor="text1"/>
          <w:sz w:val="24"/>
        </w:rPr>
      </w:pPr>
      <w:r>
        <w:rPr>
          <w:rFonts w:hint="eastAsia" w:hAnsi="宋体"/>
          <w:color w:val="000000" w:themeColor="text1"/>
          <w:sz w:val="24"/>
        </w:rPr>
        <w:t>****：</w:t>
      </w:r>
    </w:p>
    <w:p>
      <w:pPr>
        <w:pStyle w:val="11"/>
        <w:spacing w:line="360" w:lineRule="auto"/>
        <w:rPr>
          <w:rFonts w:hAnsi="宋体"/>
          <w:color w:val="000000" w:themeColor="text1"/>
          <w:sz w:val="24"/>
        </w:rPr>
      </w:pPr>
    </w:p>
    <w:p>
      <w:pPr>
        <w:pStyle w:val="11"/>
        <w:spacing w:line="360" w:lineRule="auto"/>
        <w:rPr>
          <w:rFonts w:hAnsi="宋体"/>
          <w:color w:val="000000" w:themeColor="text1"/>
          <w:sz w:val="24"/>
        </w:rPr>
      </w:pPr>
      <w:r>
        <w:rPr>
          <w:rFonts w:hint="eastAsia" w:hAnsi="宋体"/>
          <w:color w:val="000000" w:themeColor="text1"/>
          <w:sz w:val="24"/>
        </w:rPr>
        <w:t xml:space="preserve">    我方承诺遵守有关磋商保证金收退规定，采用银行汇款方式退还我方磋商保证金，请按以下银行和账户退还：</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48" w:hRule="atLeast"/>
        </w:trPr>
        <w:tc>
          <w:tcPr>
            <w:tcW w:w="2268" w:type="dxa"/>
            <w:shd w:val="clear" w:color="auto" w:fill="auto"/>
            <w:vAlign w:val="center"/>
          </w:tcPr>
          <w:p>
            <w:pPr>
              <w:rPr>
                <w:rFonts w:ascii="新宋体" w:hAnsi="新宋体" w:eastAsia="新宋体"/>
                <w:color w:val="000000" w:themeColor="text1"/>
                <w:sz w:val="24"/>
              </w:rPr>
            </w:pPr>
            <w:r>
              <w:rPr>
                <w:rFonts w:hint="eastAsia" w:ascii="新宋体" w:hAnsi="新宋体" w:eastAsia="新宋体"/>
                <w:color w:val="000000" w:themeColor="text1"/>
                <w:sz w:val="24"/>
              </w:rPr>
              <w:t>项目编号</w:t>
            </w:r>
          </w:p>
        </w:tc>
        <w:tc>
          <w:tcPr>
            <w:tcW w:w="6254" w:type="dxa"/>
            <w:shd w:val="clear" w:color="auto" w:fill="auto"/>
            <w:vAlign w:val="center"/>
          </w:tcPr>
          <w:p>
            <w:pPr>
              <w:rPr>
                <w:rFonts w:ascii="新宋体" w:hAnsi="新宋体" w:eastAsia="新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2268" w:type="dxa"/>
            <w:shd w:val="clear" w:color="auto" w:fill="auto"/>
            <w:vAlign w:val="center"/>
          </w:tcPr>
          <w:p>
            <w:pPr>
              <w:rPr>
                <w:rFonts w:ascii="新宋体" w:hAnsi="新宋体" w:eastAsia="新宋体"/>
                <w:color w:val="000000" w:themeColor="text1"/>
                <w:sz w:val="24"/>
              </w:rPr>
            </w:pPr>
            <w:r>
              <w:rPr>
                <w:rFonts w:hint="eastAsia" w:ascii="新宋体" w:hAnsi="新宋体" w:eastAsia="新宋体"/>
                <w:color w:val="000000" w:themeColor="text1"/>
                <w:sz w:val="24"/>
              </w:rPr>
              <w:t>收款单位全称</w:t>
            </w:r>
          </w:p>
          <w:p>
            <w:pPr>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(与响应文件名称一致)</w:t>
            </w:r>
          </w:p>
        </w:tc>
        <w:tc>
          <w:tcPr>
            <w:tcW w:w="6254" w:type="dxa"/>
            <w:shd w:val="clear" w:color="auto" w:fill="auto"/>
            <w:vAlign w:val="center"/>
          </w:tcPr>
          <w:p>
            <w:pPr>
              <w:rPr>
                <w:rFonts w:ascii="新宋体" w:hAnsi="新宋体" w:eastAsia="新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2268" w:type="dxa"/>
            <w:shd w:val="clear" w:color="auto" w:fill="auto"/>
            <w:vAlign w:val="center"/>
          </w:tcPr>
          <w:p>
            <w:pPr>
              <w:rPr>
                <w:rFonts w:ascii="新宋体" w:hAnsi="新宋体" w:eastAsia="新宋体"/>
                <w:color w:val="000000" w:themeColor="text1"/>
                <w:sz w:val="24"/>
              </w:rPr>
            </w:pPr>
            <w:r>
              <w:rPr>
                <w:rFonts w:hint="eastAsia" w:ascii="新宋体" w:hAnsi="新宋体" w:eastAsia="新宋体"/>
                <w:color w:val="000000" w:themeColor="text1"/>
                <w:sz w:val="24"/>
              </w:rPr>
              <w:t>收款单位账号</w:t>
            </w:r>
          </w:p>
        </w:tc>
        <w:tc>
          <w:tcPr>
            <w:tcW w:w="6254" w:type="dxa"/>
            <w:shd w:val="clear" w:color="auto" w:fill="auto"/>
            <w:vAlign w:val="center"/>
          </w:tcPr>
          <w:p>
            <w:pPr>
              <w:rPr>
                <w:rFonts w:ascii="新宋体" w:hAnsi="新宋体" w:eastAsia="新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2268" w:type="dxa"/>
            <w:shd w:val="clear" w:color="auto" w:fill="auto"/>
            <w:vAlign w:val="center"/>
          </w:tcPr>
          <w:p>
            <w:pPr>
              <w:rPr>
                <w:rFonts w:ascii="新宋体" w:hAnsi="新宋体" w:eastAsia="新宋体"/>
                <w:color w:val="000000" w:themeColor="text1"/>
                <w:sz w:val="24"/>
              </w:rPr>
            </w:pPr>
            <w:r>
              <w:rPr>
                <w:rFonts w:hint="eastAsia" w:ascii="新宋体" w:hAnsi="新宋体" w:eastAsia="新宋体"/>
                <w:color w:val="000000" w:themeColor="text1"/>
                <w:sz w:val="24"/>
              </w:rPr>
              <w:t>汇入行名称</w:t>
            </w:r>
          </w:p>
        </w:tc>
        <w:tc>
          <w:tcPr>
            <w:tcW w:w="6254" w:type="dxa"/>
            <w:shd w:val="clear" w:color="auto" w:fill="auto"/>
            <w:vAlign w:val="center"/>
          </w:tcPr>
          <w:p>
            <w:pPr>
              <w:ind w:firstLine="2040" w:firstLineChars="850"/>
              <w:rPr>
                <w:rFonts w:ascii="新宋体" w:hAnsi="新宋体" w:eastAsia="新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2268" w:type="dxa"/>
            <w:shd w:val="clear" w:color="auto" w:fill="auto"/>
            <w:vAlign w:val="center"/>
          </w:tcPr>
          <w:p>
            <w:pPr>
              <w:rPr>
                <w:rFonts w:ascii="新宋体" w:hAnsi="新宋体" w:eastAsia="新宋体"/>
                <w:color w:val="000000" w:themeColor="text1"/>
                <w:sz w:val="24"/>
              </w:rPr>
            </w:pPr>
            <w:r>
              <w:rPr>
                <w:rFonts w:hint="eastAsia" w:ascii="新宋体" w:hAnsi="新宋体" w:eastAsia="新宋体"/>
                <w:color w:val="000000" w:themeColor="text1"/>
                <w:sz w:val="24"/>
              </w:rPr>
              <w:t>汇入金额</w:t>
            </w:r>
          </w:p>
        </w:tc>
        <w:tc>
          <w:tcPr>
            <w:tcW w:w="6254" w:type="dxa"/>
            <w:shd w:val="clear" w:color="auto" w:fill="auto"/>
            <w:vAlign w:val="center"/>
          </w:tcPr>
          <w:p>
            <w:pPr>
              <w:ind w:firstLine="2040" w:firstLineChars="850"/>
              <w:rPr>
                <w:rFonts w:ascii="新宋体" w:hAnsi="新宋体" w:eastAsia="新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2268" w:type="dxa"/>
            <w:shd w:val="clear" w:color="auto" w:fill="auto"/>
            <w:vAlign w:val="center"/>
          </w:tcPr>
          <w:p>
            <w:pPr>
              <w:rPr>
                <w:rFonts w:ascii="新宋体" w:hAnsi="新宋体" w:eastAsia="新宋体"/>
                <w:color w:val="000000" w:themeColor="text1"/>
                <w:sz w:val="24"/>
              </w:rPr>
            </w:pPr>
            <w:r>
              <w:rPr>
                <w:rFonts w:hint="eastAsia" w:ascii="新宋体" w:hAnsi="新宋体" w:eastAsia="新宋体"/>
                <w:color w:val="000000" w:themeColor="text1"/>
                <w:sz w:val="24"/>
              </w:rPr>
              <w:t>汇入地点</w:t>
            </w:r>
          </w:p>
        </w:tc>
        <w:tc>
          <w:tcPr>
            <w:tcW w:w="6254" w:type="dxa"/>
            <w:shd w:val="clear" w:color="auto" w:fill="auto"/>
            <w:vAlign w:val="center"/>
          </w:tcPr>
          <w:p>
            <w:pPr>
              <w:ind w:firstLine="2280" w:firstLineChars="950"/>
              <w:rPr>
                <w:rFonts w:ascii="新宋体" w:hAnsi="新宋体" w:eastAsia="新宋体"/>
                <w:color w:val="000000" w:themeColor="text1"/>
                <w:sz w:val="24"/>
              </w:rPr>
            </w:pPr>
            <w:r>
              <w:rPr>
                <w:rFonts w:hint="eastAsia" w:ascii="新宋体" w:hAnsi="新宋体" w:eastAsia="新宋体"/>
                <w:color w:val="000000" w:themeColor="text1"/>
                <w:sz w:val="24"/>
              </w:rPr>
              <w:t>省                      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2268" w:type="dxa"/>
            <w:shd w:val="clear" w:color="auto" w:fill="auto"/>
            <w:vAlign w:val="center"/>
          </w:tcPr>
          <w:p>
            <w:pPr>
              <w:rPr>
                <w:rFonts w:ascii="新宋体" w:hAnsi="新宋体" w:eastAsia="新宋体"/>
                <w:color w:val="000000" w:themeColor="text1"/>
                <w:sz w:val="24"/>
              </w:rPr>
            </w:pPr>
            <w:r>
              <w:rPr>
                <w:rFonts w:hint="eastAsia" w:ascii="新宋体" w:hAnsi="新宋体" w:eastAsia="新宋体"/>
                <w:color w:val="000000" w:themeColor="text1"/>
                <w:sz w:val="24"/>
              </w:rPr>
              <w:t>法人或授权代表签字</w:t>
            </w:r>
          </w:p>
        </w:tc>
        <w:tc>
          <w:tcPr>
            <w:tcW w:w="6254" w:type="dxa"/>
            <w:shd w:val="clear" w:color="auto" w:fill="auto"/>
            <w:vAlign w:val="center"/>
          </w:tcPr>
          <w:p>
            <w:pPr>
              <w:rPr>
                <w:rFonts w:ascii="新宋体" w:hAnsi="新宋体" w:eastAsia="新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2268" w:type="dxa"/>
            <w:shd w:val="clear" w:color="auto" w:fill="auto"/>
            <w:vAlign w:val="center"/>
          </w:tcPr>
          <w:p>
            <w:pPr>
              <w:rPr>
                <w:rFonts w:ascii="新宋体" w:hAnsi="新宋体" w:eastAsia="新宋体"/>
                <w:color w:val="000000" w:themeColor="text1"/>
                <w:sz w:val="24"/>
              </w:rPr>
            </w:pPr>
            <w:r>
              <w:rPr>
                <w:rFonts w:hint="eastAsia" w:ascii="新宋体" w:hAnsi="新宋体" w:eastAsia="新宋体"/>
                <w:color w:val="000000" w:themeColor="text1"/>
                <w:sz w:val="24"/>
              </w:rPr>
              <w:t>联系电话（含手机）</w:t>
            </w:r>
          </w:p>
        </w:tc>
        <w:tc>
          <w:tcPr>
            <w:tcW w:w="6254" w:type="dxa"/>
            <w:shd w:val="clear" w:color="auto" w:fill="auto"/>
            <w:vAlign w:val="center"/>
          </w:tcPr>
          <w:p>
            <w:pPr>
              <w:rPr>
                <w:rFonts w:ascii="新宋体" w:hAnsi="新宋体" w:eastAsia="新宋体"/>
                <w:color w:val="000000" w:themeColor="text1"/>
                <w:sz w:val="24"/>
              </w:rPr>
            </w:pPr>
            <w:r>
              <w:rPr>
                <w:rFonts w:hint="eastAsia" w:ascii="新宋体" w:hAnsi="新宋体" w:eastAsia="新宋体"/>
                <w:color w:val="000000" w:themeColor="text1"/>
                <w:sz w:val="24"/>
              </w:rPr>
              <w:t xml:space="preserve">电话：                     </w:t>
            </w:r>
          </w:p>
        </w:tc>
      </w:tr>
    </w:tbl>
    <w:p>
      <w:pPr>
        <w:pStyle w:val="11"/>
        <w:spacing w:line="360" w:lineRule="auto"/>
        <w:ind w:firstLine="480" w:firstLineChars="200"/>
        <w:rPr>
          <w:rFonts w:hAnsi="宋体"/>
          <w:color w:val="000000" w:themeColor="text1"/>
          <w:sz w:val="24"/>
        </w:rPr>
      </w:pPr>
    </w:p>
    <w:p>
      <w:pPr>
        <w:pStyle w:val="11"/>
        <w:spacing w:line="360" w:lineRule="auto"/>
        <w:ind w:firstLine="480" w:firstLineChars="200"/>
        <w:rPr>
          <w:rFonts w:hAnsi="宋体"/>
          <w:color w:val="000000" w:themeColor="text1"/>
          <w:sz w:val="24"/>
        </w:rPr>
      </w:pPr>
    </w:p>
    <w:p>
      <w:pPr>
        <w:pStyle w:val="11"/>
        <w:spacing w:line="360" w:lineRule="auto"/>
        <w:ind w:firstLine="480" w:firstLineChars="200"/>
        <w:rPr>
          <w:rFonts w:hAnsi="宋体"/>
          <w:color w:val="000000" w:themeColor="text1"/>
          <w:sz w:val="24"/>
        </w:rPr>
      </w:pPr>
      <w:r>
        <w:rPr>
          <w:rFonts w:hint="eastAsia" w:hAnsi="宋体"/>
          <w:color w:val="000000" w:themeColor="text1"/>
          <w:sz w:val="24"/>
        </w:rPr>
        <w:t>竞争性磋商报价人全称并加盖单位公章</w:t>
      </w:r>
    </w:p>
    <w:p>
      <w:pPr>
        <w:pStyle w:val="11"/>
        <w:spacing w:line="360" w:lineRule="auto"/>
        <w:ind w:firstLine="480" w:firstLineChars="200"/>
        <w:rPr>
          <w:rFonts w:hAnsi="宋体"/>
          <w:color w:val="000000" w:themeColor="text1"/>
          <w:sz w:val="24"/>
        </w:rPr>
      </w:pPr>
    </w:p>
    <w:p>
      <w:pPr>
        <w:pStyle w:val="11"/>
        <w:spacing w:line="360" w:lineRule="auto"/>
        <w:ind w:firstLine="480" w:firstLineChars="200"/>
        <w:rPr>
          <w:rFonts w:hAnsi="宋体"/>
          <w:color w:val="000000" w:themeColor="text1"/>
          <w:sz w:val="24"/>
        </w:rPr>
      </w:pPr>
      <w:r>
        <w:rPr>
          <w:rFonts w:hint="eastAsia" w:hAnsi="宋体"/>
          <w:color w:val="000000" w:themeColor="text1"/>
          <w:sz w:val="24"/>
        </w:rPr>
        <w:t xml:space="preserve">                                   日期： </w:t>
      </w:r>
    </w:p>
    <w:p>
      <w:pPr>
        <w:pStyle w:val="11"/>
        <w:spacing w:line="360" w:lineRule="auto"/>
        <w:ind w:firstLine="480" w:firstLineChars="200"/>
        <w:rPr>
          <w:rFonts w:hAnsi="宋体"/>
          <w:color w:val="000000" w:themeColor="text1"/>
          <w:sz w:val="24"/>
        </w:rPr>
      </w:pPr>
    </w:p>
    <w:p>
      <w:pPr>
        <w:pStyle w:val="11"/>
        <w:spacing w:line="360" w:lineRule="auto"/>
        <w:rPr>
          <w:rFonts w:hAnsi="宋体"/>
          <w:color w:val="000000" w:themeColor="text1"/>
          <w:szCs w:val="21"/>
        </w:rPr>
      </w:pPr>
    </w:p>
    <w:p>
      <w:pPr>
        <w:ind w:right="840"/>
        <w:rPr>
          <w:rFonts w:hAnsi="宋体"/>
          <w:color w:val="000000" w:themeColor="text1"/>
          <w:szCs w:val="21"/>
        </w:rPr>
      </w:pPr>
      <w:r>
        <w:rPr>
          <w:rFonts w:hint="eastAsia" w:hAnsi="宋体"/>
          <w:color w:val="000000" w:themeColor="text1"/>
          <w:szCs w:val="21"/>
        </w:rPr>
        <w:t>特注：需将电汇底单附后</w:t>
      </w:r>
    </w:p>
    <w:p>
      <w:pPr>
        <w:ind w:right="840"/>
        <w:rPr>
          <w:rFonts w:hAnsi="宋体"/>
          <w:color w:val="000000" w:themeColor="text1"/>
          <w:szCs w:val="21"/>
        </w:rPr>
      </w:pPr>
    </w:p>
    <w:p>
      <w:pPr>
        <w:ind w:right="840"/>
        <w:rPr>
          <w:rFonts w:hAnsi="宋体"/>
          <w:color w:val="000000" w:themeColor="text1"/>
          <w:szCs w:val="21"/>
        </w:rPr>
      </w:pPr>
    </w:p>
    <w:p>
      <w:pPr>
        <w:ind w:right="840"/>
        <w:rPr>
          <w:rFonts w:hAnsi="宋体"/>
          <w:color w:val="000000" w:themeColor="text1"/>
          <w:szCs w:val="21"/>
        </w:rPr>
      </w:pPr>
    </w:p>
    <w:p>
      <w:pPr>
        <w:ind w:right="840"/>
        <w:rPr>
          <w:rFonts w:hAnsi="宋体"/>
          <w:color w:val="000000" w:themeColor="text1"/>
          <w:szCs w:val="21"/>
        </w:rPr>
      </w:pPr>
    </w:p>
    <w:p>
      <w:pPr>
        <w:widowControl/>
        <w:jc w:val="left"/>
        <w:rPr>
          <w:rFonts w:ascii="宋体" w:hAnsi="宋体"/>
          <w:b/>
          <w:bCs/>
          <w:color w:val="000000" w:themeColor="text1"/>
          <w:sz w:val="24"/>
        </w:rPr>
      </w:pPr>
      <w:r>
        <w:rPr>
          <w:rFonts w:ascii="宋体" w:hAnsi="宋体"/>
          <w:b/>
          <w:bCs/>
          <w:color w:val="000000" w:themeColor="text1"/>
          <w:sz w:val="24"/>
        </w:rPr>
        <w:br w:type="page"/>
      </w:r>
    </w:p>
    <w:p>
      <w:pPr>
        <w:spacing w:line="360" w:lineRule="auto"/>
        <w:jc w:val="center"/>
        <w:outlineLvl w:val="0"/>
        <w:rPr>
          <w:rFonts w:ascii="仿宋_GB2312" w:hAnsi="宋体"/>
          <w:b/>
          <w:color w:val="000000" w:themeColor="text1"/>
          <w:sz w:val="28"/>
        </w:rPr>
      </w:pPr>
      <w:r>
        <w:rPr>
          <w:rFonts w:hint="eastAsia" w:ascii="仿宋_GB2312" w:hAnsi="宋体"/>
          <w:b/>
          <w:color w:val="000000" w:themeColor="text1"/>
          <w:sz w:val="28"/>
        </w:rPr>
        <w:t>第五部分合同条款</w:t>
      </w:r>
    </w:p>
    <w:p>
      <w:pPr>
        <w:spacing w:line="360" w:lineRule="auto"/>
        <w:jc w:val="center"/>
        <w:outlineLvl w:val="0"/>
        <w:rPr>
          <w:rFonts w:ascii="仿宋_GB2312" w:hAnsi="宋体"/>
          <w:b/>
          <w:color w:val="000000" w:themeColor="text1"/>
          <w:sz w:val="22"/>
        </w:rPr>
      </w:pPr>
      <w:r>
        <w:rPr>
          <w:rFonts w:hint="eastAsia" w:ascii="仿宋_GB2312" w:hAnsi="宋体"/>
          <w:b/>
          <w:color w:val="000000" w:themeColor="text1"/>
          <w:sz w:val="22"/>
        </w:rPr>
        <w:t>（格式条款，具体内容由双方协定，下述格式仅供参考）</w:t>
      </w:r>
    </w:p>
    <w:p>
      <w:pPr>
        <w:jc w:val="center"/>
        <w:rPr>
          <w:b/>
          <w:bCs/>
          <w:sz w:val="44"/>
          <w:u w:val="thick"/>
        </w:rPr>
      </w:pPr>
    </w:p>
    <w:p>
      <w:pPr>
        <w:pStyle w:val="2"/>
        <w:spacing w:before="0" w:after="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中央音乐学院</w:t>
      </w:r>
    </w:p>
    <w:p>
      <w:pPr>
        <w:pStyle w:val="2"/>
        <w:spacing w:before="0" w:after="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中央空调系统运行、维护保养项目合同</w:t>
      </w:r>
    </w:p>
    <w:p>
      <w:pPr>
        <w:pStyle w:val="4"/>
        <w:spacing w:line="360" w:lineRule="auto"/>
        <w:ind w:firstLine="480" w:firstLineChars="200"/>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甲方：中央音乐学院</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w:t>
      </w:r>
    </w:p>
    <w:p>
      <w:pPr>
        <w:spacing w:line="360" w:lineRule="auto"/>
        <w:rPr>
          <w:rFonts w:hint="eastAsia" w:asciiTheme="minorEastAsia" w:hAnsiTheme="minorEastAsia" w:eastAsiaTheme="minorEastAsia" w:cstheme="minorEastAsia"/>
          <w:bCs/>
          <w:sz w:val="24"/>
          <w:szCs w:val="24"/>
        </w:rPr>
      </w:pPr>
    </w:p>
    <w:p>
      <w:pPr>
        <w:pStyle w:val="5"/>
        <w:spacing w:before="0" w:after="0" w:line="360" w:lineRule="auto"/>
        <w:rPr>
          <w:rFonts w:hint="eastAsia" w:asciiTheme="minorEastAsia" w:hAnsiTheme="minorEastAsia" w:eastAsiaTheme="minorEastAsia" w:cstheme="minorEastAsia"/>
          <w:b w:val="0"/>
          <w:bCs/>
          <w:kern w:val="2"/>
          <w:sz w:val="24"/>
          <w:szCs w:val="24"/>
          <w:u w:val="none"/>
        </w:rPr>
      </w:pPr>
      <w:r>
        <w:rPr>
          <w:rFonts w:hint="eastAsia" w:asciiTheme="minorEastAsia" w:hAnsiTheme="minorEastAsia" w:eastAsiaTheme="minorEastAsia" w:cstheme="minorEastAsia"/>
          <w:b w:val="0"/>
          <w:bCs/>
          <w:kern w:val="2"/>
          <w:sz w:val="24"/>
          <w:szCs w:val="24"/>
          <w:u w:val="none"/>
        </w:rPr>
        <w:t xml:space="preserve">1 </w:t>
      </w:r>
      <w:r>
        <w:rPr>
          <w:rFonts w:hint="eastAsia" w:asciiTheme="minorEastAsia" w:hAnsiTheme="minorEastAsia" w:eastAsiaTheme="minorEastAsia" w:cstheme="minorEastAsia"/>
          <w:b w:val="0"/>
          <w:bCs/>
          <w:kern w:val="2"/>
          <w:sz w:val="24"/>
          <w:szCs w:val="24"/>
          <w:u w:val="none"/>
          <w:lang w:eastAsia="zh-CN"/>
        </w:rPr>
        <w:t>、</w:t>
      </w:r>
      <w:r>
        <w:rPr>
          <w:rFonts w:hint="eastAsia" w:asciiTheme="minorEastAsia" w:hAnsiTheme="minorEastAsia" w:eastAsiaTheme="minorEastAsia" w:cstheme="minorEastAsia"/>
          <w:b w:val="0"/>
          <w:bCs/>
          <w:kern w:val="2"/>
          <w:sz w:val="24"/>
          <w:szCs w:val="24"/>
          <w:u w:val="none"/>
        </w:rPr>
        <w:t>定义</w:t>
      </w:r>
    </w:p>
    <w:p>
      <w:pPr>
        <w:keepNext w:val="0"/>
        <w:keepLines w:val="0"/>
        <w:spacing w:line="360" w:lineRule="auto"/>
        <w:outlineLvl w:val="9"/>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1.1本合同服务内容：中央音乐学院歌剧音乐厅中央空调系统运行、维护保养。</w:t>
      </w:r>
    </w:p>
    <w:p>
      <w:pPr>
        <w:keepNext/>
        <w:keepLines/>
        <w:spacing w:line="360" w:lineRule="auto"/>
        <w:outlineLvl w:val="2"/>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2 </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rPr>
        <w:t>合同履行时间及履行地点</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2.1履行地点：中央音乐学院歌剧音乐厅。</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2.2履行时间：一年。</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合同期满，经甲方考核合格，并经双方协商一致同意，合同内容不变价格不变，本合同可续签一年，但须另行签订经双方加盖公章的书面文本。经甲方考核，乙方服务为不合格的，不再续签合同，乙方不得对此提出异议。</w:t>
      </w:r>
    </w:p>
    <w:p>
      <w:pPr>
        <w:keepNext/>
        <w:keepLines/>
        <w:spacing w:line="360" w:lineRule="auto"/>
        <w:outlineLvl w:val="2"/>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3 </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rPr>
        <w:t>中央空调系统设备运行维护范围</w:t>
      </w:r>
    </w:p>
    <w:p>
      <w:pPr>
        <w:spacing w:line="36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具体内容参见招标文件技术/服务需求部分及投标报价文件。</w:t>
      </w:r>
    </w:p>
    <w:p>
      <w:pPr>
        <w:keepNext/>
        <w:keepLines/>
        <w:spacing w:line="360" w:lineRule="auto"/>
        <w:outlineLvl w:val="2"/>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rPr>
        <w:t>中央空调系统设备运行、维护工作内容</w:t>
      </w:r>
    </w:p>
    <w:p>
      <w:pPr>
        <w:keepNext/>
        <w:keepLines/>
        <w:spacing w:line="360" w:lineRule="auto"/>
        <w:outlineLvl w:val="2"/>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具体内容参见招标文件技术/服务需求部分及投标报价文件。</w:t>
      </w:r>
    </w:p>
    <w:p>
      <w:pPr>
        <w:keepNext/>
        <w:keepLines/>
        <w:spacing w:line="360" w:lineRule="auto"/>
        <w:jc w:val="left"/>
        <w:outlineLvl w:val="2"/>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rPr>
        <w:t>甲方责任</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5.1为乙方提供工作用水、用电必要条件。</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5.2为乙方提供一间值班室及一部电话,对乙方工作人员的食宿提供方便，相关费用由乙方自行承担。</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5.3如实告知乙方在其接手前系统存在的相关问题。</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5.4对乙方提出的中央空调系统存在问题的整改方案，甲方需及时给予书面回复意见。甲方应在乙方呈送书面报告后三日内，给予具体的回复意见。</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5.5为乙方提供中央音乐学院相关中央空调系统各个设备说明书、系统图纸、系统变配电图纸各一套（均可为复印件），合同结束时乙方应交还至甲方。</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5.6对于冷冻冷却水清洗部分，甲方根据乙方需要提供必要的水电保证以及合理的技术支持。</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5.7按照合同规定及时支付乙方款项。</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5.8甲方有权对乙方工作人员提出建议并有权要求更换乙方派驻到甲方的工作人员。</w:t>
      </w:r>
    </w:p>
    <w:p>
      <w:pPr>
        <w:keepNext/>
        <w:keepLines/>
        <w:spacing w:line="360" w:lineRule="auto"/>
        <w:outlineLvl w:val="2"/>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rPr>
        <w:t>乙方责任</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6.1对中央空调冷水机组进行日常运行、保养、维修，延长机组各原件及设备的使用寿命，由于日常维护保养不当造成的更换零配件费用由乙方承担。</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6.2严格按照中央空调供冷、供暖工作计划执行。</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6.3对于突发故障进行抢修，保证故障停机时间不超过4小时，如故障时间超过4小时，每次甲方按合同总额的3%扣除服务费用。</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6.4对于因乙方工作人员违章及其他操作而造成的一切损失负责赔偿。</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6.5在合同有效期内，乙方须建立设备日常记录，建立中央空调系统设备档案，记录设备运行情况，交接班记录，中央空调系统巡检记录，备甲方随时查阅。</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6.6做好各项检修、运行、保养记录，记录不全及甲方不确认的内容，甲方不予支付相应费用。</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6.7上岗人员须持有效专业证件，具有一定工作实践经验和独立处理故障能力。</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6.8对甲方空调系统存在的问题需提出切实可行整改方案及预算并报送甲方。</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6.9由于维护工作不到位而发生的一切事故，由乙方负责。</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6.10对中央空调机组室内管道贴注标识，说明管道走向。</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6.11清理与空调机组无关的杂物，整理工具、零配件、材料，保持值机办公室室内干净整洁。</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6.12合同结束时，乙方向甲方退还值班室及电话，并交还甲方提供的所有文件资料，保证使用期间未以任何方式向任何第三方提供。</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6.13维护期间保证甲方财产安全与完好性。</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6.14负责配合完成甲方各类演出、艺（学）术交流活动所需的空调保障工作。</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6.15负责完成甲方监管人员交办的临时性工作任务。</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6.16关于人员配备问题：现场项目负责人及技术人员不得少于招投标文本中乙方承诺八名人员，乙方应当及时足额支付该些人员的工资、社保等。乙方工作人员因劳动关系、工伤等事由发生争议的，由乙方自行解决，与甲方无关。</w:t>
      </w:r>
    </w:p>
    <w:p>
      <w:pPr>
        <w:adjustRightInd w:val="0"/>
        <w:snapToGrid w:val="0"/>
        <w:spacing w:line="360" w:lineRule="auto"/>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sz w:val="24"/>
          <w:szCs w:val="24"/>
        </w:rPr>
        <w:t>7</w:t>
      </w:r>
      <w:r>
        <w:rPr>
          <w:rFonts w:hint="eastAsia" w:asciiTheme="minorEastAsia" w:hAnsiTheme="minorEastAsia" w:eastAsiaTheme="minorEastAsia" w:cstheme="minorEastAsia"/>
          <w:bCs w:val="0"/>
          <w:sz w:val="24"/>
          <w:szCs w:val="24"/>
        </w:rPr>
        <w:t xml:space="preserve"> </w:t>
      </w:r>
      <w:r>
        <w:rPr>
          <w:rFonts w:hint="eastAsia" w:asciiTheme="minorEastAsia" w:hAnsiTheme="minorEastAsia" w:eastAsiaTheme="minorEastAsia" w:cstheme="minorEastAsia"/>
          <w:bCs w:val="0"/>
          <w:sz w:val="24"/>
          <w:szCs w:val="24"/>
          <w:lang w:eastAsia="zh-CN"/>
        </w:rPr>
        <w:t>、</w:t>
      </w:r>
      <w:r>
        <w:rPr>
          <w:rFonts w:hint="eastAsia" w:asciiTheme="minorEastAsia" w:hAnsiTheme="minorEastAsia" w:eastAsiaTheme="minorEastAsia" w:cstheme="minorEastAsia"/>
          <w:bCs w:val="0"/>
          <w:sz w:val="24"/>
          <w:szCs w:val="24"/>
        </w:rPr>
        <w:t>相关费用</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7.1甲方发现乙方人员长期缺编，甲方有权根据乙方投标报价文件相关报价组成计算平均日工资，结合实际缺编天数按日平均工资的150%从合同总额中扣除，不足部分由乙方另行支付给甲方；</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7.2因乙方管理失误，给甲方造成经济损失，乙方应予照价赔偿；</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7.3因特殊原因临时缺编一周以内，乙方需自人员缺编之日起5日内将缺编人员补齐；</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7.4因乙方管理原因，导致现场人员长期严重缺编——缺编3人（含3人）以上，甲方可单方解除合同，而不必向乙方支付合同违约款。合同解除后，甲方有权依据本协议约定向乙方追究违约金及赔偿损失的责任。</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7.5因乙方技术力量配备不足，导致24小时内无法排除系统故障，无法保证机组正常运行，需聘请第三方进行现场技术指导或抢修，所发生的费用由乙方负责；</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7.6因乙方技术力量配备不足，导致24小时内无法排除系统故障，无法保证机组正常运行，迫使甲方聘请第三方介入，所发生的费用由甲方负责暂时垫付，甲乙双方最终结算时按照当时所发生费用的120%从本合同余额中扣除，不足部分由乙方另行支付给甲方。</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7.7因甲方重大活动，各类演出、艺（学）术交流需临时补充人员或加班完成空调保障任务的，乙方应予以配合，期间所涉的各类费用均包含在本合同内，甲方不再另行支付。</w:t>
      </w:r>
    </w:p>
    <w:p>
      <w:pPr>
        <w:adjustRightInd w:val="0"/>
        <w:snapToGrid w:val="0"/>
        <w:spacing w:line="360" w:lineRule="auto"/>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sz w:val="24"/>
          <w:szCs w:val="24"/>
        </w:rPr>
        <w:t>8</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val="0"/>
          <w:sz w:val="24"/>
          <w:szCs w:val="24"/>
        </w:rPr>
        <w:t>付款条件：</w:t>
      </w:r>
    </w:p>
    <w:p>
      <w:pPr>
        <w:adjustRightInd w:val="0"/>
        <w:snapToGrid w:val="0"/>
        <w:spacing w:line="360" w:lineRule="auto"/>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sz w:val="24"/>
          <w:szCs w:val="24"/>
        </w:rPr>
        <w:t>8.1</w:t>
      </w:r>
      <w:r>
        <w:rPr>
          <w:rFonts w:hint="eastAsia" w:asciiTheme="minorEastAsia" w:hAnsiTheme="minorEastAsia" w:eastAsiaTheme="minorEastAsia" w:cstheme="minorEastAsia"/>
          <w:bCs w:val="0"/>
          <w:sz w:val="24"/>
          <w:szCs w:val="24"/>
        </w:rPr>
        <w:t>中央空调运行维护费用</w:t>
      </w:r>
    </w:p>
    <w:p>
      <w:pPr>
        <w:adjustRightInd w:val="0"/>
        <w:snapToGrid w:val="0"/>
        <w:spacing w:line="36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根据乙方投标报价组成，每三个月向乙方支付一次运行维护费用，最后一笔运行维护费用待合同期满并根据招标文件要求、投标报价要求提供完整总结报告后，在甲方确认无异议的基础上于10个工作日内付清。</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8.2甲方付款前，乙方应当提供符合甲方要求的税务监制发票，否则甲方有权拒绝付款，且不承担违约责任。</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发生安全事故，由责任方负责。即谁违章，谁负责。凡因乙方违规操作造成的设备损失和人身安全事故由乙方负责。对于任何非双方所能控制、遇见的种种原因，而产生的损失、损害或索赔，双方应分析事故原因，按双方应承担事故责任赔偿损失，损失包括但不限于财产损失费、赔偿金、律师费、诉讼费用、调查取证费用、公证费用、差旅费用、复印费等。</w:t>
      </w:r>
    </w:p>
    <w:p>
      <w:pPr>
        <w:adjustRightInd w:val="0"/>
        <w:snapToGrid w:val="0"/>
        <w:spacing w:line="360" w:lineRule="auto"/>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t>10</w:t>
      </w:r>
      <w:r>
        <w:rPr>
          <w:rFonts w:hint="eastAsia" w:asciiTheme="minorEastAsia" w:hAnsiTheme="minorEastAsia" w:eastAsiaTheme="minorEastAsia" w:cstheme="minorEastAsia"/>
          <w:bCs w:val="0"/>
          <w:sz w:val="24"/>
          <w:szCs w:val="24"/>
          <w:lang w:eastAsia="zh-CN"/>
        </w:rPr>
        <w:t>、</w:t>
      </w:r>
      <w:r>
        <w:rPr>
          <w:rFonts w:hint="eastAsia" w:asciiTheme="minorEastAsia" w:hAnsiTheme="minorEastAsia" w:eastAsiaTheme="minorEastAsia" w:cstheme="minorEastAsia"/>
          <w:bCs w:val="0"/>
          <w:sz w:val="24"/>
          <w:szCs w:val="24"/>
        </w:rPr>
        <w:t>任何一方违反合同的约定，均构成违约，应当支付守约方违约金，违约金的支付方式按本协议第6.3 条、第7.1条、第7.6条的约定，违约金不足以弥补守约方损失的，应当赔偿守约方全部损失，损失赔偿费用范围参照第9条执行。</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sz w:val="24"/>
          <w:szCs w:val="24"/>
        </w:rPr>
        <w:t>11</w:t>
      </w:r>
      <w:r>
        <w:rPr>
          <w:rFonts w:hint="eastAsia" w:asciiTheme="minorEastAsia" w:hAnsiTheme="minorEastAsia" w:eastAsiaTheme="minorEastAsia" w:cstheme="minorEastAsia"/>
          <w:bCs w:val="0"/>
          <w:sz w:val="24"/>
          <w:szCs w:val="24"/>
          <w:lang w:eastAsia="zh-CN"/>
        </w:rPr>
        <w:t>、</w:t>
      </w:r>
      <w:r>
        <w:rPr>
          <w:rFonts w:hint="eastAsia" w:asciiTheme="minorEastAsia" w:hAnsiTheme="minorEastAsia" w:eastAsiaTheme="minorEastAsia" w:cstheme="minorEastAsia"/>
          <w:bCs w:val="0"/>
          <w:sz w:val="24"/>
          <w:szCs w:val="24"/>
        </w:rPr>
        <w:t>双方因本合同发生的争议，协商解决不成的，任何一方均有权向甲方所在地人民法院提起诉讼解决。</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sz w:val="24"/>
          <w:szCs w:val="24"/>
        </w:rPr>
        <w:t>12</w:t>
      </w:r>
      <w:r>
        <w:rPr>
          <w:rFonts w:hint="eastAsia" w:asciiTheme="minorEastAsia" w:hAnsiTheme="minorEastAsia" w:eastAsiaTheme="minorEastAsia" w:cstheme="minorEastAsia"/>
          <w:bCs w:val="0"/>
          <w:sz w:val="24"/>
          <w:szCs w:val="24"/>
          <w:lang w:eastAsia="zh-CN"/>
        </w:rPr>
        <w:t>、</w:t>
      </w:r>
      <w:r>
        <w:rPr>
          <w:rFonts w:hint="eastAsia" w:asciiTheme="minorEastAsia" w:hAnsiTheme="minorEastAsia" w:eastAsiaTheme="minorEastAsia" w:cstheme="minorEastAsia"/>
          <w:sz w:val="24"/>
          <w:szCs w:val="24"/>
        </w:rPr>
        <w:t>本协议在双方签字盖章后生效，甲、乙任何一方违约或擅自中止协议应负责赔偿对方一切经济损失。</w:t>
      </w:r>
    </w:p>
    <w:p>
      <w:pPr>
        <w:keepNext w:val="0"/>
        <w:keepLines w:val="0"/>
        <w:adjustRightInd w:val="0"/>
        <w:snapToGrid w:val="0"/>
        <w:spacing w:line="360" w:lineRule="auto"/>
        <w:outlineLvl w:val="9"/>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t>13</w:t>
      </w:r>
      <w:r>
        <w:rPr>
          <w:rFonts w:hint="eastAsia" w:asciiTheme="minorEastAsia" w:hAnsiTheme="minorEastAsia" w:eastAsiaTheme="minorEastAsia" w:cstheme="minorEastAsia"/>
          <w:bCs w:val="0"/>
          <w:sz w:val="24"/>
          <w:szCs w:val="24"/>
          <w:lang w:eastAsia="zh-CN"/>
        </w:rPr>
        <w:t>、</w:t>
      </w:r>
      <w:r>
        <w:rPr>
          <w:rFonts w:hint="eastAsia" w:asciiTheme="minorEastAsia" w:hAnsiTheme="minorEastAsia" w:eastAsiaTheme="minorEastAsia" w:cstheme="minorEastAsia"/>
          <w:sz w:val="24"/>
          <w:szCs w:val="24"/>
        </w:rPr>
        <w:t>下列文件构成本合同的组成部分，应该认为是一个整体，彼此相互解释，相互补充。为便于解释，组成合同的多个文件的优先支配地位的次序如下： 本合同书、中标通知书、投标报价文件(含澄清文件)、竞争性磋商件。</w:t>
      </w:r>
    </w:p>
    <w:p>
      <w:pPr>
        <w:keepNext w:val="0"/>
        <w:keepLines w:val="0"/>
        <w:adjustRightInd w:val="0"/>
        <w:snapToGrid w:val="0"/>
        <w:spacing w:line="360" w:lineRule="auto"/>
        <w:outlineLvl w:val="9"/>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t>14</w:t>
      </w:r>
      <w:r>
        <w:rPr>
          <w:rFonts w:hint="eastAsia" w:asciiTheme="minorEastAsia" w:hAnsiTheme="minorEastAsia" w:eastAsiaTheme="minorEastAsia" w:cstheme="minorEastAsia"/>
          <w:bCs w:val="0"/>
          <w:sz w:val="24"/>
          <w:szCs w:val="24"/>
          <w:lang w:eastAsia="zh-CN"/>
        </w:rPr>
        <w:t>、</w:t>
      </w:r>
      <w:r>
        <w:rPr>
          <w:rFonts w:hint="eastAsia" w:asciiTheme="minorEastAsia" w:hAnsiTheme="minorEastAsia" w:eastAsiaTheme="minorEastAsia" w:cstheme="minorEastAsia"/>
          <w:sz w:val="24"/>
          <w:szCs w:val="24"/>
        </w:rPr>
        <w:t>本协议未尽事宜，双方协商解决并签订书面补充协议。</w:t>
      </w:r>
    </w:p>
    <w:p>
      <w:pPr>
        <w:keepNext w:val="0"/>
        <w:keepLines w:val="0"/>
        <w:adjustRightInd w:val="0"/>
        <w:snapToGrid w:val="0"/>
        <w:spacing w:line="360" w:lineRule="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sz w:val="24"/>
          <w:szCs w:val="24"/>
        </w:rPr>
        <w:t>15</w:t>
      </w:r>
      <w:r>
        <w:rPr>
          <w:rFonts w:hint="eastAsia" w:asciiTheme="minorEastAsia" w:hAnsiTheme="minorEastAsia" w:eastAsiaTheme="minorEastAsia" w:cstheme="minorEastAsia"/>
          <w:bCs w:val="0"/>
          <w:sz w:val="24"/>
          <w:szCs w:val="24"/>
          <w:lang w:eastAsia="zh-CN"/>
        </w:rPr>
        <w:t>、</w:t>
      </w:r>
      <w:r>
        <w:rPr>
          <w:rFonts w:hint="eastAsia" w:asciiTheme="minorEastAsia" w:hAnsiTheme="minorEastAsia" w:eastAsiaTheme="minorEastAsia" w:cstheme="minorEastAsia"/>
          <w:sz w:val="24"/>
          <w:szCs w:val="24"/>
        </w:rPr>
        <w:t>本合同经双方授权代表签署、加盖单位印章生效。一式</w:t>
      </w:r>
      <w:r>
        <w:rPr>
          <w:rFonts w:hint="eastAsia" w:asciiTheme="minorEastAsia" w:hAnsiTheme="minorEastAsia" w:eastAsiaTheme="minorEastAsia" w:cstheme="minorEastAsia"/>
          <w:sz w:val="24"/>
          <w:szCs w:val="24"/>
          <w:u w:val="none"/>
        </w:rPr>
        <w:t>10</w:t>
      </w:r>
      <w:r>
        <w:rPr>
          <w:rFonts w:hint="eastAsia" w:asciiTheme="minorEastAsia" w:hAnsiTheme="minorEastAsia" w:eastAsiaTheme="minorEastAsia" w:cstheme="minorEastAsia"/>
          <w:sz w:val="24"/>
          <w:szCs w:val="24"/>
        </w:rPr>
        <w:t>份，甲方执</w:t>
      </w:r>
      <w:r>
        <w:rPr>
          <w:rFonts w:hint="eastAsia" w:asciiTheme="minorEastAsia" w:hAnsiTheme="minorEastAsia" w:eastAsiaTheme="minorEastAsia" w:cstheme="minorEastAsia"/>
          <w:sz w:val="24"/>
          <w:szCs w:val="24"/>
          <w:u w:val="none"/>
        </w:rPr>
        <w:t>8</w:t>
      </w:r>
      <w:r>
        <w:rPr>
          <w:rFonts w:hint="eastAsia" w:asciiTheme="minorEastAsia" w:hAnsiTheme="minorEastAsia" w:eastAsiaTheme="minorEastAsia" w:cstheme="minorEastAsia"/>
          <w:sz w:val="24"/>
          <w:szCs w:val="24"/>
        </w:rPr>
        <w:t>份；乙方执</w:t>
      </w:r>
      <w:r>
        <w:rPr>
          <w:rFonts w:hint="eastAsia" w:asciiTheme="minorEastAsia" w:hAnsiTheme="minorEastAsia" w:eastAsiaTheme="minorEastAsia" w:cstheme="minorEastAsia"/>
          <w:sz w:val="24"/>
          <w:szCs w:val="24"/>
          <w:u w:val="none"/>
        </w:rPr>
        <w:t>2</w:t>
      </w:r>
      <w:r>
        <w:rPr>
          <w:rFonts w:hint="eastAsia" w:asciiTheme="minorEastAsia" w:hAnsiTheme="minorEastAsia" w:eastAsiaTheme="minorEastAsia" w:cstheme="minorEastAsia"/>
          <w:sz w:val="24"/>
          <w:szCs w:val="24"/>
        </w:rPr>
        <w:t>份。</w:t>
      </w:r>
    </w:p>
    <w:p>
      <w:pPr>
        <w:keepNext w:val="0"/>
        <w:keepLines w:val="0"/>
        <w:adjustRightInd w:val="0"/>
        <w:snapToGrid w:val="0"/>
        <w:spacing w:line="360" w:lineRule="auto"/>
        <w:outlineLvl w:val="9"/>
        <w:rPr>
          <w:rFonts w:hint="eastAsia" w:asciiTheme="minorEastAsia" w:hAnsiTheme="minorEastAsia" w:eastAsiaTheme="minorEastAsia" w:cstheme="minorEastAsia"/>
          <w:bCs w:val="0"/>
          <w:sz w:val="24"/>
          <w:szCs w:val="24"/>
        </w:rPr>
      </w:pP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甲　方：</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乙　方：</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名　称：(印章)　　　　　　　　 名　称：(印章)</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　月　日　　　　　　　　　　　 年　月　日</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授权代表(签字)：</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授权代表(签字)：</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地　　址：</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邮政编码：</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邮政编码：</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　　电　　话：</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电　　话：</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p>
    <w:p>
      <w:pPr>
        <w:widowControl/>
        <w:spacing w:line="360" w:lineRule="auto"/>
        <w:jc w:val="left"/>
        <w:rPr>
          <w:rFonts w:hint="eastAsia" w:asciiTheme="minorEastAsia" w:hAnsiTheme="minorEastAsia" w:eastAsiaTheme="minorEastAsia" w:cstheme="minorEastAsia"/>
          <w:b/>
          <w:color w:val="000000" w:themeColor="text1"/>
          <w:sz w:val="24"/>
        </w:rPr>
      </w:pPr>
      <w:r>
        <w:rPr>
          <w:rFonts w:hint="eastAsia" w:asciiTheme="minorEastAsia" w:hAnsiTheme="minorEastAsia" w:eastAsiaTheme="minorEastAsia" w:cstheme="minorEastAsia"/>
          <w:b/>
          <w:color w:val="000000" w:themeColor="text1"/>
          <w:sz w:val="24"/>
        </w:rPr>
        <w:br w:type="page"/>
      </w:r>
    </w:p>
    <w:p>
      <w:pPr>
        <w:spacing w:line="360" w:lineRule="auto"/>
        <w:jc w:val="center"/>
        <w:outlineLvl w:val="0"/>
        <w:rPr>
          <w:rFonts w:ascii="仿宋_GB2312" w:hAnsi="宋体"/>
          <w:b/>
          <w:color w:val="000000" w:themeColor="text1"/>
          <w:sz w:val="28"/>
        </w:rPr>
      </w:pPr>
      <w:r>
        <w:rPr>
          <w:rFonts w:hint="eastAsia" w:ascii="仿宋_GB2312" w:hAnsi="宋体"/>
          <w:b/>
          <w:color w:val="000000" w:themeColor="text1"/>
          <w:sz w:val="28"/>
        </w:rPr>
        <w:t>第六部分评审方法</w:t>
      </w:r>
    </w:p>
    <w:p>
      <w:pPr>
        <w:spacing w:line="360" w:lineRule="auto"/>
        <w:rPr>
          <w:rFonts w:ascii="宋体" w:hAnsi="宋体"/>
          <w:color w:val="000000" w:themeColor="text1"/>
          <w:szCs w:val="21"/>
        </w:rPr>
      </w:pPr>
      <w:r>
        <w:rPr>
          <w:rFonts w:hint="eastAsia" w:ascii="宋体" w:hAnsi="宋体"/>
          <w:color w:val="000000" w:themeColor="text1"/>
          <w:szCs w:val="21"/>
        </w:rPr>
        <w:t>本采购项目采用综合评分法，满分100分。</w:t>
      </w:r>
    </w:p>
    <w:tbl>
      <w:tblPr>
        <w:tblStyle w:val="27"/>
        <w:tblW w:w="99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1883"/>
        <w:gridCol w:w="5303"/>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blHeader/>
          <w:jc w:val="center"/>
        </w:trPr>
        <w:tc>
          <w:tcPr>
            <w:tcW w:w="1497" w:type="dxa"/>
            <w:vAlign w:val="center"/>
          </w:tcPr>
          <w:p>
            <w:pPr>
              <w:widowControl/>
              <w:jc w:val="center"/>
              <w:rPr>
                <w:rFonts w:ascii="宋体" w:hAnsi="宋体" w:cs="宋体"/>
                <w:b/>
                <w:bCs/>
                <w:kern w:val="0"/>
                <w:szCs w:val="21"/>
              </w:rPr>
            </w:pPr>
            <w:r>
              <w:rPr>
                <w:rFonts w:hint="eastAsia" w:ascii="宋体" w:hAnsi="宋体" w:cs="宋体"/>
                <w:b/>
                <w:bCs/>
                <w:kern w:val="0"/>
                <w:szCs w:val="21"/>
              </w:rPr>
              <w:t>评审大类</w:t>
            </w:r>
          </w:p>
        </w:tc>
        <w:tc>
          <w:tcPr>
            <w:tcW w:w="1883" w:type="dxa"/>
            <w:vAlign w:val="center"/>
          </w:tcPr>
          <w:p>
            <w:pPr>
              <w:widowControl/>
              <w:jc w:val="center"/>
              <w:rPr>
                <w:rFonts w:ascii="宋体" w:hAnsi="宋体" w:cs="宋体"/>
                <w:b/>
                <w:bCs/>
                <w:kern w:val="0"/>
                <w:szCs w:val="21"/>
              </w:rPr>
            </w:pPr>
            <w:r>
              <w:rPr>
                <w:rFonts w:hint="eastAsia" w:ascii="宋体" w:hAnsi="宋体" w:cs="宋体"/>
                <w:b/>
                <w:bCs/>
                <w:kern w:val="0"/>
                <w:szCs w:val="21"/>
              </w:rPr>
              <w:t>评审项目</w:t>
            </w:r>
          </w:p>
        </w:tc>
        <w:tc>
          <w:tcPr>
            <w:tcW w:w="5303" w:type="dxa"/>
            <w:vAlign w:val="center"/>
          </w:tcPr>
          <w:p>
            <w:pPr>
              <w:widowControl/>
              <w:jc w:val="center"/>
              <w:rPr>
                <w:rFonts w:ascii="宋体" w:hAnsi="宋体" w:cs="宋体"/>
                <w:b/>
                <w:bCs/>
                <w:kern w:val="0"/>
                <w:szCs w:val="21"/>
              </w:rPr>
            </w:pPr>
            <w:r>
              <w:rPr>
                <w:rFonts w:hint="eastAsia" w:ascii="宋体" w:hAnsi="宋体" w:cs="宋体"/>
                <w:b/>
                <w:bCs/>
                <w:kern w:val="0"/>
                <w:szCs w:val="21"/>
              </w:rPr>
              <w:t>评审内容</w:t>
            </w:r>
          </w:p>
        </w:tc>
        <w:tc>
          <w:tcPr>
            <w:tcW w:w="1284" w:type="dxa"/>
            <w:vAlign w:val="center"/>
          </w:tcPr>
          <w:p>
            <w:pPr>
              <w:widowControl/>
              <w:jc w:val="center"/>
              <w:rPr>
                <w:rFonts w:ascii="宋体" w:hAnsi="宋体" w:cs="宋体"/>
                <w:b/>
                <w:bCs/>
                <w:kern w:val="0"/>
                <w:szCs w:val="21"/>
              </w:rPr>
            </w:pPr>
            <w:r>
              <w:rPr>
                <w:rFonts w:hint="eastAsia" w:ascii="宋体" w:hAnsi="宋体" w:cs="宋体"/>
                <w:b/>
                <w:bCs/>
                <w:kern w:val="0"/>
                <w:szCs w:val="21"/>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1497" w:type="dxa"/>
            <w:vAlign w:val="center"/>
          </w:tcPr>
          <w:p>
            <w:pPr>
              <w:widowControl/>
              <w:jc w:val="center"/>
              <w:rPr>
                <w:rFonts w:ascii="宋体" w:hAnsi="宋体" w:cs="宋体"/>
                <w:kern w:val="0"/>
                <w:szCs w:val="21"/>
              </w:rPr>
            </w:pPr>
            <w:r>
              <w:rPr>
                <w:rFonts w:hint="eastAsia" w:ascii="宋体" w:hAnsi="宋体" w:cs="宋体"/>
                <w:kern w:val="0"/>
                <w:szCs w:val="21"/>
              </w:rPr>
              <w:t>报价部分</w:t>
            </w:r>
          </w:p>
          <w:p>
            <w:pPr>
              <w:widowControl/>
              <w:jc w:val="center"/>
              <w:rPr>
                <w:rFonts w:ascii="宋体" w:hAnsi="宋体" w:cs="宋体"/>
                <w:kern w:val="0"/>
                <w:szCs w:val="21"/>
              </w:rPr>
            </w:pPr>
            <w:r>
              <w:rPr>
                <w:rFonts w:hint="eastAsia" w:ascii="宋体" w:hAnsi="宋体" w:cs="宋体"/>
                <w:kern w:val="0"/>
                <w:szCs w:val="21"/>
              </w:rPr>
              <w:t>（10分）</w:t>
            </w:r>
          </w:p>
        </w:tc>
        <w:tc>
          <w:tcPr>
            <w:tcW w:w="1883" w:type="dxa"/>
            <w:shd w:val="clear" w:color="auto" w:fill="auto"/>
            <w:vAlign w:val="center"/>
          </w:tcPr>
          <w:p>
            <w:pPr>
              <w:contextualSpacing/>
              <w:jc w:val="center"/>
              <w:rPr>
                <w:rFonts w:ascii="宋体" w:hAnsi="宋体" w:cs="宋体"/>
                <w:szCs w:val="21"/>
              </w:rPr>
            </w:pPr>
            <w:r>
              <w:rPr>
                <w:rFonts w:hint="eastAsia" w:ascii="宋体" w:hAnsi="宋体" w:cs="宋体"/>
                <w:szCs w:val="21"/>
              </w:rPr>
              <w:t>价格分</w:t>
            </w:r>
          </w:p>
        </w:tc>
        <w:tc>
          <w:tcPr>
            <w:tcW w:w="5303" w:type="dxa"/>
            <w:shd w:val="clear" w:color="auto" w:fill="auto"/>
            <w:vAlign w:val="center"/>
          </w:tcPr>
          <w:p>
            <w:pPr>
              <w:rPr>
                <w:rFonts w:ascii="宋体" w:hAnsi="宋体" w:cs="宋体"/>
                <w:szCs w:val="21"/>
              </w:rPr>
            </w:pPr>
            <w:r>
              <w:rPr>
                <w:rFonts w:hint="eastAsia" w:ascii="宋体" w:hAnsi="宋体" w:cs="宋体"/>
                <w:szCs w:val="21"/>
              </w:rPr>
              <w:t>报价得分＝（评审基准价/最终报价）×10％×100</w:t>
            </w:r>
          </w:p>
          <w:p>
            <w:pPr>
              <w:rPr>
                <w:rFonts w:ascii="宋体" w:hAnsi="宋体" w:cs="宋体"/>
                <w:szCs w:val="21"/>
              </w:rPr>
            </w:pPr>
            <w:r>
              <w:rPr>
                <w:rFonts w:hint="eastAsia" w:ascii="宋体" w:hAnsi="宋体" w:cs="宋体"/>
                <w:szCs w:val="21"/>
              </w:rPr>
              <w:t>实质性满足磋商文件要求且最终价格最低的报价为评审基准价，其价格分为满分</w:t>
            </w:r>
          </w:p>
        </w:tc>
        <w:tc>
          <w:tcPr>
            <w:tcW w:w="1284" w:type="dxa"/>
            <w:shd w:val="clear" w:color="auto" w:fill="auto"/>
            <w:vAlign w:val="center"/>
          </w:tcPr>
          <w:p>
            <w:pPr>
              <w:jc w:val="center"/>
              <w:rPr>
                <w:rFonts w:ascii="宋体" w:hAnsi="宋体" w:cs="宋体"/>
                <w:szCs w:val="21"/>
              </w:rPr>
            </w:pPr>
            <w:r>
              <w:rPr>
                <w:rFonts w:hint="eastAsia" w:ascii="宋体" w:hAnsi="宋体" w:cs="宋体"/>
                <w:szCs w:val="21"/>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1497" w:type="dxa"/>
            <w:vMerge w:val="restart"/>
            <w:vAlign w:val="center"/>
          </w:tcPr>
          <w:p>
            <w:pPr>
              <w:widowControl/>
              <w:jc w:val="center"/>
              <w:rPr>
                <w:rFonts w:ascii="宋体" w:hAnsi="宋体" w:cs="宋体"/>
                <w:kern w:val="0"/>
                <w:szCs w:val="21"/>
              </w:rPr>
            </w:pPr>
            <w:r>
              <w:rPr>
                <w:rFonts w:hint="eastAsia" w:ascii="宋体" w:hAnsi="宋体" w:cs="宋体"/>
                <w:kern w:val="0"/>
                <w:szCs w:val="21"/>
              </w:rPr>
              <w:t>商务部分</w:t>
            </w:r>
          </w:p>
          <w:p>
            <w:pPr>
              <w:widowControl/>
              <w:jc w:val="center"/>
              <w:rPr>
                <w:rFonts w:ascii="宋体" w:hAnsi="宋体" w:cs="宋体"/>
                <w:kern w:val="0"/>
                <w:szCs w:val="21"/>
              </w:rPr>
            </w:pPr>
            <w:r>
              <w:rPr>
                <w:rFonts w:hint="eastAsia" w:ascii="宋体" w:hAnsi="宋体" w:cs="宋体"/>
                <w:kern w:val="0"/>
                <w:szCs w:val="21"/>
              </w:rPr>
              <w:t>（25分）</w:t>
            </w:r>
          </w:p>
        </w:tc>
        <w:tc>
          <w:tcPr>
            <w:tcW w:w="1883" w:type="dxa"/>
            <w:shd w:val="clear" w:color="auto" w:fill="auto"/>
            <w:vAlign w:val="center"/>
          </w:tcPr>
          <w:p>
            <w:pPr>
              <w:contextualSpacing/>
              <w:jc w:val="center"/>
              <w:rPr>
                <w:rFonts w:ascii="宋体" w:hAnsi="宋体" w:cs="宋体"/>
                <w:szCs w:val="21"/>
              </w:rPr>
            </w:pPr>
            <w:r>
              <w:rPr>
                <w:rFonts w:hint="eastAsia" w:ascii="宋体" w:hAnsi="宋体" w:cs="宋体"/>
                <w:szCs w:val="21"/>
              </w:rPr>
              <w:t>公司实力</w:t>
            </w:r>
          </w:p>
        </w:tc>
        <w:tc>
          <w:tcPr>
            <w:tcW w:w="5303" w:type="dxa"/>
            <w:shd w:val="clear" w:color="auto" w:fill="auto"/>
            <w:vAlign w:val="center"/>
          </w:tcPr>
          <w:p>
            <w:pPr>
              <w:rPr>
                <w:rFonts w:ascii="宋体" w:hAnsi="宋体" w:cs="宋体"/>
                <w:szCs w:val="21"/>
              </w:rPr>
            </w:pPr>
            <w:r>
              <w:rPr>
                <w:rFonts w:hint="eastAsia" w:ascii="宋体" w:hAnsi="宋体" w:cs="宋体"/>
                <w:szCs w:val="21"/>
              </w:rPr>
              <w:t>横向比较各供应商实力，综合评分</w:t>
            </w:r>
            <w:r>
              <w:rPr>
                <w:rFonts w:hint="eastAsia" w:ascii="宋体" w:hAnsi="宋体" w:cs="宋体"/>
                <w:kern w:val="0"/>
                <w:szCs w:val="21"/>
              </w:rPr>
              <w:t>优秀得3分，良好得2分，一般得0-1分</w:t>
            </w:r>
          </w:p>
        </w:tc>
        <w:tc>
          <w:tcPr>
            <w:tcW w:w="1284" w:type="dxa"/>
            <w:shd w:val="clear" w:color="auto" w:fill="auto"/>
            <w:vAlign w:val="center"/>
          </w:tcPr>
          <w:p>
            <w:pPr>
              <w:jc w:val="center"/>
              <w:rPr>
                <w:rFonts w:ascii="宋体" w:hAnsi="宋体" w:cs="宋体"/>
                <w:szCs w:val="21"/>
              </w:rPr>
            </w:pPr>
            <w:r>
              <w:rPr>
                <w:rFonts w:hint="eastAsia" w:ascii="宋体" w:hAnsi="宋体" w:cs="宋体"/>
                <w:szCs w:val="21"/>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1497" w:type="dxa"/>
            <w:vMerge w:val="continue"/>
            <w:vAlign w:val="center"/>
          </w:tcPr>
          <w:p>
            <w:pPr>
              <w:widowControl/>
              <w:jc w:val="center"/>
              <w:rPr>
                <w:rFonts w:ascii="宋体" w:hAnsi="宋体" w:cs="宋体"/>
                <w:kern w:val="0"/>
                <w:szCs w:val="21"/>
              </w:rPr>
            </w:pPr>
          </w:p>
        </w:tc>
        <w:tc>
          <w:tcPr>
            <w:tcW w:w="1883" w:type="dxa"/>
            <w:shd w:val="clear" w:color="auto" w:fill="auto"/>
            <w:vAlign w:val="center"/>
          </w:tcPr>
          <w:p>
            <w:pPr>
              <w:contextualSpacing/>
              <w:jc w:val="center"/>
              <w:rPr>
                <w:rFonts w:ascii="宋体" w:hAnsi="宋体" w:cs="宋体"/>
                <w:szCs w:val="21"/>
              </w:rPr>
            </w:pPr>
            <w:r>
              <w:rPr>
                <w:rFonts w:hint="eastAsia" w:ascii="宋体" w:hAnsi="宋体" w:cs="宋体"/>
                <w:szCs w:val="21"/>
              </w:rPr>
              <w:t>专业能力</w:t>
            </w:r>
          </w:p>
        </w:tc>
        <w:tc>
          <w:tcPr>
            <w:tcW w:w="5303" w:type="dxa"/>
            <w:shd w:val="clear" w:color="auto" w:fill="auto"/>
            <w:vAlign w:val="center"/>
          </w:tcPr>
          <w:p>
            <w:pPr>
              <w:rPr>
                <w:rFonts w:ascii="宋体" w:hAnsi="宋体" w:cs="宋体"/>
                <w:szCs w:val="21"/>
              </w:rPr>
            </w:pPr>
            <w:r>
              <w:rPr>
                <w:rFonts w:hint="eastAsia" w:ascii="宋体" w:hAnsi="宋体" w:cs="宋体"/>
                <w:szCs w:val="21"/>
              </w:rPr>
              <w:t>横向比较各供应商专业能力（星级维保企业、代理资质安全生产许可证等各方面），综合评分</w:t>
            </w:r>
            <w:r>
              <w:rPr>
                <w:rFonts w:hint="eastAsia" w:ascii="宋体" w:hAnsi="宋体" w:cs="宋体"/>
                <w:kern w:val="0"/>
                <w:szCs w:val="21"/>
              </w:rPr>
              <w:t>优秀得5-7分，良好得3-4分，一般得0-2分</w:t>
            </w:r>
          </w:p>
        </w:tc>
        <w:tc>
          <w:tcPr>
            <w:tcW w:w="1284" w:type="dxa"/>
            <w:shd w:val="clear" w:color="auto" w:fill="auto"/>
            <w:vAlign w:val="center"/>
          </w:tcPr>
          <w:p>
            <w:pPr>
              <w:jc w:val="center"/>
              <w:rPr>
                <w:rFonts w:ascii="宋体" w:hAnsi="宋体" w:cs="宋体"/>
                <w:szCs w:val="21"/>
              </w:rPr>
            </w:pPr>
            <w:r>
              <w:rPr>
                <w:rFonts w:hint="eastAsia" w:ascii="宋体" w:hAnsi="宋体" w:cs="宋体"/>
                <w:szCs w:val="21"/>
              </w:rPr>
              <w:t>0-7分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1497" w:type="dxa"/>
            <w:vMerge w:val="continue"/>
            <w:vAlign w:val="center"/>
          </w:tcPr>
          <w:p>
            <w:pPr>
              <w:widowControl/>
              <w:jc w:val="center"/>
              <w:rPr>
                <w:rFonts w:ascii="宋体" w:hAnsi="宋体" w:cs="宋体"/>
                <w:kern w:val="0"/>
                <w:szCs w:val="21"/>
              </w:rPr>
            </w:pPr>
          </w:p>
        </w:tc>
        <w:tc>
          <w:tcPr>
            <w:tcW w:w="1883" w:type="dxa"/>
            <w:shd w:val="clear" w:color="auto" w:fill="auto"/>
            <w:vAlign w:val="center"/>
          </w:tcPr>
          <w:p>
            <w:pPr>
              <w:contextualSpacing/>
              <w:jc w:val="center"/>
              <w:rPr>
                <w:rFonts w:ascii="宋体" w:hAnsi="宋体" w:cs="宋体"/>
                <w:szCs w:val="21"/>
              </w:rPr>
            </w:pPr>
            <w:r>
              <w:rPr>
                <w:rFonts w:hint="eastAsia" w:ascii="宋体" w:hAnsi="宋体" w:cs="宋体"/>
                <w:snapToGrid w:val="0"/>
                <w:kern w:val="0"/>
                <w:szCs w:val="21"/>
                <w:lang w:bidi="en-US"/>
              </w:rPr>
              <w:t>团队能力</w:t>
            </w:r>
          </w:p>
        </w:tc>
        <w:tc>
          <w:tcPr>
            <w:tcW w:w="5303" w:type="dxa"/>
            <w:shd w:val="clear" w:color="auto" w:fill="auto"/>
            <w:vAlign w:val="center"/>
          </w:tcPr>
          <w:p>
            <w:pPr>
              <w:rPr>
                <w:rFonts w:ascii="宋体" w:hAnsi="宋体" w:cs="宋体"/>
                <w:szCs w:val="21"/>
              </w:rPr>
            </w:pPr>
            <w:r>
              <w:rPr>
                <w:rFonts w:hint="eastAsia" w:ascii="宋体" w:hAnsi="宋体" w:cs="宋体"/>
                <w:szCs w:val="21"/>
              </w:rPr>
              <w:t>考察供应商团队能力，提供团队的人员相关资质证件复印件及相关经验，横向比较酌情打分</w:t>
            </w:r>
          </w:p>
        </w:tc>
        <w:tc>
          <w:tcPr>
            <w:tcW w:w="1284" w:type="dxa"/>
            <w:shd w:val="clear" w:color="auto" w:fill="auto"/>
            <w:vAlign w:val="center"/>
          </w:tcPr>
          <w:p>
            <w:pPr>
              <w:jc w:val="center"/>
              <w:rPr>
                <w:rFonts w:ascii="宋体" w:hAnsi="宋体" w:cs="宋体"/>
                <w:szCs w:val="21"/>
              </w:rPr>
            </w:pPr>
            <w:r>
              <w:rPr>
                <w:rFonts w:hint="eastAsia" w:ascii="宋体" w:hAnsi="宋体" w:cs="宋体"/>
                <w:szCs w:val="21"/>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1497" w:type="dxa"/>
            <w:vMerge w:val="continue"/>
            <w:vAlign w:val="center"/>
          </w:tcPr>
          <w:p>
            <w:pPr>
              <w:widowControl/>
              <w:jc w:val="center"/>
              <w:rPr>
                <w:rFonts w:ascii="宋体" w:hAnsi="宋体" w:cs="宋体"/>
                <w:kern w:val="0"/>
                <w:szCs w:val="21"/>
              </w:rPr>
            </w:pPr>
          </w:p>
        </w:tc>
        <w:tc>
          <w:tcPr>
            <w:tcW w:w="1883" w:type="dxa"/>
            <w:shd w:val="clear" w:color="auto" w:fill="auto"/>
            <w:vAlign w:val="center"/>
          </w:tcPr>
          <w:p>
            <w:pPr>
              <w:contextualSpacing/>
              <w:jc w:val="center"/>
              <w:rPr>
                <w:rFonts w:ascii="宋体" w:hAnsi="宋体" w:cs="宋体"/>
                <w:szCs w:val="21"/>
              </w:rPr>
            </w:pPr>
            <w:r>
              <w:rPr>
                <w:rFonts w:hint="eastAsia" w:ascii="宋体" w:hAnsi="宋体" w:cs="宋体"/>
                <w:szCs w:val="21"/>
              </w:rPr>
              <w:t>类似项目业绩</w:t>
            </w:r>
          </w:p>
        </w:tc>
        <w:tc>
          <w:tcPr>
            <w:tcW w:w="5303" w:type="dxa"/>
            <w:shd w:val="clear" w:color="auto" w:fill="auto"/>
            <w:vAlign w:val="center"/>
          </w:tcPr>
          <w:p>
            <w:pPr>
              <w:rPr>
                <w:rFonts w:ascii="宋体" w:hAnsi="宋体" w:cs="宋体"/>
                <w:szCs w:val="21"/>
              </w:rPr>
            </w:pPr>
            <w:r>
              <w:rPr>
                <w:rFonts w:hint="eastAsia" w:ascii="宋体" w:hAnsi="宋体" w:cs="宋体"/>
                <w:szCs w:val="21"/>
              </w:rPr>
              <w:t>每提供一个类似高校项目业绩得1分，最多得5分，以合同复印件为准。</w:t>
            </w:r>
          </w:p>
        </w:tc>
        <w:tc>
          <w:tcPr>
            <w:tcW w:w="1284" w:type="dxa"/>
            <w:shd w:val="clear" w:color="auto" w:fill="auto"/>
            <w:vAlign w:val="center"/>
          </w:tcPr>
          <w:p>
            <w:pPr>
              <w:jc w:val="center"/>
              <w:rPr>
                <w:rFonts w:ascii="宋体" w:hAnsi="宋体" w:cs="宋体"/>
                <w:szCs w:val="21"/>
              </w:rPr>
            </w:pPr>
            <w:r>
              <w:rPr>
                <w:rFonts w:hint="eastAsia" w:ascii="宋体" w:hAnsi="宋体" w:cs="宋体"/>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1497" w:type="dxa"/>
            <w:vMerge w:val="continue"/>
            <w:vAlign w:val="center"/>
          </w:tcPr>
          <w:p>
            <w:pPr>
              <w:widowControl/>
              <w:jc w:val="center"/>
              <w:rPr>
                <w:rFonts w:ascii="宋体" w:hAnsi="宋体" w:cs="宋体"/>
                <w:kern w:val="0"/>
                <w:szCs w:val="21"/>
              </w:rPr>
            </w:pPr>
          </w:p>
        </w:tc>
        <w:tc>
          <w:tcPr>
            <w:tcW w:w="1883" w:type="dxa"/>
            <w:shd w:val="clear" w:color="auto" w:fill="auto"/>
            <w:vAlign w:val="center"/>
          </w:tcPr>
          <w:p>
            <w:pPr>
              <w:contextualSpacing/>
              <w:jc w:val="center"/>
              <w:rPr>
                <w:rFonts w:ascii="宋体" w:hAnsi="宋体" w:cs="宋体"/>
                <w:szCs w:val="21"/>
              </w:rPr>
            </w:pPr>
            <w:r>
              <w:rPr>
                <w:rFonts w:hint="eastAsia" w:ascii="宋体" w:hAnsi="宋体" w:cs="宋体"/>
                <w:szCs w:val="21"/>
              </w:rPr>
              <w:t>资质证书</w:t>
            </w:r>
            <w:bookmarkStart w:id="42" w:name="_GoBack"/>
            <w:bookmarkEnd w:id="42"/>
          </w:p>
        </w:tc>
        <w:tc>
          <w:tcPr>
            <w:tcW w:w="5303" w:type="dxa"/>
            <w:shd w:val="clear" w:color="auto" w:fill="auto"/>
            <w:vAlign w:val="center"/>
          </w:tcPr>
          <w:p>
            <w:pPr>
              <w:rPr>
                <w:rFonts w:ascii="宋体" w:hAnsi="宋体" w:cs="宋体"/>
                <w:szCs w:val="21"/>
              </w:rPr>
            </w:pPr>
            <w:r>
              <w:rPr>
                <w:rFonts w:hint="eastAsia" w:ascii="宋体" w:hAnsi="宋体" w:cs="宋体"/>
                <w:szCs w:val="21"/>
              </w:rPr>
              <w:t>质量、环境、职业健康安全质量管理体系认证证书，每提供一个证书得1分。</w:t>
            </w:r>
          </w:p>
        </w:tc>
        <w:tc>
          <w:tcPr>
            <w:tcW w:w="1284" w:type="dxa"/>
            <w:shd w:val="clear" w:color="auto" w:fill="auto"/>
            <w:vAlign w:val="center"/>
          </w:tcPr>
          <w:p>
            <w:pPr>
              <w:jc w:val="center"/>
              <w:rPr>
                <w:rFonts w:ascii="宋体" w:hAnsi="宋体" w:cs="宋体"/>
                <w:szCs w:val="21"/>
              </w:rPr>
            </w:pPr>
            <w:r>
              <w:rPr>
                <w:rFonts w:hint="eastAsia" w:ascii="宋体" w:hAnsi="宋体" w:cs="宋体"/>
                <w:szCs w:val="21"/>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1497" w:type="dxa"/>
            <w:vMerge w:val="continue"/>
            <w:vAlign w:val="center"/>
          </w:tcPr>
          <w:p>
            <w:pPr>
              <w:widowControl/>
              <w:jc w:val="center"/>
              <w:rPr>
                <w:rFonts w:ascii="宋体" w:hAnsi="宋体" w:cs="宋体"/>
                <w:kern w:val="0"/>
                <w:szCs w:val="21"/>
              </w:rPr>
            </w:pPr>
            <w:r>
              <w:rPr>
                <w:rFonts w:hint="eastAsia" w:ascii="宋体" w:hAnsi="宋体" w:cs="宋体"/>
                <w:kern w:val="0"/>
                <w:szCs w:val="21"/>
              </w:rPr>
              <w:t>、</w:t>
            </w:r>
          </w:p>
        </w:tc>
        <w:tc>
          <w:tcPr>
            <w:tcW w:w="1883" w:type="dxa"/>
            <w:shd w:val="clear" w:color="auto" w:fill="auto"/>
            <w:vAlign w:val="center"/>
          </w:tcPr>
          <w:p>
            <w:pPr>
              <w:contextualSpacing/>
              <w:jc w:val="center"/>
              <w:rPr>
                <w:rFonts w:ascii="宋体" w:hAnsi="宋体" w:cs="宋体"/>
                <w:szCs w:val="21"/>
              </w:rPr>
            </w:pPr>
            <w:r>
              <w:rPr>
                <w:rFonts w:hint="eastAsia" w:ascii="宋体" w:hAnsi="宋体" w:cs="宋体"/>
                <w:szCs w:val="21"/>
                <w:lang w:val="en-US" w:eastAsia="zh-CN"/>
              </w:rPr>
              <w:t>响应</w:t>
            </w:r>
            <w:r>
              <w:rPr>
                <w:rFonts w:hint="eastAsia" w:ascii="宋体" w:hAnsi="宋体" w:cs="宋体"/>
                <w:szCs w:val="21"/>
              </w:rPr>
              <w:t>文件完整性</w:t>
            </w:r>
          </w:p>
        </w:tc>
        <w:tc>
          <w:tcPr>
            <w:tcW w:w="5303" w:type="dxa"/>
            <w:shd w:val="clear" w:color="auto" w:fill="auto"/>
            <w:vAlign w:val="center"/>
          </w:tcPr>
          <w:p>
            <w:pPr>
              <w:rPr>
                <w:rFonts w:ascii="宋体" w:hAnsi="宋体" w:cs="宋体"/>
                <w:szCs w:val="21"/>
              </w:rPr>
            </w:pPr>
            <w:r>
              <w:rPr>
                <w:rFonts w:hint="eastAsia" w:ascii="宋体" w:hAnsi="宋体" w:cs="宋体"/>
                <w:szCs w:val="21"/>
              </w:rPr>
              <w:t>横向比较，综合评分</w:t>
            </w:r>
            <w:r>
              <w:rPr>
                <w:rFonts w:hint="eastAsia" w:ascii="宋体" w:hAnsi="宋体" w:cs="宋体"/>
                <w:kern w:val="0"/>
                <w:szCs w:val="21"/>
              </w:rPr>
              <w:t>优秀得3，良好得2分，一般得0-1分</w:t>
            </w:r>
          </w:p>
        </w:tc>
        <w:tc>
          <w:tcPr>
            <w:tcW w:w="1284" w:type="dxa"/>
            <w:shd w:val="clear" w:color="auto" w:fill="auto"/>
            <w:vAlign w:val="center"/>
          </w:tcPr>
          <w:p>
            <w:pPr>
              <w:jc w:val="center"/>
              <w:rPr>
                <w:rFonts w:ascii="宋体" w:hAnsi="宋体" w:cs="宋体"/>
                <w:szCs w:val="21"/>
              </w:rPr>
            </w:pPr>
            <w:r>
              <w:rPr>
                <w:rFonts w:hint="eastAsia" w:ascii="宋体" w:hAnsi="宋体" w:cs="宋体"/>
                <w:szCs w:val="21"/>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jc w:val="center"/>
        </w:trPr>
        <w:tc>
          <w:tcPr>
            <w:tcW w:w="1497"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技术得分</w:t>
            </w:r>
          </w:p>
          <w:p>
            <w:pPr>
              <w:jc w:val="center"/>
              <w:rPr>
                <w:rFonts w:ascii="宋体" w:hAnsi="宋体" w:cs="宋体"/>
                <w:kern w:val="0"/>
                <w:szCs w:val="21"/>
              </w:rPr>
            </w:pPr>
            <w:r>
              <w:rPr>
                <w:rFonts w:hint="eastAsia" w:ascii="宋体" w:hAnsi="宋体" w:cs="宋体"/>
                <w:kern w:val="0"/>
                <w:szCs w:val="21"/>
              </w:rPr>
              <w:t>（65分）</w:t>
            </w:r>
          </w:p>
        </w:tc>
        <w:tc>
          <w:tcPr>
            <w:tcW w:w="1883" w:type="dxa"/>
            <w:shd w:val="clear" w:color="auto" w:fill="auto"/>
            <w:vAlign w:val="center"/>
          </w:tcPr>
          <w:p>
            <w:pPr>
              <w:rPr>
                <w:rFonts w:ascii="宋体" w:hAnsi="宋体" w:cs="宋体"/>
                <w:szCs w:val="21"/>
              </w:rPr>
            </w:pPr>
            <w:r>
              <w:rPr>
                <w:rFonts w:hint="eastAsia" w:ascii="宋体" w:hAnsi="宋体" w:cs="宋体"/>
                <w:szCs w:val="21"/>
              </w:rPr>
              <w:t>维修保养方案</w:t>
            </w:r>
          </w:p>
        </w:tc>
        <w:tc>
          <w:tcPr>
            <w:tcW w:w="5303"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根据供应商维修保养方案的合理程度，管理是否严格，实施计划详细程度、可操作性，优秀得20-35分，良好得8-19分，一般得0-7分</w:t>
            </w:r>
          </w:p>
        </w:tc>
        <w:tc>
          <w:tcPr>
            <w:tcW w:w="1284" w:type="dxa"/>
            <w:shd w:val="clear" w:color="auto" w:fill="auto"/>
            <w:vAlign w:val="center"/>
          </w:tcPr>
          <w:p>
            <w:pPr>
              <w:autoSpaceDE w:val="0"/>
              <w:autoSpaceDN w:val="0"/>
              <w:adjustRightInd w:val="0"/>
              <w:ind w:right="312"/>
              <w:jc w:val="center"/>
              <w:rPr>
                <w:rFonts w:ascii="宋体" w:hAnsi="宋体" w:cs="宋体"/>
                <w:kern w:val="0"/>
                <w:szCs w:val="21"/>
              </w:rPr>
            </w:pPr>
            <w:r>
              <w:rPr>
                <w:rFonts w:hint="eastAsia" w:ascii="宋体" w:hAnsi="宋体" w:cs="宋体"/>
                <w:kern w:val="0"/>
                <w:szCs w:val="21"/>
              </w:rPr>
              <w:t>0-35</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97" w:type="dxa"/>
            <w:vMerge w:val="continue"/>
            <w:shd w:val="clear" w:color="auto" w:fill="auto"/>
            <w:vAlign w:val="center"/>
          </w:tcPr>
          <w:p>
            <w:pPr>
              <w:widowControl/>
              <w:jc w:val="center"/>
              <w:rPr>
                <w:rFonts w:ascii="宋体" w:hAnsi="宋体" w:cs="宋体"/>
                <w:kern w:val="0"/>
                <w:szCs w:val="21"/>
              </w:rPr>
            </w:pPr>
          </w:p>
        </w:tc>
        <w:tc>
          <w:tcPr>
            <w:tcW w:w="1883" w:type="dxa"/>
            <w:vMerge w:val="restart"/>
            <w:shd w:val="clear" w:color="auto" w:fill="auto"/>
            <w:vAlign w:val="center"/>
          </w:tcPr>
          <w:p>
            <w:pPr>
              <w:rPr>
                <w:rFonts w:ascii="宋体" w:hAnsi="宋体" w:cs="宋体"/>
                <w:szCs w:val="21"/>
              </w:rPr>
            </w:pPr>
            <w:r>
              <w:rPr>
                <w:rFonts w:hint="eastAsia" w:ascii="宋体" w:hAnsi="宋体" w:cs="宋体"/>
                <w:szCs w:val="21"/>
              </w:rPr>
              <w:t>配合措施及服务</w:t>
            </w:r>
          </w:p>
        </w:tc>
        <w:tc>
          <w:tcPr>
            <w:tcW w:w="5303"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配合措施的重视程度和完备程度，</w:t>
            </w:r>
            <w:r>
              <w:rPr>
                <w:rFonts w:hint="eastAsia" w:ascii="宋体" w:hAnsi="宋体" w:cs="宋体"/>
                <w:szCs w:val="21"/>
              </w:rPr>
              <w:t>横向比较，综合评分</w:t>
            </w:r>
            <w:r>
              <w:rPr>
                <w:rFonts w:hint="eastAsia" w:ascii="宋体" w:hAnsi="宋体" w:cs="宋体"/>
                <w:kern w:val="0"/>
                <w:szCs w:val="21"/>
              </w:rPr>
              <w:t>优秀得7-10分，良好得4-6分，一般得0-3分</w:t>
            </w:r>
          </w:p>
        </w:tc>
        <w:tc>
          <w:tcPr>
            <w:tcW w:w="1284" w:type="dxa"/>
            <w:shd w:val="clear" w:color="auto" w:fill="auto"/>
            <w:vAlign w:val="center"/>
          </w:tcPr>
          <w:p>
            <w:pPr>
              <w:autoSpaceDE w:val="0"/>
              <w:autoSpaceDN w:val="0"/>
              <w:adjustRightInd w:val="0"/>
              <w:ind w:right="312"/>
              <w:jc w:val="center"/>
              <w:rPr>
                <w:rFonts w:ascii="宋体" w:hAnsi="宋体" w:cs="宋体"/>
                <w:kern w:val="0"/>
                <w:szCs w:val="21"/>
              </w:rPr>
            </w:pPr>
            <w:r>
              <w:rPr>
                <w:rFonts w:hint="eastAsia" w:ascii="宋体" w:hAnsi="宋体" w:cs="宋体"/>
                <w:kern w:val="0"/>
                <w:szCs w:val="21"/>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97" w:type="dxa"/>
            <w:vMerge w:val="continue"/>
            <w:shd w:val="clear" w:color="auto" w:fill="auto"/>
            <w:vAlign w:val="center"/>
          </w:tcPr>
          <w:p>
            <w:pPr>
              <w:widowControl/>
              <w:jc w:val="center"/>
              <w:rPr>
                <w:rFonts w:ascii="宋体" w:hAnsi="宋体" w:cs="宋体"/>
                <w:kern w:val="0"/>
                <w:szCs w:val="21"/>
              </w:rPr>
            </w:pPr>
          </w:p>
        </w:tc>
        <w:tc>
          <w:tcPr>
            <w:tcW w:w="1883" w:type="dxa"/>
            <w:vMerge w:val="continue"/>
            <w:shd w:val="clear" w:color="auto" w:fill="auto"/>
            <w:vAlign w:val="center"/>
          </w:tcPr>
          <w:p>
            <w:pPr>
              <w:rPr>
                <w:rFonts w:ascii="宋体" w:hAnsi="宋体" w:cs="宋体"/>
                <w:szCs w:val="21"/>
              </w:rPr>
            </w:pPr>
          </w:p>
        </w:tc>
        <w:tc>
          <w:tcPr>
            <w:tcW w:w="5303"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应急救援措施横向比较</w:t>
            </w:r>
            <w:r>
              <w:rPr>
                <w:rFonts w:hint="eastAsia" w:ascii="宋体" w:hAnsi="宋体" w:cs="宋体"/>
                <w:szCs w:val="21"/>
              </w:rPr>
              <w:t>，综合评分</w:t>
            </w:r>
            <w:r>
              <w:rPr>
                <w:rFonts w:hint="eastAsia" w:ascii="宋体" w:hAnsi="宋体" w:cs="宋体"/>
                <w:kern w:val="0"/>
                <w:szCs w:val="21"/>
              </w:rPr>
              <w:t>优秀得7-10分，良好得4-6分，一般得0-3分</w:t>
            </w:r>
          </w:p>
        </w:tc>
        <w:tc>
          <w:tcPr>
            <w:tcW w:w="1284" w:type="dxa"/>
            <w:shd w:val="clear" w:color="auto" w:fill="auto"/>
            <w:vAlign w:val="center"/>
          </w:tcPr>
          <w:p>
            <w:pPr>
              <w:autoSpaceDE w:val="0"/>
              <w:autoSpaceDN w:val="0"/>
              <w:adjustRightInd w:val="0"/>
              <w:ind w:right="312"/>
              <w:jc w:val="center"/>
              <w:rPr>
                <w:rFonts w:ascii="宋体" w:hAnsi="宋体" w:cs="宋体"/>
                <w:kern w:val="0"/>
                <w:szCs w:val="21"/>
              </w:rPr>
            </w:pPr>
            <w:r>
              <w:rPr>
                <w:rFonts w:hint="eastAsia" w:ascii="宋体" w:hAnsi="宋体" w:cs="宋体"/>
                <w:kern w:val="0"/>
                <w:szCs w:val="21"/>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497" w:type="dxa"/>
            <w:vMerge w:val="continue"/>
            <w:shd w:val="clear" w:color="auto" w:fill="auto"/>
            <w:vAlign w:val="center"/>
          </w:tcPr>
          <w:p>
            <w:pPr>
              <w:widowControl/>
              <w:jc w:val="center"/>
              <w:rPr>
                <w:rFonts w:ascii="宋体" w:hAnsi="宋体" w:cs="宋体"/>
                <w:kern w:val="0"/>
                <w:szCs w:val="21"/>
              </w:rPr>
            </w:pPr>
          </w:p>
        </w:tc>
        <w:tc>
          <w:tcPr>
            <w:tcW w:w="1883" w:type="dxa"/>
            <w:vMerge w:val="continue"/>
            <w:shd w:val="clear" w:color="auto" w:fill="auto"/>
            <w:vAlign w:val="center"/>
          </w:tcPr>
          <w:p>
            <w:pPr>
              <w:rPr>
                <w:rFonts w:ascii="宋体" w:hAnsi="宋体" w:cs="宋体"/>
                <w:szCs w:val="21"/>
              </w:rPr>
            </w:pPr>
          </w:p>
        </w:tc>
        <w:tc>
          <w:tcPr>
            <w:tcW w:w="5303"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服务优势（合作优势、反应速度等）</w:t>
            </w:r>
            <w:r>
              <w:rPr>
                <w:rFonts w:hint="eastAsia" w:ascii="宋体" w:hAnsi="宋体" w:cs="宋体"/>
                <w:szCs w:val="21"/>
              </w:rPr>
              <w:t>横向比较，综合评分</w:t>
            </w:r>
            <w:r>
              <w:rPr>
                <w:rFonts w:hint="eastAsia" w:ascii="宋体" w:hAnsi="宋体" w:cs="宋体"/>
                <w:kern w:val="0"/>
                <w:szCs w:val="21"/>
              </w:rPr>
              <w:t>优秀得7-10分，良好得4-6分，一般得0-3分</w:t>
            </w:r>
          </w:p>
        </w:tc>
        <w:tc>
          <w:tcPr>
            <w:tcW w:w="1284" w:type="dxa"/>
            <w:shd w:val="clear" w:color="auto" w:fill="auto"/>
            <w:vAlign w:val="center"/>
          </w:tcPr>
          <w:p>
            <w:pPr>
              <w:autoSpaceDE w:val="0"/>
              <w:autoSpaceDN w:val="0"/>
              <w:adjustRightInd w:val="0"/>
              <w:ind w:right="312"/>
              <w:jc w:val="center"/>
              <w:rPr>
                <w:rFonts w:ascii="宋体" w:hAnsi="宋体" w:cs="宋体"/>
                <w:kern w:val="0"/>
                <w:szCs w:val="21"/>
              </w:rPr>
            </w:pPr>
            <w:r>
              <w:rPr>
                <w:rFonts w:hint="eastAsia" w:ascii="宋体" w:hAnsi="宋体" w:cs="宋体"/>
                <w:kern w:val="0"/>
                <w:szCs w:val="21"/>
              </w:rPr>
              <w:t>0-10分</w:t>
            </w:r>
          </w:p>
        </w:tc>
      </w:tr>
    </w:tbl>
    <w:p>
      <w:pPr>
        <w:tabs>
          <w:tab w:val="left" w:pos="5580"/>
        </w:tabs>
        <w:adjustRightInd w:val="0"/>
        <w:spacing w:before="120" w:line="360" w:lineRule="auto"/>
        <w:rPr>
          <w:rFonts w:ascii="仿宋_GB2312"/>
          <w:b/>
          <w:color w:val="000000" w:themeColor="text1"/>
          <w:sz w:val="28"/>
        </w:rPr>
      </w:pPr>
    </w:p>
    <w:p>
      <w:pPr>
        <w:tabs>
          <w:tab w:val="left" w:pos="5580"/>
        </w:tabs>
        <w:adjustRightInd w:val="0"/>
        <w:spacing w:before="120" w:line="360" w:lineRule="auto"/>
        <w:ind w:firstLine="3373" w:firstLineChars="1200"/>
        <w:rPr>
          <w:rFonts w:ascii="仿宋_GB2312"/>
          <w:b/>
          <w:color w:val="000000" w:themeColor="text1"/>
          <w:sz w:val="28"/>
        </w:rPr>
      </w:pPr>
    </w:p>
    <w:p>
      <w:pPr>
        <w:tabs>
          <w:tab w:val="left" w:pos="5580"/>
        </w:tabs>
        <w:adjustRightInd w:val="0"/>
        <w:spacing w:before="120" w:line="360" w:lineRule="auto"/>
        <w:ind w:firstLine="3373" w:firstLineChars="1200"/>
        <w:rPr>
          <w:rFonts w:ascii="仿宋_GB2312"/>
          <w:b/>
          <w:color w:val="000000" w:themeColor="text1"/>
          <w:sz w:val="28"/>
        </w:rPr>
      </w:pPr>
    </w:p>
    <w:p>
      <w:pPr>
        <w:ind w:right="840"/>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10" w:usb3="00000000" w:csb0="0004009F" w:csb1="00000000"/>
  </w:font>
  <w:font w:name="Batang">
    <w:altName w:val="Malgun Gothic"/>
    <w:panose1 w:val="02030600000101010101"/>
    <w:charset w:val="81"/>
    <w:family w:val="auto"/>
    <w:pitch w:val="default"/>
    <w:sig w:usb0="00000000" w:usb1="00000000" w:usb2="00000010" w:usb3="00000000" w:csb0="0008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PAGE   \* MERGEFORMAT</w:instrText>
    </w:r>
    <w:r>
      <w:fldChar w:fldCharType="separate"/>
    </w:r>
    <w:r>
      <w:rPr>
        <w:lang w:val="zh-CN"/>
      </w:rPr>
      <w:t>59</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731F5"/>
    <w:multiLevelType w:val="multilevel"/>
    <w:tmpl w:val="0B1731F5"/>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1">
    <w:nsid w:val="344C0908"/>
    <w:multiLevelType w:val="multilevel"/>
    <w:tmpl w:val="344C0908"/>
    <w:lvl w:ilvl="0" w:tentative="0">
      <w:start w:val="1"/>
      <w:numFmt w:val="upperRoman"/>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
    <w:nsid w:val="4B314CA6"/>
    <w:multiLevelType w:val="multilevel"/>
    <w:tmpl w:val="4B314CA6"/>
    <w:lvl w:ilvl="0" w:tentative="0">
      <w:start w:val="6"/>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
    <w:nsid w:val="58AB583B"/>
    <w:multiLevelType w:val="multilevel"/>
    <w:tmpl w:val="58AB583B"/>
    <w:lvl w:ilvl="0" w:tentative="0">
      <w:start w:val="4"/>
      <w:numFmt w:val="decimal"/>
      <w:lvlText w:val="（%1）"/>
      <w:lvlJc w:val="left"/>
      <w:pPr>
        <w:ind w:left="1035" w:hanging="72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4">
    <w:nsid w:val="5E1F057F"/>
    <w:multiLevelType w:val="multilevel"/>
    <w:tmpl w:val="5E1F057F"/>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027EB"/>
    <w:rsid w:val="0000133D"/>
    <w:rsid w:val="0000225F"/>
    <w:rsid w:val="00006633"/>
    <w:rsid w:val="00014CA1"/>
    <w:rsid w:val="0001716A"/>
    <w:rsid w:val="00021C53"/>
    <w:rsid w:val="00026C4D"/>
    <w:rsid w:val="000640DA"/>
    <w:rsid w:val="000753FE"/>
    <w:rsid w:val="00075E8C"/>
    <w:rsid w:val="00077F44"/>
    <w:rsid w:val="0009189C"/>
    <w:rsid w:val="000A1C9C"/>
    <w:rsid w:val="000C1B52"/>
    <w:rsid w:val="000E048E"/>
    <w:rsid w:val="000F1F3F"/>
    <w:rsid w:val="00110B14"/>
    <w:rsid w:val="00120CFB"/>
    <w:rsid w:val="00121783"/>
    <w:rsid w:val="00122843"/>
    <w:rsid w:val="00165C15"/>
    <w:rsid w:val="001A3800"/>
    <w:rsid w:val="001C03B6"/>
    <w:rsid w:val="001C0707"/>
    <w:rsid w:val="001C3833"/>
    <w:rsid w:val="001E4898"/>
    <w:rsid w:val="00200E2B"/>
    <w:rsid w:val="0020692F"/>
    <w:rsid w:val="00210519"/>
    <w:rsid w:val="00224824"/>
    <w:rsid w:val="00226F86"/>
    <w:rsid w:val="002315F8"/>
    <w:rsid w:val="00232CD8"/>
    <w:rsid w:val="00235049"/>
    <w:rsid w:val="00250173"/>
    <w:rsid w:val="00253F19"/>
    <w:rsid w:val="002856C0"/>
    <w:rsid w:val="00290A49"/>
    <w:rsid w:val="00290E63"/>
    <w:rsid w:val="0029380E"/>
    <w:rsid w:val="00296A5D"/>
    <w:rsid w:val="002A3DE5"/>
    <w:rsid w:val="002A4F64"/>
    <w:rsid w:val="002C187B"/>
    <w:rsid w:val="002C55EB"/>
    <w:rsid w:val="002E7502"/>
    <w:rsid w:val="00305ADA"/>
    <w:rsid w:val="00311165"/>
    <w:rsid w:val="00312A0D"/>
    <w:rsid w:val="003507F6"/>
    <w:rsid w:val="00354944"/>
    <w:rsid w:val="00375F18"/>
    <w:rsid w:val="00394642"/>
    <w:rsid w:val="003A678C"/>
    <w:rsid w:val="003C0532"/>
    <w:rsid w:val="003C7B31"/>
    <w:rsid w:val="003D2E4D"/>
    <w:rsid w:val="003E7558"/>
    <w:rsid w:val="004035A2"/>
    <w:rsid w:val="004127FF"/>
    <w:rsid w:val="00425CD6"/>
    <w:rsid w:val="004312B2"/>
    <w:rsid w:val="004418D7"/>
    <w:rsid w:val="0044294B"/>
    <w:rsid w:val="00452046"/>
    <w:rsid w:val="00466CCA"/>
    <w:rsid w:val="00470FB3"/>
    <w:rsid w:val="00475ADD"/>
    <w:rsid w:val="00495288"/>
    <w:rsid w:val="00497EC4"/>
    <w:rsid w:val="004B5C03"/>
    <w:rsid w:val="004B7250"/>
    <w:rsid w:val="004D13EC"/>
    <w:rsid w:val="004E16C3"/>
    <w:rsid w:val="004E52E7"/>
    <w:rsid w:val="004F7293"/>
    <w:rsid w:val="00512ED9"/>
    <w:rsid w:val="00530CE0"/>
    <w:rsid w:val="00543D79"/>
    <w:rsid w:val="00557A5E"/>
    <w:rsid w:val="00563893"/>
    <w:rsid w:val="00563997"/>
    <w:rsid w:val="00591B44"/>
    <w:rsid w:val="005A0FDD"/>
    <w:rsid w:val="005B0164"/>
    <w:rsid w:val="005B04E4"/>
    <w:rsid w:val="005D563D"/>
    <w:rsid w:val="005D5F8C"/>
    <w:rsid w:val="005D6D85"/>
    <w:rsid w:val="006104F5"/>
    <w:rsid w:val="00653909"/>
    <w:rsid w:val="0066659D"/>
    <w:rsid w:val="006806C5"/>
    <w:rsid w:val="00684260"/>
    <w:rsid w:val="00692045"/>
    <w:rsid w:val="00696907"/>
    <w:rsid w:val="006D18BE"/>
    <w:rsid w:val="006D7D3D"/>
    <w:rsid w:val="006E2438"/>
    <w:rsid w:val="006F2454"/>
    <w:rsid w:val="006F26FD"/>
    <w:rsid w:val="007039E2"/>
    <w:rsid w:val="0071222C"/>
    <w:rsid w:val="00716168"/>
    <w:rsid w:val="007543FC"/>
    <w:rsid w:val="0076787A"/>
    <w:rsid w:val="00780FA5"/>
    <w:rsid w:val="00791036"/>
    <w:rsid w:val="007A3AB1"/>
    <w:rsid w:val="007A4EE6"/>
    <w:rsid w:val="007C1C66"/>
    <w:rsid w:val="007C30E6"/>
    <w:rsid w:val="007C6A0B"/>
    <w:rsid w:val="007C7CA7"/>
    <w:rsid w:val="007D6A9C"/>
    <w:rsid w:val="008027EB"/>
    <w:rsid w:val="00802DDD"/>
    <w:rsid w:val="00812C61"/>
    <w:rsid w:val="00844FAC"/>
    <w:rsid w:val="00883810"/>
    <w:rsid w:val="00892F4D"/>
    <w:rsid w:val="00896FB2"/>
    <w:rsid w:val="008B33CC"/>
    <w:rsid w:val="008B4F25"/>
    <w:rsid w:val="008C0310"/>
    <w:rsid w:val="008C4D08"/>
    <w:rsid w:val="008E1935"/>
    <w:rsid w:val="00912FD7"/>
    <w:rsid w:val="0091501C"/>
    <w:rsid w:val="00922772"/>
    <w:rsid w:val="0092355A"/>
    <w:rsid w:val="00927216"/>
    <w:rsid w:val="009277B7"/>
    <w:rsid w:val="00946A41"/>
    <w:rsid w:val="009540DA"/>
    <w:rsid w:val="00981086"/>
    <w:rsid w:val="00982202"/>
    <w:rsid w:val="009A0D1A"/>
    <w:rsid w:val="009A43DC"/>
    <w:rsid w:val="009B7EAD"/>
    <w:rsid w:val="00A30392"/>
    <w:rsid w:val="00A7438D"/>
    <w:rsid w:val="00A81EB4"/>
    <w:rsid w:val="00A92D7D"/>
    <w:rsid w:val="00AA2E1C"/>
    <w:rsid w:val="00AC09F6"/>
    <w:rsid w:val="00AD06F6"/>
    <w:rsid w:val="00AD3CC1"/>
    <w:rsid w:val="00AF50FC"/>
    <w:rsid w:val="00B1429D"/>
    <w:rsid w:val="00B25F93"/>
    <w:rsid w:val="00B27A37"/>
    <w:rsid w:val="00B27A54"/>
    <w:rsid w:val="00B350F9"/>
    <w:rsid w:val="00B36912"/>
    <w:rsid w:val="00B70CE5"/>
    <w:rsid w:val="00B755DF"/>
    <w:rsid w:val="00B82D96"/>
    <w:rsid w:val="00BA1259"/>
    <w:rsid w:val="00BA1DDD"/>
    <w:rsid w:val="00BB1543"/>
    <w:rsid w:val="00BD5006"/>
    <w:rsid w:val="00BE7E89"/>
    <w:rsid w:val="00BF0FD6"/>
    <w:rsid w:val="00BF450A"/>
    <w:rsid w:val="00BF5278"/>
    <w:rsid w:val="00C10AE2"/>
    <w:rsid w:val="00C10AF1"/>
    <w:rsid w:val="00C13512"/>
    <w:rsid w:val="00C301C6"/>
    <w:rsid w:val="00C525A8"/>
    <w:rsid w:val="00C5362D"/>
    <w:rsid w:val="00C73392"/>
    <w:rsid w:val="00C84BE3"/>
    <w:rsid w:val="00C85E44"/>
    <w:rsid w:val="00C955EB"/>
    <w:rsid w:val="00CA1914"/>
    <w:rsid w:val="00CB4480"/>
    <w:rsid w:val="00CB5FFE"/>
    <w:rsid w:val="00CB61A6"/>
    <w:rsid w:val="00CD0AAE"/>
    <w:rsid w:val="00CD36F3"/>
    <w:rsid w:val="00CF4485"/>
    <w:rsid w:val="00D018B7"/>
    <w:rsid w:val="00D07D3E"/>
    <w:rsid w:val="00D11DDB"/>
    <w:rsid w:val="00D145AC"/>
    <w:rsid w:val="00D156F7"/>
    <w:rsid w:val="00D23344"/>
    <w:rsid w:val="00D238F2"/>
    <w:rsid w:val="00D35B8D"/>
    <w:rsid w:val="00D41C3C"/>
    <w:rsid w:val="00D51988"/>
    <w:rsid w:val="00D90597"/>
    <w:rsid w:val="00DA60A1"/>
    <w:rsid w:val="00DD1591"/>
    <w:rsid w:val="00DE3AFC"/>
    <w:rsid w:val="00DF3B37"/>
    <w:rsid w:val="00E10110"/>
    <w:rsid w:val="00E14F05"/>
    <w:rsid w:val="00E16558"/>
    <w:rsid w:val="00E24826"/>
    <w:rsid w:val="00E26040"/>
    <w:rsid w:val="00E82ECF"/>
    <w:rsid w:val="00E857E3"/>
    <w:rsid w:val="00EB5C48"/>
    <w:rsid w:val="00EC605F"/>
    <w:rsid w:val="00EF1891"/>
    <w:rsid w:val="00F41D39"/>
    <w:rsid w:val="00F45782"/>
    <w:rsid w:val="00F56104"/>
    <w:rsid w:val="00F97E4C"/>
    <w:rsid w:val="00FB258E"/>
    <w:rsid w:val="00FC7564"/>
    <w:rsid w:val="00FD0D22"/>
    <w:rsid w:val="00FE6164"/>
    <w:rsid w:val="0722102D"/>
    <w:rsid w:val="08993984"/>
    <w:rsid w:val="0B5C1377"/>
    <w:rsid w:val="0F4354FE"/>
    <w:rsid w:val="130D358A"/>
    <w:rsid w:val="149A7ACF"/>
    <w:rsid w:val="18623DA8"/>
    <w:rsid w:val="189D7C0A"/>
    <w:rsid w:val="198B4C58"/>
    <w:rsid w:val="1DB770EB"/>
    <w:rsid w:val="1E3C5CA4"/>
    <w:rsid w:val="1EA34CBF"/>
    <w:rsid w:val="20BD764C"/>
    <w:rsid w:val="220F1E89"/>
    <w:rsid w:val="228C1A25"/>
    <w:rsid w:val="273341EB"/>
    <w:rsid w:val="281D1DE0"/>
    <w:rsid w:val="2B54497A"/>
    <w:rsid w:val="2E613872"/>
    <w:rsid w:val="2F4B2A3D"/>
    <w:rsid w:val="323837CA"/>
    <w:rsid w:val="391928D3"/>
    <w:rsid w:val="3C416C38"/>
    <w:rsid w:val="3F255329"/>
    <w:rsid w:val="440C700F"/>
    <w:rsid w:val="46401E35"/>
    <w:rsid w:val="4B102F9C"/>
    <w:rsid w:val="4BD52372"/>
    <w:rsid w:val="524922C8"/>
    <w:rsid w:val="54B05C9B"/>
    <w:rsid w:val="55374954"/>
    <w:rsid w:val="5D5C2E0D"/>
    <w:rsid w:val="5E7C6581"/>
    <w:rsid w:val="5F027CD4"/>
    <w:rsid w:val="5FE40257"/>
    <w:rsid w:val="60783CAF"/>
    <w:rsid w:val="622A119B"/>
    <w:rsid w:val="62DA1A36"/>
    <w:rsid w:val="63662C04"/>
    <w:rsid w:val="6414197D"/>
    <w:rsid w:val="64BB3D0D"/>
    <w:rsid w:val="668F264F"/>
    <w:rsid w:val="67795BCB"/>
    <w:rsid w:val="69D04E52"/>
    <w:rsid w:val="6C084766"/>
    <w:rsid w:val="6E115607"/>
    <w:rsid w:val="70222889"/>
    <w:rsid w:val="707F00C7"/>
    <w:rsid w:val="70815B3A"/>
    <w:rsid w:val="71AE7326"/>
    <w:rsid w:val="72127B0F"/>
    <w:rsid w:val="76E3688E"/>
    <w:rsid w:val="77EA65D3"/>
    <w:rsid w:val="78B45BF2"/>
    <w:rsid w:val="7CCA5225"/>
    <w:rsid w:val="7D692570"/>
    <w:rsid w:val="7E826BA9"/>
    <w:rsid w:val="7FD42A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30"/>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3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23">
    <w:name w:val="Default Paragraph Font"/>
    <w:unhideWhenUsed/>
    <w:uiPriority w:val="1"/>
  </w:style>
  <w:style w:type="table" w:default="1" w:styleId="27">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link w:val="56"/>
    <w:qFormat/>
    <w:uiPriority w:val="0"/>
    <w:pPr>
      <w:autoSpaceDE w:val="0"/>
      <w:autoSpaceDN w:val="0"/>
      <w:adjustRightInd w:val="0"/>
      <w:ind w:firstLine="420"/>
      <w:jc w:val="left"/>
    </w:pPr>
    <w:rPr>
      <w:rFonts w:ascii="宋体"/>
      <w:kern w:val="0"/>
      <w:sz w:val="24"/>
      <w:szCs w:val="20"/>
    </w:rPr>
  </w:style>
  <w:style w:type="paragraph" w:styleId="6">
    <w:name w:val="annotation subject"/>
    <w:basedOn w:val="7"/>
    <w:next w:val="7"/>
    <w:link w:val="58"/>
    <w:unhideWhenUsed/>
    <w:uiPriority w:val="99"/>
    <w:rPr>
      <w:b/>
      <w:bCs/>
    </w:rPr>
  </w:style>
  <w:style w:type="paragraph" w:styleId="7">
    <w:name w:val="annotation text"/>
    <w:basedOn w:val="1"/>
    <w:link w:val="57"/>
    <w:unhideWhenUsed/>
    <w:qFormat/>
    <w:uiPriority w:val="99"/>
    <w:pPr>
      <w:jc w:val="left"/>
    </w:pPr>
  </w:style>
  <w:style w:type="paragraph" w:styleId="8">
    <w:name w:val="Document Map"/>
    <w:basedOn w:val="1"/>
    <w:link w:val="40"/>
    <w:semiHidden/>
    <w:qFormat/>
    <w:uiPriority w:val="0"/>
    <w:pPr>
      <w:shd w:val="clear" w:color="auto" w:fill="000080"/>
    </w:pPr>
  </w:style>
  <w:style w:type="paragraph" w:styleId="9">
    <w:name w:val="Body Text"/>
    <w:basedOn w:val="1"/>
    <w:link w:val="33"/>
    <w:qFormat/>
    <w:uiPriority w:val="0"/>
    <w:pPr>
      <w:tabs>
        <w:tab w:val="left" w:pos="567"/>
      </w:tabs>
      <w:spacing w:before="120" w:line="22" w:lineRule="atLeast"/>
    </w:pPr>
    <w:rPr>
      <w:rFonts w:ascii="宋体" w:hAnsi="宋体"/>
      <w:sz w:val="24"/>
    </w:rPr>
  </w:style>
  <w:style w:type="paragraph" w:styleId="10">
    <w:name w:val="Body Text Indent"/>
    <w:basedOn w:val="1"/>
    <w:link w:val="32"/>
    <w:qFormat/>
    <w:uiPriority w:val="0"/>
    <w:pPr>
      <w:spacing w:line="360" w:lineRule="auto"/>
      <w:ind w:firstLine="570"/>
    </w:pPr>
    <w:rPr>
      <w:sz w:val="24"/>
    </w:rPr>
  </w:style>
  <w:style w:type="paragraph" w:styleId="11">
    <w:name w:val="Plain Text"/>
    <w:basedOn w:val="1"/>
    <w:link w:val="34"/>
    <w:qFormat/>
    <w:uiPriority w:val="0"/>
    <w:rPr>
      <w:rFonts w:ascii="宋体" w:hAnsi="Courier New"/>
      <w:szCs w:val="20"/>
    </w:rPr>
  </w:style>
  <w:style w:type="paragraph" w:styleId="12">
    <w:name w:val="Date"/>
    <w:basedOn w:val="1"/>
    <w:next w:val="1"/>
    <w:link w:val="39"/>
    <w:qFormat/>
    <w:uiPriority w:val="0"/>
    <w:pPr>
      <w:ind w:left="100" w:leftChars="2500"/>
    </w:pPr>
    <w:rPr>
      <w:rFonts w:ascii="仿宋_GB2312" w:hAnsi="宋体" w:eastAsia="仿宋_GB2312"/>
      <w:color w:val="000000"/>
      <w:sz w:val="24"/>
    </w:rPr>
  </w:style>
  <w:style w:type="paragraph" w:styleId="13">
    <w:name w:val="Body Text Indent 2"/>
    <w:basedOn w:val="1"/>
    <w:link w:val="38"/>
    <w:qFormat/>
    <w:uiPriority w:val="0"/>
    <w:pPr>
      <w:ind w:firstLine="480" w:firstLineChars="200"/>
    </w:pPr>
    <w:rPr>
      <w:rFonts w:ascii="仿宋_GB2312" w:eastAsia="仿宋_GB2312"/>
      <w:sz w:val="24"/>
    </w:rPr>
  </w:style>
  <w:style w:type="paragraph" w:styleId="14">
    <w:name w:val="Balloon Text"/>
    <w:basedOn w:val="1"/>
    <w:link w:val="45"/>
    <w:qFormat/>
    <w:uiPriority w:val="0"/>
    <w:rPr>
      <w:sz w:val="18"/>
      <w:szCs w:val="18"/>
    </w:rPr>
  </w:style>
  <w:style w:type="paragraph" w:styleId="15">
    <w:name w:val="footer"/>
    <w:basedOn w:val="1"/>
    <w:link w:val="36"/>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16">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right" w:leader="dot" w:pos="9061"/>
      </w:tabs>
      <w:spacing w:line="360" w:lineRule="auto"/>
    </w:pPr>
    <w:rPr>
      <w:szCs w:val="20"/>
    </w:rPr>
  </w:style>
  <w:style w:type="paragraph" w:styleId="18">
    <w:name w:val="Subtitle"/>
    <w:basedOn w:val="1"/>
    <w:next w:val="1"/>
    <w:link w:val="44"/>
    <w:qFormat/>
    <w:uiPriority w:val="11"/>
    <w:pPr>
      <w:spacing w:before="240" w:after="60" w:line="312" w:lineRule="auto"/>
      <w:jc w:val="center"/>
      <w:outlineLvl w:val="1"/>
    </w:pPr>
    <w:rPr>
      <w:rFonts w:ascii="Cambria" w:hAnsi="Cambria"/>
      <w:b/>
      <w:bCs/>
      <w:kern w:val="28"/>
      <w:sz w:val="32"/>
      <w:szCs w:val="32"/>
    </w:rPr>
  </w:style>
  <w:style w:type="paragraph" w:styleId="19">
    <w:name w:val="Body Text Indent 3"/>
    <w:basedOn w:val="1"/>
    <w:link w:val="3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1">
    <w:name w:val="index 1"/>
    <w:basedOn w:val="1"/>
    <w:next w:val="1"/>
    <w:semiHidden/>
    <w:qFormat/>
    <w:uiPriority w:val="0"/>
    <w:rPr>
      <w:szCs w:val="20"/>
    </w:rPr>
  </w:style>
  <w:style w:type="paragraph" w:styleId="22">
    <w:name w:val="Title"/>
    <w:basedOn w:val="1"/>
    <w:next w:val="1"/>
    <w:qFormat/>
    <w:uiPriority w:val="10"/>
    <w:pPr>
      <w:spacing w:before="240" w:after="60"/>
      <w:jc w:val="center"/>
      <w:outlineLvl w:val="0"/>
    </w:pPr>
    <w:rPr>
      <w:rFonts w:ascii="Calibri Light" w:hAnsi="Calibri Light"/>
      <w:b/>
      <w:bCs/>
      <w:sz w:val="32"/>
      <w:szCs w:val="32"/>
      <w:lang w:eastAsia="zh-TW"/>
    </w:rPr>
  </w:style>
  <w:style w:type="character" w:styleId="24">
    <w:name w:val="page number"/>
    <w:basedOn w:val="23"/>
    <w:qFormat/>
    <w:uiPriority w:val="0"/>
  </w:style>
  <w:style w:type="character" w:styleId="25">
    <w:name w:val="Hyperlink"/>
    <w:qFormat/>
    <w:uiPriority w:val="99"/>
    <w:rPr>
      <w:color w:val="0000FF"/>
      <w:u w:val="single"/>
    </w:rPr>
  </w:style>
  <w:style w:type="character" w:styleId="26">
    <w:name w:val="annotation reference"/>
    <w:basedOn w:val="23"/>
    <w:unhideWhenUsed/>
    <w:qFormat/>
    <w:uiPriority w:val="99"/>
    <w:rPr>
      <w:sz w:val="21"/>
      <w:szCs w:val="21"/>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9">
    <w:name w:val="标题 1 Char"/>
    <w:basedOn w:val="23"/>
    <w:link w:val="2"/>
    <w:qFormat/>
    <w:uiPriority w:val="0"/>
    <w:rPr>
      <w:rFonts w:ascii="宋体" w:hAnsi="Times New Roman" w:eastAsia="宋体" w:cs="Times New Roman"/>
      <w:b/>
      <w:kern w:val="44"/>
      <w:sz w:val="32"/>
      <w:szCs w:val="20"/>
    </w:rPr>
  </w:style>
  <w:style w:type="character" w:customStyle="1" w:styleId="30">
    <w:name w:val="标题 2 Char"/>
    <w:basedOn w:val="23"/>
    <w:link w:val="3"/>
    <w:qFormat/>
    <w:uiPriority w:val="0"/>
    <w:rPr>
      <w:rFonts w:ascii="Arial" w:hAnsi="Arial" w:eastAsia="黑体" w:cs="Times New Roman"/>
      <w:b/>
      <w:kern w:val="0"/>
      <w:sz w:val="30"/>
      <w:szCs w:val="20"/>
    </w:rPr>
  </w:style>
  <w:style w:type="character" w:customStyle="1" w:styleId="31">
    <w:name w:val="标题 3 Char"/>
    <w:basedOn w:val="23"/>
    <w:link w:val="5"/>
    <w:qFormat/>
    <w:uiPriority w:val="0"/>
    <w:rPr>
      <w:rFonts w:ascii="宋体" w:hAnsi="Times New Roman" w:eastAsia="宋体" w:cs="Times New Roman"/>
      <w:b/>
      <w:kern w:val="0"/>
      <w:sz w:val="24"/>
      <w:szCs w:val="20"/>
      <w:u w:val="single"/>
    </w:rPr>
  </w:style>
  <w:style w:type="character" w:customStyle="1" w:styleId="32">
    <w:name w:val="正文文本缩进 Char"/>
    <w:basedOn w:val="23"/>
    <w:link w:val="10"/>
    <w:qFormat/>
    <w:uiPriority w:val="0"/>
    <w:rPr>
      <w:rFonts w:ascii="Times New Roman" w:hAnsi="Times New Roman" w:eastAsia="宋体" w:cs="Times New Roman"/>
      <w:sz w:val="24"/>
      <w:szCs w:val="24"/>
    </w:rPr>
  </w:style>
  <w:style w:type="character" w:customStyle="1" w:styleId="33">
    <w:name w:val="正文文本 Char"/>
    <w:basedOn w:val="23"/>
    <w:link w:val="9"/>
    <w:qFormat/>
    <w:uiPriority w:val="0"/>
    <w:rPr>
      <w:rFonts w:ascii="宋体" w:hAnsi="宋体" w:eastAsia="宋体" w:cs="Times New Roman"/>
      <w:sz w:val="24"/>
      <w:szCs w:val="24"/>
    </w:rPr>
  </w:style>
  <w:style w:type="character" w:customStyle="1" w:styleId="34">
    <w:name w:val="纯文本 Char"/>
    <w:basedOn w:val="23"/>
    <w:link w:val="11"/>
    <w:qFormat/>
    <w:uiPriority w:val="0"/>
    <w:rPr>
      <w:rFonts w:ascii="宋体" w:hAnsi="Courier New" w:eastAsia="宋体" w:cs="Times New Roman"/>
      <w:szCs w:val="20"/>
    </w:rPr>
  </w:style>
  <w:style w:type="character" w:customStyle="1" w:styleId="35">
    <w:name w:val="正文文本缩进 3 Char"/>
    <w:basedOn w:val="23"/>
    <w:link w:val="19"/>
    <w:qFormat/>
    <w:uiPriority w:val="0"/>
    <w:rPr>
      <w:rFonts w:ascii="宋体" w:hAnsi="Times New Roman" w:eastAsia="宋体" w:cs="Times New Roman"/>
      <w:kern w:val="0"/>
      <w:sz w:val="24"/>
      <w:szCs w:val="20"/>
    </w:rPr>
  </w:style>
  <w:style w:type="character" w:customStyle="1" w:styleId="36">
    <w:name w:val="页脚 Char"/>
    <w:basedOn w:val="23"/>
    <w:link w:val="15"/>
    <w:qFormat/>
    <w:uiPriority w:val="0"/>
    <w:rPr>
      <w:rFonts w:ascii="宋体" w:hAnsi="Times New Roman" w:eastAsia="宋体" w:cs="Times New Roman"/>
      <w:kern w:val="0"/>
      <w:sz w:val="18"/>
      <w:szCs w:val="20"/>
    </w:rPr>
  </w:style>
  <w:style w:type="character" w:customStyle="1" w:styleId="37">
    <w:name w:val="页眉 Char"/>
    <w:basedOn w:val="23"/>
    <w:link w:val="16"/>
    <w:qFormat/>
    <w:uiPriority w:val="0"/>
    <w:rPr>
      <w:rFonts w:ascii="Times New Roman" w:hAnsi="Times New Roman" w:eastAsia="宋体" w:cs="Times New Roman"/>
      <w:sz w:val="18"/>
      <w:szCs w:val="18"/>
    </w:rPr>
  </w:style>
  <w:style w:type="character" w:customStyle="1" w:styleId="38">
    <w:name w:val="正文文本缩进 2 Char"/>
    <w:basedOn w:val="23"/>
    <w:link w:val="13"/>
    <w:qFormat/>
    <w:uiPriority w:val="0"/>
    <w:rPr>
      <w:rFonts w:ascii="仿宋_GB2312" w:hAnsi="Times New Roman" w:eastAsia="仿宋_GB2312" w:cs="Times New Roman"/>
      <w:sz w:val="24"/>
      <w:szCs w:val="24"/>
    </w:rPr>
  </w:style>
  <w:style w:type="character" w:customStyle="1" w:styleId="39">
    <w:name w:val="日期 Char"/>
    <w:basedOn w:val="23"/>
    <w:link w:val="12"/>
    <w:qFormat/>
    <w:uiPriority w:val="0"/>
    <w:rPr>
      <w:rFonts w:ascii="仿宋_GB2312" w:hAnsi="宋体" w:eastAsia="仿宋_GB2312" w:cs="Times New Roman"/>
      <w:color w:val="000000"/>
      <w:sz w:val="24"/>
      <w:szCs w:val="24"/>
    </w:rPr>
  </w:style>
  <w:style w:type="character" w:customStyle="1" w:styleId="40">
    <w:name w:val="文档结构图 Char"/>
    <w:basedOn w:val="23"/>
    <w:link w:val="8"/>
    <w:semiHidden/>
    <w:qFormat/>
    <w:uiPriority w:val="0"/>
    <w:rPr>
      <w:rFonts w:ascii="Times New Roman" w:hAnsi="Times New Roman" w:eastAsia="宋体" w:cs="Times New Roman"/>
      <w:szCs w:val="24"/>
      <w:shd w:val="clear" w:color="auto" w:fill="000080"/>
    </w:rPr>
  </w:style>
  <w:style w:type="paragraph" w:customStyle="1" w:styleId="4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2">
    <w:name w:val="文档正文"/>
    <w:basedOn w:val="1"/>
    <w:link w:val="43"/>
    <w:unhideWhenUsed/>
    <w:qFormat/>
    <w:uiPriority w:val="0"/>
    <w:pPr>
      <w:widowControl/>
      <w:snapToGrid w:val="0"/>
      <w:spacing w:before="60" w:after="60" w:line="360" w:lineRule="auto"/>
      <w:jc w:val="left"/>
    </w:pPr>
    <w:rPr>
      <w:kern w:val="0"/>
      <w:sz w:val="24"/>
      <w:szCs w:val="20"/>
    </w:rPr>
  </w:style>
  <w:style w:type="character" w:customStyle="1" w:styleId="43">
    <w:name w:val="文档正文 Char"/>
    <w:link w:val="42"/>
    <w:qFormat/>
    <w:uiPriority w:val="0"/>
    <w:rPr>
      <w:rFonts w:ascii="Times New Roman" w:hAnsi="Times New Roman" w:eastAsia="宋体" w:cs="Times New Roman"/>
      <w:kern w:val="0"/>
      <w:sz w:val="24"/>
      <w:szCs w:val="20"/>
    </w:rPr>
  </w:style>
  <w:style w:type="character" w:customStyle="1" w:styleId="44">
    <w:name w:val="副标题 Char"/>
    <w:basedOn w:val="23"/>
    <w:link w:val="18"/>
    <w:qFormat/>
    <w:uiPriority w:val="11"/>
    <w:rPr>
      <w:rFonts w:ascii="Cambria" w:hAnsi="Cambria" w:eastAsia="宋体" w:cs="Times New Roman"/>
      <w:b/>
      <w:bCs/>
      <w:kern w:val="28"/>
      <w:sz w:val="32"/>
      <w:szCs w:val="32"/>
    </w:rPr>
  </w:style>
  <w:style w:type="character" w:customStyle="1" w:styleId="45">
    <w:name w:val="批注框文本 Char"/>
    <w:basedOn w:val="23"/>
    <w:link w:val="14"/>
    <w:qFormat/>
    <w:uiPriority w:val="0"/>
    <w:rPr>
      <w:rFonts w:ascii="Times New Roman" w:hAnsi="Times New Roman" w:eastAsia="宋体" w:cs="Times New Roman"/>
      <w:sz w:val="18"/>
      <w:szCs w:val="18"/>
    </w:rPr>
  </w:style>
  <w:style w:type="paragraph" w:customStyle="1" w:styleId="46">
    <w:name w:val="列出段落1"/>
    <w:basedOn w:val="1"/>
    <w:qFormat/>
    <w:uiPriority w:val="34"/>
    <w:pPr>
      <w:ind w:firstLine="420" w:firstLineChars="200"/>
    </w:pPr>
  </w:style>
  <w:style w:type="paragraph" w:customStyle="1" w:styleId="47">
    <w:name w:val="Char Char Char1 Char Char Char Char Char Char Char Char Char Char Char Char Char Char Char Char Char Char Char Char Char Char"/>
    <w:basedOn w:val="1"/>
    <w:qFormat/>
    <w:uiPriority w:val="0"/>
    <w:rPr>
      <w:rFonts w:ascii="Tahoma" w:hAnsi="Tahoma"/>
      <w:sz w:val="24"/>
      <w:szCs w:val="20"/>
    </w:rPr>
  </w:style>
  <w:style w:type="paragraph" w:customStyle="1" w:styleId="48">
    <w:name w:val="Char Char Char1 Char Char Char Char Char Char Char Char Char Char Char Char Char Char Char Char Char Char Char Char Char Char1"/>
    <w:basedOn w:val="1"/>
    <w:qFormat/>
    <w:uiPriority w:val="0"/>
    <w:rPr>
      <w:rFonts w:ascii="Tahoma" w:hAnsi="Tahoma"/>
      <w:sz w:val="24"/>
      <w:szCs w:val="20"/>
    </w:rPr>
  </w:style>
  <w:style w:type="paragraph" w:customStyle="1" w:styleId="49">
    <w:name w:val="Char Char Char1 Char Char Char Char Char Char Char Char Char Char Char Char Char Char Char Char Char Char Char Char Char Char2"/>
    <w:basedOn w:val="1"/>
    <w:qFormat/>
    <w:uiPriority w:val="0"/>
    <w:rPr>
      <w:rFonts w:ascii="Tahoma" w:hAnsi="Tahoma"/>
      <w:sz w:val="24"/>
      <w:szCs w:val="20"/>
    </w:rPr>
  </w:style>
  <w:style w:type="paragraph" w:customStyle="1" w:styleId="50">
    <w:name w:val="Char Char Char1 Char Char Char Char Char Char Char Char Char Char Char Char Char Char Char Char Char Char Char Char Char Char3"/>
    <w:basedOn w:val="1"/>
    <w:qFormat/>
    <w:uiPriority w:val="0"/>
    <w:rPr>
      <w:rFonts w:ascii="Tahoma" w:hAnsi="Tahoma"/>
      <w:sz w:val="24"/>
      <w:szCs w:val="20"/>
    </w:rPr>
  </w:style>
  <w:style w:type="paragraph" w:customStyle="1" w:styleId="51">
    <w:name w:val="æ ¡¡¡§¡§å¼5"/>
    <w:basedOn w:val="1"/>
    <w:qFormat/>
    <w:uiPriority w:val="0"/>
    <w:pPr>
      <w:tabs>
        <w:tab w:val="left" w:pos="5580"/>
      </w:tabs>
      <w:jc w:val="center"/>
    </w:pPr>
    <w:rPr>
      <w:sz w:val="20"/>
      <w:szCs w:val="20"/>
    </w:rPr>
  </w:style>
  <w:style w:type="paragraph" w:customStyle="1" w:styleId="52">
    <w:name w:val="样式 标题 2 + Times New Roman 四号 非加粗 段前: 5 磅 段后: 0 磅 行距: 固定值 20..."/>
    <w:basedOn w:val="3"/>
    <w:qFormat/>
    <w:uiPriority w:val="0"/>
    <w:pPr>
      <w:spacing w:before="100" w:line="400" w:lineRule="exact"/>
    </w:pPr>
    <w:rPr>
      <w:rFonts w:ascii="Times New Roman" w:hAnsi="Times New Roman" w:cs="宋体"/>
      <w:b w:val="0"/>
      <w:sz w:val="28"/>
    </w:rPr>
  </w:style>
  <w:style w:type="paragraph" w:customStyle="1" w:styleId="53">
    <w:name w:val="样式 标题 3 + (中文) 黑体 小四 非加粗 段前: 7.8 磅 段后: 0 磅 行距: 固定值 20 磅"/>
    <w:basedOn w:val="5"/>
    <w:qFormat/>
    <w:uiPriority w:val="0"/>
    <w:pPr>
      <w:spacing w:before="0" w:after="0" w:line="400" w:lineRule="exact"/>
    </w:pPr>
    <w:rPr>
      <w:rFonts w:eastAsia="黑体" w:cs="宋体"/>
      <w:b w:val="0"/>
    </w:rPr>
  </w:style>
  <w:style w:type="paragraph" w:customStyle="1" w:styleId="54">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55">
    <w:name w:val="列出段落2"/>
    <w:basedOn w:val="1"/>
    <w:qFormat/>
    <w:uiPriority w:val="34"/>
    <w:pPr>
      <w:ind w:firstLine="420" w:firstLineChars="200"/>
    </w:pPr>
    <w:rPr>
      <w:szCs w:val="26"/>
    </w:rPr>
  </w:style>
  <w:style w:type="character" w:customStyle="1" w:styleId="56">
    <w:name w:val="正文缩进 Char"/>
    <w:link w:val="4"/>
    <w:qFormat/>
    <w:uiPriority w:val="0"/>
    <w:rPr>
      <w:rFonts w:ascii="宋体"/>
      <w:sz w:val="24"/>
    </w:rPr>
  </w:style>
  <w:style w:type="character" w:customStyle="1" w:styleId="57">
    <w:name w:val="批注文字 Char"/>
    <w:basedOn w:val="23"/>
    <w:link w:val="7"/>
    <w:qFormat/>
    <w:uiPriority w:val="99"/>
    <w:rPr>
      <w:kern w:val="2"/>
      <w:sz w:val="21"/>
      <w:szCs w:val="24"/>
    </w:rPr>
  </w:style>
  <w:style w:type="character" w:customStyle="1" w:styleId="58">
    <w:name w:val="批注主题 Char"/>
    <w:basedOn w:val="57"/>
    <w:link w:val="6"/>
    <w:qFormat/>
    <w:uiPriority w:val="0"/>
  </w:style>
  <w:style w:type="paragraph" w:customStyle="1" w:styleId="5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3A01E8-D486-4242-92B2-8CE30FAE5D56}">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59</Pages>
  <Words>5557</Words>
  <Characters>31679</Characters>
  <Lines>263</Lines>
  <Paragraphs>74</Paragraphs>
  <ScaleCrop>false</ScaleCrop>
  <LinksUpToDate>false</LinksUpToDate>
  <CharactersWithSpaces>37162</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2017-01-05T09:05:00Z</dcterms:created>
  <dc:creator>admin</dc:creator>
  <cp:lastModifiedBy>周桂芳</cp:lastModifiedBy>
  <cp:lastPrinted>2017-10-26T09:05:09Z</cp:lastPrinted>
  <dcterms:modified xsi:type="dcterms:W3CDTF">2017-10-26T09:08:41Z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