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ind w:leftChars="0"/>
        <w:rPr>
          <w:rFonts w:hint="eastAsia" w:eastAsia="宋体"/>
          <w:b/>
          <w:sz w:val="32"/>
          <w:szCs w:val="32"/>
          <w:lang w:eastAsia="zh-CN"/>
        </w:rPr>
      </w:pPr>
      <w:r>
        <w:rPr>
          <w:rFonts w:hint="eastAsia"/>
          <w:b/>
          <w:sz w:val="32"/>
          <w:szCs w:val="32"/>
          <w:lang w:eastAsia="zh-CN"/>
        </w:rPr>
        <w:t>附：往复式氢压缩机设备技术参数要求</w:t>
      </w:r>
    </w:p>
    <w:p>
      <w:pPr>
        <w:numPr>
          <w:ilvl w:val="0"/>
          <w:numId w:val="1"/>
        </w:numPr>
        <w:rPr>
          <w:b/>
          <w:sz w:val="28"/>
          <w:szCs w:val="28"/>
        </w:rPr>
      </w:pPr>
      <w:r>
        <w:rPr>
          <w:rFonts w:hint="eastAsia"/>
          <w:b/>
          <w:sz w:val="28"/>
          <w:szCs w:val="28"/>
        </w:rPr>
        <w:t>总则</w:t>
      </w:r>
    </w:p>
    <w:p>
      <w:pPr>
        <w:ind w:left="360" w:hanging="360" w:hangingChars="150"/>
        <w:rPr>
          <w:sz w:val="24"/>
        </w:rPr>
      </w:pPr>
      <w:r>
        <w:rPr>
          <w:rFonts w:hint="eastAsia"/>
          <w:sz w:val="24"/>
        </w:rPr>
        <w:t>1.1本资料仅适用于内蒙古神舟硅业有限责任公司粗品区工艺优化技改项目中2台往复式氢压缩机设备的订货。</w:t>
      </w:r>
    </w:p>
    <w:p>
      <w:pPr>
        <w:ind w:left="360" w:hanging="360" w:hangingChars="150"/>
        <w:rPr>
          <w:sz w:val="24"/>
        </w:rPr>
      </w:pPr>
      <w:r>
        <w:rPr>
          <w:rFonts w:hint="eastAsia"/>
          <w:sz w:val="24"/>
        </w:rPr>
        <w:t>1.2参加报价的</w:t>
      </w:r>
      <w:r>
        <w:rPr>
          <w:rFonts w:hint="eastAsia"/>
          <w:sz w:val="24"/>
          <w:lang w:eastAsia="zh-CN"/>
        </w:rPr>
        <w:t>投标人</w:t>
      </w:r>
      <w:r>
        <w:rPr>
          <w:rFonts w:hint="eastAsia"/>
          <w:sz w:val="24"/>
        </w:rPr>
        <w:t>应遵守相关规范和本文件的要求，并保证其分供商也遵守上述要求。报价的</w:t>
      </w:r>
      <w:r>
        <w:rPr>
          <w:rFonts w:hint="eastAsia"/>
          <w:sz w:val="24"/>
          <w:lang w:eastAsia="zh-CN"/>
        </w:rPr>
        <w:t>投标人</w:t>
      </w:r>
      <w:r>
        <w:rPr>
          <w:rFonts w:hint="eastAsia"/>
          <w:sz w:val="24"/>
        </w:rPr>
        <w:t>对所报价的设备或材料负完全责任。</w:t>
      </w:r>
    </w:p>
    <w:p>
      <w:pPr>
        <w:ind w:left="360" w:hanging="360" w:hangingChars="150"/>
        <w:rPr>
          <w:sz w:val="24"/>
        </w:rPr>
      </w:pPr>
      <w:r>
        <w:rPr>
          <w:rFonts w:hint="eastAsia"/>
          <w:sz w:val="24"/>
        </w:rPr>
        <w:t>1.3</w:t>
      </w:r>
      <w:r>
        <w:rPr>
          <w:rFonts w:hint="eastAsia"/>
          <w:sz w:val="24"/>
          <w:lang w:eastAsia="zh-CN"/>
        </w:rPr>
        <w:t>投标人</w:t>
      </w:r>
      <w:r>
        <w:rPr>
          <w:rFonts w:hint="eastAsia"/>
          <w:sz w:val="24"/>
        </w:rPr>
        <w:t>对本规定的严格遵守并不意味着可以解除其对设备及配套设备的正确设计、选材、制造等以及满足规定的操作工况所应承担的责任。</w:t>
      </w:r>
    </w:p>
    <w:p>
      <w:pPr>
        <w:ind w:left="360" w:hanging="360" w:hangingChars="150"/>
        <w:rPr>
          <w:sz w:val="24"/>
        </w:rPr>
      </w:pPr>
      <w:r>
        <w:rPr>
          <w:rFonts w:hint="eastAsia"/>
          <w:sz w:val="24"/>
        </w:rPr>
        <w:t>1.4凡是对于一个完整可操作系统的某些必备要求，但未列入本规定者也属于本规定的范围。</w:t>
      </w:r>
      <w:r>
        <w:rPr>
          <w:rFonts w:hint="eastAsia"/>
          <w:sz w:val="24"/>
          <w:lang w:eastAsia="zh-CN"/>
        </w:rPr>
        <w:t>投标人</w:t>
      </w:r>
      <w:r>
        <w:rPr>
          <w:rFonts w:hint="eastAsia"/>
          <w:sz w:val="24"/>
        </w:rPr>
        <w:t>如对本规定条款在技术上有不同见解，以及产品参数与订货要求有偏差时，则应在报价时及时提出以供</w:t>
      </w:r>
      <w:r>
        <w:rPr>
          <w:rFonts w:hint="eastAsia"/>
          <w:sz w:val="24"/>
          <w:lang w:eastAsia="zh-CN"/>
        </w:rPr>
        <w:t>招标人</w:t>
      </w:r>
      <w:r>
        <w:rPr>
          <w:rFonts w:hint="eastAsia"/>
          <w:sz w:val="24"/>
        </w:rPr>
        <w:t>确认；如</w:t>
      </w:r>
      <w:r>
        <w:rPr>
          <w:rFonts w:hint="eastAsia"/>
          <w:sz w:val="24"/>
          <w:lang w:eastAsia="zh-CN"/>
        </w:rPr>
        <w:t>投标人</w:t>
      </w:r>
      <w:r>
        <w:rPr>
          <w:rFonts w:hint="eastAsia"/>
          <w:sz w:val="24"/>
        </w:rPr>
        <w:t>没有提交此类偏差文件，则</w:t>
      </w:r>
      <w:r>
        <w:rPr>
          <w:rFonts w:hint="eastAsia"/>
          <w:sz w:val="24"/>
          <w:lang w:eastAsia="zh-CN"/>
        </w:rPr>
        <w:t>投标人</w:t>
      </w:r>
      <w:r>
        <w:rPr>
          <w:rFonts w:hint="eastAsia"/>
          <w:sz w:val="24"/>
        </w:rPr>
        <w:t>所提供的产品将被认为完全符合本规定所列相关条款。在签署合同技术附件中</w:t>
      </w:r>
      <w:r>
        <w:rPr>
          <w:rFonts w:hint="eastAsia"/>
          <w:sz w:val="24"/>
          <w:lang w:eastAsia="zh-CN"/>
        </w:rPr>
        <w:t>投标人</w:t>
      </w:r>
      <w:r>
        <w:rPr>
          <w:rFonts w:hint="eastAsia"/>
          <w:sz w:val="24"/>
        </w:rPr>
        <w:t>必须对工艺设备、电气、仪表控制要求有相应的回应和承诺，所有偏差应在报价交流中澄清，无法满足要求的产品不能应用在本项目中。</w:t>
      </w:r>
    </w:p>
    <w:p>
      <w:pPr>
        <w:ind w:left="360" w:hanging="360" w:hangingChars="150"/>
        <w:rPr>
          <w:sz w:val="24"/>
        </w:rPr>
      </w:pPr>
      <w:r>
        <w:rPr>
          <w:rFonts w:hint="eastAsia"/>
          <w:sz w:val="24"/>
        </w:rPr>
        <w:t>1.5</w:t>
      </w:r>
      <w:r>
        <w:rPr>
          <w:rFonts w:hint="eastAsia"/>
          <w:sz w:val="24"/>
          <w:lang w:eastAsia="zh-CN"/>
        </w:rPr>
        <w:t>投标人</w:t>
      </w:r>
      <w:r>
        <w:rPr>
          <w:rFonts w:hint="eastAsia"/>
          <w:sz w:val="24"/>
        </w:rPr>
        <w:t>应根据用户的特殊要求或现场的特殊要求以及特定工程设计基础数据对本规定有关条款进行相应的调整、修改或补充。</w:t>
      </w:r>
    </w:p>
    <w:p>
      <w:pPr>
        <w:ind w:left="360" w:hanging="360" w:hangingChars="150"/>
        <w:rPr>
          <w:sz w:val="24"/>
        </w:rPr>
      </w:pPr>
      <w:r>
        <w:rPr>
          <w:rFonts w:hint="eastAsia"/>
          <w:sz w:val="24"/>
        </w:rPr>
        <w:t>1.6 设备噪音值应符合国家现</w:t>
      </w:r>
      <w:bookmarkStart w:id="0" w:name="_GoBack"/>
      <w:bookmarkEnd w:id="0"/>
      <w:r>
        <w:rPr>
          <w:rFonts w:hint="eastAsia"/>
          <w:sz w:val="24"/>
        </w:rPr>
        <w:t>行标准范围的要求。</w:t>
      </w:r>
    </w:p>
    <w:p>
      <w:pPr>
        <w:ind w:left="360" w:hanging="360" w:hangingChars="150"/>
        <w:rPr>
          <w:sz w:val="24"/>
        </w:rPr>
      </w:pPr>
      <w:r>
        <w:rPr>
          <w:rFonts w:hint="eastAsia"/>
          <w:sz w:val="24"/>
        </w:rPr>
        <w:t xml:space="preserve">1.7 </w:t>
      </w:r>
      <w:r>
        <w:rPr>
          <w:rFonts w:hint="eastAsia"/>
          <w:sz w:val="24"/>
          <w:lang w:eastAsia="zh-CN"/>
        </w:rPr>
        <w:t>投标人</w:t>
      </w:r>
      <w:r>
        <w:rPr>
          <w:rFonts w:hint="eastAsia"/>
          <w:sz w:val="24"/>
        </w:rPr>
        <w:t>提交文件资料的计量单位应采用法定计量单位。</w:t>
      </w:r>
    </w:p>
    <w:p>
      <w:pPr>
        <w:ind w:left="360" w:hanging="360" w:hangingChars="150"/>
        <w:rPr>
          <w:sz w:val="24"/>
        </w:rPr>
      </w:pPr>
      <w:r>
        <w:rPr>
          <w:rFonts w:hint="eastAsia"/>
          <w:sz w:val="24"/>
        </w:rPr>
        <w:t xml:space="preserve">1.8 </w:t>
      </w:r>
      <w:r>
        <w:rPr>
          <w:rFonts w:hint="eastAsia"/>
          <w:sz w:val="24"/>
          <w:lang w:eastAsia="zh-CN"/>
        </w:rPr>
        <w:t>投标人</w:t>
      </w:r>
      <w:r>
        <w:rPr>
          <w:rFonts w:hint="eastAsia"/>
          <w:sz w:val="24"/>
        </w:rPr>
        <w:t>所提供的所有文件资料使用的语言必须为中文或全文有中文翻译。</w:t>
      </w:r>
    </w:p>
    <w:p>
      <w:pPr>
        <w:numPr>
          <w:ilvl w:val="0"/>
          <w:numId w:val="1"/>
        </w:numPr>
        <w:rPr>
          <w:b/>
          <w:sz w:val="28"/>
          <w:szCs w:val="28"/>
        </w:rPr>
      </w:pPr>
      <w:r>
        <w:rPr>
          <w:rFonts w:hint="eastAsia"/>
          <w:b/>
          <w:sz w:val="28"/>
          <w:szCs w:val="28"/>
        </w:rPr>
        <w:t>设备清单</w:t>
      </w:r>
    </w:p>
    <w:tbl>
      <w:tblPr>
        <w:tblStyle w:val="7"/>
        <w:tblW w:w="96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283"/>
        <w:gridCol w:w="1661"/>
        <w:gridCol w:w="1145"/>
        <w:gridCol w:w="764"/>
        <w:gridCol w:w="1354"/>
        <w:gridCol w:w="797"/>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711" w:type="dxa"/>
            <w:vAlign w:val="center"/>
          </w:tcPr>
          <w:p>
            <w:pPr>
              <w:jc w:val="center"/>
              <w:rPr>
                <w:b/>
                <w:sz w:val="24"/>
              </w:rPr>
            </w:pPr>
            <w:r>
              <w:rPr>
                <w:rFonts w:hint="eastAsia"/>
                <w:b/>
                <w:sz w:val="24"/>
              </w:rPr>
              <w:t>序号</w:t>
            </w:r>
          </w:p>
        </w:tc>
        <w:tc>
          <w:tcPr>
            <w:tcW w:w="1283" w:type="dxa"/>
            <w:vAlign w:val="center"/>
          </w:tcPr>
          <w:p>
            <w:pPr>
              <w:jc w:val="center"/>
              <w:rPr>
                <w:b/>
                <w:sz w:val="24"/>
              </w:rPr>
            </w:pPr>
            <w:r>
              <w:rPr>
                <w:rFonts w:hint="eastAsia"/>
                <w:b/>
                <w:sz w:val="24"/>
              </w:rPr>
              <w:t>位  号</w:t>
            </w:r>
          </w:p>
        </w:tc>
        <w:tc>
          <w:tcPr>
            <w:tcW w:w="1661" w:type="dxa"/>
            <w:vAlign w:val="center"/>
          </w:tcPr>
          <w:p>
            <w:pPr>
              <w:jc w:val="center"/>
              <w:rPr>
                <w:b/>
                <w:sz w:val="24"/>
              </w:rPr>
            </w:pPr>
            <w:r>
              <w:rPr>
                <w:rFonts w:hint="eastAsia"/>
                <w:b/>
                <w:sz w:val="24"/>
              </w:rPr>
              <w:t>设备名称</w:t>
            </w:r>
          </w:p>
        </w:tc>
        <w:tc>
          <w:tcPr>
            <w:tcW w:w="1145" w:type="dxa"/>
            <w:vAlign w:val="center"/>
          </w:tcPr>
          <w:p>
            <w:pPr>
              <w:jc w:val="center"/>
              <w:rPr>
                <w:b/>
                <w:sz w:val="24"/>
              </w:rPr>
            </w:pPr>
            <w:r>
              <w:rPr>
                <w:rFonts w:hint="eastAsia"/>
                <w:b/>
                <w:sz w:val="24"/>
              </w:rPr>
              <w:t>类型</w:t>
            </w:r>
          </w:p>
        </w:tc>
        <w:tc>
          <w:tcPr>
            <w:tcW w:w="764" w:type="dxa"/>
            <w:vAlign w:val="center"/>
          </w:tcPr>
          <w:p>
            <w:pPr>
              <w:jc w:val="center"/>
              <w:rPr>
                <w:b/>
                <w:sz w:val="24"/>
              </w:rPr>
            </w:pPr>
            <w:r>
              <w:rPr>
                <w:rFonts w:hint="eastAsia"/>
                <w:b/>
                <w:sz w:val="24"/>
              </w:rPr>
              <w:t>数量</w:t>
            </w:r>
          </w:p>
        </w:tc>
        <w:tc>
          <w:tcPr>
            <w:tcW w:w="1354" w:type="dxa"/>
            <w:vAlign w:val="center"/>
          </w:tcPr>
          <w:p>
            <w:pPr>
              <w:jc w:val="center"/>
              <w:rPr>
                <w:b/>
                <w:sz w:val="24"/>
              </w:rPr>
            </w:pPr>
            <w:r>
              <w:rPr>
                <w:rFonts w:hint="eastAsia"/>
                <w:b/>
                <w:sz w:val="24"/>
              </w:rPr>
              <w:t>工艺条件</w:t>
            </w:r>
          </w:p>
        </w:tc>
        <w:tc>
          <w:tcPr>
            <w:tcW w:w="797" w:type="dxa"/>
            <w:vAlign w:val="center"/>
          </w:tcPr>
          <w:p>
            <w:pPr>
              <w:jc w:val="center"/>
              <w:rPr>
                <w:b/>
                <w:sz w:val="24"/>
              </w:rPr>
            </w:pPr>
            <w:r>
              <w:rPr>
                <w:rFonts w:hint="eastAsia"/>
                <w:b/>
                <w:sz w:val="24"/>
              </w:rPr>
              <w:t>页数</w:t>
            </w:r>
          </w:p>
        </w:tc>
        <w:tc>
          <w:tcPr>
            <w:tcW w:w="1930" w:type="dxa"/>
            <w:vAlign w:val="center"/>
          </w:tcPr>
          <w:p>
            <w:pPr>
              <w:jc w:val="center"/>
              <w:rPr>
                <w:b/>
                <w:sz w:val="24"/>
              </w:rPr>
            </w:pPr>
            <w:r>
              <w:rPr>
                <w:rFonts w:hint="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11" w:type="dxa"/>
            <w:vAlign w:val="center"/>
          </w:tcPr>
          <w:p>
            <w:pPr>
              <w:jc w:val="center"/>
              <w:rPr>
                <w:sz w:val="24"/>
              </w:rPr>
            </w:pPr>
            <w:r>
              <w:rPr>
                <w:rFonts w:hint="eastAsia"/>
                <w:sz w:val="24"/>
              </w:rPr>
              <w:t>1</w:t>
            </w:r>
          </w:p>
        </w:tc>
        <w:tc>
          <w:tcPr>
            <w:tcW w:w="1283" w:type="dxa"/>
            <w:vAlign w:val="center"/>
          </w:tcPr>
          <w:p>
            <w:pPr>
              <w:jc w:val="center"/>
              <w:rPr>
                <w:sz w:val="24"/>
              </w:rPr>
            </w:pPr>
            <w:r>
              <w:rPr>
                <w:sz w:val="24"/>
              </w:rPr>
              <w:t>01C</w:t>
            </w:r>
            <w:r>
              <w:rPr>
                <w:rFonts w:hint="eastAsia"/>
                <w:sz w:val="24"/>
              </w:rPr>
              <w:t>1801</w:t>
            </w:r>
            <w:r>
              <w:rPr>
                <w:sz w:val="24"/>
              </w:rPr>
              <w:t xml:space="preserve"> a/</w:t>
            </w:r>
            <w:r>
              <w:rPr>
                <w:rFonts w:hint="eastAsia"/>
                <w:sz w:val="24"/>
              </w:rPr>
              <w:t>c</w:t>
            </w:r>
          </w:p>
        </w:tc>
        <w:tc>
          <w:tcPr>
            <w:tcW w:w="1661" w:type="dxa"/>
            <w:vAlign w:val="center"/>
          </w:tcPr>
          <w:p>
            <w:pPr>
              <w:jc w:val="center"/>
              <w:rPr>
                <w:sz w:val="24"/>
              </w:rPr>
            </w:pPr>
            <w:r>
              <w:rPr>
                <w:rFonts w:hint="eastAsia"/>
                <w:sz w:val="24"/>
              </w:rPr>
              <w:t>往复式氢压缩机</w:t>
            </w:r>
          </w:p>
        </w:tc>
        <w:tc>
          <w:tcPr>
            <w:tcW w:w="1145" w:type="dxa"/>
            <w:vAlign w:val="center"/>
          </w:tcPr>
          <w:p>
            <w:pPr>
              <w:jc w:val="center"/>
              <w:rPr>
                <w:sz w:val="24"/>
              </w:rPr>
            </w:pPr>
            <w:r>
              <w:rPr>
                <w:rFonts w:hint="eastAsia"/>
                <w:sz w:val="24"/>
              </w:rPr>
              <w:t>活塞式</w:t>
            </w:r>
          </w:p>
        </w:tc>
        <w:tc>
          <w:tcPr>
            <w:tcW w:w="764" w:type="dxa"/>
            <w:vAlign w:val="center"/>
          </w:tcPr>
          <w:p>
            <w:pPr>
              <w:jc w:val="center"/>
              <w:rPr>
                <w:sz w:val="24"/>
              </w:rPr>
            </w:pPr>
            <w:r>
              <w:rPr>
                <w:rFonts w:hint="eastAsia"/>
                <w:sz w:val="24"/>
              </w:rPr>
              <w:t>2</w:t>
            </w:r>
          </w:p>
        </w:tc>
        <w:tc>
          <w:tcPr>
            <w:tcW w:w="1354" w:type="dxa"/>
            <w:vAlign w:val="center"/>
          </w:tcPr>
          <w:p>
            <w:pPr>
              <w:jc w:val="center"/>
              <w:rPr>
                <w:sz w:val="24"/>
              </w:rPr>
            </w:pPr>
            <w:r>
              <w:rPr>
                <w:rFonts w:hint="eastAsia"/>
                <w:sz w:val="24"/>
              </w:rPr>
              <w:t>见附页</w:t>
            </w:r>
          </w:p>
        </w:tc>
        <w:tc>
          <w:tcPr>
            <w:tcW w:w="797" w:type="dxa"/>
            <w:vAlign w:val="center"/>
          </w:tcPr>
          <w:p>
            <w:pPr>
              <w:jc w:val="center"/>
              <w:rPr>
                <w:sz w:val="24"/>
              </w:rPr>
            </w:pPr>
            <w:r>
              <w:rPr>
                <w:rFonts w:hint="eastAsia"/>
                <w:sz w:val="24"/>
              </w:rPr>
              <w:t>1</w:t>
            </w:r>
          </w:p>
        </w:tc>
        <w:tc>
          <w:tcPr>
            <w:tcW w:w="1930" w:type="dxa"/>
            <w:vAlign w:val="center"/>
          </w:tcPr>
          <w:p>
            <w:pPr>
              <w:jc w:val="center"/>
              <w:rPr>
                <w:sz w:val="24"/>
              </w:rPr>
            </w:pPr>
            <w:r>
              <w:rPr>
                <w:rFonts w:hint="eastAsia"/>
                <w:sz w:val="24"/>
                <w:lang w:eastAsia="zh-CN"/>
              </w:rPr>
              <w:t>投标人</w:t>
            </w:r>
            <w:r>
              <w:rPr>
                <w:rFonts w:hint="eastAsia"/>
                <w:sz w:val="24"/>
              </w:rPr>
              <w:t>负责设计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11" w:type="dxa"/>
            <w:vAlign w:val="center"/>
          </w:tcPr>
          <w:p>
            <w:pPr>
              <w:jc w:val="center"/>
              <w:rPr>
                <w:sz w:val="24"/>
              </w:rPr>
            </w:pPr>
            <w:r>
              <w:rPr>
                <w:rFonts w:hint="eastAsia"/>
                <w:sz w:val="24"/>
              </w:rPr>
              <w:t>共计</w:t>
            </w:r>
          </w:p>
        </w:tc>
        <w:tc>
          <w:tcPr>
            <w:tcW w:w="8934" w:type="dxa"/>
            <w:gridSpan w:val="7"/>
            <w:vAlign w:val="center"/>
          </w:tcPr>
          <w:p>
            <w:pPr>
              <w:jc w:val="center"/>
              <w:rPr>
                <w:sz w:val="24"/>
              </w:rPr>
            </w:pPr>
            <w:r>
              <w:rPr>
                <w:rFonts w:hint="eastAsia"/>
                <w:sz w:val="24"/>
              </w:rPr>
              <w:t>2台</w:t>
            </w:r>
          </w:p>
        </w:tc>
      </w:tr>
    </w:tbl>
    <w:p>
      <w:pPr>
        <w:numPr>
          <w:ilvl w:val="0"/>
          <w:numId w:val="1"/>
        </w:numPr>
        <w:ind w:left="357"/>
        <w:rPr>
          <w:b/>
          <w:sz w:val="28"/>
          <w:szCs w:val="28"/>
        </w:rPr>
      </w:pPr>
      <w:r>
        <w:rPr>
          <w:rFonts w:hint="eastAsia"/>
          <w:b/>
          <w:sz w:val="28"/>
          <w:szCs w:val="28"/>
        </w:rPr>
        <w:t>标准和规范</w:t>
      </w:r>
    </w:p>
    <w:p>
      <w:pPr>
        <w:autoSpaceDE w:val="0"/>
        <w:autoSpaceDN w:val="0"/>
        <w:adjustRightInd w:val="0"/>
        <w:ind w:left="360"/>
        <w:rPr>
          <w:sz w:val="24"/>
        </w:rPr>
      </w:pPr>
      <w:r>
        <w:rPr>
          <w:rFonts w:hint="eastAsia"/>
          <w:sz w:val="24"/>
        </w:rPr>
        <w:t>API618                石油、化学和气体工业设施用往复压缩机</w:t>
      </w:r>
    </w:p>
    <w:p>
      <w:pPr>
        <w:autoSpaceDE w:val="0"/>
        <w:autoSpaceDN w:val="0"/>
        <w:adjustRightInd w:val="0"/>
        <w:ind w:left="360"/>
        <w:rPr>
          <w:sz w:val="24"/>
        </w:rPr>
      </w:pPr>
      <w:r>
        <w:rPr>
          <w:rFonts w:hint="eastAsia"/>
          <w:sz w:val="24"/>
        </w:rPr>
        <w:t>GB/T20322             石油及天然气工业用往复压缩机</w:t>
      </w:r>
    </w:p>
    <w:p>
      <w:pPr>
        <w:autoSpaceDE w:val="0"/>
        <w:autoSpaceDN w:val="0"/>
        <w:adjustRightInd w:val="0"/>
        <w:ind w:left="360"/>
        <w:rPr>
          <w:sz w:val="24"/>
        </w:rPr>
      </w:pPr>
      <w:r>
        <w:rPr>
          <w:rFonts w:hint="eastAsia"/>
          <w:sz w:val="24"/>
        </w:rPr>
        <w:t>GB/T3853              容积式压缩机验收试验</w:t>
      </w:r>
    </w:p>
    <w:p>
      <w:pPr>
        <w:autoSpaceDE w:val="0"/>
        <w:autoSpaceDN w:val="0"/>
        <w:adjustRightInd w:val="0"/>
        <w:ind w:left="360"/>
        <w:rPr>
          <w:sz w:val="24"/>
        </w:rPr>
      </w:pPr>
      <w:r>
        <w:rPr>
          <w:rFonts w:hint="eastAsia"/>
          <w:sz w:val="24"/>
        </w:rPr>
        <w:t>JB/T9105               大型往复活塞式压缩机技术条件</w:t>
      </w:r>
    </w:p>
    <w:p>
      <w:pPr>
        <w:autoSpaceDE w:val="0"/>
        <w:autoSpaceDN w:val="0"/>
        <w:adjustRightInd w:val="0"/>
        <w:ind w:left="360"/>
        <w:rPr>
          <w:sz w:val="24"/>
        </w:rPr>
      </w:pPr>
      <w:r>
        <w:rPr>
          <w:rFonts w:hint="eastAsia"/>
          <w:sz w:val="24"/>
        </w:rPr>
        <w:t>GB/T4980              容积式压缩机 噪声的测定</w:t>
      </w:r>
    </w:p>
    <w:p>
      <w:pPr>
        <w:autoSpaceDE w:val="0"/>
        <w:autoSpaceDN w:val="0"/>
        <w:adjustRightInd w:val="0"/>
        <w:ind w:left="360"/>
        <w:rPr>
          <w:sz w:val="24"/>
        </w:rPr>
      </w:pPr>
      <w:r>
        <w:rPr>
          <w:rFonts w:hint="eastAsia"/>
          <w:sz w:val="24"/>
        </w:rPr>
        <w:t>GB/T7777              容积式压缩机机械振动测量与评价</w:t>
      </w:r>
    </w:p>
    <w:p>
      <w:pPr>
        <w:autoSpaceDE w:val="0"/>
        <w:autoSpaceDN w:val="0"/>
        <w:adjustRightInd w:val="0"/>
        <w:ind w:left="360"/>
        <w:rPr>
          <w:sz w:val="24"/>
        </w:rPr>
      </w:pPr>
      <w:r>
        <w:rPr>
          <w:rFonts w:hint="eastAsia"/>
          <w:sz w:val="24"/>
        </w:rPr>
        <w:t>JB/T8935               工艺流程用压缩机安全要求</w:t>
      </w:r>
    </w:p>
    <w:p>
      <w:pPr>
        <w:autoSpaceDE w:val="0"/>
        <w:autoSpaceDN w:val="0"/>
        <w:adjustRightInd w:val="0"/>
        <w:ind w:left="360"/>
        <w:rPr>
          <w:sz w:val="24"/>
        </w:rPr>
      </w:pPr>
      <w:r>
        <w:rPr>
          <w:rFonts w:hint="eastAsia"/>
          <w:sz w:val="24"/>
        </w:rPr>
        <w:t>TSG 21</w:t>
      </w:r>
      <w:r>
        <w:rPr>
          <w:sz w:val="24"/>
        </w:rPr>
        <w:t>—</w:t>
      </w:r>
      <w:r>
        <w:rPr>
          <w:rFonts w:hint="eastAsia"/>
          <w:sz w:val="24"/>
        </w:rPr>
        <w:t>2016           固定式压力容器安全技术监察规程</w:t>
      </w:r>
    </w:p>
    <w:p>
      <w:pPr>
        <w:autoSpaceDE w:val="0"/>
        <w:autoSpaceDN w:val="0"/>
        <w:adjustRightInd w:val="0"/>
        <w:ind w:left="360"/>
        <w:rPr>
          <w:rFonts w:ascii="宋体" w:cs="宋体"/>
          <w:sz w:val="24"/>
          <w:lang w:val="zh-CN"/>
        </w:rPr>
      </w:pPr>
      <w:r>
        <w:rPr>
          <w:sz w:val="24"/>
        </w:rPr>
        <w:t>GB</w:t>
      </w:r>
      <w:r>
        <w:rPr>
          <w:rFonts w:hint="eastAsia"/>
          <w:sz w:val="24"/>
        </w:rPr>
        <w:t xml:space="preserve"> </w:t>
      </w:r>
      <w:r>
        <w:rPr>
          <w:sz w:val="24"/>
        </w:rPr>
        <w:t>150</w:t>
      </w:r>
      <w:r>
        <w:rPr>
          <w:rFonts w:hint="eastAsia"/>
          <w:sz w:val="24"/>
        </w:rPr>
        <w:t>.1~150.4</w:t>
      </w:r>
      <w:r>
        <w:rPr>
          <w:sz w:val="24"/>
        </w:rPr>
        <w:t>—</w:t>
      </w:r>
      <w:r>
        <w:rPr>
          <w:rFonts w:hint="eastAsia"/>
          <w:sz w:val="24"/>
        </w:rPr>
        <w:t>2011</w:t>
      </w:r>
      <w:r>
        <w:rPr>
          <w:sz w:val="24"/>
        </w:rPr>
        <w:t xml:space="preserve">    </w:t>
      </w:r>
      <w:r>
        <w:rPr>
          <w:rFonts w:hint="eastAsia" w:ascii="宋体" w:cs="宋体"/>
          <w:sz w:val="24"/>
          <w:lang w:val="zh-CN"/>
        </w:rPr>
        <w:t>钢制压力容器</w:t>
      </w:r>
    </w:p>
    <w:p>
      <w:pPr>
        <w:autoSpaceDE w:val="0"/>
        <w:autoSpaceDN w:val="0"/>
        <w:adjustRightInd w:val="0"/>
        <w:ind w:left="360"/>
        <w:rPr>
          <w:sz w:val="24"/>
        </w:rPr>
      </w:pPr>
      <w:r>
        <w:rPr>
          <w:rFonts w:hint="eastAsia"/>
          <w:sz w:val="24"/>
        </w:rPr>
        <w:t>GB 151—2014           热交换器</w:t>
      </w:r>
    </w:p>
    <w:p>
      <w:pPr>
        <w:autoSpaceDE w:val="0"/>
        <w:autoSpaceDN w:val="0"/>
        <w:adjustRightInd w:val="0"/>
        <w:ind w:left="360"/>
        <w:rPr>
          <w:sz w:val="24"/>
        </w:rPr>
      </w:pPr>
      <w:r>
        <w:rPr>
          <w:rFonts w:hint="eastAsia"/>
          <w:sz w:val="24"/>
        </w:rPr>
        <w:t>GB 713</w:t>
      </w:r>
      <w:r>
        <w:rPr>
          <w:sz w:val="24"/>
        </w:rPr>
        <w:softHyphen/>
      </w:r>
      <w:r>
        <w:rPr>
          <w:rFonts w:hint="eastAsia"/>
          <w:sz w:val="24"/>
        </w:rPr>
        <w:softHyphen/>
      </w:r>
      <w:r>
        <w:rPr>
          <w:rFonts w:hint="eastAsia"/>
          <w:sz w:val="24"/>
        </w:rPr>
        <w:t>—2014           锅炉和压力容器用钢板</w:t>
      </w:r>
    </w:p>
    <w:p>
      <w:pPr>
        <w:autoSpaceDE w:val="0"/>
        <w:autoSpaceDN w:val="0"/>
        <w:adjustRightInd w:val="0"/>
        <w:ind w:left="360"/>
        <w:rPr>
          <w:sz w:val="24"/>
        </w:rPr>
      </w:pPr>
      <w:r>
        <w:rPr>
          <w:sz w:val="24"/>
        </w:rPr>
        <w:t>TSG R7004</w:t>
      </w:r>
      <w:r>
        <w:rPr>
          <w:rFonts w:hint="eastAsia"/>
          <w:sz w:val="24"/>
        </w:rPr>
        <w:t>—</w:t>
      </w:r>
      <w:r>
        <w:rPr>
          <w:sz w:val="24"/>
        </w:rPr>
        <w:t>2013</w:t>
      </w:r>
      <w:r>
        <w:rPr>
          <w:rFonts w:hint="eastAsia"/>
          <w:sz w:val="24"/>
        </w:rPr>
        <w:t xml:space="preserve">        压力容器监督检验规则</w:t>
      </w:r>
    </w:p>
    <w:p>
      <w:pPr>
        <w:autoSpaceDE w:val="0"/>
        <w:autoSpaceDN w:val="0"/>
        <w:adjustRightInd w:val="0"/>
        <w:ind w:left="360"/>
        <w:rPr>
          <w:sz w:val="24"/>
        </w:rPr>
      </w:pPr>
      <w:r>
        <w:rPr>
          <w:sz w:val="24"/>
        </w:rPr>
        <w:t>NB/T 47013</w:t>
      </w:r>
      <w:r>
        <w:rPr>
          <w:rFonts w:hint="eastAsia"/>
          <w:sz w:val="24"/>
        </w:rPr>
        <w:t>—</w:t>
      </w:r>
      <w:r>
        <w:rPr>
          <w:sz w:val="24"/>
        </w:rPr>
        <w:t>2015</w:t>
      </w:r>
      <w:r>
        <w:rPr>
          <w:rFonts w:hint="eastAsia"/>
          <w:sz w:val="24"/>
        </w:rPr>
        <w:t xml:space="preserve">       </w:t>
      </w:r>
      <w:r>
        <w:rPr>
          <w:rFonts w:hint="eastAsia" w:ascii="宋体" w:cs="宋体"/>
          <w:sz w:val="24"/>
          <w:lang w:val="zh-CN"/>
        </w:rPr>
        <w:t>承压设备无损检测</w:t>
      </w:r>
    </w:p>
    <w:p>
      <w:pPr>
        <w:autoSpaceDE w:val="0"/>
        <w:autoSpaceDN w:val="0"/>
        <w:adjustRightInd w:val="0"/>
        <w:ind w:left="360"/>
        <w:rPr>
          <w:sz w:val="24"/>
        </w:rPr>
      </w:pPr>
      <w:r>
        <w:rPr>
          <w:sz w:val="24"/>
        </w:rPr>
        <w:t>NB/T47014</w:t>
      </w:r>
      <w:r>
        <w:rPr>
          <w:rFonts w:hint="eastAsia"/>
          <w:sz w:val="24"/>
        </w:rPr>
        <w:t>—</w:t>
      </w:r>
      <w:r>
        <w:rPr>
          <w:sz w:val="24"/>
        </w:rPr>
        <w:t xml:space="preserve">2011        </w:t>
      </w:r>
      <w:r>
        <w:rPr>
          <w:rFonts w:hint="eastAsia"/>
          <w:sz w:val="24"/>
        </w:rPr>
        <w:t>钢制压力容器焊接工艺评定</w:t>
      </w:r>
    </w:p>
    <w:p>
      <w:pPr>
        <w:autoSpaceDE w:val="0"/>
        <w:autoSpaceDN w:val="0"/>
        <w:adjustRightInd w:val="0"/>
        <w:ind w:left="360"/>
        <w:rPr>
          <w:sz w:val="24"/>
        </w:rPr>
      </w:pPr>
      <w:r>
        <w:rPr>
          <w:sz w:val="24"/>
        </w:rPr>
        <w:t>NB/T47015</w:t>
      </w:r>
      <w:r>
        <w:rPr>
          <w:rFonts w:hint="eastAsia"/>
          <w:sz w:val="24"/>
        </w:rPr>
        <w:t>—</w:t>
      </w:r>
      <w:r>
        <w:rPr>
          <w:sz w:val="24"/>
        </w:rPr>
        <w:t>2011</w:t>
      </w:r>
      <w:r>
        <w:rPr>
          <w:rFonts w:hint="eastAsia"/>
          <w:sz w:val="24"/>
        </w:rPr>
        <w:t xml:space="preserve"> </w:t>
      </w:r>
      <w:r>
        <w:rPr>
          <w:sz w:val="24"/>
        </w:rPr>
        <w:t xml:space="preserve">       </w:t>
      </w:r>
      <w:r>
        <w:rPr>
          <w:rFonts w:hint="eastAsia" w:ascii="宋体" w:cs="宋体"/>
          <w:sz w:val="24"/>
          <w:lang w:val="zh-CN"/>
        </w:rPr>
        <w:t>钢制压力容器焊接规程</w:t>
      </w:r>
    </w:p>
    <w:p>
      <w:pPr>
        <w:autoSpaceDE w:val="0"/>
        <w:autoSpaceDN w:val="0"/>
        <w:adjustRightInd w:val="0"/>
        <w:ind w:left="360"/>
        <w:rPr>
          <w:sz w:val="24"/>
        </w:rPr>
      </w:pPr>
      <w:r>
        <w:rPr>
          <w:sz w:val="24"/>
        </w:rPr>
        <w:t xml:space="preserve">JB/T4711—2003          </w:t>
      </w:r>
      <w:r>
        <w:rPr>
          <w:rFonts w:hint="eastAsia" w:ascii="宋体" w:cs="宋体"/>
          <w:sz w:val="24"/>
          <w:lang w:val="zh-CN"/>
        </w:rPr>
        <w:t>压力容器涂敷与运输包装</w:t>
      </w:r>
    </w:p>
    <w:p>
      <w:pPr>
        <w:autoSpaceDE w:val="0"/>
        <w:autoSpaceDN w:val="0"/>
        <w:adjustRightInd w:val="0"/>
        <w:ind w:left="360"/>
        <w:rPr>
          <w:sz w:val="24"/>
        </w:rPr>
      </w:pPr>
      <w:r>
        <w:rPr>
          <w:sz w:val="24"/>
        </w:rPr>
        <w:t>HG</w:t>
      </w:r>
      <w:r>
        <w:rPr>
          <w:rFonts w:hint="eastAsia"/>
          <w:sz w:val="24"/>
        </w:rPr>
        <w:t>/T</w:t>
      </w:r>
      <w:r>
        <w:rPr>
          <w:sz w:val="24"/>
        </w:rPr>
        <w:t>20</w:t>
      </w:r>
      <w:r>
        <w:rPr>
          <w:rFonts w:hint="eastAsia"/>
          <w:sz w:val="24"/>
        </w:rPr>
        <w:t>615</w:t>
      </w:r>
      <w:r>
        <w:rPr>
          <w:sz w:val="24"/>
        </w:rPr>
        <w:t xml:space="preserve">—2009        </w:t>
      </w:r>
      <w:r>
        <w:rPr>
          <w:rFonts w:hint="eastAsia" w:ascii="宋体" w:cs="宋体"/>
          <w:sz w:val="24"/>
          <w:lang w:val="zh-CN"/>
        </w:rPr>
        <w:t>钢制管法兰、垫片、紧固件</w:t>
      </w:r>
    </w:p>
    <w:p>
      <w:pPr>
        <w:autoSpaceDE w:val="0"/>
        <w:autoSpaceDN w:val="0"/>
        <w:adjustRightInd w:val="0"/>
        <w:ind w:left="3915" w:leftChars="150" w:hanging="3600" w:hangingChars="1500"/>
        <w:rPr>
          <w:sz w:val="24"/>
        </w:rPr>
      </w:pPr>
      <w:r>
        <w:rPr>
          <w:rFonts w:hint="eastAsia"/>
          <w:sz w:val="24"/>
        </w:rPr>
        <w:t>HG20660—2000          压力容器化学介质毒性危害和操作危险程度分类</w:t>
      </w:r>
    </w:p>
    <w:p>
      <w:pPr>
        <w:autoSpaceDE w:val="0"/>
        <w:autoSpaceDN w:val="0"/>
        <w:adjustRightInd w:val="0"/>
        <w:ind w:left="3915" w:leftChars="150" w:hanging="3600" w:hangingChars="1500"/>
        <w:rPr>
          <w:sz w:val="24"/>
        </w:rPr>
      </w:pPr>
      <w:r>
        <w:rPr>
          <w:rFonts w:hint="eastAsia"/>
          <w:sz w:val="24"/>
        </w:rPr>
        <w:t xml:space="preserve">GB755                   </w:t>
      </w:r>
      <w:r>
        <w:rPr>
          <w:sz w:val="24"/>
        </w:rPr>
        <w:t>旋转电机 定额和性能</w:t>
      </w:r>
    </w:p>
    <w:p>
      <w:pPr>
        <w:autoSpaceDE w:val="0"/>
        <w:autoSpaceDN w:val="0"/>
        <w:adjustRightInd w:val="0"/>
        <w:ind w:left="3915" w:leftChars="150" w:hanging="3600" w:hangingChars="1500"/>
        <w:rPr>
          <w:sz w:val="24"/>
        </w:rPr>
      </w:pPr>
      <w:r>
        <w:rPr>
          <w:rFonts w:hint="eastAsia"/>
          <w:sz w:val="24"/>
        </w:rPr>
        <w:t>GB3836.1                爆炸性环境 第1部分：设备 通用要求</w:t>
      </w:r>
    </w:p>
    <w:p>
      <w:pPr>
        <w:autoSpaceDE w:val="0"/>
        <w:autoSpaceDN w:val="0"/>
        <w:adjustRightInd w:val="0"/>
        <w:ind w:left="3915" w:leftChars="150" w:hanging="3600" w:hangingChars="1500"/>
        <w:rPr>
          <w:sz w:val="24"/>
        </w:rPr>
      </w:pPr>
      <w:r>
        <w:rPr>
          <w:rFonts w:hint="eastAsia"/>
          <w:sz w:val="24"/>
        </w:rPr>
        <w:t>GB3836.2                爆炸性环境 第2部分：由隔爆型外壳d保护的设备</w:t>
      </w:r>
    </w:p>
    <w:p>
      <w:pPr>
        <w:autoSpaceDE w:val="0"/>
        <w:autoSpaceDN w:val="0"/>
        <w:adjustRightInd w:val="0"/>
        <w:ind w:left="3915" w:leftChars="150" w:hanging="3600" w:hangingChars="1500"/>
        <w:rPr>
          <w:sz w:val="24"/>
        </w:rPr>
      </w:pPr>
      <w:r>
        <w:rPr>
          <w:rFonts w:hint="eastAsia"/>
          <w:sz w:val="24"/>
        </w:rPr>
        <w:t>GB3836.3                爆炸性环境第3部分：由增安型 e保护的设备</w:t>
      </w:r>
    </w:p>
    <w:p>
      <w:pPr>
        <w:autoSpaceDE w:val="0"/>
        <w:autoSpaceDN w:val="0"/>
        <w:adjustRightInd w:val="0"/>
        <w:ind w:left="3915" w:leftChars="150" w:hanging="3600" w:hangingChars="1500"/>
        <w:rPr>
          <w:sz w:val="24"/>
        </w:rPr>
      </w:pPr>
      <w:r>
        <w:rPr>
          <w:rFonts w:hint="eastAsia"/>
          <w:sz w:val="24"/>
        </w:rPr>
        <w:t>GB3836.4                爆炸性环境第4部分：由本质安全性i保护的设备</w:t>
      </w:r>
    </w:p>
    <w:p>
      <w:pPr>
        <w:autoSpaceDE w:val="0"/>
        <w:autoSpaceDN w:val="0"/>
        <w:adjustRightInd w:val="0"/>
        <w:ind w:left="3915" w:leftChars="150" w:hanging="3600" w:hangingChars="1500"/>
        <w:rPr>
          <w:sz w:val="24"/>
        </w:rPr>
      </w:pPr>
      <w:r>
        <w:rPr>
          <w:rFonts w:hint="eastAsia"/>
          <w:sz w:val="24"/>
        </w:rPr>
        <w:t>GB50058                 爆炸危险环境电力装置设计规范</w:t>
      </w:r>
    </w:p>
    <w:p>
      <w:pPr>
        <w:autoSpaceDE w:val="0"/>
        <w:autoSpaceDN w:val="0"/>
        <w:adjustRightInd w:val="0"/>
        <w:ind w:left="3543" w:leftChars="150" w:hanging="3228" w:hangingChars="1345"/>
        <w:rPr>
          <w:sz w:val="24"/>
        </w:rPr>
      </w:pPr>
      <w:r>
        <w:rPr>
          <w:rFonts w:hint="eastAsia"/>
          <w:sz w:val="24"/>
        </w:rPr>
        <w:t>GB/T20626.1             特殊环境条件 高原电工产品 第一部分：通用技术要求</w:t>
      </w:r>
    </w:p>
    <w:p>
      <w:pPr>
        <w:autoSpaceDE w:val="0"/>
        <w:autoSpaceDN w:val="0"/>
        <w:adjustRightInd w:val="0"/>
        <w:ind w:left="3499" w:leftChars="150" w:hanging="3184" w:hangingChars="1327"/>
        <w:rPr>
          <w:sz w:val="24"/>
        </w:rPr>
      </w:pPr>
      <w:r>
        <w:rPr>
          <w:rFonts w:hint="eastAsia"/>
          <w:sz w:val="24"/>
        </w:rPr>
        <w:t>GB/T 22580              特殊环境条件  高原电气设备技术要求 低压成套开关设备和控制设备</w:t>
      </w:r>
    </w:p>
    <w:p>
      <w:pPr>
        <w:autoSpaceDE w:val="0"/>
        <w:autoSpaceDN w:val="0"/>
        <w:adjustRightInd w:val="0"/>
        <w:ind w:left="3915" w:leftChars="150" w:hanging="3600" w:hangingChars="1500"/>
        <w:rPr>
          <w:sz w:val="24"/>
        </w:rPr>
      </w:pPr>
      <w:r>
        <w:rPr>
          <w:rFonts w:hint="eastAsia"/>
          <w:sz w:val="24"/>
        </w:rPr>
        <w:t>ZBK25003                YA 系列增安型三相异步电动机技术条件</w:t>
      </w:r>
    </w:p>
    <w:p>
      <w:pPr>
        <w:autoSpaceDE w:val="0"/>
        <w:autoSpaceDN w:val="0"/>
        <w:adjustRightInd w:val="0"/>
        <w:ind w:left="3915" w:leftChars="150" w:hanging="3600" w:hangingChars="1500"/>
        <w:rPr>
          <w:sz w:val="24"/>
        </w:rPr>
      </w:pPr>
      <w:r>
        <w:rPr>
          <w:rFonts w:hint="eastAsia"/>
          <w:sz w:val="24"/>
        </w:rPr>
        <w:t>GB12667                 同步电动机半导体励磁装置总技术条件</w:t>
      </w:r>
    </w:p>
    <w:p>
      <w:pPr>
        <w:autoSpaceDE w:val="0"/>
        <w:autoSpaceDN w:val="0"/>
        <w:adjustRightInd w:val="0"/>
        <w:ind w:left="3915" w:leftChars="150" w:hanging="3600" w:hangingChars="1500"/>
        <w:rPr>
          <w:sz w:val="24"/>
        </w:rPr>
      </w:pPr>
      <w:r>
        <w:rPr>
          <w:rFonts w:hint="eastAsia"/>
          <w:sz w:val="24"/>
        </w:rPr>
        <w:t>GB/T8163                输送流体用无缝钢管</w:t>
      </w:r>
    </w:p>
    <w:p>
      <w:pPr>
        <w:autoSpaceDE w:val="0"/>
        <w:autoSpaceDN w:val="0"/>
        <w:adjustRightInd w:val="0"/>
        <w:ind w:left="3915" w:leftChars="150" w:hanging="3600" w:hangingChars="1500"/>
        <w:rPr>
          <w:sz w:val="24"/>
        </w:rPr>
      </w:pPr>
      <w:r>
        <w:rPr>
          <w:sz w:val="24"/>
        </w:rPr>
        <w:t>G</w:t>
      </w:r>
      <w:r>
        <w:rPr>
          <w:rFonts w:hint="eastAsia"/>
          <w:sz w:val="24"/>
        </w:rPr>
        <w:t>B9948                  石油裂化用无缝钢管</w:t>
      </w:r>
    </w:p>
    <w:p>
      <w:pPr>
        <w:autoSpaceDE w:val="0"/>
        <w:autoSpaceDN w:val="0"/>
        <w:adjustRightInd w:val="0"/>
        <w:ind w:left="3915" w:leftChars="150" w:hanging="3600" w:hangingChars="1500"/>
        <w:rPr>
          <w:sz w:val="24"/>
        </w:rPr>
      </w:pPr>
      <w:r>
        <w:rPr>
          <w:rFonts w:hint="eastAsia"/>
          <w:sz w:val="24"/>
        </w:rPr>
        <w:t>GB50093                 自动化仪表工程施工及验收规程</w:t>
      </w:r>
    </w:p>
    <w:p>
      <w:pPr>
        <w:autoSpaceDE w:val="0"/>
        <w:autoSpaceDN w:val="0"/>
        <w:adjustRightInd w:val="0"/>
        <w:ind w:left="3915" w:leftChars="150" w:hanging="3600" w:hangingChars="1500"/>
        <w:rPr>
          <w:sz w:val="24"/>
        </w:rPr>
      </w:pPr>
      <w:r>
        <w:rPr>
          <w:rFonts w:hint="eastAsia"/>
          <w:sz w:val="24"/>
        </w:rPr>
        <w:t>HG/T20507               自动化仪表选型设计规定</w:t>
      </w:r>
    </w:p>
    <w:p>
      <w:pPr>
        <w:autoSpaceDE w:val="0"/>
        <w:autoSpaceDN w:val="0"/>
        <w:adjustRightInd w:val="0"/>
        <w:ind w:left="3915" w:leftChars="150" w:hanging="3600" w:hangingChars="1500"/>
        <w:rPr>
          <w:sz w:val="24"/>
        </w:rPr>
      </w:pPr>
      <w:r>
        <w:rPr>
          <w:rFonts w:hint="eastAsia"/>
          <w:sz w:val="24"/>
        </w:rPr>
        <w:t>HG/T20509               仪表供电设计规定</w:t>
      </w:r>
    </w:p>
    <w:p>
      <w:pPr>
        <w:autoSpaceDE w:val="0"/>
        <w:autoSpaceDN w:val="0"/>
        <w:adjustRightInd w:val="0"/>
        <w:ind w:left="3915" w:leftChars="150" w:hanging="3600" w:hangingChars="1500"/>
        <w:rPr>
          <w:sz w:val="24"/>
        </w:rPr>
      </w:pPr>
      <w:r>
        <w:rPr>
          <w:rFonts w:hint="eastAsia"/>
          <w:sz w:val="24"/>
        </w:rPr>
        <w:t>HG/T20513               仪表系统接地设计规定</w:t>
      </w:r>
    </w:p>
    <w:p>
      <w:pPr>
        <w:autoSpaceDE w:val="0"/>
        <w:autoSpaceDN w:val="0"/>
        <w:adjustRightInd w:val="0"/>
        <w:ind w:left="3915" w:leftChars="150" w:hanging="3600" w:hangingChars="1500"/>
        <w:rPr>
          <w:sz w:val="24"/>
        </w:rPr>
      </w:pPr>
      <w:r>
        <w:rPr>
          <w:rFonts w:hint="eastAsia"/>
          <w:sz w:val="24"/>
        </w:rPr>
        <w:t>HG/T20700               可编程控制器系统工程设计规定</w:t>
      </w:r>
    </w:p>
    <w:p>
      <w:pPr>
        <w:autoSpaceDE w:val="0"/>
        <w:autoSpaceDN w:val="0"/>
        <w:adjustRightInd w:val="0"/>
        <w:ind w:left="3915" w:leftChars="150" w:hanging="3600" w:hangingChars="1500"/>
        <w:rPr>
          <w:sz w:val="24"/>
        </w:rPr>
      </w:pPr>
      <w:r>
        <w:rPr>
          <w:rFonts w:hint="eastAsia"/>
          <w:sz w:val="24"/>
        </w:rPr>
        <w:t>HG/T20505               过程测量和控制仪表的标志及图形符号</w:t>
      </w:r>
    </w:p>
    <w:p>
      <w:pPr>
        <w:ind w:left="357"/>
        <w:rPr>
          <w:sz w:val="24"/>
        </w:rPr>
      </w:pPr>
      <w:r>
        <w:rPr>
          <w:rFonts w:hint="eastAsia"/>
          <w:sz w:val="24"/>
        </w:rPr>
        <w:t xml:space="preserve">    上述规范、规定按最新版本执行，与设备设计图纸以及本文件有矛盾时，以设计图纸为准。</w:t>
      </w:r>
    </w:p>
    <w:p>
      <w:pPr>
        <w:numPr>
          <w:ilvl w:val="0"/>
          <w:numId w:val="1"/>
        </w:numPr>
        <w:ind w:left="357" w:hanging="357"/>
        <w:rPr>
          <w:b/>
          <w:sz w:val="28"/>
          <w:szCs w:val="28"/>
        </w:rPr>
      </w:pPr>
      <w:r>
        <w:rPr>
          <w:rFonts w:hint="eastAsia"/>
          <w:b/>
          <w:sz w:val="28"/>
          <w:szCs w:val="28"/>
        </w:rPr>
        <w:t>技术要求</w:t>
      </w:r>
    </w:p>
    <w:p>
      <w:pPr>
        <w:ind w:left="480" w:hanging="480" w:hangingChars="200"/>
        <w:rPr>
          <w:sz w:val="24"/>
        </w:rPr>
      </w:pPr>
      <w:r>
        <w:rPr>
          <w:rFonts w:hint="eastAsia"/>
          <w:sz w:val="24"/>
        </w:rPr>
        <w:t>4. 1 设备系统采用撬装结构，设备选型技术条件必须满足设备工艺条件表相关要求，在规定的操作条件下，设备须满足全负荷、连续、安全、稳定运行，其使用寿命不少于15年，设备连续运行时间不低于6000小时。</w:t>
      </w:r>
    </w:p>
    <w:p>
      <w:pPr>
        <w:ind w:left="480" w:hanging="480" w:hangingChars="200"/>
        <w:rPr>
          <w:sz w:val="24"/>
        </w:rPr>
      </w:pPr>
      <w:r>
        <w:rPr>
          <w:rFonts w:hint="eastAsia"/>
          <w:sz w:val="24"/>
        </w:rPr>
        <w:t>4. 2 设备选型必须提供以下数据：</w:t>
      </w:r>
    </w:p>
    <w:p>
      <w:pPr>
        <w:ind w:left="480" w:hanging="480" w:hangingChars="200"/>
        <w:rPr>
          <w:sz w:val="24"/>
        </w:rPr>
      </w:pPr>
      <w:r>
        <w:rPr>
          <w:rFonts w:hint="eastAsia"/>
          <w:sz w:val="24"/>
        </w:rPr>
        <w:t xml:space="preserve">   —— 压缩机设备主机型号</w:t>
      </w:r>
    </w:p>
    <w:p>
      <w:pPr>
        <w:ind w:left="480" w:hanging="480" w:hangingChars="200"/>
        <w:rPr>
          <w:sz w:val="24"/>
        </w:rPr>
      </w:pPr>
      <w:r>
        <w:rPr>
          <w:rFonts w:hint="eastAsia"/>
          <w:sz w:val="24"/>
        </w:rPr>
        <w:t xml:space="preserve">   —— 压缩机设备主机类型</w:t>
      </w:r>
    </w:p>
    <w:p>
      <w:pPr>
        <w:ind w:left="480" w:hanging="480" w:hangingChars="200"/>
        <w:rPr>
          <w:sz w:val="24"/>
        </w:rPr>
      </w:pPr>
      <w:r>
        <w:rPr>
          <w:rFonts w:hint="eastAsia"/>
          <w:sz w:val="24"/>
        </w:rPr>
        <w:t xml:space="preserve">   —— 压缩机设备主要工艺参数（与工艺参数表相对应）</w:t>
      </w:r>
    </w:p>
    <w:p>
      <w:pPr>
        <w:ind w:left="480" w:hanging="480" w:hangingChars="200"/>
        <w:rPr>
          <w:sz w:val="24"/>
        </w:rPr>
      </w:pPr>
      <w:r>
        <w:rPr>
          <w:rFonts w:hint="eastAsia"/>
          <w:sz w:val="24"/>
        </w:rPr>
        <w:t xml:space="preserve">   —— 压缩机设备电机选型参数</w:t>
      </w:r>
    </w:p>
    <w:p>
      <w:pPr>
        <w:ind w:left="480" w:hanging="480" w:hangingChars="200"/>
        <w:rPr>
          <w:sz w:val="24"/>
        </w:rPr>
      </w:pPr>
      <w:r>
        <w:rPr>
          <w:rFonts w:hint="eastAsia"/>
          <w:sz w:val="24"/>
        </w:rPr>
        <w:t xml:space="preserve">   —— 设备系统公用工程消耗情况</w:t>
      </w:r>
    </w:p>
    <w:p>
      <w:pPr>
        <w:ind w:left="480" w:hanging="480" w:hangingChars="200"/>
        <w:rPr>
          <w:sz w:val="24"/>
        </w:rPr>
      </w:pPr>
      <w:r>
        <w:rPr>
          <w:rFonts w:hint="eastAsia"/>
          <w:sz w:val="24"/>
        </w:rPr>
        <w:t xml:space="preserve">   —— 设备系统外型尺寸和总重量</w:t>
      </w:r>
    </w:p>
    <w:p>
      <w:pPr>
        <w:ind w:left="480" w:hanging="480" w:hangingChars="200"/>
        <w:rPr>
          <w:sz w:val="24"/>
        </w:rPr>
      </w:pPr>
      <w:r>
        <w:rPr>
          <w:rFonts w:hint="eastAsia"/>
          <w:sz w:val="24"/>
        </w:rPr>
        <w:t xml:space="preserve">   —— 其它相关数据</w:t>
      </w:r>
    </w:p>
    <w:p>
      <w:pPr>
        <w:ind w:left="480" w:hanging="480" w:hangingChars="200"/>
        <w:rPr>
          <w:sz w:val="24"/>
        </w:rPr>
      </w:pPr>
      <w:r>
        <w:rPr>
          <w:rFonts w:hint="eastAsia"/>
          <w:sz w:val="24"/>
        </w:rPr>
        <w:t>4.3只有经过实际生产验证的设备才可被接受。当设备在相似的操作条件下，至少已经正常运行两年以上并满足</w:t>
      </w:r>
      <w:r>
        <w:rPr>
          <w:rFonts w:hint="eastAsia"/>
          <w:sz w:val="24"/>
          <w:lang w:eastAsia="zh-CN"/>
        </w:rPr>
        <w:t>招标人</w:t>
      </w:r>
      <w:r>
        <w:rPr>
          <w:rFonts w:hint="eastAsia"/>
          <w:sz w:val="24"/>
        </w:rPr>
        <w:t>提出相关要求，便认定该设备为经过生产验证过的设备。未经实际生产考验的新产品不予采用。</w:t>
      </w:r>
    </w:p>
    <w:p>
      <w:pPr>
        <w:ind w:left="480" w:hanging="480" w:hangingChars="200"/>
        <w:rPr>
          <w:sz w:val="24"/>
        </w:rPr>
      </w:pPr>
      <w:r>
        <w:rPr>
          <w:rFonts w:hint="eastAsia"/>
          <w:sz w:val="24"/>
        </w:rPr>
        <w:t>4.4压缩机设备及辅助设备所用材料必须满足设备使用要求，其化学成分、机械性能、尺寸厚度偏差、表面质量等要求须符合相应的标准规定，并具有相应的材料质量证明书。</w:t>
      </w:r>
    </w:p>
    <w:p>
      <w:pPr>
        <w:ind w:left="480" w:hanging="480" w:hangingChars="200"/>
        <w:rPr>
          <w:sz w:val="24"/>
        </w:rPr>
      </w:pPr>
      <w:r>
        <w:rPr>
          <w:rFonts w:hint="eastAsia"/>
          <w:sz w:val="24"/>
        </w:rPr>
        <w:t xml:space="preserve">4.5 </w:t>
      </w:r>
      <w:r>
        <w:rPr>
          <w:rFonts w:hint="eastAsia"/>
          <w:sz w:val="24"/>
          <w:szCs w:val="28"/>
        </w:rPr>
        <w:t>设备的选型，必须考虑设备运行环境对防爆、防腐蚀等方面的等级要求，并要充分考虑使用现场当地环境的影响。</w:t>
      </w:r>
    </w:p>
    <w:p>
      <w:pPr>
        <w:ind w:left="480" w:hanging="480" w:hangingChars="200"/>
        <w:rPr>
          <w:sz w:val="24"/>
        </w:rPr>
      </w:pPr>
      <w:r>
        <w:rPr>
          <w:rFonts w:hint="eastAsia"/>
          <w:sz w:val="24"/>
        </w:rPr>
        <w:t>4.6 设备系统的管法兰、垫片及紧固件采用HG/T20615-2009标准。</w:t>
      </w:r>
    </w:p>
    <w:p>
      <w:pPr>
        <w:ind w:left="480" w:hanging="480" w:hangingChars="200"/>
        <w:rPr>
          <w:sz w:val="24"/>
        </w:rPr>
      </w:pPr>
      <w:r>
        <w:rPr>
          <w:rFonts w:hint="eastAsia"/>
          <w:sz w:val="24"/>
        </w:rPr>
        <w:t>4.7 系统设计必须考虑安全泄放装置，以防止系统超压。</w:t>
      </w:r>
    </w:p>
    <w:p>
      <w:pPr>
        <w:ind w:left="480" w:hanging="480" w:hangingChars="200"/>
        <w:rPr>
          <w:sz w:val="24"/>
        </w:rPr>
      </w:pPr>
      <w:r>
        <w:rPr>
          <w:rFonts w:hint="eastAsia"/>
          <w:sz w:val="24"/>
        </w:rPr>
        <w:t xml:space="preserve">4.8 </w:t>
      </w:r>
      <w:r>
        <w:rPr>
          <w:rFonts w:hint="eastAsia"/>
          <w:sz w:val="24"/>
          <w:lang w:eastAsia="zh-CN"/>
        </w:rPr>
        <w:t>投标人</w:t>
      </w:r>
      <w:r>
        <w:rPr>
          <w:rFonts w:hint="eastAsia"/>
          <w:sz w:val="24"/>
          <w:szCs w:val="28"/>
        </w:rPr>
        <w:t>应提供为保障安全和操作可靠所需的所有控制系统和仪表。</w:t>
      </w:r>
    </w:p>
    <w:p>
      <w:pPr>
        <w:ind w:left="480" w:hanging="480" w:hangingChars="200"/>
        <w:rPr>
          <w:sz w:val="24"/>
          <w:szCs w:val="28"/>
        </w:rPr>
      </w:pPr>
      <w:r>
        <w:rPr>
          <w:rFonts w:hint="eastAsia"/>
          <w:sz w:val="24"/>
        </w:rPr>
        <w:t>4.9</w:t>
      </w:r>
      <w:r>
        <w:rPr>
          <w:rFonts w:hint="eastAsia"/>
          <w:sz w:val="24"/>
          <w:lang w:val="en-US" w:eastAsia="zh-CN"/>
        </w:rPr>
        <w:t xml:space="preserve"> </w:t>
      </w:r>
      <w:r>
        <w:rPr>
          <w:rFonts w:hint="eastAsia"/>
          <w:sz w:val="24"/>
          <w:szCs w:val="28"/>
        </w:rPr>
        <w:t>仪表和控制系统应随主机成套并满足现场监视、就地集中监控的要求，并设计将重要参数引入DCS控制系统的通道（通讯方式为MODBUS）。</w:t>
      </w:r>
    </w:p>
    <w:p>
      <w:pPr>
        <w:ind w:left="480" w:hanging="480" w:hangingChars="200"/>
        <w:rPr>
          <w:sz w:val="24"/>
          <w:szCs w:val="28"/>
        </w:rPr>
      </w:pPr>
      <w:r>
        <w:rPr>
          <w:rFonts w:hint="eastAsia"/>
          <w:sz w:val="24"/>
        </w:rPr>
        <w:t>4.10</w:t>
      </w:r>
      <w:r>
        <w:rPr>
          <w:rFonts w:hint="eastAsia"/>
          <w:sz w:val="24"/>
          <w:szCs w:val="28"/>
        </w:rPr>
        <w:t>信号联锁控制系统应采用PLC控制。</w:t>
      </w:r>
    </w:p>
    <w:p>
      <w:pPr>
        <w:ind w:left="480" w:hanging="480" w:hangingChars="200"/>
        <w:rPr>
          <w:sz w:val="24"/>
        </w:rPr>
      </w:pPr>
      <w:r>
        <w:rPr>
          <w:rFonts w:hint="eastAsia"/>
          <w:sz w:val="24"/>
          <w:szCs w:val="28"/>
        </w:rPr>
        <w:t>4.11 电机选型及启动方式应满足10KV电源相关要求。</w:t>
      </w:r>
    </w:p>
    <w:p>
      <w:pPr>
        <w:ind w:left="480" w:hanging="480" w:hangingChars="200"/>
        <w:rPr>
          <w:sz w:val="24"/>
        </w:rPr>
      </w:pPr>
      <w:r>
        <w:rPr>
          <w:rFonts w:hint="eastAsia"/>
          <w:sz w:val="24"/>
        </w:rPr>
        <w:t>4.12 设备系统选型时必须满足设备防爆要求；设备防护等级要求不低于IP55。</w:t>
      </w:r>
    </w:p>
    <w:p>
      <w:pPr>
        <w:ind w:left="480" w:hanging="480" w:hangingChars="200"/>
        <w:rPr>
          <w:sz w:val="24"/>
        </w:rPr>
      </w:pPr>
      <w:r>
        <w:rPr>
          <w:rFonts w:hint="eastAsia"/>
          <w:sz w:val="24"/>
        </w:rPr>
        <w:t>4.13 设备进气管路需设计过滤器、排气管路需设计止回阀。</w:t>
      </w:r>
    </w:p>
    <w:p>
      <w:pPr>
        <w:numPr>
          <w:ilvl w:val="0"/>
          <w:numId w:val="1"/>
        </w:numPr>
        <w:ind w:left="357" w:hanging="357"/>
        <w:rPr>
          <w:b/>
          <w:sz w:val="28"/>
          <w:szCs w:val="28"/>
        </w:rPr>
      </w:pPr>
      <w:r>
        <w:rPr>
          <w:rFonts w:hint="eastAsia"/>
          <w:b/>
          <w:sz w:val="28"/>
          <w:szCs w:val="28"/>
        </w:rPr>
        <w:t>供货范围</w:t>
      </w:r>
    </w:p>
    <w:p>
      <w:pPr>
        <w:ind w:left="-2" w:leftChars="-1" w:firstLine="480" w:firstLineChars="200"/>
        <w:rPr>
          <w:sz w:val="24"/>
        </w:rPr>
      </w:pPr>
      <w:r>
        <w:rPr>
          <w:rFonts w:hint="eastAsia"/>
          <w:sz w:val="24"/>
          <w:lang w:eastAsia="zh-CN"/>
        </w:rPr>
        <w:t>投标人</w:t>
      </w:r>
      <w:r>
        <w:rPr>
          <w:rFonts w:hint="eastAsia"/>
          <w:sz w:val="24"/>
        </w:rPr>
        <w:t>需提供设备及辅助设备，包括设备的设计、制造、装配、检验与试验、油漆、包装等相关标准要求的工作内容，包括但不限于以下内容：</w:t>
      </w:r>
    </w:p>
    <w:p>
      <w:pPr>
        <w:ind w:left="-2" w:leftChars="-1" w:firstLine="480" w:firstLineChars="200"/>
        <w:rPr>
          <w:sz w:val="24"/>
        </w:rPr>
      </w:pPr>
      <w:r>
        <w:rPr>
          <w:rFonts w:hint="eastAsia"/>
          <w:sz w:val="24"/>
        </w:rPr>
        <w:t>—— 压缩机本体、配套电机及联轴器</w:t>
      </w:r>
    </w:p>
    <w:p>
      <w:pPr>
        <w:ind w:left="-2" w:leftChars="-1" w:firstLine="480" w:firstLineChars="200"/>
        <w:rPr>
          <w:sz w:val="24"/>
        </w:rPr>
      </w:pPr>
      <w:r>
        <w:rPr>
          <w:rFonts w:hint="eastAsia"/>
          <w:sz w:val="24"/>
        </w:rPr>
        <w:t>—— 压缩机进气和排气等管路、相关阀门及缓冲罐（包含安全阀）</w:t>
      </w:r>
    </w:p>
    <w:p>
      <w:pPr>
        <w:ind w:left="-2" w:leftChars="-1" w:firstLine="480" w:firstLineChars="200"/>
        <w:rPr>
          <w:sz w:val="24"/>
        </w:rPr>
      </w:pPr>
      <w:r>
        <w:rPr>
          <w:rFonts w:hint="eastAsia"/>
          <w:sz w:val="24"/>
        </w:rPr>
        <w:t>—— 传动机构润滑油站系统（包含油泵及电机、油滤等）</w:t>
      </w:r>
    </w:p>
    <w:p>
      <w:pPr>
        <w:ind w:left="-2" w:leftChars="-1" w:firstLine="480" w:firstLineChars="200"/>
        <w:rPr>
          <w:sz w:val="24"/>
        </w:rPr>
      </w:pPr>
      <w:r>
        <w:rPr>
          <w:rFonts w:hint="eastAsia"/>
          <w:sz w:val="24"/>
        </w:rPr>
        <w:t>—— 机组冷却系统（包含水冷却、空冷等）</w:t>
      </w:r>
    </w:p>
    <w:p>
      <w:pPr>
        <w:ind w:left="-2" w:leftChars="-1" w:firstLine="480" w:firstLineChars="200"/>
        <w:rPr>
          <w:sz w:val="24"/>
        </w:rPr>
      </w:pPr>
      <w:r>
        <w:rPr>
          <w:rFonts w:hint="eastAsia"/>
          <w:sz w:val="24"/>
        </w:rPr>
        <w:t>—— 系统就地指示仪表、一次仪表及其附件</w:t>
      </w:r>
    </w:p>
    <w:p>
      <w:pPr>
        <w:ind w:left="-2" w:leftChars="-1" w:firstLine="480" w:firstLineChars="200"/>
        <w:rPr>
          <w:sz w:val="24"/>
        </w:rPr>
      </w:pPr>
      <w:r>
        <w:rPr>
          <w:rFonts w:hint="eastAsia"/>
          <w:sz w:val="24"/>
        </w:rPr>
        <w:t>—— 就地防爆控制柜（含触摸屏）、防爆操作柱（有电流指示）</w:t>
      </w:r>
    </w:p>
    <w:p>
      <w:pPr>
        <w:ind w:left="-2" w:leftChars="-1" w:firstLine="480" w:firstLineChars="200"/>
        <w:rPr>
          <w:sz w:val="24"/>
        </w:rPr>
      </w:pPr>
      <w:r>
        <w:rPr>
          <w:rFonts w:hint="eastAsia"/>
          <w:sz w:val="24"/>
        </w:rPr>
        <w:t>—— 盘车工具、专用工具、备品备件</w:t>
      </w:r>
    </w:p>
    <w:p>
      <w:pPr>
        <w:ind w:left="-2" w:leftChars="-1" w:firstLine="480" w:firstLineChars="200"/>
        <w:rPr>
          <w:sz w:val="24"/>
        </w:rPr>
      </w:pPr>
      <w:r>
        <w:rPr>
          <w:rFonts w:hint="eastAsia"/>
          <w:sz w:val="24"/>
        </w:rPr>
        <w:t>—— 所有对接管口的配对法兰（WN型）、撬块地脚螺栓、垫片、螺母</w:t>
      </w:r>
    </w:p>
    <w:p>
      <w:pPr>
        <w:ind w:left="-2" w:leftChars="-1" w:firstLine="480" w:firstLineChars="200"/>
        <w:rPr>
          <w:sz w:val="24"/>
        </w:rPr>
      </w:pPr>
      <w:r>
        <w:rPr>
          <w:rFonts w:hint="eastAsia"/>
          <w:sz w:val="24"/>
        </w:rPr>
        <w:t>—— 其它部件</w:t>
      </w:r>
    </w:p>
    <w:p>
      <w:pPr>
        <w:numPr>
          <w:ilvl w:val="0"/>
          <w:numId w:val="1"/>
        </w:numPr>
        <w:rPr>
          <w:b/>
          <w:sz w:val="28"/>
          <w:szCs w:val="28"/>
        </w:rPr>
      </w:pPr>
      <w:r>
        <w:rPr>
          <w:rFonts w:hint="eastAsia"/>
          <w:b/>
          <w:sz w:val="28"/>
          <w:szCs w:val="28"/>
        </w:rPr>
        <w:t>技术文件及交付</w:t>
      </w:r>
    </w:p>
    <w:p>
      <w:pPr>
        <w:numPr>
          <w:ilvl w:val="1"/>
          <w:numId w:val="1"/>
        </w:numPr>
        <w:rPr>
          <w:sz w:val="24"/>
        </w:rPr>
      </w:pPr>
      <w:r>
        <w:rPr>
          <w:rFonts w:hint="eastAsia"/>
          <w:sz w:val="24"/>
          <w:lang w:eastAsia="zh-CN"/>
        </w:rPr>
        <w:t>投标人</w:t>
      </w:r>
      <w:r>
        <w:rPr>
          <w:rFonts w:hint="eastAsia"/>
          <w:sz w:val="24"/>
        </w:rPr>
        <w:t>提供的文件资料中的计量单位应采用国际制单位表示，所有文件资料使用的语言必须为中文或全文有中文翻译，电子版文件格式为PDF或AutoCAD。</w:t>
      </w:r>
    </w:p>
    <w:p>
      <w:pPr>
        <w:numPr>
          <w:ilvl w:val="1"/>
          <w:numId w:val="1"/>
        </w:numPr>
        <w:rPr>
          <w:sz w:val="24"/>
        </w:rPr>
      </w:pPr>
      <w:r>
        <w:rPr>
          <w:rFonts w:hint="eastAsia"/>
          <w:sz w:val="24"/>
        </w:rPr>
        <w:t>在签订商务合同及技术协议后7个工作日内，供货单位负责出示设备设计图纸给我方，在图纸审核完成进行加工制造。</w:t>
      </w:r>
    </w:p>
    <w:p>
      <w:pPr>
        <w:rPr>
          <w:b/>
          <w:sz w:val="28"/>
          <w:szCs w:val="28"/>
        </w:rPr>
      </w:pPr>
      <w:r>
        <w:rPr>
          <w:rFonts w:hint="eastAsia"/>
          <w:b/>
          <w:sz w:val="28"/>
          <w:szCs w:val="28"/>
        </w:rPr>
        <w:t>7</w:t>
      </w:r>
      <w:r>
        <w:rPr>
          <w:rFonts w:hint="eastAsia"/>
          <w:b/>
          <w:sz w:val="28"/>
          <w:szCs w:val="28"/>
          <w:lang w:val="en-US" w:eastAsia="zh-CN"/>
        </w:rPr>
        <w:t xml:space="preserve">  </w:t>
      </w:r>
      <w:r>
        <w:rPr>
          <w:rFonts w:hint="eastAsia"/>
          <w:b/>
          <w:sz w:val="28"/>
          <w:szCs w:val="28"/>
        </w:rPr>
        <w:t>压缩机采购工艺条件</w:t>
      </w:r>
    </w:p>
    <w:p>
      <w:pPr>
        <w:spacing w:line="360" w:lineRule="auto"/>
        <w:rPr>
          <w:rFonts w:asciiTheme="majorEastAsia" w:hAnsiTheme="majorEastAsia" w:eastAsiaTheme="majorEastAsia"/>
          <w:b w:val="0"/>
          <w:bCs/>
          <w:sz w:val="24"/>
          <w:szCs w:val="24"/>
        </w:rPr>
      </w:pPr>
      <w:r>
        <w:rPr>
          <w:rFonts w:hint="eastAsia" w:asciiTheme="majorEastAsia" w:hAnsiTheme="majorEastAsia" w:eastAsiaTheme="majorEastAsia"/>
          <w:b w:val="0"/>
          <w:bCs/>
          <w:sz w:val="24"/>
          <w:szCs w:val="24"/>
          <w:lang w:val="en-US" w:eastAsia="zh-CN"/>
        </w:rPr>
        <w:t>7.</w:t>
      </w:r>
      <w:r>
        <w:rPr>
          <w:rFonts w:hint="eastAsia" w:asciiTheme="majorEastAsia" w:hAnsiTheme="majorEastAsia" w:eastAsiaTheme="majorEastAsia"/>
          <w:b w:val="0"/>
          <w:bCs/>
          <w:sz w:val="24"/>
          <w:szCs w:val="24"/>
        </w:rPr>
        <w:t>1</w:t>
      </w:r>
      <w:r>
        <w:rPr>
          <w:rFonts w:hint="eastAsia" w:asciiTheme="majorEastAsia" w:hAnsiTheme="majorEastAsia" w:eastAsiaTheme="majorEastAsia"/>
          <w:b w:val="0"/>
          <w:bCs/>
          <w:sz w:val="24"/>
          <w:szCs w:val="24"/>
          <w:lang w:val="en-US" w:eastAsia="zh-CN"/>
        </w:rPr>
        <w:t xml:space="preserve"> </w:t>
      </w:r>
      <w:r>
        <w:rPr>
          <w:rFonts w:hint="eastAsia" w:asciiTheme="majorEastAsia" w:hAnsiTheme="majorEastAsia" w:eastAsiaTheme="majorEastAsia"/>
          <w:b w:val="0"/>
          <w:bCs/>
          <w:sz w:val="24"/>
          <w:szCs w:val="24"/>
        </w:rPr>
        <w:t>往复式氢压缩机（位号：01C1801AC）</w:t>
      </w:r>
    </w:p>
    <w:p>
      <w:pPr>
        <w:spacing w:line="360" w:lineRule="auto"/>
        <w:ind w:firstLine="480" w:firstLineChars="200"/>
        <w:rPr>
          <w:rFonts w:asciiTheme="majorEastAsia" w:hAnsiTheme="majorEastAsia" w:eastAsiaTheme="majorEastAsia"/>
          <w:b w:val="0"/>
          <w:bCs/>
          <w:sz w:val="24"/>
          <w:szCs w:val="24"/>
        </w:rPr>
      </w:pPr>
      <w:r>
        <w:rPr>
          <w:rFonts w:hint="eastAsia" w:asciiTheme="majorEastAsia" w:hAnsiTheme="majorEastAsia" w:eastAsiaTheme="majorEastAsia"/>
          <w:b w:val="0"/>
          <w:bCs/>
          <w:sz w:val="24"/>
          <w:szCs w:val="24"/>
        </w:rPr>
        <w:t>工艺条件：进气压力1.65MPa(G)，进气温度-20℃,排气压力2.5MPa(G)，排气量9000 Nm</w:t>
      </w:r>
      <w:r>
        <w:rPr>
          <w:rFonts w:hint="eastAsia" w:asciiTheme="majorEastAsia" w:hAnsiTheme="majorEastAsia" w:eastAsiaTheme="majorEastAsia"/>
          <w:b w:val="0"/>
          <w:bCs/>
          <w:sz w:val="24"/>
          <w:szCs w:val="24"/>
          <w:vertAlign w:val="superscript"/>
        </w:rPr>
        <w:t>3</w:t>
      </w:r>
      <w:r>
        <w:rPr>
          <w:rFonts w:hint="eastAsia" w:asciiTheme="majorEastAsia" w:hAnsiTheme="majorEastAsia" w:eastAsiaTheme="majorEastAsia"/>
          <w:b w:val="0"/>
          <w:bCs/>
          <w:sz w:val="24"/>
          <w:szCs w:val="24"/>
        </w:rPr>
        <w:t>/h，介质：氢气；体积组分:H</w:t>
      </w:r>
      <w:r>
        <w:rPr>
          <w:rFonts w:hint="eastAsia" w:asciiTheme="majorEastAsia" w:hAnsiTheme="majorEastAsia" w:eastAsiaTheme="majorEastAsia"/>
          <w:b w:val="0"/>
          <w:bCs/>
          <w:sz w:val="24"/>
          <w:szCs w:val="24"/>
          <w:vertAlign w:val="subscript"/>
        </w:rPr>
        <w:t>2</w:t>
      </w:r>
      <w:r>
        <w:rPr>
          <w:rFonts w:hint="eastAsia" w:asciiTheme="majorEastAsia" w:hAnsiTheme="majorEastAsia" w:eastAsiaTheme="majorEastAsia"/>
          <w:b w:val="0"/>
          <w:bCs/>
          <w:sz w:val="24"/>
          <w:szCs w:val="24"/>
        </w:rPr>
        <w:t>含量98%；氯硅烷含量2%，电压：10KV</w:t>
      </w:r>
    </w:p>
    <w:p>
      <w:pPr>
        <w:spacing w:line="360" w:lineRule="auto"/>
        <w:jc w:val="center"/>
        <w:rPr>
          <w:rFonts w:asciiTheme="majorEastAsia" w:hAnsiTheme="majorEastAsia" w:eastAsiaTheme="majorEastAsia"/>
          <w:sz w:val="44"/>
          <w:szCs w:val="44"/>
        </w:rPr>
      </w:pPr>
    </w:p>
    <w:p>
      <w:pPr>
        <w:spacing w:line="360" w:lineRule="auto"/>
        <w:jc w:val="center"/>
        <w:rPr>
          <w:rFonts w:asciiTheme="majorEastAsia" w:hAnsiTheme="majorEastAsia" w:eastAsiaTheme="majorEastAsia"/>
          <w:sz w:val="44"/>
          <w:szCs w:val="44"/>
        </w:rPr>
      </w:pPr>
    </w:p>
    <w:p>
      <w:pPr>
        <w:rPr>
          <w:b/>
          <w:sz w:val="28"/>
          <w:szCs w:val="28"/>
          <w:u w:val="single"/>
        </w:rPr>
      </w:pPr>
    </w:p>
    <w:sectPr>
      <w:headerReference r:id="rId3" w:type="default"/>
      <w:footerReference r:id="rId4" w:type="default"/>
      <w:pgSz w:w="11906" w:h="16838"/>
      <w:pgMar w:top="1440" w:right="1797" w:bottom="851" w:left="1797" w:header="851" w:footer="907"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0867"/>
      <w:docPartObj>
        <w:docPartGallery w:val="AutoText"/>
      </w:docPartObj>
    </w:sdtPr>
    <w:sdtContent>
      <w:p>
        <w:pPr>
          <w:pStyle w:val="4"/>
          <w:jc w:val="center"/>
        </w:pPr>
        <w:r>
          <w:fldChar w:fldCharType="begin"/>
        </w:r>
        <w:r>
          <w:instrText xml:space="preserve"> PAGE   \* MERGEFORMAT </w:instrText>
        </w:r>
        <w:r>
          <w:fldChar w:fldCharType="separate"/>
        </w:r>
        <w:r>
          <w:rPr>
            <w:lang w:val="zh-CN"/>
          </w:rPr>
          <w:t>-</w:t>
        </w:r>
        <w:r>
          <w:t xml:space="preserve"> 2 -</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1A4AFF"/>
    <w:multiLevelType w:val="multilevel"/>
    <w:tmpl w:val="691A4AFF"/>
    <w:lvl w:ilvl="0" w:tentative="0">
      <w:start w:val="1"/>
      <w:numFmt w:val="decimal"/>
      <w:lvlText w:val="%1"/>
      <w:lvlJc w:val="left"/>
      <w:pPr>
        <w:tabs>
          <w:tab w:val="left" w:pos="360"/>
        </w:tabs>
        <w:ind w:left="360" w:hanging="360"/>
      </w:pPr>
      <w:rPr>
        <w:rFonts w:hint="default"/>
      </w:rPr>
    </w:lvl>
    <w:lvl w:ilvl="1" w:tentative="0">
      <w:start w:val="1"/>
      <w:numFmt w:val="decimal"/>
      <w:isLgl/>
      <w:lvlText w:val="%1.%2"/>
      <w:lvlJc w:val="left"/>
      <w:pPr>
        <w:tabs>
          <w:tab w:val="left" w:pos="420"/>
        </w:tabs>
        <w:ind w:left="420" w:hanging="42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720"/>
        </w:tabs>
        <w:ind w:left="720" w:hanging="7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080"/>
        </w:tabs>
        <w:ind w:left="1080" w:hanging="108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440"/>
        </w:tabs>
        <w:ind w:left="1440" w:hanging="1440"/>
      </w:pPr>
      <w:rPr>
        <w:rFonts w:hint="default"/>
      </w:rPr>
    </w:lvl>
    <w:lvl w:ilvl="8" w:tentative="0">
      <w:start w:val="1"/>
      <w:numFmt w:val="decimal"/>
      <w:isLg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5081"/>
    <w:rsid w:val="000069C5"/>
    <w:rsid w:val="00007242"/>
    <w:rsid w:val="00010409"/>
    <w:rsid w:val="000141FD"/>
    <w:rsid w:val="00052A56"/>
    <w:rsid w:val="000650C0"/>
    <w:rsid w:val="00072929"/>
    <w:rsid w:val="0009540F"/>
    <w:rsid w:val="000967A5"/>
    <w:rsid w:val="000A15E0"/>
    <w:rsid w:val="000B7619"/>
    <w:rsid w:val="000C46F5"/>
    <w:rsid w:val="000C7BDB"/>
    <w:rsid w:val="000D09B4"/>
    <w:rsid w:val="000E4F4E"/>
    <w:rsid w:val="000F29F4"/>
    <w:rsid w:val="000F4C87"/>
    <w:rsid w:val="0010365D"/>
    <w:rsid w:val="00110E10"/>
    <w:rsid w:val="0012132A"/>
    <w:rsid w:val="00141C68"/>
    <w:rsid w:val="00150F74"/>
    <w:rsid w:val="00155AE6"/>
    <w:rsid w:val="00190855"/>
    <w:rsid w:val="001C48F4"/>
    <w:rsid w:val="001E1282"/>
    <w:rsid w:val="001E76C1"/>
    <w:rsid w:val="001F04C7"/>
    <w:rsid w:val="001F548F"/>
    <w:rsid w:val="002210C5"/>
    <w:rsid w:val="0022615B"/>
    <w:rsid w:val="0023714D"/>
    <w:rsid w:val="002431F3"/>
    <w:rsid w:val="00243C36"/>
    <w:rsid w:val="0027311B"/>
    <w:rsid w:val="00281F6D"/>
    <w:rsid w:val="002936FD"/>
    <w:rsid w:val="002A2DBD"/>
    <w:rsid w:val="002B7F0B"/>
    <w:rsid w:val="002C0319"/>
    <w:rsid w:val="002E2391"/>
    <w:rsid w:val="002F1FD1"/>
    <w:rsid w:val="002F51E6"/>
    <w:rsid w:val="002F770A"/>
    <w:rsid w:val="00322BD6"/>
    <w:rsid w:val="00324845"/>
    <w:rsid w:val="003321D1"/>
    <w:rsid w:val="0033221D"/>
    <w:rsid w:val="003330F2"/>
    <w:rsid w:val="0034282D"/>
    <w:rsid w:val="0034679C"/>
    <w:rsid w:val="00347946"/>
    <w:rsid w:val="003754EA"/>
    <w:rsid w:val="003A6EF8"/>
    <w:rsid w:val="003B7B28"/>
    <w:rsid w:val="003C3DE0"/>
    <w:rsid w:val="003D006A"/>
    <w:rsid w:val="003D5E2B"/>
    <w:rsid w:val="003F3F3C"/>
    <w:rsid w:val="0041091E"/>
    <w:rsid w:val="00416942"/>
    <w:rsid w:val="00432849"/>
    <w:rsid w:val="00450F03"/>
    <w:rsid w:val="00453DDE"/>
    <w:rsid w:val="00463044"/>
    <w:rsid w:val="00467F70"/>
    <w:rsid w:val="004944C8"/>
    <w:rsid w:val="004D7C14"/>
    <w:rsid w:val="004F6261"/>
    <w:rsid w:val="00504F37"/>
    <w:rsid w:val="00506654"/>
    <w:rsid w:val="00510D39"/>
    <w:rsid w:val="0055044C"/>
    <w:rsid w:val="005553CE"/>
    <w:rsid w:val="00585081"/>
    <w:rsid w:val="005927EF"/>
    <w:rsid w:val="005A3D87"/>
    <w:rsid w:val="005A6C19"/>
    <w:rsid w:val="005C2775"/>
    <w:rsid w:val="005C56D0"/>
    <w:rsid w:val="005C5A20"/>
    <w:rsid w:val="005E45E2"/>
    <w:rsid w:val="005E5105"/>
    <w:rsid w:val="005F45DA"/>
    <w:rsid w:val="00623990"/>
    <w:rsid w:val="00630517"/>
    <w:rsid w:val="006513D4"/>
    <w:rsid w:val="00653747"/>
    <w:rsid w:val="00673CF8"/>
    <w:rsid w:val="00691A3C"/>
    <w:rsid w:val="006E10EC"/>
    <w:rsid w:val="006E56CE"/>
    <w:rsid w:val="00700423"/>
    <w:rsid w:val="00703227"/>
    <w:rsid w:val="00715BC1"/>
    <w:rsid w:val="00740C0D"/>
    <w:rsid w:val="00747260"/>
    <w:rsid w:val="00765E9D"/>
    <w:rsid w:val="00766688"/>
    <w:rsid w:val="00777A5E"/>
    <w:rsid w:val="007804B9"/>
    <w:rsid w:val="00790A29"/>
    <w:rsid w:val="007A5BB4"/>
    <w:rsid w:val="007D7259"/>
    <w:rsid w:val="007E315A"/>
    <w:rsid w:val="007F05B2"/>
    <w:rsid w:val="007F18E6"/>
    <w:rsid w:val="007F56DB"/>
    <w:rsid w:val="00802146"/>
    <w:rsid w:val="00816441"/>
    <w:rsid w:val="0083007D"/>
    <w:rsid w:val="00836C36"/>
    <w:rsid w:val="00841FA3"/>
    <w:rsid w:val="00842060"/>
    <w:rsid w:val="008426EF"/>
    <w:rsid w:val="00844444"/>
    <w:rsid w:val="008661C8"/>
    <w:rsid w:val="00872A87"/>
    <w:rsid w:val="008764E8"/>
    <w:rsid w:val="008905D2"/>
    <w:rsid w:val="00892712"/>
    <w:rsid w:val="00892D78"/>
    <w:rsid w:val="00893D13"/>
    <w:rsid w:val="008D2B03"/>
    <w:rsid w:val="008F0411"/>
    <w:rsid w:val="008F539A"/>
    <w:rsid w:val="00902CC9"/>
    <w:rsid w:val="009064E5"/>
    <w:rsid w:val="00940C6F"/>
    <w:rsid w:val="00945711"/>
    <w:rsid w:val="00953EB0"/>
    <w:rsid w:val="009608C9"/>
    <w:rsid w:val="009609B5"/>
    <w:rsid w:val="00972C31"/>
    <w:rsid w:val="00973CDB"/>
    <w:rsid w:val="0098021E"/>
    <w:rsid w:val="0098222F"/>
    <w:rsid w:val="00984DE6"/>
    <w:rsid w:val="0098612E"/>
    <w:rsid w:val="00987AAE"/>
    <w:rsid w:val="009B2AF1"/>
    <w:rsid w:val="009B2C72"/>
    <w:rsid w:val="009B5FB1"/>
    <w:rsid w:val="009B6311"/>
    <w:rsid w:val="009B7DA2"/>
    <w:rsid w:val="009B7FB3"/>
    <w:rsid w:val="009C5E85"/>
    <w:rsid w:val="009D595C"/>
    <w:rsid w:val="00A00C63"/>
    <w:rsid w:val="00A145E6"/>
    <w:rsid w:val="00A269B4"/>
    <w:rsid w:val="00A46421"/>
    <w:rsid w:val="00A679BD"/>
    <w:rsid w:val="00A71B20"/>
    <w:rsid w:val="00A81345"/>
    <w:rsid w:val="00AC28ED"/>
    <w:rsid w:val="00B37BDF"/>
    <w:rsid w:val="00B46ACA"/>
    <w:rsid w:val="00B72C1A"/>
    <w:rsid w:val="00B8352F"/>
    <w:rsid w:val="00BA1AFA"/>
    <w:rsid w:val="00BB1174"/>
    <w:rsid w:val="00BB7D91"/>
    <w:rsid w:val="00BD2A4C"/>
    <w:rsid w:val="00BF3EE8"/>
    <w:rsid w:val="00BF46A5"/>
    <w:rsid w:val="00C15F9C"/>
    <w:rsid w:val="00C21774"/>
    <w:rsid w:val="00C41C4C"/>
    <w:rsid w:val="00C64320"/>
    <w:rsid w:val="00C72FEB"/>
    <w:rsid w:val="00C74854"/>
    <w:rsid w:val="00C761B1"/>
    <w:rsid w:val="00C8464A"/>
    <w:rsid w:val="00C9069C"/>
    <w:rsid w:val="00C9453C"/>
    <w:rsid w:val="00CB29A1"/>
    <w:rsid w:val="00CE1D1C"/>
    <w:rsid w:val="00CF092C"/>
    <w:rsid w:val="00D00095"/>
    <w:rsid w:val="00D03BB2"/>
    <w:rsid w:val="00D06AC1"/>
    <w:rsid w:val="00D17121"/>
    <w:rsid w:val="00D365C9"/>
    <w:rsid w:val="00D367C1"/>
    <w:rsid w:val="00D57380"/>
    <w:rsid w:val="00D62A69"/>
    <w:rsid w:val="00D710AD"/>
    <w:rsid w:val="00D71231"/>
    <w:rsid w:val="00D96822"/>
    <w:rsid w:val="00DA7265"/>
    <w:rsid w:val="00DC24BE"/>
    <w:rsid w:val="00DE47E6"/>
    <w:rsid w:val="00DF3CEF"/>
    <w:rsid w:val="00DF4495"/>
    <w:rsid w:val="00E02B21"/>
    <w:rsid w:val="00E17A34"/>
    <w:rsid w:val="00E55EDF"/>
    <w:rsid w:val="00E5620C"/>
    <w:rsid w:val="00E84BEF"/>
    <w:rsid w:val="00E84C36"/>
    <w:rsid w:val="00E94198"/>
    <w:rsid w:val="00E96F88"/>
    <w:rsid w:val="00EA2E3A"/>
    <w:rsid w:val="00EA63B0"/>
    <w:rsid w:val="00EA70A3"/>
    <w:rsid w:val="00EC3B24"/>
    <w:rsid w:val="00ED245E"/>
    <w:rsid w:val="00ED2B7E"/>
    <w:rsid w:val="00EE14AB"/>
    <w:rsid w:val="00EE38CE"/>
    <w:rsid w:val="00EF6356"/>
    <w:rsid w:val="00EF7D80"/>
    <w:rsid w:val="00F00147"/>
    <w:rsid w:val="00F03813"/>
    <w:rsid w:val="00F11A30"/>
    <w:rsid w:val="00F76585"/>
    <w:rsid w:val="00F77F5C"/>
    <w:rsid w:val="00F92421"/>
    <w:rsid w:val="00FB2FC0"/>
    <w:rsid w:val="00FC019E"/>
    <w:rsid w:val="00FC7E3E"/>
    <w:rsid w:val="00FD2779"/>
    <w:rsid w:val="00FD7D80"/>
    <w:rsid w:val="00FE732F"/>
    <w:rsid w:val="02BF7B8C"/>
    <w:rsid w:val="02DD1C5B"/>
    <w:rsid w:val="266A67B4"/>
    <w:rsid w:val="30726ECF"/>
    <w:rsid w:val="31C61C5A"/>
    <w:rsid w:val="349F0A11"/>
    <w:rsid w:val="3EC004F5"/>
    <w:rsid w:val="47C03FF3"/>
    <w:rsid w:val="6453302E"/>
    <w:rsid w:val="7D9224E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uiPriority w:val="99"/>
    <w:pPr>
      <w:ind w:left="100" w:leftChars="2500"/>
    </w:pPr>
  </w:style>
  <w:style w:type="paragraph" w:styleId="3">
    <w:name w:val="Balloon Text"/>
    <w:basedOn w:val="1"/>
    <w:link w:val="10"/>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99"/>
    <w:rPr>
      <w:sz w:val="18"/>
      <w:szCs w:val="18"/>
    </w:rPr>
  </w:style>
  <w:style w:type="character" w:customStyle="1" w:styleId="9">
    <w:name w:val="页脚 Char"/>
    <w:basedOn w:val="6"/>
    <w:link w:val="4"/>
    <w:uiPriority w:val="99"/>
    <w:rPr>
      <w:sz w:val="18"/>
      <w:szCs w:val="18"/>
    </w:rPr>
  </w:style>
  <w:style w:type="character" w:customStyle="1" w:styleId="10">
    <w:name w:val="批注框文本 Char"/>
    <w:basedOn w:val="6"/>
    <w:link w:val="3"/>
    <w:semiHidden/>
    <w:uiPriority w:val="99"/>
    <w:rPr>
      <w:sz w:val="18"/>
      <w:szCs w:val="18"/>
    </w:rPr>
  </w:style>
  <w:style w:type="character" w:customStyle="1" w:styleId="11">
    <w:name w:val="日期 Char"/>
    <w:basedOn w:val="6"/>
    <w:link w:val="2"/>
    <w:semiHidden/>
    <w:uiPriority w:val="99"/>
    <w:rPr>
      <w:rFonts w:ascii="Times New Roman" w:hAnsi="Times New Roman" w:eastAsia="宋体" w:cs="Times New Roman"/>
      <w:szCs w:val="24"/>
    </w:rPr>
  </w:style>
  <w:style w:type="paragraph" w:styleId="12">
    <w:name w:val="List Paragraph"/>
    <w:basedOn w:val="1"/>
    <w:qFormat/>
    <w:uiPriority w:val="34"/>
    <w:pPr>
      <w:ind w:firstLine="420" w:firstLineChars="200"/>
    </w:pPr>
  </w:style>
  <w:style w:type="paragraph" w:customStyle="1" w:styleId="13">
    <w:name w:val="Char"/>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279FA-72B2-4E41-8DED-552924B0D5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516</Words>
  <Characters>2947</Characters>
  <Lines>24</Lines>
  <Paragraphs>6</Paragraphs>
  <TotalTime>0</TotalTime>
  <ScaleCrop>false</ScaleCrop>
  <LinksUpToDate>false</LinksUpToDate>
  <CharactersWithSpaces>3457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2014-06-09T06:04:00Z</dcterms:created>
  <dc:creator>微软用户</dc:creator>
  <cp:lastModifiedBy>dadidi</cp:lastModifiedBy>
  <cp:lastPrinted>2018-02-01T01:25:00Z</cp:lastPrinted>
  <dcterms:modified xsi:type="dcterms:W3CDTF">2018-02-26T07:42:01Z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