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20" w:beforeLines="50" w:after="120" w:afterLines="50" w:line="360" w:lineRule="auto"/>
        <w:jc w:val="center"/>
        <w:rPr>
          <w:rFonts w:hint="eastAsia" w:ascii="宋体" w:hAnsi="宋体"/>
          <w:color w:val="auto"/>
          <w:highlight w:val="none"/>
        </w:rPr>
      </w:pPr>
      <w:r>
        <w:rPr>
          <w:rFonts w:hint="eastAsia" w:ascii="宋体" w:hAnsi="宋体"/>
          <w:color w:val="auto"/>
          <w:highlight w:val="none"/>
        </w:rPr>
        <w:t>新筑新城二期、秦汉和苑项目地貌测量</w:t>
      </w:r>
      <w:r>
        <w:rPr>
          <w:rFonts w:ascii="宋体" w:hAnsi="宋体"/>
          <w:color w:val="auto"/>
          <w:highlight w:val="none"/>
        </w:rPr>
        <w:t>招标公告</w:t>
      </w:r>
      <w:bookmarkStart w:id="0" w:name="page12"/>
      <w:bookmarkEnd w:id="0"/>
    </w:p>
    <w:p>
      <w:pPr>
        <w:pStyle w:val="3"/>
        <w:spacing w:before="0" w:after="0" w:line="360" w:lineRule="auto"/>
        <w:rPr>
          <w:rFonts w:ascii="宋体" w:hAnsi="宋体"/>
          <w:color w:val="auto"/>
          <w:kern w:val="2"/>
          <w:sz w:val="24"/>
          <w:szCs w:val="24"/>
          <w:highlight w:val="none"/>
        </w:rPr>
      </w:pPr>
      <w:r>
        <w:rPr>
          <w:rFonts w:ascii="宋体" w:hAnsi="宋体"/>
          <w:color w:val="auto"/>
          <w:kern w:val="2"/>
          <w:sz w:val="24"/>
          <w:szCs w:val="24"/>
          <w:highlight w:val="none"/>
        </w:rPr>
        <w:t>1</w:t>
      </w:r>
      <w:r>
        <w:rPr>
          <w:rFonts w:hint="eastAsia" w:ascii="宋体" w:hAnsi="宋体"/>
          <w:color w:val="auto"/>
          <w:kern w:val="2"/>
          <w:sz w:val="24"/>
          <w:szCs w:val="24"/>
          <w:highlight w:val="none"/>
        </w:rPr>
        <w:t>．招标条件</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本招标项目</w:t>
      </w:r>
      <w:r>
        <w:rPr>
          <w:rFonts w:hint="eastAsia" w:ascii="宋体" w:hAnsi="宋体"/>
          <w:color w:val="auto"/>
          <w:sz w:val="21"/>
          <w:szCs w:val="21"/>
          <w:highlight w:val="none"/>
          <w:u w:val="single"/>
        </w:rPr>
        <w:t xml:space="preserve"> 新筑新城二期、秦汉和苑项目 </w:t>
      </w:r>
      <w:r>
        <w:rPr>
          <w:rFonts w:hint="eastAsia" w:ascii="宋体" w:hAnsi="宋体"/>
          <w:color w:val="auto"/>
          <w:sz w:val="21"/>
          <w:szCs w:val="21"/>
          <w:highlight w:val="none"/>
        </w:rPr>
        <w:t>已由</w:t>
      </w:r>
      <w:r>
        <w:rPr>
          <w:rFonts w:hint="eastAsia" w:ascii="宋体" w:hAnsi="宋体"/>
          <w:color w:val="auto"/>
          <w:sz w:val="21"/>
          <w:szCs w:val="21"/>
          <w:highlight w:val="none"/>
          <w:u w:val="single"/>
        </w:rPr>
        <w:t xml:space="preserve"> 西安国际港务区管理委员会经济发展局（西港经发[2018]2号、西港经发[2018]3号）</w:t>
      </w:r>
      <w:r>
        <w:rPr>
          <w:rFonts w:hint="eastAsia" w:ascii="宋体" w:hAnsi="宋体"/>
          <w:color w:val="auto"/>
          <w:sz w:val="21"/>
          <w:szCs w:val="21"/>
          <w:highlight w:val="none"/>
        </w:rPr>
        <w:t>批准建设，项目业主为</w:t>
      </w:r>
      <w:r>
        <w:rPr>
          <w:rFonts w:hint="eastAsia" w:ascii="宋体" w:hAnsi="宋体"/>
          <w:color w:val="auto"/>
          <w:sz w:val="21"/>
          <w:szCs w:val="21"/>
          <w:highlight w:val="none"/>
          <w:u w:val="single"/>
        </w:rPr>
        <w:t xml:space="preserve"> 西安国际陆港产业发展有限公司</w:t>
      </w:r>
      <w:r>
        <w:rPr>
          <w:rFonts w:hint="eastAsia" w:ascii="宋体" w:hAnsi="宋体"/>
          <w:color w:val="auto"/>
          <w:sz w:val="21"/>
          <w:szCs w:val="21"/>
          <w:highlight w:val="none"/>
        </w:rPr>
        <w:t>，建设资金来源为</w:t>
      </w:r>
      <w:r>
        <w:rPr>
          <w:rFonts w:hint="eastAsia" w:ascii="宋体" w:hAnsi="宋体"/>
          <w:color w:val="auto"/>
          <w:sz w:val="21"/>
          <w:szCs w:val="21"/>
          <w:highlight w:val="none"/>
          <w:u w:val="single"/>
        </w:rPr>
        <w:t xml:space="preserve"> 企业自筹 </w:t>
      </w:r>
      <w:r>
        <w:rPr>
          <w:rFonts w:hint="eastAsia" w:ascii="宋体" w:hAnsi="宋体"/>
          <w:color w:val="auto"/>
          <w:sz w:val="21"/>
          <w:szCs w:val="21"/>
          <w:highlight w:val="none"/>
        </w:rPr>
        <w:t>，项目出资比例为</w:t>
      </w:r>
      <w:r>
        <w:rPr>
          <w:rFonts w:hint="eastAsia" w:ascii="宋体" w:hAnsi="宋体"/>
          <w:color w:val="auto"/>
          <w:sz w:val="21"/>
          <w:szCs w:val="21"/>
          <w:highlight w:val="none"/>
          <w:u w:val="single"/>
        </w:rPr>
        <w:t xml:space="preserve"> 100%，</w:t>
      </w:r>
      <w:r>
        <w:rPr>
          <w:rFonts w:hint="eastAsia" w:ascii="宋体" w:hAnsi="宋体"/>
          <w:color w:val="auto"/>
          <w:sz w:val="21"/>
          <w:szCs w:val="21"/>
          <w:highlight w:val="none"/>
        </w:rPr>
        <w:t>招标人为</w:t>
      </w:r>
      <w:r>
        <w:rPr>
          <w:rFonts w:hint="eastAsia" w:ascii="宋体" w:hAnsi="宋体"/>
          <w:color w:val="auto"/>
          <w:sz w:val="21"/>
          <w:szCs w:val="21"/>
          <w:highlight w:val="none"/>
          <w:u w:val="single"/>
        </w:rPr>
        <w:t xml:space="preserve"> 西安国际陆港产业发展有限公司。</w:t>
      </w:r>
      <w:r>
        <w:rPr>
          <w:rFonts w:hint="eastAsia" w:ascii="宋体" w:hAnsi="宋体"/>
          <w:color w:val="auto"/>
          <w:sz w:val="21"/>
          <w:szCs w:val="21"/>
          <w:highlight w:val="none"/>
        </w:rPr>
        <w:t>招标代理机构为</w:t>
      </w:r>
      <w:r>
        <w:rPr>
          <w:rFonts w:hint="eastAsia" w:ascii="宋体" w:hAnsi="宋体"/>
          <w:color w:val="auto"/>
          <w:sz w:val="21"/>
          <w:szCs w:val="21"/>
          <w:highlight w:val="none"/>
          <w:u w:val="single"/>
        </w:rPr>
        <w:t>西北（陕西）国际招标有限公司</w:t>
      </w:r>
      <w:r>
        <w:rPr>
          <w:rFonts w:hint="eastAsia" w:ascii="宋体" w:hAnsi="宋体"/>
          <w:color w:val="auto"/>
          <w:sz w:val="21"/>
          <w:szCs w:val="21"/>
          <w:highlight w:val="none"/>
        </w:rPr>
        <w:t>。项目已具备招标条件，现对</w:t>
      </w:r>
      <w:r>
        <w:rPr>
          <w:rFonts w:hint="eastAsia" w:ascii="宋体" w:hAnsi="宋体"/>
          <w:color w:val="auto"/>
          <w:sz w:val="21"/>
          <w:szCs w:val="21"/>
          <w:highlight w:val="none"/>
          <w:u w:val="single"/>
        </w:rPr>
        <w:t xml:space="preserve"> 新筑新城二期、秦汉和苑项目地貌测量 </w:t>
      </w:r>
      <w:r>
        <w:rPr>
          <w:rFonts w:hint="eastAsia" w:ascii="宋体" w:hAnsi="宋体"/>
          <w:color w:val="auto"/>
          <w:sz w:val="21"/>
          <w:szCs w:val="21"/>
          <w:highlight w:val="none"/>
        </w:rPr>
        <w:t>进行公开招标，欢迎符合条件的潜在投标人参与本项目投标。</w:t>
      </w:r>
    </w:p>
    <w:p>
      <w:pPr>
        <w:pStyle w:val="3"/>
        <w:spacing w:before="0" w:after="0" w:line="360" w:lineRule="auto"/>
        <w:rPr>
          <w:rFonts w:ascii="宋体" w:hAnsi="宋体"/>
          <w:color w:val="auto"/>
          <w:kern w:val="2"/>
          <w:sz w:val="24"/>
          <w:szCs w:val="24"/>
          <w:highlight w:val="none"/>
        </w:rPr>
      </w:pPr>
      <w:r>
        <w:rPr>
          <w:rFonts w:ascii="宋体" w:hAnsi="宋体"/>
          <w:color w:val="auto"/>
          <w:kern w:val="2"/>
          <w:sz w:val="24"/>
          <w:szCs w:val="24"/>
          <w:highlight w:val="none"/>
        </w:rPr>
        <w:t>2</w:t>
      </w:r>
      <w:r>
        <w:rPr>
          <w:rFonts w:hint="eastAsia" w:ascii="宋体" w:hAnsi="宋体"/>
          <w:color w:val="auto"/>
          <w:kern w:val="2"/>
          <w:sz w:val="24"/>
          <w:szCs w:val="24"/>
          <w:highlight w:val="none"/>
        </w:rPr>
        <w:t>．项目概况与招标范围</w:t>
      </w:r>
    </w:p>
    <w:p>
      <w:pPr>
        <w:snapToGrid w:val="0"/>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2.1</w:t>
      </w:r>
      <w:r>
        <w:rPr>
          <w:rFonts w:hint="eastAsia" w:ascii="宋体" w:hAnsi="宋体"/>
          <w:color w:val="auto"/>
          <w:sz w:val="21"/>
          <w:szCs w:val="21"/>
          <w:highlight w:val="none"/>
        </w:rPr>
        <w:t>项目概况：</w:t>
      </w:r>
    </w:p>
    <w:p>
      <w:pPr>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新筑新城二期项目位于西安国际港务区内，项目占地约475亩，总建筑面积约150万平方米，主要建设住宅、办公、商业和幼儿园等。</w:t>
      </w:r>
    </w:p>
    <w:p>
      <w:pPr>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秦汉和苑项目位于西安国际港务区内，项目用地约247亩，总建筑面积约80万平方米，主要建设住宅、办公、商业和幼儿园等。</w:t>
      </w:r>
    </w:p>
    <w:p>
      <w:pPr>
        <w:snapToGrid w:val="0"/>
        <w:spacing w:line="360" w:lineRule="auto"/>
        <w:ind w:firstLine="420" w:firstLineChars="200"/>
        <w:rPr>
          <w:rFonts w:hint="eastAsia"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2招标范围：</w:t>
      </w:r>
    </w:p>
    <w:p>
      <w:pPr>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对原始交地地貌进行现场测量，作为与施工单位进行土方结算的依据及设计单位进行设计的参考资料；配合甲方对项目周边的路网、水电线路的高程或位置进行测量。</w:t>
      </w:r>
    </w:p>
    <w:p>
      <w:pPr>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具体招标范围及要求详见招标文件。</w:t>
      </w:r>
    </w:p>
    <w:p>
      <w:pPr>
        <w:pStyle w:val="3"/>
        <w:spacing w:before="0" w:after="0" w:line="360" w:lineRule="auto"/>
        <w:rPr>
          <w:rFonts w:ascii="宋体" w:hAnsi="宋体"/>
          <w:color w:val="auto"/>
          <w:kern w:val="2"/>
          <w:sz w:val="24"/>
          <w:szCs w:val="24"/>
          <w:highlight w:val="none"/>
        </w:rPr>
      </w:pPr>
      <w:r>
        <w:rPr>
          <w:rFonts w:ascii="宋体" w:hAnsi="宋体"/>
          <w:color w:val="auto"/>
          <w:kern w:val="2"/>
          <w:sz w:val="24"/>
          <w:szCs w:val="24"/>
          <w:highlight w:val="none"/>
        </w:rPr>
        <w:t>3</w:t>
      </w:r>
      <w:r>
        <w:rPr>
          <w:rFonts w:hint="eastAsia" w:ascii="宋体" w:hAnsi="宋体"/>
          <w:color w:val="auto"/>
          <w:kern w:val="2"/>
          <w:sz w:val="24"/>
          <w:szCs w:val="24"/>
          <w:highlight w:val="none"/>
        </w:rPr>
        <w:t>．投标人资格要求</w:t>
      </w:r>
    </w:p>
    <w:p>
      <w:pPr>
        <w:snapToGrid w:val="0"/>
        <w:spacing w:line="360" w:lineRule="auto"/>
        <w:ind w:firstLine="420" w:firstLineChars="200"/>
        <w:rPr>
          <w:rFonts w:hint="eastAsia" w:ascii="宋体" w:hAnsi="宋体"/>
          <w:color w:val="auto"/>
          <w:sz w:val="21"/>
          <w:szCs w:val="21"/>
          <w:highlight w:val="none"/>
        </w:rPr>
      </w:pPr>
      <w:r>
        <w:rPr>
          <w:rFonts w:ascii="宋体" w:hAnsi="宋体"/>
          <w:color w:val="auto"/>
          <w:sz w:val="21"/>
          <w:szCs w:val="21"/>
          <w:highlight w:val="none"/>
        </w:rPr>
        <w:t>3.1</w:t>
      </w:r>
      <w:r>
        <w:rPr>
          <w:rFonts w:hint="eastAsia" w:ascii="宋体" w:hAnsi="宋体"/>
          <w:color w:val="auto"/>
          <w:sz w:val="21"/>
          <w:szCs w:val="21"/>
          <w:highlight w:val="none"/>
        </w:rPr>
        <w:t xml:space="preserve"> 须具备独立法人资格；</w:t>
      </w:r>
    </w:p>
    <w:p>
      <w:pPr>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3.2 具备测绘资质甲级（专业范围包含：</w:t>
      </w:r>
      <w:r>
        <w:rPr>
          <w:rFonts w:ascii="宋体" w:hAnsi="宋体"/>
          <w:color w:val="auto"/>
          <w:sz w:val="21"/>
          <w:szCs w:val="21"/>
          <w:highlight w:val="none"/>
        </w:rPr>
        <w:t>工程测量</w:t>
      </w:r>
      <w:r>
        <w:rPr>
          <w:rFonts w:hint="eastAsia" w:ascii="宋体" w:hAnsi="宋体"/>
          <w:color w:val="auto"/>
          <w:sz w:val="21"/>
          <w:szCs w:val="21"/>
          <w:highlight w:val="none"/>
        </w:rPr>
        <w:t>）；</w:t>
      </w:r>
    </w:p>
    <w:p>
      <w:pPr>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3.3 项目负责人具备注册测绘师执业资格；</w:t>
      </w:r>
    </w:p>
    <w:p>
      <w:pPr>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3.4单位负责人为同一人或者存在控股、管理关系的不同单位，不得同时参加本项目投标；</w:t>
      </w:r>
    </w:p>
    <w:p>
      <w:pPr>
        <w:snapToGrid w:val="0"/>
        <w:spacing w:line="360" w:lineRule="auto"/>
        <w:ind w:firstLine="420" w:firstLineChars="200"/>
        <w:rPr>
          <w:rFonts w:hint="eastAsia" w:ascii="宋体" w:hAnsi="宋体"/>
          <w:color w:val="auto"/>
          <w:sz w:val="21"/>
          <w:szCs w:val="21"/>
          <w:highlight w:val="none"/>
        </w:rPr>
      </w:pPr>
      <w:r>
        <w:rPr>
          <w:rFonts w:ascii="宋体" w:hAnsi="宋体"/>
          <w:color w:val="auto"/>
          <w:sz w:val="21"/>
          <w:szCs w:val="21"/>
          <w:highlight w:val="none"/>
        </w:rPr>
        <w:t>3.</w:t>
      </w:r>
      <w:r>
        <w:rPr>
          <w:rFonts w:hint="eastAsia" w:ascii="宋体" w:hAnsi="宋体"/>
          <w:color w:val="auto"/>
          <w:sz w:val="21"/>
          <w:szCs w:val="21"/>
          <w:highlight w:val="none"/>
        </w:rPr>
        <w:t>5本次投标不接受联合体投标。</w:t>
      </w:r>
    </w:p>
    <w:p>
      <w:pPr>
        <w:pStyle w:val="3"/>
        <w:widowControl w:val="0"/>
        <w:spacing w:before="0" w:after="0" w:line="360" w:lineRule="auto"/>
        <w:rPr>
          <w:rFonts w:ascii="宋体" w:hAnsi="宋体"/>
          <w:color w:val="auto"/>
          <w:kern w:val="2"/>
          <w:sz w:val="24"/>
          <w:szCs w:val="24"/>
          <w:highlight w:val="none"/>
        </w:rPr>
      </w:pPr>
      <w:r>
        <w:rPr>
          <w:rFonts w:hint="eastAsia" w:ascii="宋体" w:hAnsi="宋体"/>
          <w:color w:val="auto"/>
          <w:kern w:val="2"/>
          <w:sz w:val="24"/>
          <w:szCs w:val="24"/>
          <w:highlight w:val="none"/>
        </w:rPr>
        <w:t>4．招标文件的获取</w:t>
      </w:r>
    </w:p>
    <w:p>
      <w:pPr>
        <w:snapToGrid w:val="0"/>
        <w:spacing w:line="360" w:lineRule="auto"/>
        <w:ind w:firstLine="420" w:firstLineChars="200"/>
        <w:rPr>
          <w:rFonts w:hint="eastAsia" w:ascii="宋体" w:hAnsi="宋体"/>
          <w:color w:val="auto"/>
          <w:sz w:val="21"/>
          <w:szCs w:val="21"/>
          <w:highlight w:val="none"/>
        </w:rPr>
      </w:pPr>
      <w:bookmarkStart w:id="1" w:name="_Toc314146999"/>
      <w:bookmarkStart w:id="2" w:name="_Toc320867205"/>
      <w:bookmarkStart w:id="3" w:name="_Toc320195463"/>
      <w:bookmarkStart w:id="4" w:name="_Toc321811995"/>
      <w:bookmarkStart w:id="5" w:name="_Toc324947015"/>
      <w:bookmarkStart w:id="6" w:name="_Toc324521961"/>
      <w:r>
        <w:rPr>
          <w:rFonts w:hint="eastAsia" w:ascii="宋体" w:hAnsi="宋体"/>
          <w:color w:val="auto"/>
          <w:sz w:val="21"/>
          <w:szCs w:val="21"/>
          <w:highlight w:val="none"/>
        </w:rPr>
        <w:t>4.1凡有意参加投标者，请于2018年3月1</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日至2018年3月1</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日(北京时间)，登录中招联合招标采购平台(http://www.365trade.com.cn) 注册、购买并下载电子招标文件。（若需纸质招标文件，开标时在代理公司领取）（提示：请购标人考虑完成在线注册、审核所需的时间成本，确保在招标文件发售截止时间前成功购买下载招标文件）</w:t>
      </w:r>
    </w:p>
    <w:p>
      <w:pPr>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如有疑问可拨打平台统一服务热线400-092-8199，或西北国际招标公司综合监督处029-89651862、85592881、85221332咨询。</w:t>
      </w:r>
    </w:p>
    <w:bookmarkEnd w:id="1"/>
    <w:bookmarkEnd w:id="2"/>
    <w:bookmarkEnd w:id="3"/>
    <w:p>
      <w:pPr>
        <w:snapToGrid w:val="0"/>
        <w:spacing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4</w:t>
      </w:r>
      <w:r>
        <w:rPr>
          <w:rFonts w:ascii="宋体" w:hAnsi="宋体"/>
          <w:color w:val="auto"/>
          <w:sz w:val="21"/>
          <w:szCs w:val="21"/>
          <w:highlight w:val="none"/>
        </w:rPr>
        <w:t>.2</w:t>
      </w:r>
      <w:r>
        <w:rPr>
          <w:rFonts w:hint="eastAsia" w:ascii="宋体" w:hAnsi="宋体"/>
          <w:color w:val="auto"/>
          <w:sz w:val="21"/>
          <w:szCs w:val="21"/>
          <w:highlight w:val="none"/>
        </w:rPr>
        <w:t>招标文件每套售价800元，售后不退；下载费50元（平台公司出具发票）</w:t>
      </w:r>
      <w:bookmarkEnd w:id="4"/>
      <w:bookmarkEnd w:id="5"/>
      <w:bookmarkEnd w:id="6"/>
    </w:p>
    <w:p>
      <w:pPr>
        <w:pStyle w:val="3"/>
        <w:spacing w:before="0" w:after="0" w:line="360" w:lineRule="auto"/>
        <w:rPr>
          <w:rFonts w:ascii="宋体" w:hAnsi="宋体"/>
          <w:color w:val="auto"/>
          <w:kern w:val="2"/>
          <w:sz w:val="24"/>
          <w:szCs w:val="24"/>
          <w:highlight w:val="none"/>
        </w:rPr>
      </w:pPr>
      <w:r>
        <w:rPr>
          <w:rFonts w:hint="eastAsia" w:ascii="宋体" w:hAnsi="宋体"/>
          <w:color w:val="auto"/>
          <w:kern w:val="2"/>
          <w:sz w:val="24"/>
          <w:szCs w:val="24"/>
          <w:highlight w:val="none"/>
        </w:rPr>
        <w:t>5．投标文件的递交</w:t>
      </w:r>
    </w:p>
    <w:p>
      <w:pPr>
        <w:snapToGrid w:val="0"/>
        <w:spacing w:line="360" w:lineRule="auto"/>
        <w:ind w:firstLine="420" w:firstLineChars="200"/>
        <w:rPr>
          <w:rFonts w:hint="eastAsia" w:ascii="宋体"/>
          <w:color w:val="auto"/>
          <w:sz w:val="21"/>
          <w:szCs w:val="21"/>
          <w:highlight w:val="none"/>
        </w:rPr>
      </w:pPr>
      <w:r>
        <w:rPr>
          <w:rFonts w:hint="eastAsia" w:ascii="宋体"/>
          <w:color w:val="auto"/>
          <w:sz w:val="21"/>
          <w:szCs w:val="21"/>
          <w:highlight w:val="none"/>
        </w:rPr>
        <w:t>5.1投标文件递交的截止时间(投标截止时间，下同)、地点详见招标文件。投标人应在截止时间前通过（电子招标投标交易平台）递交电子投标文件。</w:t>
      </w:r>
    </w:p>
    <w:p>
      <w:pPr>
        <w:snapToGrid w:val="0"/>
        <w:spacing w:line="360" w:lineRule="auto"/>
        <w:ind w:firstLine="420" w:firstLineChars="200"/>
        <w:rPr>
          <w:rFonts w:hint="eastAsia" w:ascii="宋体"/>
          <w:color w:val="auto"/>
          <w:sz w:val="21"/>
          <w:szCs w:val="21"/>
          <w:highlight w:val="none"/>
        </w:rPr>
      </w:pPr>
      <w:r>
        <w:rPr>
          <w:rFonts w:hint="eastAsia" w:ascii="宋体"/>
          <w:color w:val="auto"/>
          <w:sz w:val="21"/>
          <w:szCs w:val="21"/>
          <w:highlight w:val="none"/>
        </w:rPr>
        <w:t>5.2逾期送达的、未送达指定地点的或者不按照招标文件要求密封的投标文件，招标人将予以拒收。</w:t>
      </w:r>
    </w:p>
    <w:p>
      <w:pPr>
        <w:snapToGrid w:val="0"/>
        <w:spacing w:line="360" w:lineRule="auto"/>
        <w:ind w:firstLine="420" w:firstLineChars="200"/>
        <w:rPr>
          <w:color w:val="auto"/>
          <w:sz w:val="21"/>
          <w:szCs w:val="21"/>
          <w:highlight w:val="none"/>
        </w:rPr>
      </w:pPr>
      <w:r>
        <w:rPr>
          <w:rFonts w:hint="eastAsia" w:ascii="宋体"/>
          <w:color w:val="auto"/>
          <w:sz w:val="21"/>
          <w:szCs w:val="21"/>
          <w:highlight w:val="none"/>
        </w:rPr>
        <w:t>5.3开标时间同投标截止时间，开标地点同投标文件递交地点。</w:t>
      </w:r>
    </w:p>
    <w:p>
      <w:pPr>
        <w:pStyle w:val="3"/>
        <w:spacing w:before="0" w:after="0" w:line="360" w:lineRule="auto"/>
        <w:rPr>
          <w:rFonts w:ascii="宋体" w:hAnsi="宋体"/>
          <w:color w:val="auto"/>
          <w:kern w:val="2"/>
          <w:sz w:val="24"/>
          <w:szCs w:val="24"/>
          <w:highlight w:val="none"/>
        </w:rPr>
      </w:pPr>
      <w:r>
        <w:rPr>
          <w:rFonts w:hint="eastAsia" w:ascii="宋体" w:hAnsi="宋体"/>
          <w:color w:val="auto"/>
          <w:kern w:val="2"/>
          <w:sz w:val="24"/>
          <w:szCs w:val="24"/>
          <w:highlight w:val="none"/>
        </w:rPr>
        <w:t>6．发布公告的媒介</w:t>
      </w:r>
    </w:p>
    <w:p>
      <w:pPr>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本次招标公告在《陕西采购与招标网》、《中招联合招标采购平台》上发布。</w:t>
      </w:r>
    </w:p>
    <w:p>
      <w:pPr>
        <w:pStyle w:val="3"/>
        <w:spacing w:before="0" w:after="0" w:line="360" w:lineRule="auto"/>
        <w:rPr>
          <w:rFonts w:ascii="宋体" w:hAnsi="宋体"/>
          <w:color w:val="auto"/>
          <w:kern w:val="2"/>
          <w:sz w:val="24"/>
          <w:szCs w:val="24"/>
          <w:highlight w:val="none"/>
        </w:rPr>
      </w:pPr>
      <w:r>
        <w:rPr>
          <w:rFonts w:hint="eastAsia" w:ascii="宋体" w:hAnsi="宋体"/>
          <w:color w:val="auto"/>
          <w:kern w:val="2"/>
          <w:sz w:val="24"/>
          <w:szCs w:val="24"/>
          <w:highlight w:val="none"/>
        </w:rPr>
        <w:t>7．联系方式</w:t>
      </w:r>
    </w:p>
    <w:p>
      <w:pPr>
        <w:snapToGrid w:val="0"/>
        <w:spacing w:line="360" w:lineRule="auto"/>
        <w:ind w:left="6321" w:leftChars="210" w:hanging="5880" w:hangingChars="2800"/>
        <w:rPr>
          <w:rFonts w:hint="eastAsia" w:ascii="宋体" w:hAnsi="宋体" w:cs="宋体"/>
          <w:color w:val="auto"/>
          <w:sz w:val="21"/>
          <w:szCs w:val="21"/>
          <w:highlight w:val="none"/>
        </w:rPr>
      </w:pPr>
      <w:r>
        <w:rPr>
          <w:rFonts w:hint="eastAsia" w:ascii="宋体" w:hAnsi="宋体" w:cs="宋体"/>
          <w:color w:val="auto"/>
          <w:sz w:val="21"/>
          <w:szCs w:val="21"/>
          <w:highlight w:val="none"/>
        </w:rPr>
        <w:t>招标人：</w:t>
      </w:r>
      <w:r>
        <w:rPr>
          <w:rFonts w:hint="eastAsia" w:ascii="宋体" w:hAnsi="宋体" w:cs="宋体"/>
          <w:color w:val="auto"/>
          <w:sz w:val="21"/>
          <w:szCs w:val="21"/>
          <w:highlight w:val="none"/>
          <w:u w:val="single"/>
        </w:rPr>
        <w:t xml:space="preserve"> </w:t>
      </w:r>
      <w:r>
        <w:rPr>
          <w:rFonts w:hint="eastAsia" w:ascii="宋体" w:hAnsi="宋体"/>
          <w:color w:val="auto"/>
          <w:sz w:val="21"/>
          <w:szCs w:val="21"/>
          <w:highlight w:val="none"/>
          <w:u w:val="single"/>
        </w:rPr>
        <w:t>西安国际陆港产业发展有限公司</w:t>
      </w:r>
    </w:p>
    <w:p>
      <w:pPr>
        <w:snapToGrid w:val="0"/>
        <w:spacing w:line="360" w:lineRule="auto"/>
        <w:ind w:left="1491" w:leftChars="210" w:hanging="1050" w:hangingChars="5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地    址：</w:t>
      </w:r>
      <w:r>
        <w:rPr>
          <w:rFonts w:hint="eastAsia" w:ascii="宋体" w:hAnsi="宋体" w:cs="宋体"/>
          <w:color w:val="auto"/>
          <w:sz w:val="21"/>
          <w:szCs w:val="21"/>
          <w:highlight w:val="none"/>
          <w:u w:val="single"/>
        </w:rPr>
        <w:t xml:space="preserve"> 西安国际港务区港务大道现代物流企业聚集区第六栋</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邮    编： </w:t>
      </w:r>
      <w:r>
        <w:rPr>
          <w:rFonts w:hint="eastAsia" w:ascii="宋体" w:hAnsi="宋体" w:cs="宋体"/>
          <w:color w:val="auto"/>
          <w:sz w:val="21"/>
          <w:szCs w:val="21"/>
          <w:highlight w:val="none"/>
          <w:u w:val="single"/>
        </w:rPr>
        <w:t xml:space="preserve">710000                   </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联 系 人：</w:t>
      </w:r>
      <w:r>
        <w:rPr>
          <w:rFonts w:hint="eastAsia" w:ascii="宋体" w:hAnsi="宋体" w:cs="宋体"/>
          <w:color w:val="auto"/>
          <w:sz w:val="21"/>
          <w:szCs w:val="21"/>
          <w:highlight w:val="none"/>
          <w:u w:val="single"/>
        </w:rPr>
        <w:t xml:space="preserve"> 赵春                     </w:t>
      </w:r>
    </w:p>
    <w:p>
      <w:pPr>
        <w:snapToGrid w:val="0"/>
        <w:spacing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电    话：</w:t>
      </w:r>
      <w:r>
        <w:rPr>
          <w:rFonts w:hint="eastAsia" w:ascii="宋体" w:hAnsi="宋体" w:cs="宋体"/>
          <w:color w:val="auto"/>
          <w:sz w:val="21"/>
          <w:szCs w:val="21"/>
          <w:highlight w:val="none"/>
          <w:u w:val="single"/>
        </w:rPr>
        <w:t xml:space="preserve"> 029-83565526             </w:t>
      </w:r>
    </w:p>
    <w:p>
      <w:pPr>
        <w:snapToGrid w:val="0"/>
        <w:spacing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招标代理机构：</w:t>
      </w:r>
      <w:r>
        <w:rPr>
          <w:rFonts w:hint="eastAsia" w:ascii="宋体" w:hAnsi="宋体" w:cs="宋体"/>
          <w:color w:val="auto"/>
          <w:sz w:val="21"/>
          <w:szCs w:val="21"/>
          <w:highlight w:val="none"/>
          <w:u w:val="single"/>
        </w:rPr>
        <w:t xml:space="preserve">西北（陕西）国际招标有限公司 </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地    址：</w:t>
      </w:r>
      <w:r>
        <w:rPr>
          <w:rFonts w:hint="eastAsia" w:ascii="宋体" w:hAnsi="宋体" w:cs="宋体"/>
          <w:color w:val="auto"/>
          <w:sz w:val="21"/>
          <w:szCs w:val="21"/>
          <w:highlight w:val="none"/>
          <w:u w:val="single"/>
        </w:rPr>
        <w:t>西安市南二环西段58号成长大厦11-13层</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邮    编：</w:t>
      </w:r>
      <w:r>
        <w:rPr>
          <w:rFonts w:hint="eastAsia" w:ascii="宋体" w:hAnsi="宋体" w:cs="宋体"/>
          <w:color w:val="auto"/>
          <w:sz w:val="21"/>
          <w:szCs w:val="21"/>
          <w:highlight w:val="none"/>
          <w:u w:val="single"/>
        </w:rPr>
        <w:t>710075</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联 系 人：</w:t>
      </w:r>
      <w:r>
        <w:rPr>
          <w:rFonts w:hint="eastAsia" w:ascii="宋体" w:hAnsi="宋体" w:cs="宋体"/>
          <w:color w:val="auto"/>
          <w:sz w:val="21"/>
          <w:szCs w:val="21"/>
          <w:highlight w:val="none"/>
          <w:u w:val="single"/>
        </w:rPr>
        <w:t>王璐、陈方</w:t>
      </w:r>
    </w:p>
    <w:p>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电    话：</w:t>
      </w:r>
      <w:r>
        <w:rPr>
          <w:rFonts w:hint="eastAsia" w:ascii="宋体" w:hAnsi="宋体" w:cs="宋体"/>
          <w:color w:val="auto"/>
          <w:sz w:val="21"/>
          <w:szCs w:val="21"/>
          <w:highlight w:val="none"/>
          <w:u w:val="single"/>
        </w:rPr>
        <w:t>029-85222242、85235058</w:t>
      </w:r>
    </w:p>
    <w:p>
      <w:pPr>
        <w:snapToGrid w:val="0"/>
        <w:spacing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传    真：</w:t>
      </w:r>
      <w:r>
        <w:rPr>
          <w:rFonts w:hint="eastAsia" w:ascii="宋体" w:hAnsi="宋体" w:cs="宋体"/>
          <w:color w:val="auto"/>
          <w:sz w:val="21"/>
          <w:szCs w:val="21"/>
          <w:highlight w:val="none"/>
          <w:u w:val="single"/>
        </w:rPr>
        <w:t xml:space="preserve">029-85222242、85235058        </w:t>
      </w:r>
    </w:p>
    <w:p>
      <w:pPr>
        <w:snapToGrid w:val="0"/>
        <w:spacing w:line="360" w:lineRule="auto"/>
        <w:ind w:left="420" w:left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电子邮件：</w:t>
      </w:r>
      <w:r>
        <w:rPr>
          <w:rFonts w:hint="eastAsia" w:ascii="宋体" w:hAnsi="宋体" w:cs="宋体"/>
          <w:color w:val="auto"/>
          <w:sz w:val="21"/>
          <w:szCs w:val="21"/>
          <w:highlight w:val="none"/>
          <w:u w:val="single"/>
        </w:rPr>
        <w:t xml:space="preserve">xbgong2@163.com               </w:t>
      </w:r>
    </w:p>
    <w:p>
      <w:pPr>
        <w:snapToGrid w:val="0"/>
        <w:spacing w:line="360" w:lineRule="auto"/>
        <w:ind w:left="420" w:left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网    址：</w:t>
      </w:r>
      <w:r>
        <w:rPr>
          <w:rFonts w:hint="eastAsia" w:ascii="宋体" w:hAnsi="宋体" w:cs="宋体"/>
          <w:color w:val="auto"/>
          <w:sz w:val="21"/>
          <w:szCs w:val="21"/>
          <w:highlight w:val="none"/>
          <w:u w:val="single"/>
        </w:rPr>
        <w:t xml:space="preserve">www.bidonline.com.cn          </w:t>
      </w:r>
      <w:bookmarkStart w:id="7" w:name="_GoBack"/>
      <w:bookmarkEnd w:id="7"/>
    </w:p>
    <w:p>
      <w:pPr>
        <w:snapToGrid w:val="0"/>
        <w:spacing w:line="360" w:lineRule="auto"/>
        <w:ind w:left="420" w:left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开户银行：</w:t>
      </w:r>
      <w:r>
        <w:rPr>
          <w:rFonts w:hint="eastAsia" w:ascii="宋体" w:hAnsi="宋体" w:cs="宋体"/>
          <w:color w:val="auto"/>
          <w:sz w:val="21"/>
          <w:szCs w:val="21"/>
          <w:highlight w:val="none"/>
          <w:u w:val="single"/>
        </w:rPr>
        <w:t xml:space="preserve">交通银行西安长安大学支行      </w:t>
      </w:r>
    </w:p>
    <w:p>
      <w:pPr>
        <w:snapToGrid w:val="0"/>
        <w:spacing w:line="360" w:lineRule="auto"/>
        <w:ind w:left="420" w:left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账    号：</w:t>
      </w:r>
      <w:r>
        <w:rPr>
          <w:rFonts w:hint="eastAsia" w:ascii="宋体" w:hAnsi="宋体" w:cs="宋体"/>
          <w:color w:val="auto"/>
          <w:sz w:val="21"/>
          <w:szCs w:val="21"/>
          <w:highlight w:val="none"/>
          <w:u w:val="single"/>
        </w:rPr>
        <w:t xml:space="preserve">611301151018010003843         </w:t>
      </w:r>
    </w:p>
    <w:p>
      <w:pPr>
        <w:spacing w:line="360" w:lineRule="auto"/>
        <w:ind w:firstLine="411" w:firstLineChars="196"/>
        <w:rPr>
          <w:rFonts w:hint="eastAsia" w:ascii="宋体" w:hAnsi="宋体"/>
          <w:color w:val="auto"/>
          <w:sz w:val="21"/>
          <w:szCs w:val="21"/>
          <w:highlight w:val="none"/>
          <w:u w:val="single"/>
        </w:rPr>
      </w:pPr>
    </w:p>
    <w:p>
      <w:pPr>
        <w:wordWrap w:val="0"/>
        <w:spacing w:line="360" w:lineRule="auto"/>
        <w:ind w:firstLine="411" w:firstLineChars="196"/>
        <w:jc w:val="right"/>
        <w:rPr>
          <w:rFonts w:hint="eastAsia" w:ascii="宋体" w:hAnsi="宋体"/>
          <w:color w:val="auto"/>
          <w:sz w:val="21"/>
          <w:szCs w:val="21"/>
          <w:highlight w:val="none"/>
        </w:rPr>
      </w:pPr>
      <w:r>
        <w:rPr>
          <w:rFonts w:hint="eastAsia" w:ascii="宋体" w:hAnsi="宋体"/>
          <w:color w:val="auto"/>
          <w:sz w:val="21"/>
          <w:szCs w:val="21"/>
          <w:highlight w:val="none"/>
          <w:u w:val="single"/>
        </w:rPr>
        <w:t xml:space="preserve"> 2018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03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1</w:t>
      </w:r>
      <w:r>
        <w:rPr>
          <w:rFonts w:hint="eastAsia" w:ascii="宋体" w:hAnsi="宋体"/>
          <w:color w:val="auto"/>
          <w:sz w:val="21"/>
          <w:szCs w:val="21"/>
          <w:highlight w:val="none"/>
          <w:u w:val="single"/>
          <w:lang w:val="en-US" w:eastAsia="zh-CN"/>
        </w:rPr>
        <w:t>4</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中等线简体">
    <w:altName w:val="宋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97801"/>
    <w:rsid w:val="30134EA9"/>
    <w:rsid w:val="5DF97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1"/>
      <w:szCs w:val="22"/>
      <w:lang w:val="en-US" w:eastAsia="zh-CN" w:bidi="ar-SA"/>
    </w:rPr>
  </w:style>
  <w:style w:type="paragraph" w:styleId="2">
    <w:name w:val="heading 2"/>
    <w:basedOn w:val="1"/>
    <w:next w:val="1"/>
    <w:semiHidden/>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3">
    <w:name w:val="heading 3"/>
    <w:basedOn w:val="1"/>
    <w:next w:val="1"/>
    <w:semiHidden/>
    <w:unhideWhenUsed/>
    <w:qFormat/>
    <w:uiPriority w:val="0"/>
    <w:pPr>
      <w:keepNext/>
      <w:keepLines/>
      <w:spacing w:before="260" w:after="260" w:line="416" w:lineRule="auto"/>
      <w:outlineLvl w:val="2"/>
    </w:pPr>
    <w:rPr>
      <w:b/>
      <w:bCs/>
      <w:sz w:val="32"/>
      <w:szCs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2018-03-14T01:01:00Z</dcterms:created>
  <dc:creator>Bambi你好</dc:creator>
  <cp:lastModifiedBy>Bambi你好</cp:lastModifiedBy>
  <dcterms:modified xsi:type="dcterms:W3CDTF">2018-03-14T01:01:45Z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