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color w:val="auto"/>
          <w:sz w:val="32"/>
          <w:szCs w:val="32"/>
          <w:highlight w:val="none"/>
        </w:rPr>
      </w:pPr>
      <w:bookmarkStart w:id="0" w:name="_Toc402531115"/>
      <w:bookmarkStart w:id="1" w:name="_Toc313890185"/>
      <w:bookmarkStart w:id="2" w:name="_Toc313890969"/>
      <w:r>
        <w:rPr>
          <w:rFonts w:hint="eastAsia" w:asciiTheme="minorEastAsia" w:hAnsiTheme="minorEastAsia" w:eastAsiaTheme="minorEastAsia"/>
          <w:b/>
          <w:color w:val="auto"/>
          <w:sz w:val="32"/>
          <w:szCs w:val="32"/>
          <w:highlight w:val="none"/>
        </w:rPr>
        <w:t>扬州第二发电有限责任公司</w:t>
      </w:r>
    </w:p>
    <w:p>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#1锅炉脱硝分区优化控制改造工程</w:t>
      </w:r>
    </w:p>
    <w:p>
      <w:pPr>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招标公告</w:t>
      </w:r>
      <w:bookmarkEnd w:id="0"/>
      <w:bookmarkEnd w:id="1"/>
      <w:bookmarkEnd w:id="2"/>
    </w:p>
    <w:p>
      <w:pPr>
        <w:autoSpaceDE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招标编号：066019F92920</w:t>
      </w:r>
      <w:r>
        <w:rPr>
          <w:rFonts w:hint="eastAsia" w:asciiTheme="minorEastAsia" w:hAnsiTheme="minorEastAsia" w:eastAsiaTheme="minorEastAsia" w:cstheme="minorEastAsia"/>
          <w:color w:val="auto"/>
          <w:sz w:val="21"/>
          <w:szCs w:val="21"/>
          <w:highlight w:val="none"/>
          <w:lang w:val="en-US" w:eastAsia="zh-CN"/>
        </w:rPr>
        <w:t xml:space="preserve">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江苏省设备成套有限公司受扬州第二发电有限责任公司委托，对扬州第二发电有限责任公司#1锅炉脱硝分区优化控制改造工程进行公开招标。现就有关事宜通告如下：</w:t>
      </w:r>
    </w:p>
    <w:p>
      <w:pPr>
        <w:pStyle w:val="6"/>
        <w:numPr>
          <w:ilvl w:val="0"/>
          <w:numId w:val="2"/>
        </w:numPr>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bookmarkStart w:id="3" w:name="_Toc111779408"/>
      <w:bookmarkStart w:id="4" w:name="_Toc402531116"/>
      <w:bookmarkStart w:id="5" w:name="_Toc313890186"/>
      <w:bookmarkStart w:id="6" w:name="_Toc402531119"/>
      <w:bookmarkStart w:id="7" w:name="_Toc313890187"/>
      <w:bookmarkStart w:id="8" w:name="_Toc111779409"/>
      <w:r>
        <w:rPr>
          <w:rFonts w:hint="eastAsia" w:asciiTheme="minorEastAsia" w:hAnsiTheme="minorEastAsia" w:eastAsiaTheme="minorEastAsia" w:cstheme="minorEastAsia"/>
          <w:b/>
          <w:color w:val="auto"/>
          <w:sz w:val="21"/>
          <w:szCs w:val="21"/>
          <w:highlight w:val="none"/>
        </w:rPr>
        <w:t>工程概况</w:t>
      </w:r>
      <w:bookmarkEnd w:id="3"/>
      <w:bookmarkEnd w:id="4"/>
      <w:bookmarkEnd w:id="5"/>
    </w:p>
    <w:p>
      <w:pPr>
        <w:pStyle w:val="6"/>
        <w:snapToGrid w:val="0"/>
        <w:spacing w:after="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扬州第二发电有限责任公司#</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机组为亚临界参数、汽包炉、前后墙对冲燃烧方式、单炉膛、一次再热、平衡通风、露天布置、全钢构架、全悬吊结构，Π型布置，设计煤种神府烟煤，校核煤种为晋北烟煤。</w:t>
      </w:r>
    </w:p>
    <w:p>
      <w:pPr>
        <w:pStyle w:val="6"/>
        <w:snapToGrid w:val="0"/>
        <w:spacing w:after="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机组的脱硝系统是北京龙源公司以工程总承包方式承建，采用选择性催化还原（SCR）方式，SCR反应器采用高灰型工艺布置（即反应器布置在锅炉省煤器与空预器之间），催化剂采用龙源蜂窝式催化剂（2+1布置），脱硝喷氨</w:t>
      </w:r>
      <w:r>
        <w:rPr>
          <w:rFonts w:hint="eastAsia" w:ascii="宋体" w:hAnsi="宋体" w:eastAsia="宋体" w:cs="宋体"/>
          <w:bCs/>
          <w:color w:val="auto"/>
          <w:sz w:val="21"/>
          <w:szCs w:val="21"/>
          <w:highlight w:val="none"/>
          <w:lang w:eastAsia="zh-CN"/>
        </w:rPr>
        <w:t>最初</w:t>
      </w:r>
      <w:r>
        <w:rPr>
          <w:rFonts w:hint="eastAsia" w:ascii="宋体" w:hAnsi="宋体" w:eastAsia="宋体" w:cs="宋体"/>
          <w:bCs/>
          <w:color w:val="auto"/>
          <w:sz w:val="21"/>
          <w:szCs w:val="21"/>
          <w:highlight w:val="none"/>
        </w:rPr>
        <w:t>采用龙源特有涡流混合技术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机组于201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年6月完成脱硝改造</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于2015年6月完成脱硝超低排放改造</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2018年5月由西安热工研究院有限公司总承包进行了脱硝系统喷氨格栅改造，将喷氨方式由涡流混合器改为喷氨格栅方式，同时通过增加导流板对脱硝流场进行优化</w:t>
      </w:r>
      <w:r>
        <w:rPr>
          <w:rFonts w:hint="eastAsia" w:ascii="宋体" w:hAnsi="宋体" w:eastAsia="宋体" w:cs="宋体"/>
          <w:bCs/>
          <w:color w:val="auto"/>
          <w:sz w:val="21"/>
          <w:szCs w:val="21"/>
          <w:highlight w:val="none"/>
        </w:rPr>
        <w:t>。</w:t>
      </w:r>
    </w:p>
    <w:p>
      <w:pPr>
        <w:pStyle w:val="6"/>
        <w:snapToGrid w:val="0"/>
        <w:spacing w:after="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机组脱硝改造后，西安院性能试验报告数据显示脱硝流场偏差大，且存在喷氨不均局部氨逃逸超标的现象。超低排放改造后，江苏方天性能试验报告数据显示脱硝流场偏差进一步加大。影响脱硝下游设备安全经济运行，特别是空预器低温段频繁因硫酸氢氨积聚堵塞。</w:t>
      </w:r>
      <w:r>
        <w:rPr>
          <w:rFonts w:hint="eastAsia" w:ascii="宋体" w:hAnsi="宋体" w:eastAsia="宋体" w:cs="宋体"/>
          <w:bCs/>
          <w:color w:val="auto"/>
          <w:sz w:val="21"/>
          <w:szCs w:val="21"/>
          <w:highlight w:val="none"/>
          <w:lang w:eastAsia="zh-CN"/>
        </w:rPr>
        <w:t>喷氨格栅改造后，脱硝流场有所好转，但工况适应性仍存在一定问题。</w:t>
      </w:r>
      <w:r>
        <w:rPr>
          <w:rFonts w:hint="eastAsia" w:ascii="宋体" w:hAnsi="宋体" w:eastAsia="宋体" w:cs="宋体"/>
          <w:bCs/>
          <w:color w:val="auto"/>
          <w:sz w:val="21"/>
          <w:szCs w:val="21"/>
          <w:highlight w:val="none"/>
        </w:rPr>
        <w:t>因此</w:t>
      </w:r>
      <w:r>
        <w:rPr>
          <w:rFonts w:hint="eastAsia" w:ascii="宋体" w:hAnsi="宋体" w:eastAsia="宋体" w:cs="宋体"/>
          <w:bCs/>
          <w:color w:val="auto"/>
          <w:sz w:val="21"/>
          <w:szCs w:val="21"/>
          <w:highlight w:val="none"/>
          <w:lang w:eastAsia="zh-CN"/>
        </w:rPr>
        <w:t>准备通过实施</w:t>
      </w:r>
      <w:r>
        <w:rPr>
          <w:rFonts w:hint="eastAsia" w:ascii="宋体" w:hAnsi="宋体" w:eastAsia="宋体" w:cs="宋体"/>
          <w:bCs/>
          <w:color w:val="auto"/>
          <w:sz w:val="21"/>
          <w:szCs w:val="21"/>
          <w:highlight w:val="none"/>
          <w:lang w:val="en-US" w:eastAsia="zh-CN"/>
        </w:rPr>
        <w:t>#1锅炉脱硝分区优化控制改造解决此难题</w:t>
      </w:r>
      <w:r>
        <w:rPr>
          <w:rFonts w:hint="eastAsia" w:ascii="宋体" w:hAnsi="宋体" w:eastAsia="宋体" w:cs="宋体"/>
          <w:bCs/>
          <w:color w:val="auto"/>
          <w:sz w:val="21"/>
          <w:szCs w:val="21"/>
          <w:highlight w:val="none"/>
        </w:rPr>
        <w:t>。</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二、招标范围</w:t>
      </w:r>
      <w:bookmarkEnd w:id="6"/>
      <w:bookmarkEnd w:id="7"/>
      <w:bookmarkEnd w:id="8"/>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#1锅炉脱硝分区优化控制改造工程。</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三、资格审查方法：资格后审</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四、合格投标人的资格要求：</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1、本次扬州第二发电有限责任公司#1锅炉脱硝分区优化控制改造工程不接受联合体形式、中间商投标。</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2、投标人必须具有中华人民共和国独立法人资格，持有有效营业执照，注册资金在1000万元人民币及以上。</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3、投标人业绩资质要求：投标人须提供与本工程类似的至少4台600MW及以上机组改造投运业绩（提供的业绩必须含有喷氨分区阀门改造、NOx在线分区测量及自动控制内容）。业绩计算时间截止到2019年6月30日。</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投标人业绩须附合同复印件（报名时须携带合同原件核查）、用户报告或试验报告等。所提供的资料必须真实完整，如被发现有任何虚假、隐瞒情况者，经招标监督部门核实，其投标资格将被取消。招标人保留对投标人的资质、所提供的业绩进行公示的权利。</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4、投标人应提供完善的质量管理体系等认证证书（须在有效期内）。</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auto"/>
          <w:sz w:val="21"/>
          <w:szCs w:val="21"/>
          <w:highlight w:val="none"/>
        </w:rPr>
        <w:t>、投标人应具有良好的银行资信和商业信誉，未处于被责令停业或破产状态，且资产未被重组、接管和冻结，未处于有关禁止投标的行政</w:t>
      </w:r>
      <w:bookmarkStart w:id="9" w:name="_GoBack"/>
      <w:bookmarkEnd w:id="9"/>
      <w:r>
        <w:rPr>
          <w:rFonts w:hint="eastAsia" w:asciiTheme="minorEastAsia" w:hAnsiTheme="minorEastAsia" w:eastAsiaTheme="minorEastAsia" w:cstheme="minorEastAsia"/>
          <w:b w:val="0"/>
          <w:bCs/>
          <w:color w:val="auto"/>
          <w:sz w:val="21"/>
          <w:szCs w:val="21"/>
          <w:highlight w:val="none"/>
        </w:rPr>
        <w:t>处罚期间和未处于正被列为失信被执行人；投标人需提供近三年由会计师事务所出具的审计报告复印件并加盖公章（可在投标时提供），且现金流充裕。</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投标人在近三年来无行贿犯罪记录（网上查询记录）；无重大安全质量事故；无重大经济行为受到刑事、行政处罚及民事起诉，也不曾在任何合同中违约或因投标人的原因而使任何合同被解除的情况出现，并提供相关证明文件或承诺。</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、投标人不得直接或间接地与招标人雇用或曾经雇用过的，为本次招标编制技术规范和其他文件或提供咨询服务的公司包括其附属机构有关联。</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8</w:t>
      </w:r>
      <w:r>
        <w:rPr>
          <w:rFonts w:hint="eastAsia" w:asciiTheme="minorEastAsia" w:hAnsiTheme="minorEastAsia" w:eastAsiaTheme="minorEastAsia" w:cstheme="minorEastAsia"/>
          <w:b w:val="0"/>
          <w:bCs/>
          <w:color w:val="auto"/>
          <w:sz w:val="21"/>
          <w:szCs w:val="21"/>
          <w:highlight w:val="none"/>
        </w:rPr>
        <w:t>、同一母公司的投标单位只能有一家参加投标，否则属于该母公司的所有参投单位的投标都将被拒标。法定代表人为同一个人的两个及两个以上法人，母公司、全资子公司及其控股公司，不得同时参与同一标的的投标。</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9、本项目采用的知识产权及专利涉及到的全部费用均被认为已包含在投标报价中，投标方应保证招标方不承担本项目有关知识产权及专利的一切责任。</w:t>
      </w:r>
    </w:p>
    <w:p>
      <w:pPr>
        <w:pStyle w:val="6"/>
        <w:snapToGrid w:val="0"/>
        <w:spacing w:after="0" w:line="360" w:lineRule="auto"/>
        <w:ind w:firstLine="420" w:firstLine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10、投标人负责本项目的项目经理须有大学本科及以上学历，具有工程师或以上职称，具有担任过火电厂600MW及以上机组类似工程项目经理的业绩。未经招标人同意，不得更换项目经理。</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五、无效投标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发生下列情形之一的为不合格的投标，经评标委员会确定后可否决其投标：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1、投标文件未按招标文件的要求密封的；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2、投标文件未按投标须知的规定签字盖章或进行标记的；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3、投标人未按时提交投标保证金或投标保证金不符合投标须知要求的；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4、投标文件中有两个及以上的报价（除招标文件要求外），且未明确哪个报价有效；</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5、投标人不具备招标文件规定的资质和业绩条件；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6、投标文件有效期不满足招标文件要求；</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7、投标人未按招标文件要求提供完整的技术投标方案，或投标文件缺少重要章节内容，严重偏离招标文件要求的；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8、投标文件未按招标文件规定的格式、内容签写，内容不全或关键字迹模糊、无法辨认；</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9、投标文件未能对招标文件作出实质性响应，存在重大偏差。对本条款而言“实质性响应”是指投标文件符合招标文件的所有合同条款且无实质性偏差（如交货期、技术要求、付款等）；</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10、投标人与其他投标人相互串通报价，或者以其他方式弄虚作假的；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11、投标人以他人名义投标，或不同投标人的投标文件出现了明显雷同情况的；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12、投标文件中标明的投标人与通过资格审查的申请人在名称和组织结构上存在实质性差别且未提供有效证明的；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13、被评标委员会确定为不合格投标的；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14、相关法律、法规、规章、政府规范性文件规定可以否决其投标的其他情形。</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六、投标保证金</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投标人在开标日前一天向招标代理机构支付金额为人民币</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b/>
          <w:bCs/>
          <w:color w:val="auto"/>
          <w:sz w:val="21"/>
          <w:szCs w:val="21"/>
          <w:highlight w:val="none"/>
          <w:u w:val="single"/>
          <w:lang w:val="en-US" w:eastAsia="zh-CN"/>
        </w:rPr>
        <w:t>6</w:t>
      </w:r>
      <w:r>
        <w:rPr>
          <w:rFonts w:hint="eastAsia" w:asciiTheme="minorEastAsia" w:hAnsiTheme="minorEastAsia" w:eastAsiaTheme="minorEastAsia" w:cstheme="minorEastAsia"/>
          <w:b/>
          <w:color w:val="auto"/>
          <w:sz w:val="21"/>
          <w:szCs w:val="21"/>
          <w:highlight w:val="none"/>
          <w:u w:val="single"/>
        </w:rPr>
        <w:t>万元</w:t>
      </w:r>
      <w:r>
        <w:rPr>
          <w:rFonts w:hint="eastAsia" w:asciiTheme="minorEastAsia" w:hAnsiTheme="minorEastAsia" w:eastAsiaTheme="minorEastAsia" w:cstheme="minorEastAsia"/>
          <w:color w:val="auto"/>
          <w:sz w:val="21"/>
          <w:szCs w:val="21"/>
          <w:highlight w:val="none"/>
        </w:rPr>
        <w:t>的投标保证金。投标保证金的形式：电汇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七、报名及招标文件发售</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1、招标文件的获取</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1.1凡有意参加投标者，请于2019年</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时至2019年</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时(北京时间，下同)，登陆中招联合招标采购平台下载电子招标文件。下载者请务必至少在文件发售截止时间半个工作日前登录平台完成购买操作，否则将无法保证获取电子招标文件。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1.2招标文件每套售价</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000元，平台下载费100元， 售后不退。</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1.4下载者须通过平台填写“购标申请”，并上传公告要求提供的资料，否则购买操作无法完成。</w:t>
      </w:r>
      <w:r>
        <w:rPr>
          <w:rFonts w:hint="eastAsia" w:asciiTheme="minorEastAsia" w:hAnsiTheme="minorEastAsia" w:eastAsiaTheme="minorEastAsia" w:cstheme="minorEastAsia"/>
          <w:b/>
          <w:bCs/>
          <w:color w:val="auto"/>
          <w:sz w:val="21"/>
          <w:szCs w:val="21"/>
          <w:highlight w:val="none"/>
        </w:rPr>
        <w:t>需上传资料：</w:t>
      </w:r>
      <w:r>
        <w:rPr>
          <w:rFonts w:hint="eastAsia" w:asciiTheme="minorEastAsia" w:hAnsiTheme="minorEastAsia" w:eastAsiaTheme="minorEastAsia" w:cstheme="minorEastAsia"/>
          <w:b/>
          <w:bCs/>
          <w:color w:val="auto"/>
          <w:sz w:val="21"/>
          <w:szCs w:val="21"/>
          <w:highlight w:val="none"/>
          <w:lang w:eastAsia="zh-CN"/>
        </w:rPr>
        <w:t>营业执照复印件加盖公章、法人授权书原件</w:t>
      </w:r>
      <w:r>
        <w:rPr>
          <w:rFonts w:hint="eastAsia" w:asciiTheme="minorEastAsia" w:hAnsiTheme="minorEastAsia" w:eastAsiaTheme="minorEastAsia" w:cstheme="minorEastAsia"/>
          <w:b/>
          <w:bCs/>
          <w:color w:val="auto"/>
          <w:sz w:val="21"/>
          <w:szCs w:val="21"/>
          <w:highlight w:val="none"/>
        </w:rPr>
        <w:t>、资信能力状况表（详见公告附件，下载填写完整后上传word格式方可报名）</w:t>
      </w:r>
      <w:r>
        <w:rPr>
          <w:rFonts w:hint="eastAsia" w:asciiTheme="minorEastAsia" w:hAnsiTheme="minorEastAsia" w:eastAsiaTheme="minorEastAsia" w:cstheme="minorEastAsia"/>
          <w:color w:val="auto"/>
          <w:sz w:val="21"/>
          <w:szCs w:val="21"/>
          <w:highlight w:val="none"/>
        </w:rPr>
        <w:t>。</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1.5下载者选择“需要邮购纸质标书”的，需支付邮购费，招标代理机构将在文件下载后的1个工作日内寄送。</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1.6下载者需要发票的，须通过平台填写“开票申请”；招标文件费用及邮购费发票由招标代理机构出具，在开标时领取；平台下载费发票由平台公司出具，联系平台公司领取。</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八、发布公告媒介</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本次招标公告在http://www.365trade.com.cn/（中招联合招标采购平台）、http://www.jsnjebpubservice.com/#/newindex（江苏招标投标公共服务平台）、http://bulletin.cebpubservice.com/(中国招标投标公共服务平台)上发布。</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九、联系地址：</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招标代理机构：南京市山西路120号江苏成套大厦18楼1809室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邮编：210009</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联系人：刘</w:t>
      </w:r>
      <w:r>
        <w:rPr>
          <w:rFonts w:hint="eastAsia" w:asciiTheme="minorEastAsia" w:hAnsiTheme="minorEastAsia" w:eastAsiaTheme="minorEastAsia" w:cstheme="minorEastAsia"/>
          <w:color w:val="auto"/>
          <w:sz w:val="21"/>
          <w:szCs w:val="21"/>
          <w:highlight w:val="none"/>
          <w:lang w:eastAsia="zh-CN"/>
        </w:rPr>
        <w:t>晗</w:t>
      </w:r>
      <w:r>
        <w:rPr>
          <w:rFonts w:hint="eastAsia" w:asciiTheme="minorEastAsia" w:hAnsiTheme="minorEastAsia" w:eastAsiaTheme="minorEastAsia" w:cstheme="minorEastAsia"/>
          <w:color w:val="auto"/>
          <w:sz w:val="21"/>
          <w:szCs w:val="21"/>
          <w:highlight w:val="none"/>
        </w:rPr>
        <w:t xml:space="preserve"> </w:t>
      </w:r>
    </w:p>
    <w:p>
      <w:pPr>
        <w:pStyle w:val="6"/>
        <w:snapToGrid w:val="0"/>
        <w:spacing w:after="0"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 xml:space="preserve">联系电话：025-86638721  </w:t>
      </w:r>
      <w:r>
        <w:rPr>
          <w:rFonts w:hint="eastAsia" w:asciiTheme="minorEastAsia" w:hAnsiTheme="minorEastAsia" w:eastAsiaTheme="minorEastAsia" w:cstheme="minorEastAsia"/>
          <w:color w:val="auto"/>
          <w:sz w:val="21"/>
          <w:szCs w:val="21"/>
          <w:highlight w:val="none"/>
          <w:lang w:val="en-US" w:eastAsia="zh-CN"/>
        </w:rPr>
        <w:t>13814074300</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邮箱：</w:t>
      </w:r>
      <w:r>
        <w:rPr>
          <w:color w:val="auto"/>
          <w:highlight w:val="none"/>
        </w:rPr>
        <w:fldChar w:fldCharType="begin"/>
      </w:r>
      <w:r>
        <w:rPr>
          <w:color w:val="auto"/>
          <w:highlight w:val="none"/>
        </w:rPr>
        <w:instrText xml:space="preserve"> HYPERLINK "mailto:jcecbidding@jcec.cn" </w:instrText>
      </w:r>
      <w:r>
        <w:rPr>
          <w:color w:val="auto"/>
          <w:highlight w:val="none"/>
        </w:rPr>
        <w:fldChar w:fldCharType="separate"/>
      </w:r>
      <w:r>
        <w:rPr>
          <w:color w:val="auto"/>
          <w:highlight w:val="none"/>
        </w:rPr>
        <w:fldChar w:fldCharType="end"/>
      </w:r>
      <w:r>
        <w:rPr>
          <w:rFonts w:hint="eastAsia" w:asciiTheme="minorEastAsia" w:hAnsiTheme="minorEastAsia" w:eastAsiaTheme="minorEastAsia" w:cstheme="minorEastAsia"/>
          <w:color w:val="auto"/>
          <w:sz w:val="21"/>
          <w:szCs w:val="21"/>
          <w:highlight w:val="none"/>
        </w:rPr>
        <w:t xml:space="preserve"> </w:t>
      </w:r>
      <w:r>
        <w:rPr>
          <w:color w:val="auto"/>
          <w:highlight w:val="none"/>
        </w:rPr>
        <w:fldChar w:fldCharType="begin"/>
      </w:r>
      <w:r>
        <w:rPr>
          <w:color w:val="auto"/>
          <w:highlight w:val="none"/>
        </w:rPr>
        <w:instrText xml:space="preserve"> HYPERLINK "mailto:769405506@qq.com" </w:instrText>
      </w:r>
      <w:r>
        <w:rPr>
          <w:color w:val="auto"/>
          <w:highlight w:val="none"/>
        </w:rPr>
        <w:fldChar w:fldCharType="separate"/>
      </w:r>
      <w:r>
        <w:rPr>
          <w:rStyle w:val="10"/>
          <w:rFonts w:hint="eastAsia" w:asciiTheme="minorEastAsia" w:hAnsiTheme="minorEastAsia" w:eastAsiaTheme="minorEastAsia" w:cstheme="minorEastAsia"/>
          <w:color w:val="auto"/>
          <w:sz w:val="21"/>
          <w:szCs w:val="21"/>
          <w:highlight w:val="none"/>
        </w:rPr>
        <w:t>769405506@qq.com</w:t>
      </w:r>
      <w:r>
        <w:rPr>
          <w:rStyle w:val="10"/>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 xml:space="preserve">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招标人名称：扬州第二发电有限责任公司</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 系 人： 贾工</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话：0514-87772227</w:t>
      </w:r>
    </w:p>
    <w:p>
      <w:pPr>
        <w:pStyle w:val="6"/>
        <w:snapToGrid w:val="0"/>
        <w:spacing w:after="0" w:line="360" w:lineRule="auto"/>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十、投标截止时间和开标时间</w:t>
      </w:r>
      <w:r>
        <w:rPr>
          <w:rFonts w:hint="eastAsia" w:asciiTheme="minorEastAsia" w:hAnsiTheme="minorEastAsia" w:eastAsiaTheme="minorEastAsia" w:cstheme="minorEastAsia"/>
          <w:color w:val="auto"/>
          <w:sz w:val="21"/>
          <w:szCs w:val="21"/>
          <w:highlight w:val="none"/>
        </w:rPr>
        <w:t>：2019年</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日上午</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投标文件递交地点：扬州市江苑宾馆（扬州第二发电有限责任公司内）</w:t>
      </w:r>
    </w:p>
    <w:p>
      <w:pPr>
        <w:adjustRightInd/>
        <w:snapToGrid/>
        <w:spacing w:after="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br w:type="page"/>
      </w:r>
    </w:p>
    <w:p>
      <w:pPr>
        <w:pStyle w:val="6"/>
        <w:snapToGrid w:val="0"/>
        <w:spacing w:after="0" w:line="360" w:lineRule="auto"/>
        <w:ind w:firstLine="480" w:firstLineChars="200"/>
        <w:rPr>
          <w:rFonts w:asciiTheme="minorEastAsia" w:hAnsiTheme="minorEastAsia" w:eastAsiaTheme="minorEastAsia" w:cstheme="minorBidi"/>
          <w:color w:val="auto"/>
          <w:sz w:val="24"/>
          <w:highlight w:val="none"/>
        </w:rPr>
      </w:pP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附件：</w:t>
      </w:r>
    </w:p>
    <w:p>
      <w:pPr>
        <w:pStyle w:val="6"/>
        <w:snapToGrid w:val="0"/>
        <w:spacing w:after="0" w:line="360" w:lineRule="auto"/>
        <w:ind w:firstLine="422" w:firstLineChars="20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扬州第二发电有限责任公司</w:t>
      </w:r>
    </w:p>
    <w:p>
      <w:pPr>
        <w:pStyle w:val="6"/>
        <w:snapToGrid w:val="0"/>
        <w:spacing w:after="0" w:line="360" w:lineRule="auto"/>
        <w:ind w:firstLine="422" w:firstLineChars="20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#1锅炉脱硝分区优化控制改造工程</w:t>
      </w:r>
    </w:p>
    <w:p>
      <w:pPr>
        <w:pStyle w:val="6"/>
        <w:snapToGrid w:val="0"/>
        <w:spacing w:after="0" w:line="360" w:lineRule="auto"/>
        <w:ind w:firstLine="422" w:firstLineChars="200"/>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资信能力状况表</w:t>
      </w:r>
    </w:p>
    <w:tbl>
      <w:tblPr>
        <w:tblStyle w:val="7"/>
        <w:tblpPr w:leftFromText="180" w:rightFromText="180" w:vertAnchor="text" w:horzAnchor="margin" w:tblpY="15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w:t>
            </w:r>
          </w:p>
        </w:tc>
        <w:tc>
          <w:tcPr>
            <w:tcW w:w="652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综合能力</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p>
            <w:pPr>
              <w:pStyle w:val="6"/>
              <w:snapToGrid w:val="0"/>
              <w:spacing w:after="0" w:line="360" w:lineRule="auto"/>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3"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集团内使用情况</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其它情况简介</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bl>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注：1、综合能力包括企业简介、注册资本金、人员情况、主营业务、财务状况、获奖情况等相关介绍。</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2、资质指对应招标公告中投标人需要具备资质要求进行具体说明是否符合或优于招标文件要求。</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3、业绩指对应招标公告中投标人需要具备业绩要求进行具体说明是否符合或优于招标文件要求，并提供业绩情况清单（见附表）</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集团内使用情况是指投标人投标产品曾经在江苏国信集团控股电厂（国信新海电厂、国信淮阴电厂、国信淮安一燃、国信淮安二燃、国信盐城电厂、国信射阳港电厂、国信靖江电厂、国信扬二电厂、国信仪征电厂、国信宜兴协联电厂、国信沙河电站、国信溧阳抽水蓄能电站等单位）使用情况（在附表中一并说明）。</w:t>
      </w:r>
    </w:p>
    <w:p>
      <w:pPr>
        <w:pStyle w:val="6"/>
        <w:snapToGrid w:val="0"/>
        <w:spacing w:after="0" w:line="360" w:lineRule="auto"/>
        <w:rPr>
          <w:rFonts w:asciiTheme="minorEastAsia" w:hAnsiTheme="minorEastAsia" w:eastAsiaTheme="minorEastAsia" w:cstheme="minorEastAsia"/>
          <w:color w:val="auto"/>
          <w:sz w:val="21"/>
          <w:szCs w:val="21"/>
          <w:highlight w:val="none"/>
        </w:rPr>
      </w:pP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134"/>
        <w:gridCol w:w="851"/>
        <w:gridCol w:w="1134"/>
        <w:gridCol w:w="1134"/>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76"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合同名称</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合同内容</w:t>
            </w:r>
          </w:p>
        </w:tc>
        <w:tc>
          <w:tcPr>
            <w:tcW w:w="851"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合同时间</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投产时间</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是否是集团内业绩</w:t>
            </w:r>
          </w:p>
        </w:tc>
        <w:tc>
          <w:tcPr>
            <w:tcW w:w="1417"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发包单位及联系人电话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276"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851"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417"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276"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851"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417"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bl>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5932A"/>
    <w:multiLevelType w:val="singleLevel"/>
    <w:tmpl w:val="B435932A"/>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
      <w:suff w:val="nothing"/>
      <w:lvlText w:val="%1%2　"/>
      <w:lvlJc w:val="left"/>
      <w:pPr>
        <w:ind w:left="0" w:firstLine="0"/>
      </w:pPr>
      <w:rPr>
        <w:rFonts w:hint="eastAsia" w:ascii="黑体" w:eastAsia="黑体"/>
        <w:b/>
        <w:i w:val="0"/>
        <w:sz w:val="21"/>
        <w:szCs w:val="21"/>
      </w:rPr>
    </w:lvl>
    <w:lvl w:ilvl="2" w:tentative="0">
      <w:start w:val="1"/>
      <w:numFmt w:val="decimal"/>
      <w:pStyle w:val="16"/>
      <w:suff w:val="nothing"/>
      <w:lvlText w:val="%1%2.%3　"/>
      <w:lvlJc w:val="left"/>
      <w:pPr>
        <w:ind w:left="425" w:firstLine="0"/>
      </w:pPr>
      <w:rPr>
        <w:rFonts w:hint="eastAsia" w:ascii="黑体" w:eastAsia="黑体"/>
        <w:b w:val="0"/>
        <w:color w:val="auto"/>
        <w:sz w:val="21"/>
        <w:szCs w:val="21"/>
      </w:rPr>
    </w:lvl>
    <w:lvl w:ilvl="3" w:tentative="0">
      <w:start w:val="1"/>
      <w:numFmt w:val="decimal"/>
      <w:pStyle w:val="15"/>
      <w:suff w:val="nothing"/>
      <w:lvlText w:val="%1%2.%3.%4　"/>
      <w:lvlJc w:val="left"/>
      <w:pPr>
        <w:ind w:left="284" w:firstLine="0"/>
      </w:pPr>
      <w:rPr>
        <w:rFonts w:hint="eastAsia" w:ascii="黑体" w:hAnsi="宋体" w:eastAsia="黑体"/>
        <w:b w:val="0"/>
        <w:bCs w:val="0"/>
        <w:i w:val="0"/>
        <w:iCs w:val="0"/>
        <w:caps w:val="0"/>
        <w:smallCaps w:val="0"/>
        <w:strike w:val="0"/>
        <w:dstrike w:val="0"/>
        <w:color w:val="auto"/>
        <w:spacing w:val="0"/>
        <w:w w:val="100"/>
        <w:kern w:val="0"/>
        <w:position w:val="0"/>
        <w:sz w:val="21"/>
        <w:u w:val="none"/>
        <w:shd w:val="clear" w:color="auto" w:fill="auto"/>
      </w:rPr>
    </w:lvl>
    <w:lvl w:ilvl="4" w:tentative="0">
      <w:start w:val="1"/>
      <w:numFmt w:val="decimal"/>
      <w:pStyle w:val="19"/>
      <w:suff w:val="nothing"/>
      <w:lvlText w:val="%1%2.%3.%4.%5　"/>
      <w:lvlJc w:val="left"/>
      <w:pPr>
        <w:ind w:left="420" w:firstLine="0"/>
      </w:pPr>
      <w:rPr>
        <w:rFonts w:hint="eastAsia" w:ascii="黑体" w:hAnsi="宋体" w:eastAsia="黑体"/>
        <w:b w:val="0"/>
        <w:i w:val="0"/>
        <w:color w:val="auto"/>
        <w:sz w:val="21"/>
      </w:rPr>
    </w:lvl>
    <w:lvl w:ilvl="5" w:tentative="0">
      <w:start w:val="1"/>
      <w:numFmt w:val="decimal"/>
      <w:pStyle w:val="18"/>
      <w:suff w:val="nothing"/>
      <w:lvlText w:val="%1%2.%3.%4.%5.%6　"/>
      <w:lvlJc w:val="left"/>
      <w:pPr>
        <w:ind w:left="735" w:firstLine="0"/>
      </w:pPr>
      <w:rPr>
        <w:rFonts w:hint="eastAsia" w:ascii="黑体" w:hAnsi="宋体"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2F91"/>
    <w:rsid w:val="000471FD"/>
    <w:rsid w:val="00050275"/>
    <w:rsid w:val="00092476"/>
    <w:rsid w:val="000C3937"/>
    <w:rsid w:val="000D693D"/>
    <w:rsid w:val="001164DE"/>
    <w:rsid w:val="001F05FD"/>
    <w:rsid w:val="00210037"/>
    <w:rsid w:val="00257191"/>
    <w:rsid w:val="00294A9A"/>
    <w:rsid w:val="002B28BF"/>
    <w:rsid w:val="002F4DC6"/>
    <w:rsid w:val="00323B43"/>
    <w:rsid w:val="0034556E"/>
    <w:rsid w:val="0036625D"/>
    <w:rsid w:val="003D029D"/>
    <w:rsid w:val="003D37D8"/>
    <w:rsid w:val="00410287"/>
    <w:rsid w:val="00421C96"/>
    <w:rsid w:val="00426133"/>
    <w:rsid w:val="004358AB"/>
    <w:rsid w:val="00442584"/>
    <w:rsid w:val="004835F2"/>
    <w:rsid w:val="004A6370"/>
    <w:rsid w:val="00524D70"/>
    <w:rsid w:val="005943FF"/>
    <w:rsid w:val="005A2888"/>
    <w:rsid w:val="005A34EC"/>
    <w:rsid w:val="00640097"/>
    <w:rsid w:val="0064662D"/>
    <w:rsid w:val="00670214"/>
    <w:rsid w:val="0067569D"/>
    <w:rsid w:val="006C7C7A"/>
    <w:rsid w:val="006D6B57"/>
    <w:rsid w:val="006E3F6B"/>
    <w:rsid w:val="00721118"/>
    <w:rsid w:val="00785887"/>
    <w:rsid w:val="007B7A08"/>
    <w:rsid w:val="007C5123"/>
    <w:rsid w:val="007E544E"/>
    <w:rsid w:val="00810221"/>
    <w:rsid w:val="0087241D"/>
    <w:rsid w:val="00877402"/>
    <w:rsid w:val="008B2139"/>
    <w:rsid w:val="008B7726"/>
    <w:rsid w:val="008D4AD9"/>
    <w:rsid w:val="009511D5"/>
    <w:rsid w:val="00984234"/>
    <w:rsid w:val="009A39BD"/>
    <w:rsid w:val="00A342A2"/>
    <w:rsid w:val="00A373C7"/>
    <w:rsid w:val="00B92381"/>
    <w:rsid w:val="00C223F3"/>
    <w:rsid w:val="00C2792F"/>
    <w:rsid w:val="00C56291"/>
    <w:rsid w:val="00C95FFF"/>
    <w:rsid w:val="00D159A3"/>
    <w:rsid w:val="00D224C7"/>
    <w:rsid w:val="00D31D50"/>
    <w:rsid w:val="00D36B0A"/>
    <w:rsid w:val="00D75FE3"/>
    <w:rsid w:val="00DB1979"/>
    <w:rsid w:val="00E2010B"/>
    <w:rsid w:val="00E52DFC"/>
    <w:rsid w:val="00E54797"/>
    <w:rsid w:val="00EC60CD"/>
    <w:rsid w:val="00EF058A"/>
    <w:rsid w:val="00EF08A2"/>
    <w:rsid w:val="00F13A6A"/>
    <w:rsid w:val="00F14C99"/>
    <w:rsid w:val="00F15E24"/>
    <w:rsid w:val="00F535EF"/>
    <w:rsid w:val="00FC0E73"/>
    <w:rsid w:val="00FD74CA"/>
    <w:rsid w:val="00FE0B2F"/>
    <w:rsid w:val="0439648B"/>
    <w:rsid w:val="055B4473"/>
    <w:rsid w:val="05E868C1"/>
    <w:rsid w:val="0E1456C3"/>
    <w:rsid w:val="12AE06E1"/>
    <w:rsid w:val="13896299"/>
    <w:rsid w:val="164E232E"/>
    <w:rsid w:val="1BD85B50"/>
    <w:rsid w:val="1F251D73"/>
    <w:rsid w:val="20405F43"/>
    <w:rsid w:val="22C70EA6"/>
    <w:rsid w:val="25717944"/>
    <w:rsid w:val="25FB3917"/>
    <w:rsid w:val="2F030BC8"/>
    <w:rsid w:val="30533AA1"/>
    <w:rsid w:val="327557D5"/>
    <w:rsid w:val="3EBC45B6"/>
    <w:rsid w:val="452E5B9F"/>
    <w:rsid w:val="45811E4E"/>
    <w:rsid w:val="4B201148"/>
    <w:rsid w:val="51E2250A"/>
    <w:rsid w:val="59B73B3F"/>
    <w:rsid w:val="5BD17E1D"/>
    <w:rsid w:val="64C22830"/>
    <w:rsid w:val="69EE2C4B"/>
    <w:rsid w:val="6BA21012"/>
    <w:rsid w:val="732B4A77"/>
    <w:rsid w:val="74536B4D"/>
    <w:rsid w:val="77C932B0"/>
    <w:rsid w:val="791639A9"/>
    <w:rsid w:val="7B1B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3"/>
    <w:qFormat/>
    <w:uiPriority w:val="0"/>
    <w:pPr>
      <w:keepNext/>
      <w:keepLines/>
      <w:widowControl w:val="0"/>
      <w:spacing w:before="200" w:after="300"/>
      <w:jc w:val="center"/>
      <w:outlineLvl w:val="1"/>
    </w:pPr>
    <w:rPr>
      <w:rFonts w:ascii="Cambria" w:hAnsi="Cambria" w:eastAsia="黑体" w:cs="Times New Roman"/>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Body Text 2"/>
    <w:basedOn w:val="1"/>
    <w:link w:val="20"/>
    <w:qFormat/>
    <w:uiPriority w:val="0"/>
    <w:pPr>
      <w:widowControl w:val="0"/>
      <w:adjustRightInd/>
      <w:snapToGrid/>
      <w:spacing w:after="120" w:line="480" w:lineRule="auto"/>
      <w:jc w:val="both"/>
    </w:pPr>
    <w:rPr>
      <w:rFonts w:ascii="Times New Roman" w:hAnsi="Times New Roman" w:eastAsia="宋体" w:cs="Times New Roman"/>
      <w:sz w:val="20"/>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rFonts w:ascii="Tahoma" w:hAnsi="Tahoma"/>
      <w:sz w:val="18"/>
      <w:szCs w:val="18"/>
    </w:rPr>
  </w:style>
  <w:style w:type="character" w:customStyle="1" w:styleId="12">
    <w:name w:val="页脚 Char"/>
    <w:basedOn w:val="9"/>
    <w:link w:val="4"/>
    <w:qFormat/>
    <w:uiPriority w:val="99"/>
    <w:rPr>
      <w:rFonts w:ascii="Tahoma" w:hAnsi="Tahoma"/>
      <w:sz w:val="18"/>
      <w:szCs w:val="18"/>
    </w:rPr>
  </w:style>
  <w:style w:type="character" w:customStyle="1" w:styleId="13">
    <w:name w:val="标题 2 Char"/>
    <w:basedOn w:val="9"/>
    <w:link w:val="2"/>
    <w:qFormat/>
    <w:uiPriority w:val="0"/>
    <w:rPr>
      <w:rFonts w:ascii="Cambria" w:hAnsi="Cambria" w:eastAsia="黑体" w:cs="Times New Roman"/>
      <w:bCs/>
      <w:sz w:val="32"/>
      <w:szCs w:val="32"/>
    </w:rPr>
  </w:style>
  <w:style w:type="character" w:customStyle="1" w:styleId="14">
    <w:name w:val="15"/>
    <w:basedOn w:val="9"/>
    <w:qFormat/>
    <w:uiPriority w:val="0"/>
    <w:rPr>
      <w:rFonts w:hint="default" w:ascii="Times New Roman" w:hAnsi="Times New Roman" w:cs="Times New Roman"/>
      <w:color w:val="0000FF"/>
      <w:u w:val="single"/>
    </w:rPr>
  </w:style>
  <w:style w:type="paragraph" w:customStyle="1" w:styleId="15">
    <w:name w:val="二级条标题"/>
    <w:basedOn w:val="16"/>
    <w:next w:val="1"/>
    <w:qFormat/>
    <w:uiPriority w:val="0"/>
    <w:pPr>
      <w:numPr>
        <w:ilvl w:val="3"/>
      </w:numPr>
      <w:outlineLvl w:val="3"/>
    </w:pPr>
  </w:style>
  <w:style w:type="paragraph" w:customStyle="1" w:styleId="16">
    <w:name w:val="一级条标题"/>
    <w:basedOn w:val="17"/>
    <w:next w:val="1"/>
    <w:qFormat/>
    <w:uiPriority w:val="0"/>
    <w:pPr>
      <w:numPr>
        <w:ilvl w:val="2"/>
      </w:numPr>
      <w:spacing w:before="0" w:after="0"/>
      <w:outlineLvl w:val="2"/>
    </w:pPr>
  </w:style>
  <w:style w:type="paragraph" w:customStyle="1" w:styleId="17">
    <w:name w:val="章标题"/>
    <w:next w:val="1"/>
    <w:qFormat/>
    <w:uiPriority w:val="0"/>
    <w:pPr>
      <w:numPr>
        <w:ilvl w:val="1"/>
        <w:numId w:val="1"/>
      </w:numPr>
      <w:spacing w:before="50" w:after="50"/>
      <w:jc w:val="both"/>
      <w:outlineLvl w:val="1"/>
    </w:pPr>
    <w:rPr>
      <w:rFonts w:ascii="黑体" w:eastAsia="黑体" w:hAnsiTheme="minorHAnsi" w:cstheme="minorBidi"/>
      <w:kern w:val="2"/>
      <w:sz w:val="21"/>
      <w:szCs w:val="22"/>
      <w:lang w:val="en-US" w:eastAsia="zh-CN" w:bidi="ar-SA"/>
    </w:rPr>
  </w:style>
  <w:style w:type="paragraph" w:customStyle="1" w:styleId="18">
    <w:name w:val="四级条标题"/>
    <w:basedOn w:val="19"/>
    <w:next w:val="1"/>
    <w:qFormat/>
    <w:uiPriority w:val="0"/>
    <w:pPr>
      <w:numPr>
        <w:ilvl w:val="5"/>
      </w:numPr>
      <w:outlineLvl w:val="5"/>
    </w:pPr>
  </w:style>
  <w:style w:type="paragraph" w:customStyle="1" w:styleId="19">
    <w:name w:val="三级条标题"/>
    <w:basedOn w:val="15"/>
    <w:next w:val="1"/>
    <w:qFormat/>
    <w:uiPriority w:val="0"/>
    <w:pPr>
      <w:numPr>
        <w:ilvl w:val="4"/>
      </w:numPr>
      <w:outlineLvl w:val="4"/>
    </w:pPr>
  </w:style>
  <w:style w:type="character" w:customStyle="1" w:styleId="20">
    <w:name w:val="正文文本 2 Char"/>
    <w:basedOn w:val="9"/>
    <w:link w:val="6"/>
    <w:qFormat/>
    <w:uiPriority w:val="0"/>
    <w:rPr>
      <w:rFonts w:ascii="Times New Roman" w:hAnsi="Times New Roman" w:eastAsia="宋体" w:cs="Times New Roman"/>
      <w:sz w:val="20"/>
      <w:szCs w:val="24"/>
    </w:rPr>
  </w:style>
  <w:style w:type="paragraph" w:styleId="21">
    <w:name w:val="List Paragraph"/>
    <w:basedOn w:val="1"/>
    <w:qFormat/>
    <w:uiPriority w:val="34"/>
    <w:pPr>
      <w:ind w:firstLine="420" w:firstLineChars="200"/>
    </w:pPr>
  </w:style>
  <w:style w:type="character" w:customStyle="1" w:styleId="22">
    <w:name w:val="标题 8 Char"/>
    <w:qFormat/>
    <w:uiPriority w:val="0"/>
    <w:rPr>
      <w:rFonts w:eastAsia="宋体"/>
      <w:sz w:val="24"/>
      <w:lang w:val="en-US" w:eastAsia="zh-CN" w:bidi="ar-SA"/>
    </w:rPr>
  </w:style>
  <w:style w:type="character" w:customStyle="1" w:styleId="23">
    <w:name w:val="批注框文本 Char"/>
    <w:basedOn w:val="9"/>
    <w:link w:val="3"/>
    <w:semiHidden/>
    <w:qFormat/>
    <w:uiPriority w:val="99"/>
    <w:rPr>
      <w:rFonts w:ascii="Tahoma" w:hAnsi="Tahoma" w:eastAsia="微软雅黑" w:cstheme="minorBidi"/>
      <w:sz w:val="18"/>
      <w:szCs w:val="18"/>
    </w:rPr>
  </w:style>
  <w:style w:type="paragraph" w:customStyle="1" w:styleId="24">
    <w:name w:val="样式 标题 2"/>
    <w:basedOn w:val="1"/>
    <w:qFormat/>
    <w:uiPriority w:val="0"/>
    <w:pPr>
      <w:tabs>
        <w:tab w:val="left" w:pos="882"/>
      </w:tabs>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550</Words>
  <Characters>3140</Characters>
  <Lines>26</Lines>
  <Paragraphs>7</Paragraphs>
  <TotalTime>27</TotalTime>
  <ScaleCrop>false</ScaleCrop>
  <LinksUpToDate>false</LinksUpToDate>
  <CharactersWithSpaces>3683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2019-05-05T06:21:00Z</dcterms:created>
  <dc:creator>设备_锅炉主任工程师</dc:creator>
  <cp:lastModifiedBy>长颈鹿的~小心事</cp:lastModifiedBy>
  <cp:lastPrinted>2019-01-24T07:46:00Z</cp:lastPrinted>
  <dcterms:modified xsi:type="dcterms:W3CDTF">2019-07-29T05:54:48Z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