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color w:val="auto"/>
          <w:sz w:val="32"/>
          <w:szCs w:val="32"/>
          <w:highlight w:val="none"/>
        </w:rPr>
      </w:pPr>
      <w:bookmarkStart w:id="0" w:name="_Toc402531115"/>
      <w:bookmarkStart w:id="1" w:name="_Toc313890185"/>
      <w:bookmarkStart w:id="2" w:name="_Toc313890969"/>
      <w:r>
        <w:rPr>
          <w:rFonts w:hint="eastAsia" w:asciiTheme="minorEastAsia" w:hAnsiTheme="minorEastAsia" w:eastAsiaTheme="minorEastAsia"/>
          <w:b/>
          <w:color w:val="auto"/>
          <w:sz w:val="32"/>
          <w:szCs w:val="32"/>
          <w:highlight w:val="none"/>
        </w:rPr>
        <w:t>扬州第二发电有限责任公司</w:t>
      </w:r>
    </w:p>
    <w:p>
      <w:pPr>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一期汽机房#1、2桥式起重机电控系统改造工程</w:t>
      </w:r>
    </w:p>
    <w:p>
      <w:pPr>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招标公告</w:t>
      </w:r>
      <w:bookmarkEnd w:id="0"/>
      <w:bookmarkEnd w:id="1"/>
      <w:bookmarkEnd w:id="2"/>
    </w:p>
    <w:p>
      <w:pPr>
        <w:autoSpaceDE w:val="0"/>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招标编号：066019F92923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江苏省设备成套有限公司受扬州第二发电有限责任公司委托，对扬州第二发电有限责任公司一期汽机房#1、2桥式起重机电控系统改造工程进行公开招标。现就有关事宜通告如下：</w:t>
      </w:r>
    </w:p>
    <w:p>
      <w:pPr>
        <w:pStyle w:val="6"/>
        <w:numPr>
          <w:ilvl w:val="0"/>
          <w:numId w:val="2"/>
        </w:numPr>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bookmarkStart w:id="3" w:name="_Toc402531116"/>
      <w:bookmarkStart w:id="4" w:name="_Toc111779408"/>
      <w:bookmarkStart w:id="5" w:name="_Toc313890186"/>
      <w:bookmarkStart w:id="6" w:name="_Toc111779409"/>
      <w:bookmarkStart w:id="7" w:name="_Toc402531119"/>
      <w:bookmarkStart w:id="8" w:name="_Toc313890187"/>
      <w:r>
        <w:rPr>
          <w:rFonts w:hint="eastAsia" w:asciiTheme="minorEastAsia" w:hAnsiTheme="minorEastAsia" w:eastAsiaTheme="minorEastAsia" w:cstheme="minorEastAsia"/>
          <w:b/>
          <w:color w:val="auto"/>
          <w:sz w:val="21"/>
          <w:szCs w:val="21"/>
          <w:highlight w:val="none"/>
        </w:rPr>
        <w:t>工程概况</w:t>
      </w:r>
      <w:bookmarkEnd w:id="3"/>
      <w:bookmarkEnd w:id="4"/>
      <w:bookmarkEnd w:id="5"/>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扬州第二发电有限责任公司一期汽机房#1、2桥式起重机</w:t>
      </w:r>
      <w:r>
        <w:rPr>
          <w:rFonts w:hint="eastAsia" w:asciiTheme="minorEastAsia" w:hAnsiTheme="minorEastAsia" w:eastAsiaTheme="minorEastAsia" w:cstheme="minorEastAsia"/>
          <w:bCs/>
          <w:color w:val="auto"/>
          <w:sz w:val="21"/>
          <w:szCs w:val="21"/>
          <w:highlight w:val="none"/>
        </w:rPr>
        <w:t>为上海起重运输机械厂生产80／20T双梁吊钩桥式起重机，目前该厂已经倒闭改组。2台桥式起重机整机电控系统采用传统绕线式电机转子串电阻调速控制系统，该系统为上世纪90年代主流控制系统，目前已经使用超过20年，属于已经淘汰的调速系统。自2000年以来，桥式起重机均采用变频调速系统，为目前主流控制系统。我厂2台设备目前使用起来故障频繁，元器件、电缆等设备严重老化，且损坏的备品备件等元器件市面上已经采购不到，时常会影响桥式起重机的正常起吊工作，从而耽误生产，因此进行改造。</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相对绕线式电机串电阻方式的调速系统，变频调速系统采用变频器、PLC控制，该系统可实现无级调速，使得起升、运行速度更加精确，可以使吊重精准就位。同时主、副起升电机加装超速开关、编码器等，加装后能使主</w:t>
      </w:r>
      <w:bookmarkStart w:id="9" w:name="_GoBack"/>
      <w:bookmarkEnd w:id="9"/>
      <w:r>
        <w:rPr>
          <w:rFonts w:hint="eastAsia" w:asciiTheme="minorEastAsia" w:hAnsiTheme="minorEastAsia" w:eastAsiaTheme="minorEastAsia" w:cstheme="minorEastAsia"/>
          <w:bCs/>
          <w:color w:val="auto"/>
          <w:sz w:val="21"/>
          <w:szCs w:val="21"/>
          <w:highlight w:val="none"/>
        </w:rPr>
        <w:t>、副钩具备更精确的速度控制及力矩控制。变频器新增主、副起升编码器，建立速度反馈矢量控制系统，使主、副钩具备大转矩启动功能，提高控制精度，减小抱闸损耗，防止溜钩。</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综上所述，我公司</w:t>
      </w:r>
      <w:r>
        <w:rPr>
          <w:rFonts w:hint="eastAsia" w:asciiTheme="minorEastAsia" w:hAnsiTheme="minorEastAsia" w:eastAsiaTheme="minorEastAsia" w:cstheme="minorEastAsia"/>
          <w:color w:val="auto"/>
          <w:sz w:val="21"/>
          <w:szCs w:val="21"/>
          <w:highlight w:val="none"/>
        </w:rPr>
        <w:t>一期汽机房#1、2桥式起重机</w:t>
      </w:r>
      <w:r>
        <w:rPr>
          <w:rFonts w:hint="eastAsia" w:asciiTheme="minorEastAsia" w:hAnsiTheme="minorEastAsia" w:eastAsiaTheme="minorEastAsia" w:cstheme="minorEastAsia"/>
          <w:bCs/>
          <w:color w:val="auto"/>
          <w:sz w:val="21"/>
          <w:szCs w:val="21"/>
          <w:highlight w:val="none"/>
        </w:rPr>
        <w:t>电控系统需进行升级改造工作。</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二、招标范围</w:t>
      </w:r>
      <w:bookmarkEnd w:id="6"/>
      <w:bookmarkEnd w:id="7"/>
      <w:bookmarkEnd w:id="8"/>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扬州第二发电有限责任公司一期汽机房#1、2桥式起重机电控系统改造工程。</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三、资格审查方法：资格后审</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四、合格投标人的资格要求：</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1、投标人必须具有中华人民共和国独立法人资格，持有有效营业执照，投标人注册资金需在3000万元人民币及以上。</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2、投标人须具有《特种设备安装改造维修许可证（桥式起重机安装、</w:t>
      </w:r>
      <w:r>
        <w:rPr>
          <w:rFonts w:hint="eastAsia" w:asciiTheme="minorEastAsia" w:hAnsiTheme="minorEastAsia" w:eastAsiaTheme="minorEastAsia" w:cstheme="minorEastAsia"/>
          <w:bCs/>
          <w:color w:val="auto"/>
          <w:sz w:val="21"/>
          <w:szCs w:val="21"/>
          <w:highlight w:val="none"/>
          <w:lang w:eastAsia="zh-CN"/>
        </w:rPr>
        <w:t>改造、</w:t>
      </w:r>
      <w:r>
        <w:rPr>
          <w:rFonts w:hint="eastAsia" w:asciiTheme="minorEastAsia" w:hAnsiTheme="minorEastAsia" w:eastAsiaTheme="minorEastAsia" w:cstheme="minorEastAsia"/>
          <w:bCs/>
          <w:color w:val="auto"/>
          <w:sz w:val="21"/>
          <w:szCs w:val="21"/>
          <w:highlight w:val="none"/>
        </w:rPr>
        <w:t>维修A级）》。投标人应在专业技术、设备设施、人员组织、业绩经验等方面具有设计、制造、质量控制等相应的资格和能力。</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3、投标人的业绩条件</w:t>
      </w:r>
    </w:p>
    <w:p>
      <w:pPr>
        <w:pStyle w:val="6"/>
        <w:snapToGrid w:val="0"/>
        <w:spacing w:after="0" w:line="360" w:lineRule="auto"/>
        <w:ind w:firstLine="420" w:firstLineChars="200"/>
        <w:rPr>
          <w:rFonts w:hint="eastAsia" w:ascii="宋体" w:hAnsi="宋体"/>
          <w:color w:val="auto"/>
          <w:highlight w:val="none"/>
        </w:rPr>
      </w:pPr>
      <w:r>
        <w:rPr>
          <w:rFonts w:hint="eastAsia" w:asciiTheme="minorEastAsia" w:hAnsiTheme="minorEastAsia" w:eastAsiaTheme="minorEastAsia" w:cstheme="minorEastAsia"/>
          <w:bCs/>
          <w:color w:val="auto"/>
          <w:sz w:val="21"/>
          <w:szCs w:val="21"/>
          <w:highlight w:val="none"/>
        </w:rPr>
        <w:t>提供近五年内在发电厂从事汽机房同等级（80T及以上）起重机3台及以上的电控升级改造</w:t>
      </w:r>
      <w:r>
        <w:rPr>
          <w:rFonts w:hint="eastAsia" w:asciiTheme="minorEastAsia" w:hAnsiTheme="minorEastAsia" w:eastAsiaTheme="minorEastAsia" w:cstheme="minorEastAsia"/>
          <w:bCs/>
          <w:color w:val="auto"/>
          <w:sz w:val="21"/>
          <w:szCs w:val="21"/>
          <w:highlight w:val="none"/>
          <w:lang w:eastAsia="zh-CN"/>
        </w:rPr>
        <w:t>投运</w:t>
      </w:r>
      <w:r>
        <w:rPr>
          <w:rFonts w:hint="eastAsia" w:asciiTheme="minorEastAsia" w:hAnsiTheme="minorEastAsia" w:eastAsiaTheme="minorEastAsia" w:cstheme="minorEastAsia"/>
          <w:bCs/>
          <w:color w:val="auto"/>
          <w:sz w:val="21"/>
          <w:szCs w:val="21"/>
          <w:highlight w:val="none"/>
        </w:rPr>
        <w:t>业绩，</w:t>
      </w:r>
      <w:r>
        <w:rPr>
          <w:rFonts w:hint="eastAsia" w:asciiTheme="minorEastAsia" w:hAnsiTheme="minorEastAsia" w:eastAsiaTheme="minorEastAsia" w:cstheme="minorEastAsia"/>
          <w:bCs/>
          <w:color w:val="auto"/>
          <w:sz w:val="21"/>
          <w:szCs w:val="21"/>
          <w:highlight w:val="none"/>
          <w:lang w:eastAsia="zh-CN"/>
        </w:rPr>
        <w:t>投运</w:t>
      </w:r>
      <w:r>
        <w:rPr>
          <w:rFonts w:hint="eastAsia" w:asciiTheme="minorEastAsia" w:hAnsiTheme="minorEastAsia" w:eastAsiaTheme="minorEastAsia" w:cstheme="minorEastAsia"/>
          <w:bCs/>
          <w:color w:val="auto"/>
          <w:sz w:val="21"/>
          <w:szCs w:val="21"/>
          <w:highlight w:val="none"/>
        </w:rPr>
        <w:t>业绩计算时间截止到201</w:t>
      </w:r>
      <w:r>
        <w:rPr>
          <w:rFonts w:hint="eastAsia" w:asciiTheme="minorEastAsia" w:hAnsiTheme="minorEastAsia" w:eastAsiaTheme="minorEastAsia" w:cstheme="minorEastAsia"/>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年</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月3</w:t>
      </w:r>
      <w:r>
        <w:rPr>
          <w:rFonts w:hint="eastAsia" w:asciiTheme="minorEastAsia" w:hAnsiTheme="minorEastAsia" w:eastAsiaTheme="minorEastAsia" w:cstheme="minorEastAsia"/>
          <w:bCs/>
          <w:color w:val="auto"/>
          <w:sz w:val="21"/>
          <w:szCs w:val="21"/>
          <w:highlight w:val="none"/>
          <w:lang w:val="en-US" w:eastAsia="zh-CN"/>
        </w:rPr>
        <w:t>0</w:t>
      </w:r>
      <w:r>
        <w:rPr>
          <w:rFonts w:hint="eastAsia" w:asciiTheme="minorEastAsia" w:hAnsiTheme="minorEastAsia" w:eastAsiaTheme="minorEastAsia" w:cstheme="minorEastAsia"/>
          <w:bCs/>
          <w:color w:val="auto"/>
          <w:sz w:val="21"/>
          <w:szCs w:val="21"/>
          <w:highlight w:val="none"/>
        </w:rPr>
        <w:t>日</w:t>
      </w:r>
      <w:r>
        <w:rPr>
          <w:rFonts w:hint="eastAsia" w:ascii="宋体" w:hAnsi="宋体"/>
          <w:color w:val="auto"/>
          <w:highlight w:val="none"/>
        </w:rPr>
        <w:t>。</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投标人业绩须附合同复印件（报名时须携带合同原件核查）、用户报告、业主证明原件、合同履行情况及获奖情况的材料证明等。所提供的资料必</w:t>
      </w:r>
      <w:r>
        <w:rPr>
          <w:rFonts w:hint="eastAsia" w:asciiTheme="minorEastAsia" w:hAnsiTheme="minorEastAsia" w:eastAsiaTheme="minorEastAsia" w:cstheme="minorEastAsia"/>
          <w:bCs/>
          <w:color w:val="auto"/>
          <w:sz w:val="21"/>
          <w:szCs w:val="21"/>
          <w:highlight w:val="none"/>
        </w:rPr>
        <w:t>须真实完整，如被发现有任何虚假、隐瞒情况者，经招标监督部门核实，其投标资格将被取消。招标人保留对投标人的资质、所提供的业绩进行公示的权利。</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4、投标人应提供完善的质量、环境、职业健康安全管理体系认证证书（须在有效期内）。</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投标人应具有良好的银行资信和商业信誉，未处于被责令停业或破产状态，且资产未被重组、接管和冻结，未处于有关禁止投标的行政处罚期间和未处于正被列为失信被执行人；投标人需提供近三年由会计师事务所出具的审计报告复印件并加盖公章（可在投标时提供），且现金流充裕。</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投标人在近三年来无行贿犯罪记录（网上查询记录）；无重大安全质量事故；无重大经济行为受到刑事、行政处罚及民事起诉，也不曾在任何合同中违约或因投标人的原因而使任何合同被解除的情况出现，并提供相关证明文件或承诺。</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7、投标人不得直接或间接地与招标人雇用或曾经雇用过的，为本次招标编制技术规范和其他文件或提供咨询服务的公司包括其附属机构有关联。</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同一母公司的投标单位只能有一家参加投标，否则属于该母公司的所有参投单位的投标都将被拒标。法定代表人为同一个人的两个及两个以上法人，母公司、全资子公司及其控股公司，不得同时参与同一标的的投标。</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9、本项目采用的知识产权及专利涉及到的全部费用均被认为已包含在投标报价中，投标方应保证招标方不承担本项目有关知识产权及专利的一切责任。</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10、投标人负责本项目的项目经理具有担任过类似工程项目经理的业绩，项目经理必须提供在投标人任</w:t>
      </w:r>
      <w:r>
        <w:rPr>
          <w:rFonts w:hint="eastAsia" w:asciiTheme="minorEastAsia" w:hAnsiTheme="minorEastAsia" w:eastAsiaTheme="minorEastAsia" w:cstheme="minorEastAsia"/>
          <w:bCs/>
          <w:color w:val="auto"/>
          <w:sz w:val="21"/>
          <w:szCs w:val="21"/>
          <w:highlight w:val="none"/>
        </w:rPr>
        <w:t>职证明</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6个月社保交费记录）</w:t>
      </w:r>
      <w:r>
        <w:rPr>
          <w:rFonts w:hint="eastAsia" w:asciiTheme="minorEastAsia" w:hAnsiTheme="minorEastAsia" w:eastAsiaTheme="minorEastAsia" w:cstheme="minorEastAsia"/>
          <w:bCs/>
          <w:color w:val="auto"/>
          <w:sz w:val="21"/>
          <w:szCs w:val="21"/>
          <w:highlight w:val="none"/>
        </w:rPr>
        <w:t>。未经</w:t>
      </w:r>
      <w:r>
        <w:rPr>
          <w:rFonts w:hint="eastAsia" w:asciiTheme="minorEastAsia" w:hAnsiTheme="minorEastAsia" w:eastAsiaTheme="minorEastAsia" w:cstheme="minorEastAsia"/>
          <w:bCs/>
          <w:color w:val="auto"/>
          <w:sz w:val="21"/>
          <w:szCs w:val="21"/>
          <w:highlight w:val="none"/>
        </w:rPr>
        <w:t>招标人同意，不得更换项目经理。</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五、无效投标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发生下列情形之一的为不合格的投标，经评标委员会确定后可否决其投标：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1、投标文件未按招标文件的要求密封的；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2、投标文件未按投标须知的规定签字盖章或进行标记的；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3、投标人未按时提交投标保证金或投标保证金不符合投标须知要求的；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4、投标文件中有两个及以上的报价（除招标文件要求外），且未明确哪个报价有效；</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5、投标人不具备招标文件规定的资质和业绩条件；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6、投标文件有效期不满足招标文件要求；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7、投标人未按招标文件要求提供完整的技术投标方案，或投标文件缺少重要章节内容，严重偏离招标文件要求的；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8、投标文件未按招标文件规定的格式、内容签写，内容不全或关键字迹模糊、无法辨认；</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9、投标文件未能对招标文件作出实质性响应，存在重大偏差。对本条款而言“实质性响应”是指投标文件符合招标文件的所有合同条款且无实质性偏差（如交货期、技术要求、付款等）；</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10、投标人与其他投标人相互串通报价，或者以其他方式弄虚作假的；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11、投标人以他人名义投标，或不同投标人的投标文件出现了明显雷同情况的；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12、投标文件中标明的投标人与通过资格审查的申请人在名称和组织结构上存在实质性差别且未提供有效证明的；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13、被评标委员会确定为不合格投标的；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14、相关法律、法规、规章、政府规范性文件规定可以否决其投标的其他情形。</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六、投标保证金</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投标人在开标日前一天向招标代理机构支付金额为人民币</w:t>
      </w:r>
      <w:r>
        <w:rPr>
          <w:rFonts w:hint="eastAsia" w:asciiTheme="minorEastAsia" w:hAnsiTheme="minorEastAsia" w:eastAsiaTheme="minorEastAsia" w:cstheme="minorEastAsia"/>
          <w:b/>
          <w:bCs/>
          <w:color w:val="auto"/>
          <w:sz w:val="21"/>
          <w:szCs w:val="21"/>
          <w:highlight w:val="none"/>
          <w:u w:val="single"/>
        </w:rPr>
        <w:t xml:space="preserve"> 2</w:t>
      </w:r>
      <w:r>
        <w:rPr>
          <w:rFonts w:hint="eastAsia" w:asciiTheme="minorEastAsia" w:hAnsiTheme="minorEastAsia" w:eastAsiaTheme="minorEastAsia" w:cstheme="minorEastAsia"/>
          <w:b/>
          <w:color w:val="auto"/>
          <w:sz w:val="21"/>
          <w:szCs w:val="21"/>
          <w:highlight w:val="none"/>
          <w:u w:val="single"/>
        </w:rPr>
        <w:t>万元</w:t>
      </w:r>
      <w:r>
        <w:rPr>
          <w:rFonts w:hint="eastAsia" w:asciiTheme="minorEastAsia" w:hAnsiTheme="minorEastAsia" w:eastAsiaTheme="minorEastAsia" w:cstheme="minorEastAsia"/>
          <w:color w:val="auto"/>
          <w:sz w:val="21"/>
          <w:szCs w:val="21"/>
          <w:highlight w:val="none"/>
        </w:rPr>
        <w:t>的投标保证金。投标保证金的形式：电汇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七、报名及招标文件发售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1、招标文件的获取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1.1凡有意参加投标者，请</w:t>
      </w:r>
      <w:r>
        <w:rPr>
          <w:rFonts w:hint="eastAsia" w:asciiTheme="minorEastAsia" w:hAnsiTheme="minorEastAsia" w:eastAsiaTheme="minorEastAsia" w:cstheme="minorEastAsia"/>
          <w:color w:val="auto"/>
          <w:sz w:val="21"/>
          <w:szCs w:val="21"/>
          <w:highlight w:val="none"/>
        </w:rPr>
        <w:t>于2019年</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日9时至2019年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日17时(北京时间，下同)，登陆中招联合招标采购平台下载电子招标文件。下载者请务必至少在文件发售截止时间半个工作日前登录平台完成购买操作，否则将无法保证获取电子招标文件。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1.2招标文件每套售价2000元，平台下载费100元， 售后不退。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1.4下载者须通过平台填写“购标申请”，并上传公告要求提供的资料，否则购买操作无法完成。</w:t>
      </w:r>
      <w:r>
        <w:rPr>
          <w:rFonts w:hint="eastAsia" w:asciiTheme="minorEastAsia" w:hAnsiTheme="minorEastAsia" w:eastAsiaTheme="minorEastAsia" w:cstheme="minorEastAsia"/>
          <w:b/>
          <w:bCs/>
          <w:color w:val="auto"/>
          <w:sz w:val="21"/>
          <w:szCs w:val="21"/>
          <w:highlight w:val="none"/>
        </w:rPr>
        <w:t>需上传资料：营业执照复印件加盖公章、法人授权书原件、资信能力状况表（详见公告附件，下载填写完整后上传word格式方可报名）</w:t>
      </w:r>
      <w:r>
        <w:rPr>
          <w:rFonts w:hint="eastAsia" w:asciiTheme="minorEastAsia" w:hAnsiTheme="minorEastAsia" w:eastAsiaTheme="minorEastAsia" w:cstheme="minorEastAsia"/>
          <w:color w:val="auto"/>
          <w:sz w:val="21"/>
          <w:szCs w:val="21"/>
          <w:highlight w:val="none"/>
        </w:rPr>
        <w:t>。</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1.5下载者选择“需要邮购纸质标书”的，需支付邮购费，招标代理机构将在文件下载后的1个工作日内寄送。</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1.6下载者需要发票的，须通过平台填写“开票申请”；招标文件费用及邮购费发票由招标代理机构出具，在开标时领取；平台下载费发票由平台公司出具，联系平台公司领取。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八、发布公告媒介</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本次招标公告在http://www.365trade.com.cn/（中招联合招标采购平台）、http://www.jsnjebpubservice.com/#/newindex（江苏招标投标公共服务平台）、http://bulletin.cebpubservice.com/(中国招标投标公共服务平台)上发布。</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九、联系地址：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招标代理机构：南京市山西路120号江苏成套大厦18楼1809室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邮编：210009</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联系人：刘晗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联系电话：025-86638721  13814074300</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r>
        <w:rPr>
          <w:color w:val="auto"/>
          <w:highlight w:val="none"/>
        </w:rPr>
        <w:fldChar w:fldCharType="begin"/>
      </w:r>
      <w:r>
        <w:rPr>
          <w:color w:val="auto"/>
          <w:highlight w:val="none"/>
        </w:rPr>
        <w:instrText xml:space="preserve"> HYPERLINK "mailto:jcecbidding@jcec.cn" </w:instrText>
      </w:r>
      <w:r>
        <w:rPr>
          <w:color w:val="auto"/>
          <w:highlight w:val="none"/>
        </w:rPr>
        <w:fldChar w:fldCharType="separate"/>
      </w:r>
      <w:r>
        <w:rPr>
          <w:color w:val="auto"/>
          <w:highlight w:val="none"/>
        </w:rPr>
        <w:fldChar w:fldCharType="end"/>
      </w:r>
      <w:r>
        <w:rPr>
          <w:rFonts w:hint="eastAsia" w:asciiTheme="minorEastAsia" w:hAnsiTheme="minorEastAsia" w:eastAsiaTheme="minorEastAsia" w:cstheme="minorEastAsia"/>
          <w:color w:val="auto"/>
          <w:sz w:val="21"/>
          <w:szCs w:val="21"/>
          <w:highlight w:val="none"/>
        </w:rPr>
        <w:t xml:space="preserve"> </w:t>
      </w:r>
      <w:r>
        <w:rPr>
          <w:color w:val="auto"/>
          <w:highlight w:val="none"/>
        </w:rPr>
        <w:fldChar w:fldCharType="begin"/>
      </w:r>
      <w:r>
        <w:rPr>
          <w:color w:val="auto"/>
          <w:highlight w:val="none"/>
        </w:rPr>
        <w:instrText xml:space="preserve"> HYPERLINK "mailto:769405506@qq.com" </w:instrText>
      </w:r>
      <w:r>
        <w:rPr>
          <w:color w:val="auto"/>
          <w:highlight w:val="none"/>
        </w:rPr>
        <w:fldChar w:fldCharType="separate"/>
      </w:r>
      <w:r>
        <w:rPr>
          <w:rStyle w:val="10"/>
          <w:rFonts w:hint="eastAsia" w:asciiTheme="minorEastAsia" w:hAnsiTheme="minorEastAsia" w:eastAsiaTheme="minorEastAsia" w:cstheme="minorEastAsia"/>
          <w:color w:val="auto"/>
          <w:sz w:val="21"/>
          <w:szCs w:val="21"/>
          <w:highlight w:val="none"/>
        </w:rPr>
        <w:t>769405506@qq.com</w:t>
      </w:r>
      <w:r>
        <w:rPr>
          <w:rStyle w:val="10"/>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 xml:space="preserve">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招标人名称：扬州第二发电有限责任公司</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 系 人： 贾工</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话：0514-87772227</w:t>
      </w:r>
    </w:p>
    <w:p>
      <w:pPr>
        <w:pStyle w:val="6"/>
        <w:snapToGrid w:val="0"/>
        <w:spacing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十、投标截止时间和开标时间</w:t>
      </w:r>
      <w:r>
        <w:rPr>
          <w:rFonts w:hint="eastAsia" w:asciiTheme="minorEastAsia" w:hAnsiTheme="minorEastAsia" w:eastAsiaTheme="minorEastAsia" w:cstheme="minorEastAsia"/>
          <w:color w:val="auto"/>
          <w:sz w:val="21"/>
          <w:szCs w:val="21"/>
          <w:highlight w:val="none"/>
        </w:rPr>
        <w:t>：2019年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日上午10时。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投标文件递交地点：扬州市江苑宾馆（扬州第二发电有限责任公司内）</w:t>
      </w:r>
    </w:p>
    <w:p>
      <w:pPr>
        <w:adjustRightInd/>
        <w:snapToGrid/>
        <w:spacing w:after="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br w:type="page"/>
      </w:r>
    </w:p>
    <w:p>
      <w:pPr>
        <w:pStyle w:val="6"/>
        <w:snapToGrid w:val="0"/>
        <w:spacing w:after="0" w:line="360" w:lineRule="auto"/>
        <w:ind w:firstLine="480" w:firstLineChars="200"/>
        <w:rPr>
          <w:rFonts w:asciiTheme="minorEastAsia" w:hAnsiTheme="minorEastAsia" w:eastAsiaTheme="minorEastAsia" w:cstheme="minorBidi"/>
          <w:color w:val="auto"/>
          <w:sz w:val="24"/>
          <w:highlight w:val="none"/>
        </w:rPr>
      </w:pP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附件：</w:t>
      </w:r>
    </w:p>
    <w:p>
      <w:pPr>
        <w:pStyle w:val="6"/>
        <w:snapToGrid w:val="0"/>
        <w:spacing w:after="0" w:line="360" w:lineRule="auto"/>
        <w:ind w:firstLine="422" w:firstLineChars="200"/>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扬州第二发电有限责任公司</w:t>
      </w:r>
    </w:p>
    <w:p>
      <w:pPr>
        <w:pStyle w:val="6"/>
        <w:snapToGrid w:val="0"/>
        <w:spacing w:after="0" w:line="360" w:lineRule="auto"/>
        <w:ind w:firstLine="422" w:firstLineChars="200"/>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一期汽机房#1、2桥式起重机电控系统改造工程</w:t>
      </w:r>
    </w:p>
    <w:p>
      <w:pPr>
        <w:pStyle w:val="6"/>
        <w:snapToGrid w:val="0"/>
        <w:spacing w:after="0" w:line="360" w:lineRule="auto"/>
        <w:ind w:firstLine="422" w:firstLineChars="200"/>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资信能力状况表</w:t>
      </w:r>
    </w:p>
    <w:tbl>
      <w:tblPr>
        <w:tblStyle w:val="7"/>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652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综合能力</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集团内使用情况</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其它情况简介</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注：1、综合能力包括企业简介、注册资本金、人员情况、主营业务、财务状况、获奖情况等相关介绍。</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2、资质指对应招标公告中投标人需要具备资质要求进行具体说明是否符合或优于招标文件要求。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3、业绩指对应招标公告中投标人需要具备业绩要求进行具体说明是否符合或优于招标文件要求，并提供业绩情况清单（见附表）</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pStyle w:val="6"/>
        <w:snapToGrid w:val="0"/>
        <w:spacing w:after="0" w:line="360" w:lineRule="auto"/>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134"/>
        <w:gridCol w:w="851"/>
        <w:gridCol w:w="1134"/>
        <w:gridCol w:w="1134"/>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76"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合同名称</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合同内容</w:t>
            </w:r>
          </w:p>
        </w:tc>
        <w:tc>
          <w:tcPr>
            <w:tcW w:w="851"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投产时间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是否是集团内业绩</w:t>
            </w:r>
          </w:p>
        </w:tc>
        <w:tc>
          <w:tcPr>
            <w:tcW w:w="1417"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Open Sans">
    <w:panose1 w:val="020B06060305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5932A"/>
    <w:multiLevelType w:val="singleLevel"/>
    <w:tmpl w:val="B435932A"/>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eastAsia="黑体"/>
        <w:b/>
        <w:i w:val="0"/>
        <w:sz w:val="21"/>
        <w:szCs w:val="21"/>
      </w:rPr>
    </w:lvl>
    <w:lvl w:ilvl="2" w:tentative="0">
      <w:start w:val="1"/>
      <w:numFmt w:val="decimal"/>
      <w:pStyle w:val="16"/>
      <w:suff w:val="nothing"/>
      <w:lvlText w:val="%1%2.%3　"/>
      <w:lvlJc w:val="left"/>
      <w:pPr>
        <w:ind w:left="425" w:firstLine="0"/>
      </w:pPr>
      <w:rPr>
        <w:rFonts w:hint="eastAsia" w:ascii="黑体" w:eastAsia="黑体"/>
        <w:b w:val="0"/>
        <w:color w:val="auto"/>
        <w:sz w:val="21"/>
        <w:szCs w:val="21"/>
      </w:rPr>
    </w:lvl>
    <w:lvl w:ilvl="3" w:tentative="0">
      <w:start w:val="1"/>
      <w:numFmt w:val="decimal"/>
      <w:pStyle w:val="15"/>
      <w:suff w:val="nothing"/>
      <w:lvlText w:val="%1%2.%3.%4　"/>
      <w:lvlJc w:val="left"/>
      <w:pPr>
        <w:ind w:left="284" w:firstLine="0"/>
      </w:pPr>
      <w:rPr>
        <w:rFonts w:hint="eastAsia" w:ascii="黑体" w:hAnsi="宋体" w:eastAsia="黑体"/>
        <w:b w:val="0"/>
        <w:bCs w:val="0"/>
        <w:i w:val="0"/>
        <w:iCs w:val="0"/>
        <w:caps w:val="0"/>
        <w:smallCaps w:val="0"/>
        <w:strike w:val="0"/>
        <w:dstrike w:val="0"/>
        <w:color w:val="auto"/>
        <w:spacing w:val="0"/>
        <w:w w:val="100"/>
        <w:kern w:val="0"/>
        <w:position w:val="0"/>
        <w:sz w:val="21"/>
        <w:u w:val="none"/>
        <w:shd w:val="clear" w:color="auto" w:fill="auto"/>
      </w:rPr>
    </w:lvl>
    <w:lvl w:ilvl="4" w:tentative="0">
      <w:start w:val="1"/>
      <w:numFmt w:val="decimal"/>
      <w:pStyle w:val="19"/>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18"/>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F91"/>
    <w:rsid w:val="000471FD"/>
    <w:rsid w:val="00050275"/>
    <w:rsid w:val="00092476"/>
    <w:rsid w:val="000C3937"/>
    <w:rsid w:val="000D693D"/>
    <w:rsid w:val="001164DE"/>
    <w:rsid w:val="001B1D9E"/>
    <w:rsid w:val="001F05FD"/>
    <w:rsid w:val="00210037"/>
    <w:rsid w:val="00257191"/>
    <w:rsid w:val="00294A9A"/>
    <w:rsid w:val="002B28BF"/>
    <w:rsid w:val="002F4DC6"/>
    <w:rsid w:val="00323B43"/>
    <w:rsid w:val="0034556E"/>
    <w:rsid w:val="0036625D"/>
    <w:rsid w:val="003D029D"/>
    <w:rsid w:val="003D37D8"/>
    <w:rsid w:val="00410287"/>
    <w:rsid w:val="00421C96"/>
    <w:rsid w:val="00426133"/>
    <w:rsid w:val="004358AB"/>
    <w:rsid w:val="00442584"/>
    <w:rsid w:val="004835F2"/>
    <w:rsid w:val="004A6370"/>
    <w:rsid w:val="00524D70"/>
    <w:rsid w:val="005943FF"/>
    <w:rsid w:val="005A2888"/>
    <w:rsid w:val="005A34EC"/>
    <w:rsid w:val="00640097"/>
    <w:rsid w:val="0064662D"/>
    <w:rsid w:val="00670214"/>
    <w:rsid w:val="0067569D"/>
    <w:rsid w:val="006C7C7A"/>
    <w:rsid w:val="006D6B57"/>
    <w:rsid w:val="006E3F6B"/>
    <w:rsid w:val="00721118"/>
    <w:rsid w:val="00785887"/>
    <w:rsid w:val="007B7A08"/>
    <w:rsid w:val="007C5123"/>
    <w:rsid w:val="007E544E"/>
    <w:rsid w:val="00810221"/>
    <w:rsid w:val="0087241D"/>
    <w:rsid w:val="00877402"/>
    <w:rsid w:val="008B2139"/>
    <w:rsid w:val="008B7726"/>
    <w:rsid w:val="008D4AD9"/>
    <w:rsid w:val="009511D5"/>
    <w:rsid w:val="00984234"/>
    <w:rsid w:val="009A39BD"/>
    <w:rsid w:val="00A342A2"/>
    <w:rsid w:val="00A373C7"/>
    <w:rsid w:val="00B92381"/>
    <w:rsid w:val="00BC5F30"/>
    <w:rsid w:val="00C223F3"/>
    <w:rsid w:val="00C2792F"/>
    <w:rsid w:val="00C50DCE"/>
    <w:rsid w:val="00C56291"/>
    <w:rsid w:val="00C95FFF"/>
    <w:rsid w:val="00D159A3"/>
    <w:rsid w:val="00D224C7"/>
    <w:rsid w:val="00D31D50"/>
    <w:rsid w:val="00D36B0A"/>
    <w:rsid w:val="00D75FE3"/>
    <w:rsid w:val="00DB1979"/>
    <w:rsid w:val="00E2010B"/>
    <w:rsid w:val="00E52DFC"/>
    <w:rsid w:val="00E54797"/>
    <w:rsid w:val="00EC60CD"/>
    <w:rsid w:val="00EF058A"/>
    <w:rsid w:val="00EF08A2"/>
    <w:rsid w:val="00F13A6A"/>
    <w:rsid w:val="00F14C99"/>
    <w:rsid w:val="00F15E24"/>
    <w:rsid w:val="00F535EF"/>
    <w:rsid w:val="00FC0E73"/>
    <w:rsid w:val="00FD74CA"/>
    <w:rsid w:val="00FE0B2F"/>
    <w:rsid w:val="055B4473"/>
    <w:rsid w:val="091D198A"/>
    <w:rsid w:val="0E1456C3"/>
    <w:rsid w:val="12AE06E1"/>
    <w:rsid w:val="13896299"/>
    <w:rsid w:val="1A43288B"/>
    <w:rsid w:val="1A7627B3"/>
    <w:rsid w:val="1BD85B50"/>
    <w:rsid w:val="1EBB037F"/>
    <w:rsid w:val="1F251D73"/>
    <w:rsid w:val="20405F43"/>
    <w:rsid w:val="22015BE7"/>
    <w:rsid w:val="22C70EA6"/>
    <w:rsid w:val="23A90ACE"/>
    <w:rsid w:val="25717944"/>
    <w:rsid w:val="2F030BC8"/>
    <w:rsid w:val="30533AA1"/>
    <w:rsid w:val="3188713C"/>
    <w:rsid w:val="319434F7"/>
    <w:rsid w:val="327557D5"/>
    <w:rsid w:val="34FC709F"/>
    <w:rsid w:val="36192392"/>
    <w:rsid w:val="38685062"/>
    <w:rsid w:val="3EBC45B6"/>
    <w:rsid w:val="452E5B9F"/>
    <w:rsid w:val="45811E4E"/>
    <w:rsid w:val="475D11C3"/>
    <w:rsid w:val="4A752B31"/>
    <w:rsid w:val="4B201148"/>
    <w:rsid w:val="50B97982"/>
    <w:rsid w:val="58443CE9"/>
    <w:rsid w:val="59B73B3F"/>
    <w:rsid w:val="5A867024"/>
    <w:rsid w:val="62D8749B"/>
    <w:rsid w:val="64C22830"/>
    <w:rsid w:val="654C3DDC"/>
    <w:rsid w:val="732B4A77"/>
    <w:rsid w:val="74536B4D"/>
    <w:rsid w:val="77C932B0"/>
    <w:rsid w:val="78403FD2"/>
    <w:rsid w:val="791639A9"/>
    <w:rsid w:val="7A9E457E"/>
    <w:rsid w:val="7B1B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3"/>
    <w:qFormat/>
    <w:uiPriority w:val="0"/>
    <w:pPr>
      <w:keepNext/>
      <w:keepLines/>
      <w:widowControl w:val="0"/>
      <w:spacing w:before="200" w:after="300"/>
      <w:jc w:val="center"/>
      <w:outlineLvl w:val="1"/>
    </w:pPr>
    <w:rPr>
      <w:rFonts w:ascii="Cambria" w:hAnsi="Cambria" w:eastAsia="黑体" w:cs="Times New Roman"/>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link w:val="20"/>
    <w:qFormat/>
    <w:uiPriority w:val="0"/>
    <w:pPr>
      <w:widowControl w:val="0"/>
      <w:adjustRightInd/>
      <w:snapToGrid/>
      <w:spacing w:after="120" w:line="480" w:lineRule="auto"/>
      <w:jc w:val="both"/>
    </w:pPr>
    <w:rPr>
      <w:rFonts w:ascii="Times New Roman" w:hAnsi="Times New Roman" w:eastAsia="宋体" w:cs="Times New Roman"/>
      <w:sz w:val="20"/>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rFonts w:ascii="Tahoma" w:hAnsi="Tahoma"/>
      <w:sz w:val="18"/>
      <w:szCs w:val="18"/>
    </w:rPr>
  </w:style>
  <w:style w:type="character" w:customStyle="1" w:styleId="12">
    <w:name w:val="页脚 Char"/>
    <w:basedOn w:val="9"/>
    <w:link w:val="4"/>
    <w:qFormat/>
    <w:uiPriority w:val="99"/>
    <w:rPr>
      <w:rFonts w:ascii="Tahoma" w:hAnsi="Tahoma"/>
      <w:sz w:val="18"/>
      <w:szCs w:val="18"/>
    </w:rPr>
  </w:style>
  <w:style w:type="character" w:customStyle="1" w:styleId="13">
    <w:name w:val="标题 2 Char"/>
    <w:basedOn w:val="9"/>
    <w:link w:val="2"/>
    <w:qFormat/>
    <w:uiPriority w:val="0"/>
    <w:rPr>
      <w:rFonts w:ascii="Cambria" w:hAnsi="Cambria" w:eastAsia="黑体" w:cs="Times New Roman"/>
      <w:bCs/>
      <w:sz w:val="32"/>
      <w:szCs w:val="32"/>
    </w:rPr>
  </w:style>
  <w:style w:type="character" w:customStyle="1" w:styleId="14">
    <w:name w:val="15"/>
    <w:basedOn w:val="9"/>
    <w:qFormat/>
    <w:uiPriority w:val="0"/>
    <w:rPr>
      <w:rFonts w:hint="default" w:ascii="Times New Roman" w:hAnsi="Times New Roman" w:cs="Times New Roman"/>
      <w:color w:val="0000FF"/>
      <w:u w:val="single"/>
    </w:rPr>
  </w:style>
  <w:style w:type="paragraph" w:customStyle="1" w:styleId="15">
    <w:name w:val="二级条标题"/>
    <w:basedOn w:val="16"/>
    <w:next w:val="1"/>
    <w:qFormat/>
    <w:uiPriority w:val="0"/>
    <w:pPr>
      <w:numPr>
        <w:ilvl w:val="3"/>
      </w:numPr>
      <w:outlineLvl w:val="3"/>
    </w:pPr>
  </w:style>
  <w:style w:type="paragraph" w:customStyle="1" w:styleId="16">
    <w:name w:val="一级条标题"/>
    <w:basedOn w:val="17"/>
    <w:next w:val="1"/>
    <w:qFormat/>
    <w:uiPriority w:val="0"/>
    <w:pPr>
      <w:numPr>
        <w:ilvl w:val="2"/>
      </w:numPr>
      <w:spacing w:before="0" w:after="0"/>
      <w:outlineLvl w:val="2"/>
    </w:pPr>
  </w:style>
  <w:style w:type="paragraph" w:customStyle="1" w:styleId="17">
    <w:name w:val="章标题"/>
    <w:next w:val="1"/>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paragraph" w:customStyle="1" w:styleId="18">
    <w:name w:val="四级条标题"/>
    <w:basedOn w:val="19"/>
    <w:next w:val="1"/>
    <w:qFormat/>
    <w:uiPriority w:val="0"/>
    <w:pPr>
      <w:numPr>
        <w:ilvl w:val="5"/>
      </w:numPr>
      <w:outlineLvl w:val="5"/>
    </w:pPr>
  </w:style>
  <w:style w:type="paragraph" w:customStyle="1" w:styleId="19">
    <w:name w:val="三级条标题"/>
    <w:basedOn w:val="15"/>
    <w:next w:val="1"/>
    <w:qFormat/>
    <w:uiPriority w:val="0"/>
    <w:pPr>
      <w:numPr>
        <w:ilvl w:val="4"/>
      </w:numPr>
      <w:outlineLvl w:val="4"/>
    </w:pPr>
  </w:style>
  <w:style w:type="character" w:customStyle="1" w:styleId="20">
    <w:name w:val="正文文本 2 Char"/>
    <w:basedOn w:val="9"/>
    <w:link w:val="6"/>
    <w:qFormat/>
    <w:uiPriority w:val="0"/>
    <w:rPr>
      <w:rFonts w:ascii="Times New Roman" w:hAnsi="Times New Roman" w:eastAsia="宋体" w:cs="Times New Roman"/>
      <w:sz w:val="20"/>
      <w:szCs w:val="24"/>
    </w:rPr>
  </w:style>
  <w:style w:type="paragraph" w:styleId="21">
    <w:name w:val="List Paragraph"/>
    <w:basedOn w:val="1"/>
    <w:qFormat/>
    <w:uiPriority w:val="34"/>
    <w:pPr>
      <w:ind w:firstLine="420" w:firstLineChars="200"/>
    </w:pPr>
  </w:style>
  <w:style w:type="character" w:customStyle="1" w:styleId="22">
    <w:name w:val="标题 8 Char"/>
    <w:qFormat/>
    <w:uiPriority w:val="0"/>
    <w:rPr>
      <w:rFonts w:eastAsia="宋体"/>
      <w:sz w:val="24"/>
      <w:lang w:val="en-US" w:eastAsia="zh-CN" w:bidi="ar-SA"/>
    </w:rPr>
  </w:style>
  <w:style w:type="character" w:customStyle="1" w:styleId="23">
    <w:name w:val="批注框文本 Char"/>
    <w:basedOn w:val="9"/>
    <w:link w:val="3"/>
    <w:semiHidden/>
    <w:qFormat/>
    <w:uiPriority w:val="99"/>
    <w:rPr>
      <w:rFonts w:ascii="Tahoma" w:hAnsi="Tahoma" w:eastAsia="微软雅黑" w:cstheme="minorBidi"/>
      <w:sz w:val="18"/>
      <w:szCs w:val="18"/>
    </w:rPr>
  </w:style>
  <w:style w:type="paragraph" w:customStyle="1" w:styleId="24">
    <w:name w:val="样式 标题 2"/>
    <w:basedOn w:val="1"/>
    <w:qFormat/>
    <w:uiPriority w:val="0"/>
    <w:pPr>
      <w:tabs>
        <w:tab w:val="left" w:pos="882"/>
      </w:tabs>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593</Words>
  <Characters>3384</Characters>
  <Lines>28</Lines>
  <Paragraphs>7</Paragraphs>
  <TotalTime>14</TotalTime>
  <ScaleCrop>false</ScaleCrop>
  <LinksUpToDate>false</LinksUpToDate>
  <CharactersWithSpaces>3970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2019-05-05T06:21:00Z</dcterms:created>
  <dc:creator>设备_锅炉主任工程师</dc:creator>
  <cp:lastModifiedBy>长颈鹿的~小心事</cp:lastModifiedBy>
  <cp:lastPrinted>2019-01-24T07:46:00Z</cp:lastPrinted>
  <dcterms:modified xsi:type="dcterms:W3CDTF">2019-07-29T06:18:16Z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