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bookmarkStart w:id="0" w:name="_Toc28359001"/>
      <w:bookmarkStart w:id="1" w:name="_Toc35393789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公开招标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(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eastAsia="zh-CN"/>
        </w:rPr>
        <w:t>“五城同创”公益广告宣传采购项目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)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招标项目的潜在投标人应在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（佳木斯市郊区长安西路气象局院内中资办公楼）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获取招标文件，并于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2020年06月12日14点00分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u w:val="single"/>
        </w:rPr>
        <w:t>（北京时间）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前递交投标文件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  <w:t>一、项目基本情况</w:t>
      </w:r>
      <w:bookmarkEnd w:id="2"/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项目编号：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“五城同创”公益广告宣传采购项目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bookmarkEnd w:id="6"/>
    <w:p>
      <w:pPr>
        <w:spacing w:line="360" w:lineRule="auto"/>
        <w:ind w:firstLine="480" w:firstLineChars="200"/>
        <w:rPr>
          <w:rFonts w:hint="eastAsia" w:ascii="宋体" w:hAnsi="宋体" w:cs="黑体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采购预算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黑体"/>
          <w:sz w:val="24"/>
          <w:lang w:val="en-US" w:eastAsia="zh-CN"/>
        </w:rPr>
        <w:t>财政资金99,430.00元。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vertAlign w:val="baseli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采购需求：</w:t>
      </w:r>
    </w:p>
    <w:tbl>
      <w:tblPr>
        <w:tblStyle w:val="9"/>
        <w:tblW w:w="928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1561"/>
        <w:gridCol w:w="4698"/>
        <w:gridCol w:w="97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技术参数要求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高空广告牌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万兴、佳南、飞机场、友谊桥、佳北等出城口擎天柱广告牌、高空广告牌、桥体广告：尺寸18米×6米等，2A喷绘布、安装及提供广告位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公交站亭广告牌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解放路、站前路、德祥街、顺和街、保卫路、通江街、光复路、万新街、万达路、学院街、圃东街、红旗路、安庆街、胜利路、杏林路、中山街、友谊路、长安路、西林路、和平街、东安街、勤政路、万象街等位置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尺寸1.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米×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米，车贴背板、灯箱片等材质安装、维护及提供广告位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7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阅报栏广告牌</w:t>
            </w:r>
          </w:p>
        </w:tc>
        <w:tc>
          <w:tcPr>
            <w:tcW w:w="4698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市中山路、滨江路、中山街、杏林路、站前路等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位置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尺寸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米×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,2A喷绘布、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安装及提供广告位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9289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注：负责广告制作、安装及广告位使用及售后服务。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供货时间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签订合同后7日。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供货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地点：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佳木斯市</w:t>
      </w:r>
      <w:r>
        <w:rPr>
          <w:rFonts w:hint="eastAsia" w:ascii="宋体" w:hAnsi="宋体" w:cs="宋体"/>
          <w:sz w:val="24"/>
        </w:rPr>
        <w:t>，具体地点由招标人指定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本项目（</w:t>
      </w:r>
      <w:r>
        <w:rPr>
          <w:rFonts w:hint="eastAsia" w:ascii="宋体" w:hAnsi="宋体" w:cs="宋体"/>
          <w:sz w:val="24"/>
          <w:lang w:eastAsia="zh-CN"/>
        </w:rPr>
        <w:t>否</w:t>
      </w:r>
      <w:r>
        <w:rPr>
          <w:rFonts w:hint="eastAsia" w:ascii="宋体" w:hAnsi="宋体" w:cs="宋体"/>
          <w:sz w:val="24"/>
        </w:rPr>
        <w:t>）接受联合体投标。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bookmarkStart w:id="7" w:name="_Toc28359003"/>
      <w:bookmarkStart w:id="8" w:name="_Toc28359080"/>
      <w:bookmarkStart w:id="9" w:name="_Toc35393791"/>
      <w:bookmarkStart w:id="10" w:name="_Toc35393622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二、申请人的资格要求：</w:t>
      </w:r>
      <w:bookmarkEnd w:id="7"/>
      <w:bookmarkEnd w:id="8"/>
      <w:bookmarkEnd w:id="9"/>
      <w:bookmarkEnd w:id="10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1.满足《中华人民共和国政府采购法》第二十二条规定；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bookmarkStart w:id="11" w:name="_Toc28359004"/>
      <w:bookmarkStart w:id="12" w:name="_Toc28359081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2.落实政府采购政策需满足的资格要求：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本项目落实执行政府强制采购节能产品、鼓励环保产品、支持中小微企业、促进残疾人就业、支持监狱和戒毒企业、扶持不发达地区和少数民族地区以及限制采购进口产品等相关政策。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3.本项目的特定资格要求：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3.1参加本项目投标的潜在投标人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须在黑龙江省内政府采购网注册登记并经审核合格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3.2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对列入失信被执行人、重大税收违法案件当事人名单、政府采购严重违法失信行为记录名单，拒绝其参与政府采购活动。供应商需通过“中国执行信息公开网”（http://zxgk.court.gov.cn/）、“信用中国”网站( www.creditchina.gov.cn)、中国政府采购网( www.ccgp.gov.cn)查询信用记录；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color w:val="auto"/>
          <w:sz w:val="24"/>
          <w:szCs w:val="24"/>
          <w:highlight w:val="none"/>
        </w:rPr>
      </w:pPr>
      <w:bookmarkStart w:id="13" w:name="_Toc35393792"/>
      <w:bookmarkStart w:id="14" w:name="_Toc35393623"/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single"/>
        </w:rPr>
        <w:t>2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single"/>
          <w:lang w:val="en-US" w:eastAsia="zh-CN"/>
        </w:rPr>
        <w:t>020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single"/>
          <w:lang w:val="en-US" w:eastAsia="zh-CN"/>
        </w:rPr>
        <w:t>05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宋体" w:hAnsi="宋体" w:cs="宋体"/>
          <w:i w:val="0"/>
          <w:iCs/>
          <w:color w:val="auto"/>
          <w:sz w:val="24"/>
          <w:szCs w:val="24"/>
          <w:highlight w:val="none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none"/>
        </w:rPr>
        <w:t>日至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single"/>
        </w:rPr>
        <w:t>20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single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single"/>
          <w:lang w:val="en-US" w:eastAsia="zh-CN"/>
        </w:rPr>
        <w:t>05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宋体" w:hAnsi="宋体" w:cs="宋体"/>
          <w:i w:val="0"/>
          <w:iCs/>
          <w:color w:val="auto"/>
          <w:sz w:val="24"/>
          <w:szCs w:val="24"/>
          <w:highlight w:val="none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4"/>
          <w:highlight w:val="none"/>
          <w:u w:val="none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，每天上午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09时00分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下午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>00分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（北京时间，法定节假日除外）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地点：佳木斯市长安路西气象局院内中资招标公司办公楼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三楼。</w:t>
      </w:r>
    </w:p>
    <w:p>
      <w:pPr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方式：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现场获取。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四、提交投标文件</w:t>
      </w:r>
      <w:bookmarkEnd w:id="15"/>
      <w:bookmarkEnd w:id="16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截止时间、开标时间和地点</w:t>
      </w:r>
      <w:bookmarkEnd w:id="17"/>
      <w:bookmarkEnd w:id="18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u w:val="single"/>
          <w:lang w:eastAsia="zh-CN"/>
        </w:rPr>
      </w:pPr>
      <w:bookmarkStart w:id="33" w:name="_GoBack"/>
      <w:bookmarkEnd w:id="33"/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u w:val="single"/>
          <w:lang w:val="en-US" w:eastAsia="zh-CN"/>
        </w:rPr>
        <w:t>2020年06月12日14点00分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（北京时间）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地点：佳木斯市长安路西气象局院内中资招标公司办公楼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三楼开标大厅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bookmarkStart w:id="19" w:name="_Toc35393625"/>
      <w:bookmarkStart w:id="20" w:name="_Toc28359007"/>
      <w:bookmarkStart w:id="21" w:name="_Toc35393794"/>
      <w:bookmarkStart w:id="22" w:name="_Toc28359084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五、公告期限</w:t>
      </w:r>
      <w:bookmarkEnd w:id="19"/>
      <w:bookmarkEnd w:id="20"/>
      <w:bookmarkEnd w:id="21"/>
      <w:bookmarkEnd w:id="22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自本公告发布之日起5个工作日。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bookmarkStart w:id="23" w:name="_Toc35393626"/>
      <w:bookmarkStart w:id="24" w:name="_Toc35393795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六、其他补充事宜</w:t>
      </w:r>
      <w:bookmarkEnd w:id="23"/>
      <w:bookmarkEnd w:id="24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本项目招标公告在黑龙江省政府采购网（http://www.hljcg.gov.cn/）进行发布。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bookmarkStart w:id="25" w:name="_Toc35393796"/>
      <w:bookmarkStart w:id="26" w:name="_Toc28359085"/>
      <w:bookmarkStart w:id="27" w:name="_Toc35393627"/>
      <w:bookmarkStart w:id="28" w:name="_Toc28359008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七、对本次招标提出询问，请按以下方式联系。</w:t>
      </w:r>
      <w:bookmarkEnd w:id="25"/>
      <w:bookmarkEnd w:id="26"/>
      <w:bookmarkEnd w:id="27"/>
      <w:bookmarkEnd w:id="28"/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1.采购人信息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 称：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中共佳木斯市委宣传部</w:t>
      </w:r>
    </w:p>
    <w:p>
      <w:pPr>
        <w:spacing w:line="360" w:lineRule="auto"/>
        <w:ind w:left="1079" w:leftChars="371" w:hanging="300" w:hangingChars="125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地 址：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佳木斯市</w:t>
      </w:r>
    </w:p>
    <w:p>
      <w:pPr>
        <w:snapToGrid w:val="0"/>
        <w:spacing w:line="360" w:lineRule="auto"/>
        <w:ind w:firstLine="720" w:firstLineChars="30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联系方式：</w:t>
      </w:r>
      <w:bookmarkStart w:id="29" w:name="_Toc28359086"/>
      <w:bookmarkStart w:id="30" w:name="_Toc28359009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高宇晨</w:t>
      </w:r>
      <w:r>
        <w:rPr>
          <w:rFonts w:hint="eastAsia" w:ascii="宋体" w:hAnsi="宋体"/>
          <w:sz w:val="24"/>
        </w:rPr>
        <w:t>0454-</w:t>
      </w:r>
      <w:r>
        <w:rPr>
          <w:rFonts w:hint="eastAsia" w:ascii="宋体" w:hAnsi="宋体"/>
          <w:sz w:val="24"/>
          <w:lang w:val="en-US" w:eastAsia="zh-CN"/>
        </w:rPr>
        <w:t>8223997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2.采购代理机构信息</w:t>
      </w:r>
      <w:bookmarkEnd w:id="29"/>
      <w:bookmarkEnd w:id="30"/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 称：中资国际工程咨询集团有限责任公司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　址：佳木斯市郊区长安西路气象局院内中资办公楼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联系方式：</w:t>
      </w:r>
      <w:bookmarkStart w:id="31" w:name="_Toc28359087"/>
      <w:bookmarkStart w:id="32" w:name="_Toc2835901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0454-8262555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3.项目联系方式</w:t>
      </w:r>
      <w:bookmarkEnd w:id="31"/>
      <w:bookmarkEnd w:id="32"/>
    </w:p>
    <w:p>
      <w:pPr>
        <w:pStyle w:val="6"/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项目联系人：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马云龙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　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0454-8262555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6DF6"/>
    <w:rsid w:val="0624222B"/>
    <w:rsid w:val="07CA0834"/>
    <w:rsid w:val="092746DE"/>
    <w:rsid w:val="0A85218B"/>
    <w:rsid w:val="0DFA056C"/>
    <w:rsid w:val="0DFC427B"/>
    <w:rsid w:val="0ECE1660"/>
    <w:rsid w:val="127C0C5E"/>
    <w:rsid w:val="14B64138"/>
    <w:rsid w:val="16B872F0"/>
    <w:rsid w:val="1DD37E03"/>
    <w:rsid w:val="21C1546C"/>
    <w:rsid w:val="23004C65"/>
    <w:rsid w:val="25083AE1"/>
    <w:rsid w:val="2AC20F14"/>
    <w:rsid w:val="2D702DC4"/>
    <w:rsid w:val="321E6C84"/>
    <w:rsid w:val="3BBA55AF"/>
    <w:rsid w:val="447929C4"/>
    <w:rsid w:val="471F6DF6"/>
    <w:rsid w:val="47AD2278"/>
    <w:rsid w:val="4A6C71F2"/>
    <w:rsid w:val="51B211C8"/>
    <w:rsid w:val="59106FBC"/>
    <w:rsid w:val="5D4C6986"/>
    <w:rsid w:val="5E8C6BCF"/>
    <w:rsid w:val="66B10EE0"/>
    <w:rsid w:val="698615FE"/>
    <w:rsid w:val="6A7D4D7A"/>
    <w:rsid w:val="6AC25DB0"/>
    <w:rsid w:val="6B9B18A8"/>
    <w:rsid w:val="70337B07"/>
    <w:rsid w:val="745E548B"/>
    <w:rsid w:val="77103F3B"/>
    <w:rsid w:val="784119E7"/>
    <w:rsid w:val="7D027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paragraph" w:styleId="5">
    <w:name w:val="Body Text"/>
    <w:basedOn w:val="1"/>
    <w:qFormat/>
    <w:uiPriority w:val="99"/>
    <w:pPr>
      <w:spacing w:line="360" w:lineRule="atLeast"/>
      <w:jc w:val="center"/>
    </w:pPr>
    <w:rPr>
      <w:rFonts w:ascii="Arial Unicode MS" w:hAnsi="Calibri" w:eastAsia="Times New Roman" w:cs="Times New Roman"/>
      <w:kern w:val="0"/>
      <w:sz w:val="24"/>
      <w:szCs w:val="2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5"/>
    <w:qFormat/>
    <w:uiPriority w:val="0"/>
    <w:pPr>
      <w:spacing w:line="500" w:lineRule="exact"/>
      <w:ind w:firstLine="510"/>
      <w:jc w:val="both"/>
    </w:pPr>
    <w:rPr>
      <w:rFonts w:ascii="宋体" w:eastAsia="宋体"/>
      <w:sz w:val="2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2B2B2B"/>
      <w:u w:val="none"/>
    </w:rPr>
  </w:style>
  <w:style w:type="character" w:styleId="13">
    <w:name w:val="Hyperlink"/>
    <w:basedOn w:val="11"/>
    <w:qFormat/>
    <w:uiPriority w:val="0"/>
    <w:rPr>
      <w:color w:val="2B2B2B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disabled"/>
    <w:basedOn w:val="11"/>
    <w:qFormat/>
    <w:uiPriority w:val="0"/>
    <w:rPr>
      <w:vanish/>
    </w:rPr>
  </w:style>
  <w:style w:type="character" w:customStyle="1" w:styleId="16">
    <w:name w:val="new_icon"/>
    <w:basedOn w:val="11"/>
    <w:qFormat/>
    <w:uiPriority w:val="0"/>
  </w:style>
  <w:style w:type="character" w:customStyle="1" w:styleId="17">
    <w:name w:val="font_notice2"/>
    <w:basedOn w:val="11"/>
    <w:qFormat/>
    <w:uiPriority w:val="0"/>
    <w:rPr>
      <w:color w:val="CC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2020-04-27T07:47:00Z</dcterms:created>
  <dc:creator>Administrator</dc:creator>
  <cp:lastModifiedBy>马云龙</cp:lastModifiedBy>
  <dcterms:modified xsi:type="dcterms:W3CDTF">2020-05-20T07:15:01Z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