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编制说明</w:t>
      </w:r>
    </w:p>
    <w:p>
      <w:pPr>
        <w:tabs>
          <w:tab w:val="left" w:pos="426"/>
        </w:tabs>
        <w:spacing w:line="360" w:lineRule="auto"/>
        <w:jc w:val="center"/>
        <w:rPr>
          <w:sz w:val="30"/>
          <w:szCs w:val="30"/>
        </w:rPr>
      </w:pPr>
    </w:p>
    <w:p>
      <w:pPr>
        <w:pStyle w:val="9"/>
        <w:numPr>
          <w:ilvl w:val="0"/>
          <w:numId w:val="1"/>
        </w:numPr>
        <w:tabs>
          <w:tab w:val="left" w:pos="720"/>
        </w:tabs>
        <w:spacing w:afterLines="50" w:line="300" w:lineRule="auto"/>
        <w:ind w:firstLineChars="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清单中工程量根据</w:t>
      </w:r>
      <w:r>
        <w:rPr>
          <w:rFonts w:hint="eastAsia" w:ascii="Arial" w:hAnsi="Arial" w:eastAsia="宋体" w:cs="Arial"/>
          <w:color w:val="000000"/>
        </w:rPr>
        <w:t>河北兴隆(安营寨)项目景观设计实体样板间区域施工图设计</w:t>
      </w:r>
      <w:r>
        <w:rPr>
          <w:rFonts w:hint="eastAsia" w:ascii="Arial" w:hAnsi="Arial" w:cs="Arial"/>
          <w:color w:val="000000"/>
        </w:rPr>
        <w:t>图纸为依据。根据国家《2013年建设工程工程量清单计价规范》相关规则进行计量。</w:t>
      </w:r>
    </w:p>
    <w:p>
      <w:pPr>
        <w:pStyle w:val="9"/>
        <w:numPr>
          <w:ilvl w:val="0"/>
          <w:numId w:val="1"/>
        </w:numPr>
        <w:tabs>
          <w:tab w:val="left" w:pos="720"/>
        </w:tabs>
        <w:spacing w:afterLines="50" w:line="300" w:lineRule="auto"/>
        <w:ind w:firstLineChars="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具体招标范围及其他未尽事宜参见招标技术文件。</w:t>
      </w:r>
    </w:p>
    <w:p>
      <w:pPr>
        <w:pStyle w:val="9"/>
        <w:numPr>
          <w:ilvl w:val="0"/>
          <w:numId w:val="1"/>
        </w:numPr>
        <w:tabs>
          <w:tab w:val="left" w:pos="720"/>
        </w:tabs>
        <w:spacing w:afterLines="50" w:line="300" w:lineRule="auto"/>
        <w:ind w:firstLineChars="0"/>
        <w:rPr>
          <w:rFonts w:ascii="Arial" w:hAnsi="Arial" w:cs="Arial"/>
          <w:color w:val="000000"/>
        </w:rPr>
      </w:pPr>
      <w:r>
        <w:rPr>
          <w:rFonts w:ascii="Arial" w:hAnsi="Arial" w:eastAsia="宋体" w:cs="Arial"/>
          <w:color w:val="000000"/>
        </w:rPr>
        <w:t>本工程量清单应与招标文件中的投标人须知、通用合同条款、专用合同条款、技术标准和要求及图纸等</w:t>
      </w:r>
      <w:r>
        <w:rPr>
          <w:rFonts w:hint="eastAsia" w:ascii="Arial" w:hAnsi="Arial" w:eastAsia="宋体" w:cs="Arial"/>
          <w:color w:val="000000"/>
        </w:rPr>
        <w:t>章节内容</w:t>
      </w:r>
      <w:r>
        <w:rPr>
          <w:rFonts w:ascii="Arial" w:hAnsi="Arial" w:eastAsia="宋体" w:cs="Arial"/>
          <w:color w:val="000000"/>
        </w:rPr>
        <w:t>一起阅读和理解。</w:t>
      </w:r>
    </w:p>
    <w:p>
      <w:pPr>
        <w:pStyle w:val="9"/>
        <w:numPr>
          <w:ilvl w:val="0"/>
          <w:numId w:val="1"/>
        </w:numPr>
        <w:tabs>
          <w:tab w:val="left" w:pos="720"/>
        </w:tabs>
        <w:spacing w:afterLines="50" w:line="300" w:lineRule="auto"/>
        <w:ind w:firstLineChars="0"/>
        <w:rPr>
          <w:rFonts w:ascii="Arial" w:hAnsi="Arial" w:cs="Arial"/>
          <w:color w:val="000000"/>
        </w:rPr>
      </w:pPr>
      <w:r>
        <w:rPr>
          <w:rFonts w:ascii="Arial" w:hAnsi="Arial" w:eastAsia="宋体" w:cs="Arial"/>
          <w:color w:val="000000"/>
        </w:rPr>
        <w:t>补充</w:t>
      </w:r>
      <w:r>
        <w:rPr>
          <w:rFonts w:hint="eastAsia" w:ascii="Arial" w:hAnsi="Arial" w:eastAsia="宋体" w:cs="Arial"/>
          <w:color w:val="000000"/>
        </w:rPr>
        <w:t>子目的子目特征、计量单位、</w:t>
      </w:r>
      <w:r>
        <w:rPr>
          <w:rFonts w:ascii="Arial" w:hAnsi="Arial" w:eastAsia="宋体" w:cs="Arial"/>
          <w:color w:val="000000"/>
        </w:rPr>
        <w:t>工程量计算规则及工作内容说明</w:t>
      </w:r>
      <w:r>
        <w:rPr>
          <w:rFonts w:hint="eastAsia" w:ascii="Arial" w:hAnsi="Arial" w:eastAsia="宋体" w:cs="Arial"/>
          <w:color w:val="000000"/>
        </w:rPr>
        <w:t>如下</w:t>
      </w:r>
      <w:r>
        <w:rPr>
          <w:rFonts w:hint="eastAsia" w:ascii="Arial" w:hAnsi="Arial" w:cs="Arial"/>
          <w:color w:val="000000"/>
        </w:rPr>
        <w:t>：</w:t>
      </w:r>
      <w:r>
        <w:rPr>
          <w:rFonts w:hint="eastAsia" w:ascii="Arial" w:hAnsi="Arial" w:eastAsia="宋体" w:cs="Arial"/>
          <w:color w:val="000000"/>
        </w:rPr>
        <w:t>补充子目应涵盖编码、特征描述、计量单位、工程量计算规则以及包含的工作内容 。</w:t>
      </w:r>
    </w:p>
    <w:p>
      <w:pPr>
        <w:pStyle w:val="9"/>
        <w:numPr>
          <w:ilvl w:val="0"/>
          <w:numId w:val="1"/>
        </w:numPr>
        <w:tabs>
          <w:tab w:val="left" w:pos="720"/>
        </w:tabs>
        <w:spacing w:afterLines="50" w:line="300" w:lineRule="auto"/>
        <w:ind w:firstLineChars="0"/>
        <w:rPr>
          <w:rFonts w:ascii="Arial" w:hAnsi="Arial" w:cs="Arial"/>
          <w:color w:val="000000"/>
        </w:rPr>
      </w:pPr>
      <w:r>
        <w:rPr>
          <w:rFonts w:ascii="Arial" w:hAnsi="Arial" w:eastAsia="宋体" w:cs="Arial"/>
          <w:color w:val="000000"/>
        </w:rPr>
        <w:t>工程量清单中的每一</w:t>
      </w:r>
      <w:r>
        <w:rPr>
          <w:rFonts w:hint="eastAsia" w:ascii="Arial" w:hAnsi="Arial" w:eastAsia="宋体" w:cs="Arial"/>
          <w:color w:val="000000"/>
        </w:rPr>
        <w:t>子目</w:t>
      </w:r>
      <w:r>
        <w:rPr>
          <w:rFonts w:ascii="Arial" w:hAnsi="Arial" w:eastAsia="宋体" w:cs="Arial"/>
          <w:color w:val="000000"/>
        </w:rPr>
        <w:t>须填入单价或价格，且只允许有一个报价。</w:t>
      </w:r>
    </w:p>
    <w:p>
      <w:pPr>
        <w:pStyle w:val="9"/>
        <w:numPr>
          <w:ilvl w:val="0"/>
          <w:numId w:val="1"/>
        </w:numPr>
        <w:tabs>
          <w:tab w:val="left" w:pos="720"/>
        </w:tabs>
        <w:spacing w:afterLines="50" w:line="300" w:lineRule="auto"/>
        <w:ind w:firstLineChars="0"/>
        <w:rPr>
          <w:rFonts w:ascii="Arial" w:hAnsi="Arial" w:cs="Arial"/>
          <w:color w:val="000000"/>
        </w:rPr>
      </w:pPr>
      <w:r>
        <w:rPr>
          <w:rFonts w:hint="eastAsia" w:ascii="Arial" w:hAnsi="Arial" w:eastAsia="宋体" w:cs="Arial"/>
          <w:color w:val="000000"/>
        </w:rPr>
        <w:t>已标价</w:t>
      </w:r>
      <w:r>
        <w:rPr>
          <w:rFonts w:ascii="Arial" w:hAnsi="Arial" w:eastAsia="宋体" w:cs="Arial"/>
          <w:color w:val="000000"/>
        </w:rPr>
        <w:t>工程量清单中投标人没有填入单价或价格的</w:t>
      </w:r>
      <w:r>
        <w:rPr>
          <w:rFonts w:hint="eastAsia" w:ascii="Arial" w:hAnsi="Arial" w:eastAsia="宋体" w:cs="Arial"/>
          <w:color w:val="000000"/>
        </w:rPr>
        <w:t>子目</w:t>
      </w:r>
      <w:r>
        <w:rPr>
          <w:rFonts w:ascii="Arial" w:hAnsi="Arial" w:eastAsia="宋体" w:cs="Arial"/>
          <w:color w:val="000000"/>
        </w:rPr>
        <w:t>，其费用视为已分摊在工程量清单中其他</w:t>
      </w:r>
      <w:r>
        <w:rPr>
          <w:rFonts w:hint="eastAsia" w:ascii="Arial" w:hAnsi="Arial" w:eastAsia="宋体" w:cs="Arial"/>
          <w:color w:val="000000"/>
        </w:rPr>
        <w:t>已标价的</w:t>
      </w:r>
      <w:r>
        <w:rPr>
          <w:rFonts w:ascii="Arial" w:hAnsi="Arial" w:eastAsia="宋体" w:cs="Arial"/>
          <w:color w:val="000000"/>
        </w:rPr>
        <w:t>相关</w:t>
      </w:r>
      <w:r>
        <w:rPr>
          <w:rFonts w:hint="eastAsia" w:ascii="Arial" w:hAnsi="Arial" w:eastAsia="宋体" w:cs="Arial"/>
          <w:color w:val="000000"/>
        </w:rPr>
        <w:t>子目</w:t>
      </w:r>
      <w:r>
        <w:rPr>
          <w:rFonts w:ascii="Arial" w:hAnsi="Arial" w:eastAsia="宋体" w:cs="Arial"/>
          <w:color w:val="000000"/>
        </w:rPr>
        <w:t>的单价或价格之中。</w:t>
      </w:r>
    </w:p>
    <w:p>
      <w:pPr>
        <w:pStyle w:val="9"/>
        <w:numPr>
          <w:ilvl w:val="0"/>
          <w:numId w:val="1"/>
        </w:numPr>
        <w:tabs>
          <w:tab w:val="left" w:pos="720"/>
        </w:tabs>
        <w:spacing w:afterLines="50" w:line="300" w:lineRule="auto"/>
        <w:ind w:firstLineChars="0"/>
        <w:rPr>
          <w:rFonts w:ascii="Arial" w:hAnsi="Arial" w:cs="Arial"/>
          <w:color w:val="000000"/>
        </w:rPr>
      </w:pPr>
      <w:r>
        <w:rPr>
          <w:rFonts w:hint="eastAsia" w:ascii="Arial" w:hAnsi="Arial" w:eastAsia="宋体" w:cs="Arial"/>
          <w:color w:val="000000"/>
        </w:rPr>
        <w:t>“单位工程费汇总表”中的汇总价</w:t>
      </w:r>
      <w:r>
        <w:rPr>
          <w:rFonts w:ascii="Arial" w:hAnsi="Arial" w:eastAsia="宋体" w:cs="Arial"/>
          <w:color w:val="000000"/>
        </w:rPr>
        <w:t>由分部分项工程费、措施项目费、其他项目费、规费和税金组成</w:t>
      </w:r>
      <w:r>
        <w:rPr>
          <w:rFonts w:hint="eastAsia" w:ascii="Arial" w:hAnsi="Arial" w:eastAsia="宋体" w:cs="Arial"/>
          <w:color w:val="000000"/>
        </w:rPr>
        <w:t>，并且“单位工程费汇总表”中的投标总价</w:t>
      </w:r>
      <w:r>
        <w:rPr>
          <w:rFonts w:ascii="Arial" w:hAnsi="Arial" w:eastAsia="宋体" w:cs="Arial"/>
          <w:color w:val="000000"/>
        </w:rPr>
        <w:t>应当与</w:t>
      </w:r>
      <w:r>
        <w:rPr>
          <w:rFonts w:hint="eastAsia" w:ascii="Arial" w:hAnsi="Arial" w:eastAsia="宋体" w:cs="Arial"/>
          <w:color w:val="000000"/>
        </w:rPr>
        <w:t>构成已标价</w:t>
      </w:r>
      <w:r>
        <w:rPr>
          <w:rFonts w:ascii="Arial" w:hAnsi="Arial" w:eastAsia="宋体" w:cs="Arial"/>
          <w:color w:val="000000"/>
        </w:rPr>
        <w:t>工程量清单的分部分项工程费、措施项目费、其他项目费</w:t>
      </w:r>
      <w:r>
        <w:rPr>
          <w:rFonts w:hint="eastAsia" w:ascii="Arial" w:hAnsi="Arial" w:eastAsia="宋体" w:cs="Arial"/>
          <w:color w:val="000000"/>
        </w:rPr>
        <w:t>、</w:t>
      </w:r>
      <w:r>
        <w:rPr>
          <w:rFonts w:ascii="Arial" w:hAnsi="Arial" w:eastAsia="宋体" w:cs="Arial"/>
          <w:color w:val="000000"/>
        </w:rPr>
        <w:t>规费、税金的合计金额一致。</w:t>
      </w:r>
    </w:p>
    <w:p>
      <w:pPr>
        <w:pStyle w:val="9"/>
        <w:numPr>
          <w:ilvl w:val="0"/>
          <w:numId w:val="1"/>
        </w:numPr>
        <w:tabs>
          <w:tab w:val="left" w:pos="720"/>
        </w:tabs>
        <w:spacing w:afterLines="50" w:line="300" w:lineRule="auto"/>
        <w:ind w:firstLineChars="0"/>
        <w:rPr>
          <w:rFonts w:ascii="Arial" w:hAnsi="Arial" w:cs="Arial"/>
          <w:color w:val="000000"/>
        </w:rPr>
      </w:pPr>
      <w:r>
        <w:rPr>
          <w:rFonts w:ascii="Arial" w:hAnsi="Arial" w:eastAsia="宋体" w:cs="Arial"/>
          <w:color w:val="000000"/>
        </w:rPr>
        <w:t>措施项目清单中的安全文明施工费应按国家、省级或行业建设主管部门的规定计价，不得作为竞争性费用。</w:t>
      </w:r>
    </w:p>
    <w:p>
      <w:pPr>
        <w:pStyle w:val="9"/>
        <w:numPr>
          <w:ilvl w:val="0"/>
          <w:numId w:val="1"/>
        </w:numPr>
        <w:tabs>
          <w:tab w:val="left" w:pos="720"/>
        </w:tabs>
        <w:spacing w:afterLines="50" w:line="300" w:lineRule="auto"/>
        <w:ind w:firstLineChars="0"/>
        <w:rPr>
          <w:rFonts w:ascii="Arial" w:hAnsi="Arial" w:cs="Arial"/>
          <w:color w:val="000000"/>
        </w:rPr>
      </w:pPr>
      <w:r>
        <w:rPr>
          <w:rFonts w:ascii="Arial" w:hAnsi="Arial" w:eastAsia="宋体" w:cs="Arial"/>
          <w:color w:val="000000"/>
        </w:rPr>
        <w:t>规费和税金应按</w:t>
      </w:r>
      <w:r>
        <w:rPr>
          <w:rFonts w:hint="eastAsia" w:ascii="Arial" w:hAnsi="Arial" w:eastAsia="宋体" w:cs="Arial"/>
          <w:color w:val="000000"/>
        </w:rPr>
        <w:t>“规费、税金项目清单与计价表”所列项目并根据</w:t>
      </w:r>
      <w:r>
        <w:rPr>
          <w:rFonts w:ascii="Arial" w:hAnsi="Arial" w:eastAsia="宋体" w:cs="Arial"/>
          <w:color w:val="000000"/>
        </w:rPr>
        <w:t>国家、省级或行业建设主管部门的</w:t>
      </w:r>
      <w:r>
        <w:rPr>
          <w:rFonts w:hint="eastAsia" w:ascii="Arial" w:hAnsi="Arial" w:eastAsia="宋体" w:cs="Arial"/>
          <w:color w:val="000000"/>
        </w:rPr>
        <w:t>有关</w:t>
      </w:r>
      <w:r>
        <w:rPr>
          <w:rFonts w:ascii="Arial" w:hAnsi="Arial" w:eastAsia="宋体" w:cs="Arial"/>
          <w:color w:val="000000"/>
        </w:rPr>
        <w:t>规定</w:t>
      </w:r>
      <w:r>
        <w:rPr>
          <w:rFonts w:hint="eastAsia" w:ascii="Arial" w:hAnsi="Arial" w:eastAsia="宋体" w:cs="Arial"/>
          <w:color w:val="000000"/>
        </w:rPr>
        <w:t>列项和</w:t>
      </w:r>
      <w:r>
        <w:rPr>
          <w:rFonts w:ascii="Arial" w:hAnsi="Arial" w:eastAsia="宋体" w:cs="Arial"/>
          <w:color w:val="000000"/>
        </w:rPr>
        <w:t>计算，不得作为竞争性费用。</w:t>
      </w:r>
    </w:p>
    <w:p>
      <w:pPr>
        <w:pStyle w:val="9"/>
        <w:numPr>
          <w:ilvl w:val="0"/>
          <w:numId w:val="1"/>
        </w:numPr>
        <w:tabs>
          <w:tab w:val="left" w:pos="720"/>
        </w:tabs>
        <w:spacing w:afterLines="50" w:line="300" w:lineRule="auto"/>
        <w:ind w:firstLineChars="0"/>
        <w:rPr>
          <w:rFonts w:ascii="Arial" w:hAnsi="Arial" w:cs="Arial"/>
          <w:color w:val="000000"/>
        </w:rPr>
      </w:pPr>
      <w:r>
        <w:rPr>
          <w:rFonts w:ascii="Arial" w:hAnsi="Arial" w:eastAsia="宋体" w:cs="Arial"/>
          <w:color w:val="000000"/>
        </w:rPr>
        <w:t>除</w:t>
      </w:r>
      <w:r>
        <w:rPr>
          <w:rFonts w:hint="eastAsia" w:ascii="Arial" w:hAnsi="Arial" w:eastAsia="宋体" w:cs="Arial"/>
          <w:color w:val="000000"/>
        </w:rPr>
        <w:t>招标文件有</w:t>
      </w:r>
      <w:r>
        <w:rPr>
          <w:rFonts w:ascii="Arial" w:hAnsi="Arial" w:eastAsia="宋体" w:cs="Arial"/>
          <w:color w:val="000000"/>
        </w:rPr>
        <w:t>强制性规定</w:t>
      </w:r>
      <w:r>
        <w:rPr>
          <w:rFonts w:hint="eastAsia" w:ascii="Arial" w:hAnsi="Arial" w:eastAsia="宋体" w:cs="Arial"/>
          <w:color w:val="000000"/>
        </w:rPr>
        <w:t>以及不可竞争部分以外</w:t>
      </w:r>
      <w:r>
        <w:rPr>
          <w:rFonts w:ascii="Arial" w:hAnsi="Arial" w:eastAsia="宋体" w:cs="Arial"/>
          <w:color w:val="000000"/>
        </w:rPr>
        <w:t>，投标报价由投标人自主确定，但不得低于</w:t>
      </w:r>
      <w:r>
        <w:rPr>
          <w:rFonts w:hint="eastAsia" w:ascii="Arial" w:hAnsi="Arial" w:eastAsia="宋体" w:cs="Arial"/>
          <w:color w:val="000000"/>
        </w:rPr>
        <w:t>其</w:t>
      </w:r>
      <w:r>
        <w:rPr>
          <w:rFonts w:ascii="Arial" w:hAnsi="Arial" w:eastAsia="宋体" w:cs="Arial"/>
          <w:color w:val="000000"/>
        </w:rPr>
        <w:t>成本。</w:t>
      </w:r>
    </w:p>
    <w:p>
      <w:pPr>
        <w:pStyle w:val="9"/>
        <w:numPr>
          <w:ilvl w:val="0"/>
          <w:numId w:val="1"/>
        </w:numPr>
        <w:tabs>
          <w:tab w:val="left" w:pos="720"/>
        </w:tabs>
        <w:spacing w:afterLines="50" w:line="300" w:lineRule="auto"/>
        <w:ind w:firstLineChars="0"/>
        <w:rPr>
          <w:rFonts w:ascii="Arial" w:hAnsi="Arial" w:eastAsia="宋体" w:cs="Arial"/>
          <w:color w:val="000000"/>
        </w:rPr>
      </w:pPr>
      <w:r>
        <w:rPr>
          <w:rFonts w:hint="eastAsia" w:ascii="Arial" w:hAnsi="Arial" w:eastAsia="宋体" w:cs="Arial"/>
          <w:color w:val="000000"/>
        </w:rPr>
        <w:t>投标单报价时，必须随投标文件一起报送全套电子版清单报价（包含其招标文件规定的附表）。</w:t>
      </w:r>
    </w:p>
    <w:p>
      <w:pPr>
        <w:pStyle w:val="9"/>
        <w:numPr>
          <w:ilvl w:val="0"/>
          <w:numId w:val="1"/>
        </w:numPr>
        <w:tabs>
          <w:tab w:val="left" w:pos="720"/>
        </w:tabs>
        <w:spacing w:afterLines="50" w:line="300" w:lineRule="auto"/>
        <w:ind w:firstLineChars="0"/>
        <w:rPr>
          <w:rFonts w:ascii="Arial" w:hAnsi="Arial" w:eastAsia="宋体" w:cs="Arial"/>
          <w:color w:val="000000"/>
        </w:rPr>
      </w:pPr>
      <w:r>
        <w:rPr>
          <w:rFonts w:hint="eastAsia" w:ascii="Arial" w:hAnsi="Arial" w:eastAsia="宋体" w:cs="Arial"/>
          <w:color w:val="000000"/>
        </w:rPr>
        <w:t>合同形式：</w:t>
      </w:r>
      <w:r>
        <w:rPr>
          <w:rFonts w:hint="eastAsia" w:ascii="Arial" w:hAnsi="Arial" w:eastAsia="宋体" w:cs="Arial"/>
          <w:color w:val="000000"/>
          <w:lang w:eastAsia="zh-CN"/>
        </w:rPr>
        <w:t>固定单价合同</w:t>
      </w:r>
      <w:bookmarkStart w:id="0" w:name="_GoBack"/>
      <w:bookmarkEnd w:id="0"/>
    </w:p>
    <w:p>
      <w:pPr>
        <w:pStyle w:val="9"/>
        <w:numPr>
          <w:ilvl w:val="0"/>
          <w:numId w:val="1"/>
        </w:numPr>
        <w:tabs>
          <w:tab w:val="left" w:pos="720"/>
        </w:tabs>
        <w:spacing w:afterLines="50" w:line="300" w:lineRule="auto"/>
        <w:ind w:firstLineChars="0"/>
        <w:rPr>
          <w:rFonts w:ascii="Arial" w:hAnsi="Arial" w:eastAsia="宋体" w:cs="Arial"/>
          <w:color w:val="000000"/>
        </w:rPr>
      </w:pPr>
      <w:r>
        <w:rPr>
          <w:rFonts w:hint="eastAsia" w:ascii="Arial" w:hAnsi="Arial" w:eastAsia="宋体" w:cs="Arial"/>
          <w:color w:val="000000"/>
        </w:rPr>
        <w:t>计税方式：一般计税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C278C"/>
    <w:multiLevelType w:val="multilevel"/>
    <w:tmpl w:val="2BEC278C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A2EFC"/>
    <w:rsid w:val="0001180A"/>
    <w:rsid w:val="0009439F"/>
    <w:rsid w:val="000C25D8"/>
    <w:rsid w:val="000C4820"/>
    <w:rsid w:val="0018241A"/>
    <w:rsid w:val="001A2EFC"/>
    <w:rsid w:val="003254B8"/>
    <w:rsid w:val="00326FE8"/>
    <w:rsid w:val="00392F26"/>
    <w:rsid w:val="003B0CB4"/>
    <w:rsid w:val="004C4028"/>
    <w:rsid w:val="004F0CAD"/>
    <w:rsid w:val="00555C44"/>
    <w:rsid w:val="00563F6B"/>
    <w:rsid w:val="005E40D3"/>
    <w:rsid w:val="00606319"/>
    <w:rsid w:val="00634420"/>
    <w:rsid w:val="006443DA"/>
    <w:rsid w:val="00676A29"/>
    <w:rsid w:val="00795D5E"/>
    <w:rsid w:val="007A204A"/>
    <w:rsid w:val="008703C9"/>
    <w:rsid w:val="0095595F"/>
    <w:rsid w:val="00983295"/>
    <w:rsid w:val="00A6721B"/>
    <w:rsid w:val="00AE4689"/>
    <w:rsid w:val="00B21E51"/>
    <w:rsid w:val="00BC3084"/>
    <w:rsid w:val="00C36226"/>
    <w:rsid w:val="00D161B0"/>
    <w:rsid w:val="00E35033"/>
    <w:rsid w:val="00EA34D9"/>
    <w:rsid w:val="00F3752D"/>
    <w:rsid w:val="00F64FE7"/>
    <w:rsid w:val="380803AD"/>
    <w:rsid w:val="3EC5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553</Characters>
  <Lines>4</Lines>
  <Paragraphs>1</Paragraphs>
  <TotalTime>1</TotalTime>
  <ScaleCrop>false</ScaleCrop>
  <LinksUpToDate>false</LinksUpToDate>
  <CharactersWithSpaces>648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2015-04-08T07:50:00Z</dcterms:created>
  <dc:creator>Jason</dc:creator>
  <cp:lastModifiedBy>(^ω^)</cp:lastModifiedBy>
  <cp:lastPrinted>2017-12-26T02:02:00Z</cp:lastPrinted>
  <dcterms:modified xsi:type="dcterms:W3CDTF">2020-03-03T08:32:34Z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