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黑龙江省双鸭山监狱全自动生化仪购置公开招标公告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黑龙江省双鸭山监狱全自动生化仪购置招标项目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的潜在投标人应在双鸭山市尖山区帝景园7号楼获取招标文件，并于2020年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0分前递交投标文件。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0" w:name="_Hlk24379207"/>
      <w:bookmarkEnd w:id="0"/>
      <w:bookmarkStart w:id="1" w:name="_Toc28359079"/>
      <w:bookmarkEnd w:id="1"/>
      <w:bookmarkStart w:id="2" w:name="_Toc35393790"/>
      <w:bookmarkEnd w:id="2"/>
      <w:bookmarkStart w:id="3" w:name="_Toc28359002"/>
      <w:bookmarkEnd w:id="3"/>
      <w:bookmarkStart w:id="4" w:name="_Toc35393621"/>
      <w:bookmarkEnd w:id="4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一、项目基本情况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项目编号：ZZ03492HW04690028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黑龙江省双鸭山监狱全自动生化仪购置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预算金额：财政资金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最高限价（如有）：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45万元。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采购需求：</w:t>
      </w:r>
      <w:bookmarkStart w:id="39" w:name="_GoBack"/>
      <w:bookmarkEnd w:id="39"/>
    </w:p>
    <w:tbl>
      <w:tblPr>
        <w:tblStyle w:val="8"/>
        <w:tblW w:w="8081" w:type="dxa"/>
        <w:tblInd w:w="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91"/>
        <w:gridCol w:w="764"/>
        <w:gridCol w:w="791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简要技术需求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全自动生化仪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4"/>
                <w:szCs w:val="21"/>
                <w:lang w:val="en-US" w:eastAsia="zh-CN" w:bidi="ar-SA"/>
              </w:rPr>
              <w:t>套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1.分析速度：生化恒速800T/H，选配ISE速度可达1200T/H ；</w:t>
            </w:r>
          </w:p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2.最大可同时分析项目：不小于185个（生化179个，ISE3个，血清指数3项）；</w:t>
            </w:r>
          </w:p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3.测试原理：比色法、比浊法、离子选择电极法(选配)；</w:t>
            </w:r>
          </w:p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4.分析方法：终点法、固定时间法、动力学法；</w:t>
            </w:r>
          </w:p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5.样本位：不小于192个样本位；</w:t>
            </w:r>
          </w:p>
          <w:p>
            <w:pPr>
              <w:numPr>
                <w:ilvl w:val="0"/>
                <w:numId w:val="0"/>
              </w:numPr>
              <w:kinsoku w:val="0"/>
              <w:ind w:leftChars="0"/>
              <w:jc w:val="left"/>
              <w:rPr>
                <w:rFonts w:hint="default" w:hAnsi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(详见招标文件)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合同履行期限：签订合同后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天内完成。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本项目（否）接受联合体投标。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5" w:name="_Toc28359080"/>
      <w:bookmarkEnd w:id="5"/>
      <w:bookmarkStart w:id="6" w:name="_Toc35393622"/>
      <w:bookmarkEnd w:id="6"/>
      <w:bookmarkStart w:id="7" w:name="_Toc28359003"/>
      <w:bookmarkEnd w:id="7"/>
      <w:bookmarkStart w:id="8" w:name="_Toc35393791"/>
      <w:bookmarkEnd w:id="8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二、申请人的资格要求：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1.满足《中华人民共和国政府采购法》第二十二条规定；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宋体" w:cs="微软雅黑"/>
          <w:i w:val="0"/>
          <w:caps w:val="0"/>
          <w:color w:val="000000"/>
          <w:spacing w:val="0"/>
          <w:sz w:val="18"/>
          <w:szCs w:val="18"/>
          <w:lang w:eastAsia="zh-CN"/>
        </w:rPr>
      </w:pPr>
      <w:bookmarkStart w:id="9" w:name="_Toc28359081"/>
      <w:bookmarkEnd w:id="9"/>
      <w:bookmarkStart w:id="10" w:name="_Toc28359004"/>
      <w:bookmarkEnd w:id="1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2.落实政府采购政策需满足的资格要求：本项目落实执行政府强制采购节能产品、鼓励环保产品、支持中小微企业、促进残疾人就业、支持监狱和戒毒企业、扶持不发达地区和少数民族地区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3.本项目的特定资格要求：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3.1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若为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经销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商应取得《医疗器械经营许可证》，属于第二类医疗器械的应提供得第二类医疗器械经营备案证明材料；投标人为制造商的，应取得《医疗器械生产企业许可证》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投标货物属于《医疗器械监督管理条例》规定的第二类医疗器械产品应取得《医疗器械注册证》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3.2对列入失信被执行人、重大税收违法案件当事人名单、政府采购严重违法失信行为记录名单，拒绝其参与政府采购活动。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依据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“中国执行信息公开网”网站(http://zxgk.court.gov.cn)、全国企业信用信息公示系统(http://hl.gsxt.gov.cn/index.html)、中国政府采购网(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color="auto" w:fill="FFFFFF"/>
        </w:rPr>
        <w:instrText xml:space="preserve"> HYPERLINK "http://www.ccgp.gov.xn--cn);-me0j286hvdqbk4a215ccra/"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color="auto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www.ccgp.gov.cn)查询</w:t>
      </w: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  <w:lang w:val="en-US" w:eastAsia="zh-CN"/>
        </w:rPr>
        <w:t>为准</w:t>
      </w: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color="auto" w:fill="FFFFFF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color="auto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其他内容详见招标文件。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11" w:name="_Toc35393792"/>
      <w:bookmarkEnd w:id="11"/>
      <w:bookmarkStart w:id="12" w:name="_Toc35393623"/>
      <w:bookmarkEnd w:id="12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三、获取招标文件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时间：2020年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日至2020年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日，每天上午09时00分至下午16时00分（北京时间，法定节假日除外）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地点：双鸭山市尖山区帝景园7号楼。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方式：在中资国际工程咨询集团有限责任公司（双鸭山市尖山区帝景园7号楼）获取招标文件。逾期不予受理，采购代理机构只接受通过以上方式获取招标文件的供应商的投标。售后不退。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售价：人民币500.00元。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13" w:name="_Toc35393793"/>
      <w:bookmarkEnd w:id="13"/>
      <w:bookmarkStart w:id="14" w:name="_Toc35393624"/>
      <w:bookmarkEnd w:id="14"/>
      <w:bookmarkStart w:id="15" w:name="_Toc28359005"/>
      <w:bookmarkEnd w:id="15"/>
      <w:bookmarkStart w:id="16" w:name="_Toc28359082"/>
      <w:bookmarkEnd w:id="16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四、提交投标文件截止时间、开标时间和地点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0分（北京时间）。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地点：双鸭山市尖山区河西路河畔小区3号商服9号门一楼开标大厅。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17" w:name="_Toc35393794"/>
      <w:bookmarkEnd w:id="17"/>
      <w:bookmarkStart w:id="18" w:name="_Toc35393625"/>
      <w:bookmarkEnd w:id="18"/>
      <w:bookmarkStart w:id="19" w:name="_Toc28359007"/>
      <w:bookmarkEnd w:id="19"/>
      <w:bookmarkStart w:id="20" w:name="_Toc28359084"/>
      <w:bookmarkEnd w:id="2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五、公告期限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自本公告发布之日起5个工作日。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21" w:name="_Toc35393795"/>
      <w:bookmarkEnd w:id="21"/>
      <w:bookmarkStart w:id="22" w:name="_Toc35393626"/>
      <w:bookmarkEnd w:id="22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六、其他补充事宜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本项目招标公告在黑龙江省政府采购网（http://www.hljcg.gov.cn/）上进行发布。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bookmarkStart w:id="23" w:name="_Toc35393627"/>
      <w:bookmarkEnd w:id="23"/>
      <w:bookmarkStart w:id="24" w:name="_Toc35393796"/>
      <w:bookmarkEnd w:id="24"/>
      <w:bookmarkStart w:id="25" w:name="_Toc28359085"/>
      <w:bookmarkEnd w:id="25"/>
      <w:bookmarkStart w:id="26" w:name="_Toc28359008"/>
      <w:bookmarkEnd w:id="26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七、对本次招标提出询问，请按以下方式联系。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27" w:name="_Toc28359096"/>
      <w:bookmarkEnd w:id="27"/>
      <w:bookmarkStart w:id="28" w:name="_Toc28359019"/>
      <w:bookmarkEnd w:id="28"/>
      <w:bookmarkStart w:id="29" w:name="_Toc35393806"/>
      <w:bookmarkEnd w:id="29"/>
      <w:bookmarkStart w:id="30" w:name="_Toc35393637"/>
      <w:bookmarkEnd w:id="3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1.采购人信息</w:t>
      </w:r>
    </w:p>
    <w:p>
      <w:pPr>
        <w:spacing w:line="240" w:lineRule="auto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bookmarkStart w:id="31" w:name="_Toc28359020"/>
      <w:bookmarkEnd w:id="31"/>
      <w:bookmarkStart w:id="32" w:name="_Toc28359097"/>
      <w:bookmarkEnd w:id="32"/>
      <w:bookmarkStart w:id="33" w:name="_Toc35393638"/>
      <w:bookmarkEnd w:id="33"/>
      <w:bookmarkStart w:id="34" w:name="_Toc35393807"/>
      <w:bookmarkEnd w:id="34"/>
      <w:r>
        <w:rPr>
          <w:rFonts w:hint="eastAsia" w:ascii="宋体" w:hAnsi="宋体" w:eastAsia="宋体" w:cs="Times New Roman"/>
          <w:sz w:val="24"/>
          <w:lang w:val="en-US" w:eastAsia="zh-CN"/>
        </w:rPr>
        <w:t>名    称：黑龙江省双鸭山监狱</w:t>
      </w:r>
    </w:p>
    <w:p>
      <w:pPr>
        <w:spacing w:line="240" w:lineRule="auto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地    址：双鸭山市集贤县笔架山农场</w:t>
      </w:r>
    </w:p>
    <w:p>
      <w:pPr>
        <w:spacing w:line="240" w:lineRule="auto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联系方式：</w:t>
      </w:r>
      <w:r>
        <w:rPr>
          <w:rFonts w:hint="eastAsia" w:ascii="宋体" w:hAnsi="宋体" w:cs="黑体"/>
          <w:sz w:val="24"/>
          <w:lang w:val="en-US" w:eastAsia="zh-CN"/>
        </w:rPr>
        <w:t>孙主任 0469-4973134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2.采购代理机构信息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名    称：中资国际工程咨询集团有限责任公司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地　　址：双鸭山市尖山区帝景园7号楼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联系方式：13895894567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35" w:name="_Toc35393639"/>
      <w:bookmarkEnd w:id="35"/>
      <w:bookmarkStart w:id="36" w:name="_Toc28359098"/>
      <w:bookmarkEnd w:id="36"/>
      <w:bookmarkStart w:id="37" w:name="_Toc28359021"/>
      <w:bookmarkEnd w:id="37"/>
      <w:bookmarkStart w:id="38" w:name="_Toc35393808"/>
      <w:bookmarkEnd w:id="38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3.项目联系方式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项目联系人：崔工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联系方式：13895894567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0471"/>
    <w:rsid w:val="08897E64"/>
    <w:rsid w:val="1B122C3C"/>
    <w:rsid w:val="2886051E"/>
    <w:rsid w:val="28C50471"/>
    <w:rsid w:val="39456CEA"/>
    <w:rsid w:val="4CB82C53"/>
    <w:rsid w:val="50CC2F42"/>
    <w:rsid w:val="5FD550C5"/>
    <w:rsid w:val="77A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ascii="宋体" w:hAnsi="宋体"/>
      <w:szCs w:val="20"/>
    </w:rPr>
  </w:style>
  <w:style w:type="paragraph" w:styleId="4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spacing w:line="500" w:lineRule="exact"/>
      <w:ind w:firstLine="510"/>
      <w:jc w:val="both"/>
    </w:pPr>
    <w:rPr>
      <w:rFonts w:ascii="宋体" w:eastAsia="宋体"/>
      <w:sz w:val="2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2020-07-16T02:42:00Z</dcterms:created>
  <dc:creator>C ui</dc:creator>
  <cp:lastModifiedBy>C ui</cp:lastModifiedBy>
  <dcterms:modified xsi:type="dcterms:W3CDTF">2020-10-25T06:09:54Z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