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440001-2022-35764</w:t>
      </w:r>
    </w:p>
    <w:p>
      <w:pPr>
        <w:jc w:val="center"/>
      </w:pPr>
      <w:r>
        <w:rPr>
          <w:b/>
          <w:sz w:val="24"/>
        </w:rPr>
        <w:t>采购项目编号：</w:t>
      </w:r>
      <w:r>
        <w:rPr>
          <w:b/>
          <w:sz w:val="24"/>
        </w:rPr>
        <w:t>0809-2241GDG12094</w:t>
      </w:r>
    </w:p>
    <w:p>
      <w:pPr>
        <w:jc w:val="center"/>
      </w:pPr>
      <w:r>
        <w:rPr>
          <w:b/>
          <w:sz w:val="24"/>
        </w:rPr>
        <w:t>项目名称：</w:t>
      </w:r>
      <w:r>
        <w:rPr>
          <w:b/>
          <w:sz w:val="24"/>
        </w:rPr>
        <w:t>广东质检院国家涂料产品质检中心检测能力建设设备采购项目(二次)</w:t>
      </w:r>
    </w:p>
    <w:p>
      <w:pPr>
        <w:jc w:val="center"/>
      </w:pPr>
      <w:r>
        <w:rPr>
          <w:b/>
          <w:sz w:val="24"/>
        </w:rPr>
        <w:t>采购人：</w:t>
      </w:r>
      <w:r>
        <w:rPr>
          <w:b/>
          <w:sz w:val="24"/>
        </w:rPr>
        <w:t>广东产品质量监督检验研究院</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广东产品质量监督检验研究院</w:t>
      </w:r>
      <w:r>
        <w:rPr/>
        <w:t>的委托，采用</w:t>
      </w:r>
      <w:r>
        <w:rPr/>
        <w:t>公开招标</w:t>
      </w:r>
      <w:r>
        <w:rPr/>
        <w:t>方式组织采购</w:t>
      </w:r>
      <w:r>
        <w:rPr/>
        <w:t>广东质检院国家涂料产品质检中心检测能力建设设备采购项目(二次)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广东质检院国家涂料产品质检中心检测能力建设设备采购项目(二次)</w:t>
      </w:r>
    </w:p>
    <w:p>
      <w:pPr>
        <w:ind w:firstLine="480"/>
      </w:pPr>
      <w:r>
        <w:rPr/>
        <w:t>采购计划编号：</w:t>
      </w:r>
      <w:r>
        <w:rPr/>
        <w:t>440001-2022-35764</w:t>
      </w:r>
    </w:p>
    <w:p>
      <w:pPr>
        <w:ind w:firstLine="480"/>
      </w:pPr>
      <w:r>
        <w:rPr/>
        <w:t>采购项目编号：</w:t>
      </w:r>
      <w:r>
        <w:rPr/>
        <w:t>0809-2241GDG12094</w:t>
      </w:r>
    </w:p>
    <w:p>
      <w:pPr>
        <w:ind w:firstLine="480"/>
      </w:pPr>
      <w:r>
        <w:rPr/>
        <w:t>采购方式：</w:t>
      </w:r>
      <w:r>
        <w:rPr/>
        <w:t>公开招标</w:t>
      </w:r>
    </w:p>
    <w:p>
      <w:pPr>
        <w:ind w:firstLine="480"/>
      </w:pPr>
      <w:r>
        <w:rPr/>
        <w:t>预算金额：</w:t>
      </w:r>
      <w:r>
        <w:rPr/>
        <w:t>826,000.00</w:t>
      </w:r>
      <w:r>
        <w:rPr/>
        <w:t>元</w:t>
      </w:r>
    </w:p>
    <w:p>
      <w:r>
        <w:rPr>
          <w:b/>
          <w:sz w:val="24"/>
        </w:rPr>
        <w:t>2.项目内容及需求情况（采购项目技术规格、参数及要求）</w:t>
      </w:r>
    </w:p>
    <w:p>
      <w:pPr>
        <w:ind w:firstLine="480"/>
      </w:pPr>
    </w:p>
    <w:p/>
    <w:p>
      <w:r>
        <w:rPr/>
        <w:t>采购包1(广东质检院国家涂料产品质检中心检测能力建设设备采购项目（二次）):</w:t>
      </w:r>
    </w:p>
    <w:p>
      <w:r>
        <w:rPr/>
        <w:t>采购包预算金额：826,000.00元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非金属材料试验机</w:t>
            </w:r>
          </w:p>
        </w:tc>
        <w:tc>
          <w:tcPr>
            <w:tcW w:type="dxa" w:w="2136"/>
          </w:tcPr>
          <w:p>
            <w:r>
              <w:rPr/>
              <w:t>带高低温微机控制万能试验机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试验箱及气候环境试验设备</w:t>
            </w:r>
          </w:p>
        </w:tc>
        <w:tc>
          <w:tcPr>
            <w:tcW w:type="dxa" w:w="2136"/>
          </w:tcPr>
          <w:p>
            <w:r>
              <w:rPr/>
              <w:t>盐雾腐蚀试验箱</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其他试验仪器及装置</w:t>
            </w:r>
          </w:p>
        </w:tc>
        <w:tc>
          <w:tcPr>
            <w:tcW w:type="dxa" w:w="2136"/>
          </w:tcPr>
          <w:p>
            <w:r>
              <w:rPr/>
              <w:t>防结露性能测试系统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工艺试验机</w:t>
            </w:r>
          </w:p>
        </w:tc>
        <w:tc>
          <w:tcPr>
            <w:tcW w:type="dxa" w:w="2136"/>
          </w:tcPr>
          <w:p>
            <w:r>
              <w:rPr/>
              <w:t>拉拔试验机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其他专用仪器仪表</w:t>
            </w:r>
          </w:p>
        </w:tc>
        <w:tc>
          <w:tcPr>
            <w:tcW w:type="dxa" w:w="2136"/>
          </w:tcPr>
          <w:p>
            <w:r>
              <w:rPr/>
              <w:t>自动粘结强度测试仪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试验箱及气候环境试验设备</w:t>
            </w:r>
          </w:p>
        </w:tc>
        <w:tc>
          <w:tcPr>
            <w:tcW w:type="dxa" w:w="2136"/>
          </w:tcPr>
          <w:p>
            <w:r>
              <w:rPr/>
              <w:t>紫外线箱</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建筑工程仪器</w:t>
            </w:r>
          </w:p>
        </w:tc>
        <w:tc>
          <w:tcPr>
            <w:tcW w:type="dxa" w:w="2136"/>
          </w:tcPr>
          <w:p>
            <w:r>
              <w:rPr/>
              <w:t>全自动沥青软化点测试仪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物理特性分析仪器及校准仪器</w:t>
            </w:r>
          </w:p>
        </w:tc>
        <w:tc>
          <w:tcPr>
            <w:tcW w:type="dxa" w:w="2136"/>
          </w:tcPr>
          <w:p>
            <w:r>
              <w:rPr/>
              <w:t>布氏粘度计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其他试验仪器及装置</w:t>
            </w:r>
          </w:p>
        </w:tc>
        <w:tc>
          <w:tcPr>
            <w:tcW w:type="dxa" w:w="2136"/>
          </w:tcPr>
          <w:p>
            <w:r>
              <w:rPr/>
              <w:t>电控淋水装置</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试验箱及气候环境试验设备</w:t>
            </w:r>
          </w:p>
        </w:tc>
        <w:tc>
          <w:tcPr>
            <w:tcW w:type="dxa" w:w="2136"/>
          </w:tcPr>
          <w:p>
            <w:r>
              <w:rPr/>
              <w:t>水-紫外线辐照箱</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其他专用仪器仪表</w:t>
            </w:r>
          </w:p>
        </w:tc>
        <w:tc>
          <w:tcPr>
            <w:tcW w:type="dxa" w:w="2136"/>
          </w:tcPr>
          <w:p>
            <w:r>
              <w:rPr/>
              <w:t>漆膜膜耗仪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其他专用仪器仪表</w:t>
            </w:r>
          </w:p>
        </w:tc>
        <w:tc>
          <w:tcPr>
            <w:tcW w:type="dxa" w:w="2136"/>
          </w:tcPr>
          <w:p>
            <w:r>
              <w:rPr/>
              <w:t>全自动划圈法附着力测定仪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其他专用仪器仪表</w:t>
            </w:r>
          </w:p>
        </w:tc>
        <w:tc>
          <w:tcPr>
            <w:tcW w:type="dxa" w:w="2136"/>
          </w:tcPr>
          <w:p>
            <w:r>
              <w:rPr/>
              <w:t>手动喷砂机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其他专用仪器仪表</w:t>
            </w:r>
          </w:p>
        </w:tc>
        <w:tc>
          <w:tcPr>
            <w:tcW w:type="dxa" w:w="2136"/>
          </w:tcPr>
          <w:p>
            <w:r>
              <w:rPr/>
              <w:t>双摆硬度计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分析天平及专用天平</w:t>
            </w:r>
          </w:p>
        </w:tc>
        <w:tc>
          <w:tcPr>
            <w:tcW w:type="dxa" w:w="2136"/>
          </w:tcPr>
          <w:p>
            <w:r>
              <w:rPr/>
              <w:t>电子天平</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合同履行期限：自合同签订之日起60天内完成交货、安装、调试及验收，并履行至所有设备质保期满之日止。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2）有依法缴纳税收和社会保障资金的良好记录：提供投标截止日前12个月内任意1个月依法缴纳税收和社会保障资金的相关材料。如依法免税或不需要缴纳社会保障资金的，提供相应证明材料；</w:t>
      </w:r>
    </w:p>
    <w:p/>
    <w:p>
      <w:r>
        <w:rPr/>
        <w:t>3）具有良好的商业信誉和健全的财务会计制度：提供2020年度或2021年度财务状况报告或基本开户行出具的资信证明，或最近一期财务报表（适用在上一年度或本财务年度成立的法人或其他组织），或人民银行出具的个人信用报告（适用于自然人）；</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采购包1（广东质检院国家涂料产品质检中心检测能力建设设备采购项目（二次））：</w:t>
      </w:r>
      <w:r>
        <w:rPr/>
        <w:t>本项目不属于专门面向中小企业采购的项目。</w:t>
      </w:r>
    </w:p>
    <w:p/>
    <w:p>
      <w:r>
        <w:rPr>
          <w:b/>
          <w:sz w:val="24"/>
        </w:rPr>
        <w:t>3.本项目特定的资格要求：</w:t>
      </w:r>
    </w:p>
    <w:p>
      <w:pPr>
        <w:ind w:firstLine="480"/>
      </w:pPr>
    </w:p>
    <w:p/>
    <w:p>
      <w:r>
        <w:rPr/>
        <w:t>采购包1（广东质检院国家涂料产品质检中心检测能力建设设备采购项目（二次））：</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广东华伦招标有限公司（http://www.gdhualun.com.cn/）</w:t>
      </w:r>
    </w:p>
    <w:p>
      <w:r>
        <w:rPr>
          <w:b/>
          <w:sz w:val="28"/>
        </w:rPr>
        <w:t>六.本项目联系方式：</w:t>
      </w:r>
    </w:p>
    <w:p>
      <w:r>
        <w:rPr>
          <w:b/>
          <w:sz w:val="24"/>
        </w:rPr>
        <w:t>1.采购人信息</w:t>
      </w:r>
    </w:p>
    <w:p>
      <w:pPr>
        <w:ind w:firstLine="480"/>
      </w:pPr>
      <w:r>
        <w:rPr/>
        <w:t>名称：</w:t>
      </w:r>
      <w:r>
        <w:rPr/>
        <w:t>广东产品质量监督检验研究院</w:t>
      </w:r>
    </w:p>
    <w:p>
      <w:pPr>
        <w:ind w:firstLine="480"/>
      </w:pPr>
      <w:r>
        <w:rPr/>
        <w:t>地址：</w:t>
      </w:r>
      <w:r>
        <w:rPr/>
        <w:t>佛山市顺德区大良德胜东路1号</w:t>
      </w:r>
    </w:p>
    <w:p>
      <w:pPr>
        <w:ind w:firstLine="480"/>
      </w:pPr>
      <w:r>
        <w:rPr/>
        <w:t>联系方式：</w:t>
      </w:r>
      <w:r>
        <w:rPr/>
        <w:t>0757-22802660</w:t>
      </w:r>
    </w:p>
    <w:p>
      <w:r>
        <w:rPr>
          <w:b/>
          <w:sz w:val="24"/>
        </w:rPr>
        <w:t>2.采购代理机构信息</w:t>
      </w:r>
    </w:p>
    <w:p>
      <w:pPr>
        <w:ind w:firstLine="480"/>
      </w:pPr>
      <w:r>
        <w:rPr/>
        <w:t>名称：</w:t>
      </w:r>
      <w:r>
        <w:rPr/>
        <w:t>广东华伦招标有限公司</w:t>
      </w:r>
    </w:p>
    <w:p>
      <w:pPr>
        <w:ind w:firstLine="480"/>
      </w:pPr>
      <w:r>
        <w:rPr/>
        <w:t>地址：</w:t>
      </w:r>
      <w:r>
        <w:rPr/>
        <w:t>广州市越秀区广仁路一号广仁大厦七楼</w:t>
      </w:r>
    </w:p>
    <w:p>
      <w:pPr>
        <w:ind w:firstLine="480"/>
      </w:pPr>
      <w:r>
        <w:rPr/>
        <w:t>联系方式：</w:t>
      </w:r>
      <w:r>
        <w:rPr/>
        <w:t>020-83172166-821</w:t>
      </w:r>
    </w:p>
    <w:p>
      <w:r>
        <w:rPr>
          <w:b/>
          <w:sz w:val="24"/>
        </w:rPr>
        <w:t>3.项目联系方式</w:t>
      </w:r>
    </w:p>
    <w:p>
      <w:pPr>
        <w:ind w:firstLine="480"/>
      </w:pPr>
      <w:r>
        <w:rPr/>
        <w:t>项目联系人：</w:t>
      </w:r>
      <w:r>
        <w:rPr/>
        <w:t>黄先生</w:t>
      </w:r>
    </w:p>
    <w:p>
      <w:pPr>
        <w:ind w:firstLine="480"/>
      </w:pPr>
      <w:r>
        <w:rPr/>
        <w:t>电话：</w:t>
      </w:r>
      <w:r>
        <w:rPr/>
        <w:t>020-83172166-821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pPr>
    </w:p>
    <w:p>
      <w:pPr>
        <w:ind w:firstLine="422"/>
        <w:jc w:val="both"/>
      </w:pPr>
      <w:r>
        <w:rPr>
          <w:b/>
          <w:color w:val="000000"/>
          <w:sz w:val="21"/>
        </w:rPr>
        <w:t>（一）</w:t>
      </w:r>
      <w:r>
        <w:rPr>
          <w:color w:val="000000"/>
          <w:sz w:val="21"/>
        </w:rPr>
        <w:t>任何只对采购包内其中部分内容进行投标的将被视为投标无效。</w:t>
      </w:r>
    </w:p>
    <w:p>
      <w:pPr>
        <w:ind w:firstLine="422"/>
        <w:jc w:val="both"/>
      </w:pPr>
      <w:r>
        <w:rPr>
          <w:color w:val="000000"/>
          <w:sz w:val="21"/>
        </w:rPr>
        <w:t>（二）凡标有</w:t>
      </w:r>
      <w:r>
        <w:rPr>
          <w:color w:val="000000"/>
          <w:sz w:val="21"/>
        </w:rPr>
        <w:t>“★”符号的为实质性的商务、技术指标，必须完全满足这些要求，未达到这些指标要求的将导致投标无效无效。标有“▲”符号的为重要的商务、技术指标，未达到这些指标要求的将被严重扣分，但不会导致投标无效。</w:t>
      </w:r>
    </w:p>
    <w:p>
      <w:pPr>
        <w:ind w:firstLine="422"/>
        <w:jc w:val="both"/>
      </w:pPr>
      <w:r>
        <w:rPr>
          <w:color w:val="000000"/>
          <w:sz w:val="21"/>
        </w:rPr>
        <w:t>（三）本项目纸质版投标文件必须是通过智慧云平台投标客户端软件生成的加了系统水印的投标文件打印的纸质版，否则视为无效纸质投标文件。纸质投标文件须在投标截止前递交至开标地点，逾期递交的，代理机构将不再接收，但不造成无效投标。</w:t>
      </w:r>
    </w:p>
    <w:p>
      <w:pPr>
        <w:ind w:firstLine="422"/>
        <w:jc w:val="both"/>
      </w:pPr>
      <w:r>
        <w:rPr>
          <w:color w:val="000000"/>
          <w:sz w:val="21"/>
        </w:rPr>
        <w:t>（四）需要落实的政府采购政策：《政府采购促进中小企业发展管理办法》（财库〔</w:t>
      </w:r>
      <w:r>
        <w:rPr>
          <w:color w:val="000000"/>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关于运用政府采购政策支持乡村产业振兴的通知》（财库〔2021〕19号）等。</w:t>
      </w:r>
    </w:p>
    <w:p>
      <w:pPr>
        <w:ind w:firstLine="422"/>
        <w:jc w:val="both"/>
      </w:pPr>
      <w:r>
        <w:rPr>
          <w:color w:val="000000"/>
          <w:sz w:val="21"/>
        </w:rPr>
        <w:t>（五）项目属性：货物类</w:t>
      </w:r>
    </w:p>
    <w:p>
      <w:pPr>
        <w:jc w:val="both"/>
      </w:pPr>
      <w:r>
        <w:rPr>
          <w:color w:val="000000"/>
          <w:sz w:val="21"/>
        </w:rPr>
        <w:t>（六）根据《关于印发中小企业划型标准规定的通知》（工信部联企业〔</w:t>
      </w:r>
      <w:r>
        <w:rPr>
          <w:color w:val="000000"/>
          <w:sz w:val="21"/>
        </w:rPr>
        <w:t>2011〕300号）规定，本项目采购标的对应的中小企业划分标准所属行业为：</w:t>
      </w:r>
      <w:r>
        <w:rPr>
          <w:b/>
          <w:color w:val="000000"/>
          <w:sz w:val="21"/>
          <w:u w:val="single"/>
        </w:rPr>
        <w:t>工业</w:t>
      </w:r>
      <w:r>
        <w:rPr>
          <w:color w:val="000000"/>
          <w:sz w:val="21"/>
        </w:rPr>
        <w:t>。</w:t>
      </w:r>
    </w:p>
    <w:p>
      <w:pPr>
        <w:ind w:firstLine="422"/>
      </w:pPr>
    </w:p>
    <w:p/>
    <w:p>
      <w:pPr>
        <w:ind w:firstLine="480"/>
      </w:pPr>
    </w:p>
    <w:p/>
    <w:p>
      <w:r>
        <w:rPr/>
        <w:t>合同包1（广东质检院国家涂料产品质检中心检测能力建设设备采购项目（二次））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自合同签订之日起60天内完成交货、安装、调试及验收，并履行至所有设备质保期满之日止。</w:t>
            </w:r>
          </w:p>
        </w:tc>
      </w:tr>
      <w:tr>
        <w:tc>
          <w:tcPr>
            <w:tcW w:type="dxa" w:w="4153"/>
          </w:tcPr>
          <w:p>
            <w:r>
              <w:rPr/>
              <w:t>标的提供的地点</w:t>
            </w:r>
          </w:p>
        </w:tc>
        <w:tc>
          <w:tcPr>
            <w:tcW w:type="dxa" w:w="4153"/>
          </w:tcPr>
          <w:p/>
          <w:p>
            <w:r>
              <w:rPr/>
              <w:t>佛山市顺德区大良德胜东路1号</w:t>
            </w:r>
          </w:p>
        </w:tc>
      </w:tr>
      <w:tr>
        <w:tc>
          <w:tcPr>
            <w:tcW w:type="dxa" w:w="4153"/>
          </w:tcPr>
          <w:p>
            <w:r>
              <w:rPr/>
              <w:t>付款方式</w:t>
            </w:r>
          </w:p>
        </w:tc>
        <w:tc>
          <w:tcPr>
            <w:tcW w:type="dxa" w:w="4153"/>
          </w:tcPr>
          <w:p/>
          <w:p/>
          <w:p>
            <w:r>
              <w:rPr/>
              <w:t>1期：支付比例30%,预付款：合同签订后5个工作日内，采购人向中标人支付合同总金额30%的预付款。</w:t>
            </w:r>
          </w:p>
          <w:p/>
          <w:p>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15个日历日内，采购人向中标人支付合同总金额70%的货款。中标人按要求向采购人提交履约保证金，在本合同履行期间中标人无违约行为，中标人履行完成合同约定权利义务事项，在合同履行期满后向采购人提出申请退还履约保证金，采购人在30个日历日内向中标人退还履约保证金(履约保证金不计利息)。采购人有权直接从履约保证金扣除中标人应当向甲方承担的违约金、赔偿金、维修费、验收计量费用等相关费用。中标人对此没有任何异议。中标人根据采购人要求开具相应金额的增值税普通发票或增值税专用发票。增值税专用发票应能在税局正常抵扣税额。</w:t>
            </w:r>
          </w:p>
        </w:tc>
      </w:tr>
      <w:tr>
        <w:tc>
          <w:tcPr>
            <w:tcW w:type="dxa" w:w="4153"/>
          </w:tcPr>
          <w:p>
            <w:r>
              <w:rPr/>
              <w:t>验收要求</w:t>
            </w:r>
          </w:p>
        </w:tc>
        <w:tc>
          <w:tcPr>
            <w:tcW w:type="dxa" w:w="4153"/>
          </w:tcPr>
          <w:p/>
          <w:p/>
          <w:p/>
          <w:p>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r>
              <w:rPr/>
              <w:t>履约保证金</w:t>
            </w:r>
          </w:p>
        </w:tc>
        <w:tc>
          <w:tcPr>
            <w:tcW w:type="dxa" w:w="4153"/>
          </w:tcPr>
          <w:p/>
          <w:p/>
          <w:p/>
          <w:p/>
          <w:p>
            <w:r>
              <w:rPr/>
              <w:t>收取比例：5%,说明：(一)提交说明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满后向采购人提出申请退还履约保证金，采购人在30个日历日内向中标人退还履约保证金(履约保证金不计利息)。 2.违约责任：采购人逾期退还履约保证金的，除应当退还履约保证金本金外，还应当每日按合同总价的3‰向中标人偿付违约金，但因中标人自身原因导致无法及时退还的除外。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tc>
      </w:tr>
      <w:tr>
        <w:tc>
          <w:tcPr>
            <w:tcW w:type="dxa" w:w="4153"/>
          </w:tcPr>
          <w:p>
            <w:r>
              <w:rPr/>
              <w:t>其他</w:t>
            </w:r>
          </w:p>
        </w:tc>
        <w:tc>
          <w:tcPr>
            <w:tcW w:type="dxa" w:w="4153"/>
          </w:tcPr>
          <w:p/>
          <w:p/>
          <w:p>
            <w:r>
              <w:rPr/>
              <w:t>（一）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
            <w:r>
              <w:rPr/>
              <w:t>（二）质保期及售后服务，1.本合同的质量保证期（简称“质保期”）为双方确认项目验收合格后1年（采购需求中对应设备如有具体要求的，按设备要求）。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技术人员上门服务，不收取任何技术费用，并且中标人承诺将提供终身售后服务；在设备使用寿命内，当控制软件在现有硬件基础上可进行升级时，中标人应主动提供的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2.质保期内，如设备或零部件因质量原因出现故障而造成短期停用时，则质保期和维修期相应顺延。如停用时间累计超过30天则质保期重新计算。 3.对采购人的服务通知，中标人在接报后2小时内响应，24小时内到达现场，48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500元计算。</w:t>
            </w:r>
          </w:p>
          <w:p/>
          <w:p>
            <w:r>
              <w:rPr/>
              <w:t>（三）安装与调试，1.中标人必须依照招标文件的要求和投标文件的承诺，将设备、系统、线材安装并调试至正常运行的最佳状态。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供方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
            <w:r>
              <w:rPr/>
              <w:t>（四）保险，货物交付运输前，采购人已经支付部分或全部款项的，中标人应当办理以采购人为受益人的货物“一切险”，投保金额不少于采购人已经支付款项总额，保险保至项目最终交货地点。</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非金属材料试验机</w:t>
            </w:r>
          </w:p>
        </w:tc>
        <w:tc>
          <w:tcPr>
            <w:tcW w:type="dxa" w:w="831"/>
          </w:tcPr>
          <w:p>
            <w:pPr>
              <w:jc w:val="left"/>
            </w:pPr>
            <w:r>
              <w:rPr/>
              <w:t>带高低温微机控制万能试验机</w:t>
            </w:r>
          </w:p>
        </w:tc>
        <w:tc>
          <w:tcPr>
            <w:tcW w:type="dxa" w:w="831"/>
          </w:tcPr>
          <w:p>
            <w:pPr>
              <w:jc w:val="left"/>
            </w:pPr>
            <w:r>
              <w:rPr/>
              <w:t>台</w:t>
            </w:r>
          </w:p>
        </w:tc>
        <w:tc>
          <w:tcPr>
            <w:tcW w:type="dxa" w:w="831"/>
          </w:tcPr>
          <w:p>
            <w:pPr>
              <w:jc w:val="right"/>
            </w:pPr>
            <w:r>
              <w:rPr/>
              <w:t>1.00</w:t>
            </w:r>
          </w:p>
        </w:tc>
        <w:tc>
          <w:tcPr>
            <w:tcW w:type="dxa" w:w="831"/>
          </w:tcPr>
          <w:p>
            <w:pPr>
              <w:jc w:val="right"/>
            </w:pPr>
            <w:r>
              <w:rPr/>
              <w:t>220,000.00</w:t>
            </w:r>
          </w:p>
        </w:tc>
        <w:tc>
          <w:tcPr>
            <w:tcW w:type="dxa" w:w="831"/>
          </w:tcPr>
          <w:p>
            <w:pPr>
              <w:jc w:val="right"/>
            </w:pPr>
            <w:r>
              <w:rPr/>
              <w:t>220,000.00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试验箱及气候环境试验设备</w:t>
            </w:r>
          </w:p>
        </w:tc>
        <w:tc>
          <w:tcPr>
            <w:tcW w:type="dxa" w:w="831"/>
          </w:tcPr>
          <w:p>
            <w:pPr>
              <w:jc w:val="left"/>
            </w:pPr>
            <w:r>
              <w:rPr/>
              <w:t>盐雾腐蚀试验箱</w:t>
            </w:r>
          </w:p>
        </w:tc>
        <w:tc>
          <w:tcPr>
            <w:tcW w:type="dxa" w:w="831"/>
          </w:tcPr>
          <w:p>
            <w:pPr>
              <w:jc w:val="left"/>
            </w:pPr>
            <w:r>
              <w:rPr/>
              <w:t>台</w:t>
            </w:r>
          </w:p>
        </w:tc>
        <w:tc>
          <w:tcPr>
            <w:tcW w:type="dxa" w:w="831"/>
          </w:tcPr>
          <w:p>
            <w:pPr>
              <w:jc w:val="right"/>
            </w:pPr>
            <w:r>
              <w:rPr/>
              <w:t>1.00</w:t>
            </w:r>
          </w:p>
        </w:tc>
        <w:tc>
          <w:tcPr>
            <w:tcW w:type="dxa" w:w="831"/>
          </w:tcPr>
          <w:p>
            <w:pPr>
              <w:jc w:val="right"/>
            </w:pPr>
            <w:r>
              <w:rPr/>
              <w:t>170,000.00</w:t>
            </w:r>
          </w:p>
        </w:tc>
        <w:tc>
          <w:tcPr>
            <w:tcW w:type="dxa" w:w="831"/>
          </w:tcPr>
          <w:p>
            <w:pPr>
              <w:jc w:val="right"/>
            </w:pPr>
            <w:r>
              <w:rPr/>
              <w:t>170,000.00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防结露性能测试系统</w:t>
            </w:r>
          </w:p>
        </w:tc>
        <w:tc>
          <w:tcPr>
            <w:tcW w:type="dxa" w:w="831"/>
          </w:tcPr>
          <w:p>
            <w:pPr>
              <w:jc w:val="left"/>
            </w:pPr>
            <w:r>
              <w:rPr/>
              <w:t>套</w:t>
            </w:r>
          </w:p>
        </w:tc>
        <w:tc>
          <w:tcPr>
            <w:tcW w:type="dxa" w:w="831"/>
          </w:tcPr>
          <w:p>
            <w:pPr>
              <w:jc w:val="right"/>
            </w:pPr>
            <w:r>
              <w:rPr/>
              <w:t>1.00</w:t>
            </w:r>
          </w:p>
        </w:tc>
        <w:tc>
          <w:tcPr>
            <w:tcW w:type="dxa" w:w="831"/>
          </w:tcPr>
          <w:p>
            <w:pPr>
              <w:jc w:val="right"/>
            </w:pPr>
            <w:r>
              <w:rPr/>
              <w:t>160,000.00</w:t>
            </w:r>
          </w:p>
        </w:tc>
        <w:tc>
          <w:tcPr>
            <w:tcW w:type="dxa" w:w="831"/>
          </w:tcPr>
          <w:p>
            <w:pPr>
              <w:jc w:val="right"/>
            </w:pPr>
            <w:r>
              <w:rPr/>
              <w:t>160,000.00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工艺试验机</w:t>
            </w:r>
          </w:p>
        </w:tc>
        <w:tc>
          <w:tcPr>
            <w:tcW w:type="dxa" w:w="831"/>
          </w:tcPr>
          <w:p>
            <w:pPr>
              <w:jc w:val="left"/>
            </w:pPr>
            <w:r>
              <w:rPr/>
              <w:t>拉拔试验机</w:t>
            </w:r>
          </w:p>
        </w:tc>
        <w:tc>
          <w:tcPr>
            <w:tcW w:type="dxa" w:w="831"/>
          </w:tcPr>
          <w:p>
            <w:pPr>
              <w:jc w:val="left"/>
            </w:pPr>
            <w:r>
              <w:rPr/>
              <w:t>台</w:t>
            </w:r>
          </w:p>
        </w:tc>
        <w:tc>
          <w:tcPr>
            <w:tcW w:type="dxa" w:w="831"/>
          </w:tcPr>
          <w:p>
            <w:pPr>
              <w:jc w:val="right"/>
            </w:pPr>
            <w:r>
              <w:rPr/>
              <w:t>1.00</w:t>
            </w:r>
          </w:p>
        </w:tc>
        <w:tc>
          <w:tcPr>
            <w:tcW w:type="dxa" w:w="831"/>
          </w:tcPr>
          <w:p>
            <w:pPr>
              <w:jc w:val="right"/>
            </w:pPr>
            <w:r>
              <w:rPr/>
              <w:t>70,000.00</w:t>
            </w:r>
          </w:p>
        </w:tc>
        <w:tc>
          <w:tcPr>
            <w:tcW w:type="dxa" w:w="831"/>
          </w:tcPr>
          <w:p>
            <w:pPr>
              <w:jc w:val="right"/>
            </w:pPr>
            <w:r>
              <w:rPr/>
              <w:t>70,000.00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其他专用仪器仪表</w:t>
            </w:r>
          </w:p>
        </w:tc>
        <w:tc>
          <w:tcPr>
            <w:tcW w:type="dxa" w:w="831"/>
          </w:tcPr>
          <w:p>
            <w:pPr>
              <w:jc w:val="left"/>
            </w:pPr>
            <w:r>
              <w:rPr/>
              <w:t>自动粘结强度测试仪</w:t>
            </w:r>
          </w:p>
        </w:tc>
        <w:tc>
          <w:tcPr>
            <w:tcW w:type="dxa" w:w="831"/>
          </w:tcPr>
          <w:p>
            <w:pPr>
              <w:jc w:val="left"/>
            </w:pPr>
            <w:r>
              <w:rPr/>
              <w:t>台</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试验箱及气候环境试验设备</w:t>
            </w:r>
          </w:p>
        </w:tc>
        <w:tc>
          <w:tcPr>
            <w:tcW w:type="dxa" w:w="831"/>
          </w:tcPr>
          <w:p>
            <w:pPr>
              <w:jc w:val="left"/>
            </w:pPr>
            <w:r>
              <w:rPr/>
              <w:t>紫外线箱</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建筑工程仪器</w:t>
            </w:r>
          </w:p>
        </w:tc>
        <w:tc>
          <w:tcPr>
            <w:tcW w:type="dxa" w:w="831"/>
          </w:tcPr>
          <w:p>
            <w:pPr>
              <w:jc w:val="left"/>
            </w:pPr>
            <w:r>
              <w:rPr/>
              <w:t>全自动沥青软化点测试仪</w:t>
            </w:r>
          </w:p>
        </w:tc>
        <w:tc>
          <w:tcPr>
            <w:tcW w:type="dxa" w:w="831"/>
          </w:tcPr>
          <w:p>
            <w:pPr>
              <w:jc w:val="left"/>
            </w:pPr>
            <w:r>
              <w:rPr/>
              <w:t>台</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物理特性分析仪器及校准仪器</w:t>
            </w:r>
          </w:p>
        </w:tc>
        <w:tc>
          <w:tcPr>
            <w:tcW w:type="dxa" w:w="831"/>
          </w:tcPr>
          <w:p>
            <w:pPr>
              <w:jc w:val="left"/>
            </w:pPr>
            <w:r>
              <w:rPr/>
              <w:t>布氏粘度计</w:t>
            </w:r>
          </w:p>
        </w:tc>
        <w:tc>
          <w:tcPr>
            <w:tcW w:type="dxa" w:w="831"/>
          </w:tcPr>
          <w:p>
            <w:pPr>
              <w:jc w:val="left"/>
            </w:pPr>
            <w:r>
              <w:rPr/>
              <w:t>台</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电控淋水装置</w:t>
            </w:r>
          </w:p>
        </w:tc>
        <w:tc>
          <w:tcPr>
            <w:tcW w:type="dxa" w:w="831"/>
          </w:tcPr>
          <w:p>
            <w:pPr>
              <w:jc w:val="left"/>
            </w:pPr>
            <w:r>
              <w:rPr/>
              <w:t>套</w:t>
            </w:r>
          </w:p>
        </w:tc>
        <w:tc>
          <w:tcPr>
            <w:tcW w:type="dxa" w:w="831"/>
          </w:tcPr>
          <w:p>
            <w:pPr>
              <w:jc w:val="right"/>
            </w:pPr>
            <w:r>
              <w:rPr/>
              <w:t>1.00</w:t>
            </w:r>
          </w:p>
        </w:tc>
        <w:tc>
          <w:tcPr>
            <w:tcW w:type="dxa" w:w="831"/>
          </w:tcPr>
          <w:p>
            <w:pPr>
              <w:jc w:val="right"/>
            </w:pPr>
            <w:r>
              <w:rPr/>
              <w:t>23,000.00</w:t>
            </w:r>
          </w:p>
        </w:tc>
        <w:tc>
          <w:tcPr>
            <w:tcW w:type="dxa" w:w="831"/>
          </w:tcPr>
          <w:p>
            <w:pPr>
              <w:jc w:val="right"/>
            </w:pPr>
            <w:r>
              <w:rPr/>
              <w:t>23,000.00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试验箱及气候环境试验设备</w:t>
            </w:r>
          </w:p>
        </w:tc>
        <w:tc>
          <w:tcPr>
            <w:tcW w:type="dxa" w:w="831"/>
          </w:tcPr>
          <w:p>
            <w:pPr>
              <w:jc w:val="left"/>
            </w:pPr>
            <w:r>
              <w:rPr/>
              <w:t>水-紫外线辐照箱</w:t>
            </w:r>
          </w:p>
        </w:tc>
        <w:tc>
          <w:tcPr>
            <w:tcW w:type="dxa" w:w="831"/>
          </w:tcPr>
          <w:p>
            <w:pPr>
              <w:jc w:val="left"/>
            </w:pPr>
            <w:r>
              <w:rPr/>
              <w:t>台</w:t>
            </w:r>
          </w:p>
        </w:tc>
        <w:tc>
          <w:tcPr>
            <w:tcW w:type="dxa" w:w="831"/>
          </w:tcPr>
          <w:p>
            <w:pPr>
              <w:jc w:val="right"/>
            </w:pPr>
            <w:r>
              <w:rPr/>
              <w:t>1.00</w:t>
            </w:r>
          </w:p>
        </w:tc>
        <w:tc>
          <w:tcPr>
            <w:tcW w:type="dxa" w:w="831"/>
          </w:tcPr>
          <w:p>
            <w:pPr>
              <w:jc w:val="right"/>
            </w:pPr>
            <w:r>
              <w:rPr/>
              <w:t>15,000.00</w:t>
            </w:r>
          </w:p>
        </w:tc>
        <w:tc>
          <w:tcPr>
            <w:tcW w:type="dxa" w:w="831"/>
          </w:tcPr>
          <w:p>
            <w:pPr>
              <w:jc w:val="right"/>
            </w:pPr>
            <w:r>
              <w:rPr/>
              <w:t>15,000.00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其他专用仪器仪表</w:t>
            </w:r>
          </w:p>
        </w:tc>
        <w:tc>
          <w:tcPr>
            <w:tcW w:type="dxa" w:w="831"/>
          </w:tcPr>
          <w:p>
            <w:pPr>
              <w:jc w:val="left"/>
            </w:pPr>
            <w:r>
              <w:rPr/>
              <w:t>漆膜膜耗仪</w:t>
            </w:r>
          </w:p>
        </w:tc>
        <w:tc>
          <w:tcPr>
            <w:tcW w:type="dxa" w:w="831"/>
          </w:tcPr>
          <w:p>
            <w:pPr>
              <w:jc w:val="left"/>
            </w:pPr>
            <w:r>
              <w:rPr/>
              <w:t>台</w:t>
            </w:r>
          </w:p>
        </w:tc>
        <w:tc>
          <w:tcPr>
            <w:tcW w:type="dxa" w:w="831"/>
          </w:tcPr>
          <w:p>
            <w:pPr>
              <w:jc w:val="right"/>
            </w:pPr>
            <w:r>
              <w:rPr/>
              <w:t>1.00</w:t>
            </w:r>
          </w:p>
        </w:tc>
        <w:tc>
          <w:tcPr>
            <w:tcW w:type="dxa" w:w="831"/>
          </w:tcPr>
          <w:p>
            <w:pPr>
              <w:jc w:val="right"/>
            </w:pPr>
            <w:r>
              <w:rPr/>
              <w:t>13,000.00</w:t>
            </w:r>
          </w:p>
        </w:tc>
        <w:tc>
          <w:tcPr>
            <w:tcW w:type="dxa" w:w="831"/>
          </w:tcPr>
          <w:p>
            <w:pPr>
              <w:jc w:val="right"/>
            </w:pPr>
            <w:r>
              <w:rPr/>
              <w:t>13,000.00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其他专用仪器仪表</w:t>
            </w:r>
          </w:p>
        </w:tc>
        <w:tc>
          <w:tcPr>
            <w:tcW w:type="dxa" w:w="831"/>
          </w:tcPr>
          <w:p>
            <w:pPr>
              <w:jc w:val="left"/>
            </w:pPr>
            <w:r>
              <w:rPr/>
              <w:t>全自动划圈法附着力测定仪</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其他专用仪器仪表</w:t>
            </w:r>
          </w:p>
        </w:tc>
        <w:tc>
          <w:tcPr>
            <w:tcW w:type="dxa" w:w="831"/>
          </w:tcPr>
          <w:p>
            <w:pPr>
              <w:jc w:val="left"/>
            </w:pPr>
            <w:r>
              <w:rPr/>
              <w:t>手动喷砂机</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其他专用仪器仪表</w:t>
            </w:r>
          </w:p>
        </w:tc>
        <w:tc>
          <w:tcPr>
            <w:tcW w:type="dxa" w:w="831"/>
          </w:tcPr>
          <w:p>
            <w:pPr>
              <w:jc w:val="left"/>
            </w:pPr>
            <w:r>
              <w:rPr/>
              <w:t>双摆硬度计</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分析天平及专用天平</w:t>
            </w:r>
          </w:p>
        </w:tc>
        <w:tc>
          <w:tcPr>
            <w:tcW w:type="dxa" w:w="831"/>
          </w:tcPr>
          <w:p>
            <w:pPr>
              <w:jc w:val="left"/>
            </w:pPr>
            <w:r>
              <w:rPr/>
              <w:t>电子天平</w:t>
            </w:r>
          </w:p>
        </w:tc>
        <w:tc>
          <w:tcPr>
            <w:tcW w:type="dxa" w:w="831"/>
          </w:tcPr>
          <w:p>
            <w:pPr>
              <w:jc w:val="left"/>
            </w:pPr>
            <w:r>
              <w:rPr/>
              <w:t>台</w:t>
            </w:r>
          </w:p>
        </w:tc>
        <w:tc>
          <w:tcPr>
            <w:tcW w:type="dxa" w:w="831"/>
          </w:tcPr>
          <w:p>
            <w:pPr>
              <w:jc w:val="right"/>
            </w:pPr>
            <w:r>
              <w:rPr/>
              <w:t>1.00</w:t>
            </w:r>
          </w:p>
        </w:tc>
        <w:tc>
          <w:tcPr>
            <w:tcW w:type="dxa" w:w="831"/>
          </w:tcPr>
          <w:p>
            <w:pPr>
              <w:jc w:val="right"/>
            </w:pPr>
            <w:r>
              <w:rPr/>
              <w:t>5,000.00</w:t>
            </w:r>
          </w:p>
        </w:tc>
        <w:tc>
          <w:tcPr>
            <w:tcW w:type="dxa" w:w="831"/>
          </w:tcPr>
          <w:p>
            <w:pPr>
              <w:jc w:val="right"/>
            </w:pPr>
            <w:r>
              <w:rPr/>
              <w:t>5,000.00</w:t>
            </w:r>
          </w:p>
        </w:tc>
        <w:tc>
          <w:tcPr>
            <w:tcW w:type="dxa" w:w="831"/>
          </w:tcPr>
          <w:p>
            <w:r>
              <w:rPr/>
              <w:t>工业</w:t>
            </w:r>
          </w:p>
        </w:tc>
        <w:tc>
          <w:tcPr>
            <w:tcW w:type="dxa" w:w="831"/>
          </w:tcPr>
          <w:p>
            <w:r>
              <w:rPr/>
              <w:t>详见附表一十五</w:t>
            </w:r>
          </w:p>
        </w:tc>
      </w:tr>
    </w:tbl>
    <w:p/>
    <w:p>
      <w:r>
        <w:rPr>
          <w:b/>
        </w:rPr>
        <w:t>附表</w:t>
      </w:r>
      <w:r>
        <w:rPr>
          <w:b/>
        </w:rPr>
        <w:t>一</w:t>
      </w:r>
      <w:r>
        <w:rPr>
          <w:b/>
        </w:rPr>
        <w:t>：</w:t>
      </w:r>
      <w:r>
        <w:rPr>
          <w:b/>
        </w:rPr>
        <w:t>带高低温微机控制万能试验机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1、测量参数</w:t>
            </w:r>
          </w:p>
          <w:p>
            <w:pPr>
              <w:jc w:val="both"/>
            </w:pPr>
            <w:r>
              <w:rPr>
                <w:color w:val="000000"/>
                <w:sz w:val="21"/>
              </w:rPr>
              <w:t>1.1试验力（负荷）量程：（0～5）kN和（0～500）N；</w:t>
            </w:r>
          </w:p>
          <w:p>
            <w:pPr>
              <w:jc w:val="both"/>
            </w:pPr>
            <w:r>
              <w:rPr>
                <w:color w:val="000000"/>
                <w:sz w:val="21"/>
              </w:rPr>
              <w:t>1.2准确度等级：0.5级；</w:t>
            </w:r>
          </w:p>
        </w:tc>
      </w:tr>
      <w:tr>
        <w:tc>
          <w:tcPr>
            <w:tcW w:type="dxa" w:w="2076"/>
          </w:tcPr>
          <w:p/>
        </w:tc>
        <w:tc>
          <w:tcPr>
            <w:tcW w:type="dxa" w:w="415"/>
          </w:tcPr>
          <w:p>
            <w:r>
              <w:rPr/>
              <w:t>2</w:t>
            </w:r>
          </w:p>
        </w:tc>
        <w:tc>
          <w:tcPr>
            <w:tcW w:type="dxa" w:w="5814"/>
          </w:tcPr>
          <w:p>
            <w:pPr>
              <w:jc w:val="both"/>
            </w:pPr>
            <w:r>
              <w:rPr>
                <w:color w:val="000000"/>
                <w:sz w:val="21"/>
              </w:rPr>
              <w:t>1.3试验力测量范围：（0.4～100）% FS；</w:t>
            </w:r>
          </w:p>
          <w:p>
            <w:pPr>
              <w:jc w:val="both"/>
            </w:pPr>
            <w:r>
              <w:rPr>
                <w:color w:val="000000"/>
                <w:sz w:val="21"/>
              </w:rPr>
              <w:t>1.4试验力示值误差：示值的±0.5%以内；</w:t>
            </w:r>
          </w:p>
          <w:p>
            <w:pPr>
              <w:jc w:val="both"/>
            </w:pPr>
            <w:r>
              <w:rPr>
                <w:color w:val="000000"/>
                <w:sz w:val="21"/>
              </w:rPr>
              <w:t>1.5试验力分辨率：≤1/500000，全程不分档，且全程分辨率不变；</w:t>
            </w:r>
          </w:p>
        </w:tc>
      </w:tr>
      <w:tr>
        <w:tc>
          <w:tcPr>
            <w:tcW w:type="dxa" w:w="2076"/>
          </w:tcPr>
          <w:p/>
        </w:tc>
        <w:tc>
          <w:tcPr>
            <w:tcW w:type="dxa" w:w="415"/>
          </w:tcPr>
          <w:p>
            <w:r>
              <w:rPr/>
              <w:t>3</w:t>
            </w:r>
          </w:p>
        </w:tc>
        <w:tc>
          <w:tcPr>
            <w:tcW w:type="dxa" w:w="5814"/>
          </w:tcPr>
          <w:p>
            <w:pPr>
              <w:jc w:val="both"/>
            </w:pPr>
            <w:r>
              <w:rPr>
                <w:color w:val="000000"/>
                <w:sz w:val="21"/>
              </w:rPr>
              <w:t>1.6引伸计（变形）测量范围：（0.2～100）%FS（满量程）；</w:t>
            </w:r>
          </w:p>
          <w:p>
            <w:pPr>
              <w:jc w:val="both"/>
            </w:pPr>
            <w:r>
              <w:rPr>
                <w:color w:val="000000"/>
                <w:sz w:val="21"/>
              </w:rPr>
              <w:t>1.7引伸计（变形）示值相对误差：示值的±0.5%以内；</w:t>
            </w:r>
          </w:p>
          <w:p>
            <w:pPr>
              <w:jc w:val="both"/>
            </w:pPr>
            <w:r>
              <w:rPr>
                <w:color w:val="000000"/>
                <w:sz w:val="21"/>
              </w:rPr>
              <w:t>1.8引伸计（变形）分辨率： ≤1/500000，全程不分档，全程分辨率不变；</w:t>
            </w:r>
          </w:p>
        </w:tc>
      </w:tr>
      <w:tr>
        <w:tc>
          <w:tcPr>
            <w:tcW w:type="dxa" w:w="2076"/>
          </w:tcPr>
          <w:p>
            <w:r>
              <w:rPr/>
              <w:t>▲</w:t>
            </w:r>
          </w:p>
        </w:tc>
        <w:tc>
          <w:tcPr>
            <w:tcW w:type="dxa" w:w="415"/>
          </w:tcPr>
          <w:p>
            <w:r>
              <w:rPr/>
              <w:t>4</w:t>
            </w:r>
          </w:p>
        </w:tc>
        <w:tc>
          <w:tcPr>
            <w:tcW w:type="dxa" w:w="5814"/>
          </w:tcPr>
          <w:p>
            <w:pPr>
              <w:jc w:val="both"/>
            </w:pPr>
            <w:r>
              <w:rPr>
                <w:color w:val="000000"/>
                <w:sz w:val="21"/>
              </w:rPr>
              <w:t>1.9位移示值误差：示值的±0.5%以内；</w:t>
            </w:r>
          </w:p>
          <w:p>
            <w:pPr>
              <w:jc w:val="both"/>
            </w:pPr>
            <w:r>
              <w:rPr>
                <w:color w:val="000000"/>
                <w:sz w:val="21"/>
              </w:rPr>
              <w:t>1.10位移分辨率：≤0.04μm；</w:t>
            </w:r>
          </w:p>
          <w:p>
            <w:pPr>
              <w:jc w:val="both"/>
            </w:pPr>
            <w:r>
              <w:rPr>
                <w:color w:val="000000"/>
                <w:sz w:val="21"/>
              </w:rPr>
              <w:t>1.11大变形测量范围：（10～800）mm；</w:t>
            </w:r>
          </w:p>
          <w:p>
            <w:pPr>
              <w:jc w:val="both"/>
            </w:pPr>
            <w:r>
              <w:rPr>
                <w:color w:val="000000"/>
                <w:sz w:val="21"/>
              </w:rPr>
              <w:t>1.12大变形示值相对误差：示值的±0.5%以内；</w:t>
            </w:r>
          </w:p>
          <w:p>
            <w:pPr>
              <w:jc w:val="both"/>
            </w:pPr>
            <w:r>
              <w:rPr>
                <w:color w:val="000000"/>
                <w:sz w:val="21"/>
              </w:rPr>
              <w:t>1.13大变形测量分辨力：≤0.008mm；</w:t>
            </w:r>
          </w:p>
        </w:tc>
      </w:tr>
      <w:tr>
        <w:tc>
          <w:tcPr>
            <w:tcW w:type="dxa" w:w="2076"/>
          </w:tcPr>
          <w:p/>
        </w:tc>
        <w:tc>
          <w:tcPr>
            <w:tcW w:type="dxa" w:w="415"/>
          </w:tcPr>
          <w:p>
            <w:r>
              <w:rPr/>
              <w:t>5</w:t>
            </w:r>
          </w:p>
        </w:tc>
        <w:tc>
          <w:tcPr>
            <w:tcW w:type="dxa" w:w="5814"/>
          </w:tcPr>
          <w:p>
            <w:pPr>
              <w:jc w:val="both"/>
            </w:pPr>
            <w:r>
              <w:rPr>
                <w:color w:val="000000"/>
                <w:sz w:val="21"/>
              </w:rPr>
              <w:t>2、控制参数</w:t>
            </w:r>
          </w:p>
          <w:p>
            <w:pPr>
              <w:jc w:val="both"/>
            </w:pPr>
            <w:r>
              <w:rPr>
                <w:color w:val="000000"/>
                <w:sz w:val="21"/>
              </w:rPr>
              <w:t>2.1应力控制速率范围：（0.005～5）%FS/s；</w:t>
            </w:r>
          </w:p>
          <w:p>
            <w:pPr>
              <w:jc w:val="both"/>
            </w:pPr>
            <w:r>
              <w:rPr>
                <w:color w:val="000000"/>
                <w:sz w:val="21"/>
              </w:rPr>
              <w:t>2.2应力控制速率精度：速率＜0.05%FS/s时，为设定值的±1%以内；速率≥0.05%FS/s时，为设定值的±0.5%以内；</w:t>
            </w:r>
          </w:p>
          <w:p>
            <w:pPr>
              <w:jc w:val="both"/>
            </w:pPr>
            <w:r>
              <w:rPr>
                <w:color w:val="000000"/>
                <w:sz w:val="21"/>
              </w:rPr>
              <w:t>2.3应变控制速率范围：（0.005～5）%FS/s；</w:t>
            </w:r>
          </w:p>
          <w:p>
            <w:pPr>
              <w:jc w:val="both"/>
            </w:pPr>
            <w:r>
              <w:rPr>
                <w:color w:val="000000"/>
                <w:sz w:val="21"/>
              </w:rPr>
              <w:t>2.4应变控制速率精度：速率＜0.05%FS/s时，为设定值的±1%以内；速率≥0.05%FS/s时，为设定值的±0.5%以内；</w:t>
            </w:r>
          </w:p>
        </w:tc>
      </w:tr>
      <w:tr>
        <w:tc>
          <w:tcPr>
            <w:tcW w:type="dxa" w:w="2076"/>
          </w:tcPr>
          <w:p>
            <w:r>
              <w:rPr/>
              <w:t>▲</w:t>
            </w:r>
          </w:p>
        </w:tc>
        <w:tc>
          <w:tcPr>
            <w:tcW w:type="dxa" w:w="415"/>
          </w:tcPr>
          <w:p>
            <w:r>
              <w:rPr/>
              <w:t>6</w:t>
            </w:r>
          </w:p>
        </w:tc>
        <w:tc>
          <w:tcPr>
            <w:tcW w:type="dxa" w:w="5814"/>
          </w:tcPr>
          <w:p>
            <w:pPr>
              <w:jc w:val="both"/>
            </w:pPr>
            <w:r>
              <w:rPr>
                <w:color w:val="000000"/>
                <w:sz w:val="21"/>
              </w:rPr>
              <w:t>2.5位移控制速率范围：（0.001～500）mm/min；</w:t>
            </w:r>
          </w:p>
          <w:p>
            <w:pPr>
              <w:jc w:val="both"/>
            </w:pPr>
            <w:r>
              <w:rPr>
                <w:color w:val="000000"/>
                <w:sz w:val="21"/>
              </w:rPr>
              <w:t>2.6位移控制速率精度：速率＜0.01mm/min时，为设定值的±1%以内；速率≥0.01mm/min，为设定值的±0.2%以内；</w:t>
            </w:r>
          </w:p>
        </w:tc>
      </w:tr>
      <w:tr>
        <w:tc>
          <w:tcPr>
            <w:tcW w:type="dxa" w:w="2076"/>
          </w:tcPr>
          <w:p/>
        </w:tc>
        <w:tc>
          <w:tcPr>
            <w:tcW w:type="dxa" w:w="415"/>
          </w:tcPr>
          <w:p>
            <w:r>
              <w:rPr/>
              <w:t>7</w:t>
            </w:r>
          </w:p>
        </w:tc>
        <w:tc>
          <w:tcPr>
            <w:tcW w:type="dxa" w:w="5814"/>
          </w:tcPr>
          <w:p>
            <w:pPr>
              <w:jc w:val="both"/>
            </w:pPr>
            <w:r>
              <w:rPr>
                <w:color w:val="000000"/>
                <w:sz w:val="21"/>
              </w:rPr>
              <w:t>3、主机参数</w:t>
            </w:r>
          </w:p>
          <w:p>
            <w:pPr>
              <w:jc w:val="both"/>
            </w:pPr>
            <w:r>
              <w:rPr>
                <w:color w:val="000000"/>
                <w:sz w:val="21"/>
              </w:rPr>
              <w:t>3.1实验空间：下单空间结构；</w:t>
            </w:r>
          </w:p>
          <w:p>
            <w:pPr>
              <w:jc w:val="both"/>
            </w:pPr>
            <w:r>
              <w:rPr>
                <w:color w:val="000000"/>
                <w:sz w:val="21"/>
              </w:rPr>
              <w:t>3.2有效试验宽度：≥400mm；</w:t>
            </w:r>
          </w:p>
          <w:p>
            <w:pPr>
              <w:jc w:val="both"/>
            </w:pPr>
            <w:r>
              <w:rPr>
                <w:color w:val="000000"/>
                <w:sz w:val="21"/>
              </w:rPr>
              <w:t>3.3最大有效拉伸空间(上、下接头插销孔中心距离)：≥1100mm；</w:t>
            </w:r>
          </w:p>
        </w:tc>
      </w:tr>
      <w:tr>
        <w:tc>
          <w:tcPr>
            <w:tcW w:type="dxa" w:w="2076"/>
          </w:tcPr>
          <w:p>
            <w:r>
              <w:rPr/>
              <w:t>★</w:t>
            </w:r>
          </w:p>
        </w:tc>
        <w:tc>
          <w:tcPr>
            <w:tcW w:type="dxa" w:w="415"/>
          </w:tcPr>
          <w:p>
            <w:r>
              <w:rPr/>
              <w:t>8</w:t>
            </w:r>
          </w:p>
        </w:tc>
        <w:tc>
          <w:tcPr>
            <w:tcW w:type="dxa" w:w="5814"/>
          </w:tcPr>
          <w:p>
            <w:pPr>
              <w:jc w:val="both"/>
            </w:pPr>
            <w:r>
              <w:rPr>
                <w:color w:val="000000"/>
                <w:sz w:val="21"/>
              </w:rPr>
              <w:t>4、高低温环境试验箱参数</w:t>
            </w:r>
          </w:p>
          <w:p>
            <w:pPr>
              <w:jc w:val="both"/>
            </w:pPr>
            <w:r>
              <w:rPr>
                <w:color w:val="000000"/>
                <w:sz w:val="21"/>
              </w:rPr>
              <w:t>4.1制冷方式：双压缩机制冷；</w:t>
            </w:r>
          </w:p>
          <w:p>
            <w:pPr>
              <w:jc w:val="both"/>
            </w:pPr>
            <w:r>
              <w:rPr>
                <w:color w:val="000000"/>
                <w:sz w:val="21"/>
              </w:rPr>
              <w:t>4.2高低温环境试验箱温度范围：（-40～150）℃；</w:t>
            </w:r>
          </w:p>
          <w:p>
            <w:pPr>
              <w:jc w:val="both"/>
            </w:pPr>
            <w:r>
              <w:rPr>
                <w:color w:val="000000"/>
                <w:sz w:val="21"/>
              </w:rPr>
              <w:t>4.3高温升温时间（室温～150℃）：≤50min；</w:t>
            </w:r>
          </w:p>
          <w:p>
            <w:pPr>
              <w:jc w:val="both"/>
            </w:pPr>
            <w:r>
              <w:rPr>
                <w:color w:val="000000"/>
                <w:sz w:val="21"/>
              </w:rPr>
              <w:t>4.4低温降温时间（室温～-40℃）：≤60min；</w:t>
            </w:r>
          </w:p>
        </w:tc>
      </w:tr>
      <w:tr>
        <w:tc>
          <w:tcPr>
            <w:tcW w:type="dxa" w:w="2076"/>
          </w:tcPr>
          <w:p/>
        </w:tc>
        <w:tc>
          <w:tcPr>
            <w:tcW w:type="dxa" w:w="415"/>
          </w:tcPr>
          <w:p>
            <w:r>
              <w:rPr/>
              <w:t>9</w:t>
            </w:r>
          </w:p>
        </w:tc>
        <w:tc>
          <w:tcPr>
            <w:tcW w:type="dxa" w:w="5814"/>
          </w:tcPr>
          <w:p>
            <w:pPr>
              <w:jc w:val="both"/>
            </w:pPr>
            <w:r>
              <w:rPr>
                <w:color w:val="000000"/>
                <w:sz w:val="21"/>
              </w:rPr>
              <w:t>4.5温度控制：50mm标距内性能指标如下(4.5.1-4.5.4)所示:</w:t>
            </w:r>
          </w:p>
          <w:p>
            <w:pPr>
              <w:jc w:val="both"/>
            </w:pPr>
            <w:r>
              <w:rPr>
                <w:color w:val="000000"/>
                <w:sz w:val="21"/>
              </w:rPr>
              <w:t>4.5.1 温度梯度：≤2℃；</w:t>
            </w:r>
          </w:p>
          <w:p>
            <w:pPr>
              <w:jc w:val="both"/>
            </w:pPr>
            <w:r>
              <w:rPr>
                <w:color w:val="000000"/>
                <w:sz w:val="21"/>
              </w:rPr>
              <w:t>4.5.2 温度波动：±1℃；</w:t>
            </w:r>
          </w:p>
          <w:p>
            <w:pPr>
              <w:jc w:val="both"/>
            </w:pPr>
            <w:r>
              <w:rPr>
                <w:color w:val="000000"/>
                <w:sz w:val="21"/>
              </w:rPr>
              <w:t>4.5.3 温度偏差：±2℃；</w:t>
            </w:r>
          </w:p>
          <w:p>
            <w:pPr>
              <w:jc w:val="both"/>
            </w:pPr>
            <w:r>
              <w:rPr>
                <w:color w:val="000000"/>
                <w:sz w:val="21"/>
              </w:rPr>
              <w:t>4.5.4 温度控制器显示精度：≤0.1℃；</w:t>
            </w:r>
          </w:p>
        </w:tc>
      </w:tr>
      <w:tr>
        <w:tc>
          <w:tcPr>
            <w:tcW w:type="dxa" w:w="2076"/>
          </w:tcPr>
          <w:p/>
        </w:tc>
        <w:tc>
          <w:tcPr>
            <w:tcW w:type="dxa" w:w="415"/>
          </w:tcPr>
          <w:p>
            <w:r>
              <w:rPr/>
              <w:t>10</w:t>
            </w:r>
          </w:p>
        </w:tc>
        <w:tc>
          <w:tcPr>
            <w:tcW w:type="dxa" w:w="5814"/>
          </w:tcPr>
          <w:p>
            <w:pPr>
              <w:jc w:val="both"/>
            </w:pPr>
            <w:r>
              <w:rPr>
                <w:color w:val="000000"/>
                <w:sz w:val="21"/>
              </w:rPr>
              <w:t>4.6制热方式：电热管加热；</w:t>
            </w:r>
          </w:p>
          <w:p>
            <w:pPr>
              <w:jc w:val="both"/>
            </w:pPr>
            <w:r>
              <w:rPr>
                <w:color w:val="000000"/>
                <w:sz w:val="21"/>
              </w:rPr>
              <w:t>4.7箱内空气循环系统采用离心风扇循环，保证箱内温度均匀度；</w:t>
            </w:r>
          </w:p>
        </w:tc>
      </w:tr>
      <w:tr>
        <w:tc>
          <w:tcPr>
            <w:tcW w:type="dxa" w:w="2076"/>
          </w:tcPr>
          <w:p/>
        </w:tc>
        <w:tc>
          <w:tcPr>
            <w:tcW w:type="dxa" w:w="415"/>
          </w:tcPr>
          <w:p>
            <w:r>
              <w:rPr/>
              <w:t>11</w:t>
            </w:r>
          </w:p>
        </w:tc>
        <w:tc>
          <w:tcPr>
            <w:tcW w:type="dxa" w:w="5814"/>
          </w:tcPr>
          <w:p>
            <w:pPr>
              <w:jc w:val="both"/>
            </w:pPr>
            <w:r>
              <w:rPr>
                <w:color w:val="000000"/>
                <w:sz w:val="21"/>
              </w:rPr>
              <w:t>4.8具有报警功能；</w:t>
            </w:r>
          </w:p>
          <w:p>
            <w:pPr>
              <w:jc w:val="both"/>
            </w:pPr>
            <w:r>
              <w:rPr>
                <w:color w:val="000000"/>
                <w:sz w:val="21"/>
              </w:rPr>
              <w:t>4.9安全装置：漏电保护器箱内超温保护器、风机过热保护器和超温保护；</w:t>
            </w:r>
          </w:p>
          <w:p>
            <w:pPr>
              <w:jc w:val="both"/>
            </w:pPr>
            <w:r>
              <w:rPr>
                <w:color w:val="000000"/>
                <w:sz w:val="21"/>
              </w:rPr>
              <w:t>4.10箱门中央位置应有观察窗，视窗含内置除霜线，有效防止低温凝露；</w:t>
            </w:r>
          </w:p>
          <w:p>
            <w:pPr>
              <w:jc w:val="both"/>
            </w:pPr>
            <w:r>
              <w:rPr>
                <w:color w:val="000000"/>
                <w:sz w:val="21"/>
              </w:rPr>
              <w:t>4.11箱内有效空间使用高度：≥600mm；</w:t>
            </w:r>
          </w:p>
          <w:p>
            <w:pPr>
              <w:jc w:val="both"/>
            </w:pPr>
            <w:r>
              <w:rPr>
                <w:color w:val="000000"/>
                <w:sz w:val="21"/>
              </w:rPr>
              <w:t>4.12采用触摸屏操作面板，简单方便可靠；</w:t>
            </w:r>
          </w:p>
        </w:tc>
      </w:tr>
      <w:tr>
        <w:tc>
          <w:tcPr>
            <w:tcW w:type="dxa" w:w="2076"/>
          </w:tcPr>
          <w:p>
            <w:r>
              <w:rPr/>
              <w:t>▲</w:t>
            </w:r>
          </w:p>
        </w:tc>
        <w:tc>
          <w:tcPr>
            <w:tcW w:type="dxa" w:w="415"/>
          </w:tcPr>
          <w:p>
            <w:r>
              <w:rPr/>
              <w:t>12</w:t>
            </w:r>
          </w:p>
        </w:tc>
        <w:tc>
          <w:tcPr>
            <w:tcW w:type="dxa" w:w="5814"/>
          </w:tcPr>
          <w:p>
            <w:pPr>
              <w:jc w:val="both"/>
            </w:pPr>
            <w:r>
              <w:rPr>
                <w:color w:val="000000"/>
                <w:sz w:val="21"/>
              </w:rPr>
              <w:t>5、配置要求：</w:t>
            </w:r>
          </w:p>
          <w:p>
            <w:pPr>
              <w:jc w:val="both"/>
            </w:pPr>
            <w:r>
              <w:rPr>
                <w:color w:val="000000"/>
                <w:sz w:val="21"/>
              </w:rPr>
              <w:t>5.1正版中文测试软件1套；</w:t>
            </w:r>
          </w:p>
          <w:p>
            <w:pPr>
              <w:jc w:val="both"/>
            </w:pPr>
            <w:r>
              <w:rPr>
                <w:color w:val="000000"/>
                <w:sz w:val="21"/>
              </w:rPr>
              <w:t>5.1.1可根据使用需求自行设计不同的计算公式，求解出不同的计算项目，提供用户可自由设计格式的试验报告模板；</w:t>
            </w:r>
          </w:p>
          <w:p>
            <w:pPr>
              <w:jc w:val="both"/>
            </w:pPr>
            <w:r>
              <w:rPr>
                <w:color w:val="000000"/>
                <w:sz w:val="21"/>
              </w:rPr>
              <w:t>5.1.2以“.mdb”格式的数据库文件建立起试验编号档案，每完成一根试件可自动保存数据，同时满足以word和Excel文件导出图谱和数据记录；</w:t>
            </w:r>
          </w:p>
          <w:p>
            <w:pPr>
              <w:jc w:val="both"/>
            </w:pPr>
            <w:r>
              <w:rPr>
                <w:color w:val="000000"/>
                <w:sz w:val="21"/>
              </w:rPr>
              <w:t>5.1.3测试软件具有分析功能，可查看特征点信息，如最大力和最小力值点，弹性起始点，弹性终点等，或自取点特征信息；</w:t>
            </w:r>
          </w:p>
        </w:tc>
      </w:tr>
      <w:tr>
        <w:tc>
          <w:tcPr>
            <w:tcW w:type="dxa" w:w="2076"/>
          </w:tcPr>
          <w:p/>
        </w:tc>
        <w:tc>
          <w:tcPr>
            <w:tcW w:type="dxa" w:w="415"/>
          </w:tcPr>
          <w:p>
            <w:r>
              <w:rPr/>
              <w:t>13</w:t>
            </w:r>
          </w:p>
        </w:tc>
        <w:tc>
          <w:tcPr>
            <w:tcW w:type="dxa" w:w="5814"/>
          </w:tcPr>
          <w:p>
            <w:pPr>
              <w:jc w:val="both"/>
            </w:pPr>
            <w:r>
              <w:rPr>
                <w:color w:val="000000"/>
                <w:sz w:val="21"/>
              </w:rPr>
              <w:t>5.2大变形装置（旋转式）1套；</w:t>
            </w:r>
          </w:p>
          <w:p>
            <w:pPr>
              <w:jc w:val="both"/>
            </w:pPr>
            <w:r>
              <w:rPr>
                <w:color w:val="000000"/>
                <w:sz w:val="21"/>
              </w:rPr>
              <w:t>5.3手动楔形拉伸夹具1套、高低温拉伸夹具1套、高低温连杆1套；</w:t>
            </w:r>
          </w:p>
          <w:p>
            <w:pPr>
              <w:jc w:val="both"/>
            </w:pPr>
            <w:r>
              <w:rPr>
                <w:color w:val="000000"/>
                <w:sz w:val="21"/>
              </w:rPr>
              <w:t>5.4品牌仪器工作站1台（硬盘容量不少于1TB，处理器主频不少于2.4GHz，内存不少于16GB，液晶显示屏设备不低于21寸，正版操作系统），彩色喷墨输出设备1套和随机工具包1套。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盐雾腐蚀试验箱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1、仪器用途：利用盐雾箱实现人工模拟盐雾环境试验，通过控制腐蚀环境，考核对材料及其防护层的盐雾腐蚀的能力，缩短试验时间，可用于涂料产品、电子产品、机械产品等检测；符合以下检测标准的要求：GB/T 10125-2021、GB/T 1771-2007、ISO 9227-2012、ASTM B117-2011、ASTM G85、QB/T 3826-1999、QB/T 3827-1999、QB/T 3828-1999。</w:t>
            </w:r>
          </w:p>
          <w:p>
            <w:pPr>
              <w:jc w:val="both"/>
            </w:pPr>
            <w:r>
              <w:rPr>
                <w:color w:val="000000"/>
                <w:sz w:val="21"/>
              </w:rPr>
              <w:t>2、技术要求</w:t>
            </w:r>
          </w:p>
          <w:p>
            <w:pPr>
              <w:jc w:val="both"/>
            </w:pPr>
            <w:r>
              <w:rPr>
                <w:color w:val="000000"/>
                <w:sz w:val="21"/>
              </w:rPr>
              <w:t>2.1测试区容量：不小于700L；</w:t>
            </w:r>
          </w:p>
          <w:p>
            <w:pPr>
              <w:jc w:val="both"/>
            </w:pPr>
            <w:r>
              <w:rPr>
                <w:color w:val="000000"/>
                <w:sz w:val="21"/>
              </w:rPr>
              <w:t>2.2盐溶液储备器容量：不小于120L；</w:t>
            </w:r>
          </w:p>
          <w:p>
            <w:pPr>
              <w:jc w:val="both"/>
            </w:pPr>
            <w:r>
              <w:rPr>
                <w:color w:val="000000"/>
                <w:sz w:val="21"/>
              </w:rPr>
              <w:t>2.3可移动的槽形样品架数量：不少于8个；</w:t>
            </w:r>
          </w:p>
        </w:tc>
      </w:tr>
      <w:tr>
        <w:tc>
          <w:tcPr>
            <w:tcW w:type="dxa" w:w="2076"/>
          </w:tcPr>
          <w:p>
            <w:r>
              <w:rPr/>
              <w:t>★</w:t>
            </w:r>
          </w:p>
        </w:tc>
        <w:tc>
          <w:tcPr>
            <w:tcW w:type="dxa" w:w="415"/>
          </w:tcPr>
          <w:p>
            <w:r>
              <w:rPr/>
              <w:t>2</w:t>
            </w:r>
          </w:p>
        </w:tc>
        <w:tc>
          <w:tcPr>
            <w:tcW w:type="dxa" w:w="5814"/>
          </w:tcPr>
          <w:p>
            <w:pPr>
              <w:jc w:val="both"/>
            </w:pPr>
            <w:r>
              <w:rPr>
                <w:color w:val="000000"/>
                <w:sz w:val="21"/>
              </w:rPr>
              <w:t>2.4箱内温度范围：环境温度～65℃（可调），温度偏差±2℃；</w:t>
            </w:r>
          </w:p>
          <w:p>
            <w:pPr>
              <w:jc w:val="both"/>
            </w:pPr>
            <w:r>
              <w:rPr>
                <w:color w:val="000000"/>
                <w:sz w:val="21"/>
              </w:rPr>
              <w:t>2.5箱内湿度范围：20%～98%（可调），湿度偏差±5%；</w:t>
            </w:r>
          </w:p>
          <w:p>
            <w:pPr>
              <w:jc w:val="both"/>
            </w:pPr>
            <w:r>
              <w:rPr>
                <w:color w:val="000000"/>
                <w:sz w:val="21"/>
              </w:rPr>
              <w:t>2.6盐雾散落率：1.0～2.0mL/h/80cm</w:t>
            </w:r>
            <w:r>
              <w:rPr>
                <w:color w:val="000000"/>
                <w:sz w:val="21"/>
                <w:vertAlign w:val="superscript"/>
              </w:rPr>
              <w:t>2</w:t>
            </w:r>
            <w:r>
              <w:rPr>
                <w:color w:val="000000"/>
                <w:sz w:val="21"/>
              </w:rPr>
              <w:t>（可调）；</w:t>
            </w:r>
          </w:p>
        </w:tc>
      </w:tr>
      <w:tr>
        <w:tc>
          <w:tcPr>
            <w:tcW w:type="dxa" w:w="2076"/>
          </w:tcPr>
          <w:p>
            <w:r>
              <w:rPr/>
              <w:t>▲</w:t>
            </w:r>
          </w:p>
        </w:tc>
        <w:tc>
          <w:tcPr>
            <w:tcW w:type="dxa" w:w="415"/>
          </w:tcPr>
          <w:p>
            <w:r>
              <w:rPr/>
              <w:t>3</w:t>
            </w:r>
          </w:p>
        </w:tc>
        <w:tc>
          <w:tcPr>
            <w:tcW w:type="dxa" w:w="5814"/>
          </w:tcPr>
          <w:p>
            <w:pPr>
              <w:jc w:val="both"/>
            </w:pPr>
            <w:r>
              <w:rPr>
                <w:color w:val="000000"/>
                <w:sz w:val="21"/>
              </w:rPr>
              <w:t>2.7采用蠕动泵运送溶液至喷嘴；</w:t>
            </w:r>
          </w:p>
          <w:p>
            <w:pPr>
              <w:jc w:val="both"/>
            </w:pPr>
            <w:r>
              <w:rPr>
                <w:color w:val="000000"/>
                <w:sz w:val="21"/>
              </w:rPr>
              <w:t>2.8具有饱和塔和水雾箱自动补水功能；</w:t>
            </w:r>
          </w:p>
        </w:tc>
      </w:tr>
      <w:tr>
        <w:tc>
          <w:tcPr>
            <w:tcW w:type="dxa" w:w="2076"/>
          </w:tcPr>
          <w:p/>
        </w:tc>
        <w:tc>
          <w:tcPr>
            <w:tcW w:type="dxa" w:w="415"/>
          </w:tcPr>
          <w:p>
            <w:r>
              <w:rPr/>
              <w:t>4</w:t>
            </w:r>
          </w:p>
        </w:tc>
        <w:tc>
          <w:tcPr>
            <w:tcW w:type="dxa" w:w="5814"/>
          </w:tcPr>
          <w:p>
            <w:pPr>
              <w:jc w:val="both"/>
            </w:pPr>
            <w:r>
              <w:rPr>
                <w:color w:val="000000"/>
                <w:sz w:val="21"/>
              </w:rPr>
              <w:t>2.9可自动控制测试进程以及循环；</w:t>
            </w:r>
          </w:p>
          <w:p>
            <w:pPr>
              <w:jc w:val="both"/>
            </w:pPr>
            <w:r>
              <w:rPr>
                <w:color w:val="000000"/>
                <w:sz w:val="21"/>
              </w:rPr>
              <w:t>2.10具有喷雾功能：喷嘴将空气和腐蚀溶液雾化成气雾，箱内保持设定的温度；</w:t>
            </w:r>
          </w:p>
        </w:tc>
      </w:tr>
      <w:tr>
        <w:tc>
          <w:tcPr>
            <w:tcW w:type="dxa" w:w="2076"/>
          </w:tcPr>
          <w:p/>
        </w:tc>
        <w:tc>
          <w:tcPr>
            <w:tcW w:type="dxa" w:w="415"/>
          </w:tcPr>
          <w:p>
            <w:r>
              <w:rPr/>
              <w:t>5</w:t>
            </w:r>
          </w:p>
        </w:tc>
        <w:tc>
          <w:tcPr>
            <w:tcW w:type="dxa" w:w="5814"/>
          </w:tcPr>
          <w:p>
            <w:pPr>
              <w:jc w:val="both"/>
            </w:pPr>
            <w:r>
              <w:rPr>
                <w:color w:val="000000"/>
                <w:sz w:val="21"/>
              </w:rPr>
              <w:t>2.11具有可编辑试验程序：喷雾、干燥、冷热、除或加湿、湿热等单独或循环试验；</w:t>
            </w:r>
          </w:p>
          <w:p>
            <w:pPr>
              <w:jc w:val="both"/>
            </w:pPr>
            <w:r>
              <w:rPr>
                <w:color w:val="000000"/>
                <w:sz w:val="21"/>
              </w:rPr>
              <w:t>2.12具有保护装置：紧急停机装置、停电保护装置、冷热加湿除湿等过载保护功能；</w:t>
            </w:r>
          </w:p>
          <w:p>
            <w:pPr>
              <w:jc w:val="both"/>
            </w:pPr>
            <w:r>
              <w:rPr>
                <w:color w:val="000000"/>
                <w:sz w:val="21"/>
              </w:rPr>
              <w:t>2.13具有控制面板，可调节实验参数及显示仪器运行的状态。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防结露性能测试系统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1、适用标准：HG/T 4560-2013 《涂料的防结露性能测试方法》，测试装置示意图如下图：</w:t>
            </w:r>
          </w:p>
          <w:p>
            <w:pPr>
              <w:jc w:val="both"/>
            </w:pPr>
            <w:r>
              <w:drawing>
                <wp:inline distT="0" distR="0" distB="0" distL="0">
                  <wp:extent cx="3554729" cy="229500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295008"/>
                          </a:xfrm>
                          <a:prstGeom prst="rect">
                            <a:avLst/>
                          </a:prstGeom>
                        </pic:spPr>
                      </pic:pic>
                    </a:graphicData>
                  </a:graphic>
                </wp:inline>
              </w:drawing>
            </w:r>
          </w:p>
        </w:tc>
      </w:tr>
      <w:tr>
        <w:tc>
          <w:tcPr>
            <w:tcW w:type="dxa" w:w="2076"/>
          </w:tcPr>
          <w:p>
            <w:r>
              <w:rPr/>
              <w:t>▲</w:t>
            </w:r>
          </w:p>
        </w:tc>
        <w:tc>
          <w:tcPr>
            <w:tcW w:type="dxa" w:w="415"/>
          </w:tcPr>
          <w:p>
            <w:r>
              <w:rPr/>
              <w:t>2</w:t>
            </w:r>
          </w:p>
        </w:tc>
        <w:tc>
          <w:tcPr>
            <w:tcW w:type="dxa" w:w="5814"/>
          </w:tcPr>
          <w:p>
            <w:pPr>
              <w:jc w:val="both"/>
            </w:pPr>
            <w:r>
              <w:rPr>
                <w:color w:val="000000"/>
                <w:sz w:val="21"/>
              </w:rPr>
              <w:t>2、温湿度控制仓：温湿度控制仓内部必须有足够的空间容纳涂层锥体、结露收集器和电子天平；温湿度仓控制仓内温湿度应保持恒定，温湿度通过仓的自动调温湿度装置设定调节，温度误差不超过±0.5℃，相对湿度误差不超过±3%；</w:t>
            </w:r>
          </w:p>
          <w:p>
            <w:pPr>
              <w:jc w:val="both"/>
            </w:pPr>
            <w:r>
              <w:rPr>
                <w:color w:val="000000"/>
                <w:sz w:val="21"/>
              </w:rPr>
              <w:t>3、循环水浴：循环水浴必须有外循环功能，且带有制冷和制热功能，温度误差不超过±0.5℃；</w:t>
            </w:r>
          </w:p>
          <w:p>
            <w:pPr>
              <w:jc w:val="both"/>
            </w:pPr>
            <w:r>
              <w:rPr>
                <w:color w:val="000000"/>
                <w:sz w:val="21"/>
              </w:rPr>
              <w:t>4、软件：绘制结露重量与时间的曲线，保存；</w:t>
            </w:r>
          </w:p>
        </w:tc>
      </w:tr>
      <w:tr>
        <w:tc>
          <w:tcPr>
            <w:tcW w:type="dxa" w:w="2076"/>
          </w:tcPr>
          <w:p/>
        </w:tc>
        <w:tc>
          <w:tcPr>
            <w:tcW w:type="dxa" w:w="415"/>
          </w:tcPr>
          <w:p>
            <w:r>
              <w:rPr/>
              <w:t>3</w:t>
            </w:r>
          </w:p>
        </w:tc>
        <w:tc>
          <w:tcPr>
            <w:tcW w:type="dxa" w:w="5814"/>
          </w:tcPr>
          <w:p>
            <w:pPr>
              <w:jc w:val="both"/>
            </w:pPr>
            <w:r>
              <w:rPr>
                <w:color w:val="000000"/>
                <w:sz w:val="21"/>
              </w:rPr>
              <w:t>5、涂层结露锥体（至少配3只）：涂层结露锥体上部开有两个连接孔，用于与循环水浴连通；直径160mm，高180mm，由符合GB/T 3280标准要求的304不锈钢材料制备而成，厚度0.6mm～2mm；被测涂料涂于锥体侧面；</w:t>
            </w:r>
          </w:p>
        </w:tc>
      </w:tr>
      <w:tr>
        <w:tc>
          <w:tcPr>
            <w:tcW w:type="dxa" w:w="2076"/>
          </w:tcPr>
          <w:p/>
        </w:tc>
        <w:tc>
          <w:tcPr>
            <w:tcW w:type="dxa" w:w="415"/>
          </w:tcPr>
          <w:p>
            <w:r>
              <w:rPr/>
              <w:t>4</w:t>
            </w:r>
          </w:p>
        </w:tc>
        <w:tc>
          <w:tcPr>
            <w:tcW w:type="dxa" w:w="5814"/>
          </w:tcPr>
          <w:p>
            <w:pPr>
              <w:jc w:val="both"/>
            </w:pPr>
            <w:r>
              <w:rPr>
                <w:color w:val="000000"/>
                <w:sz w:val="21"/>
              </w:rPr>
              <w:t>6、结露收集器：玻璃烧杯；</w:t>
            </w:r>
          </w:p>
          <w:p>
            <w:pPr>
              <w:jc w:val="both"/>
            </w:pPr>
            <w:r>
              <w:rPr>
                <w:color w:val="000000"/>
                <w:sz w:val="21"/>
              </w:rPr>
              <w:t>7、电子天平：最大量程5kg，精度0.01g，带有通讯接口功能；</w:t>
            </w:r>
          </w:p>
        </w:tc>
      </w:tr>
      <w:tr>
        <w:tc>
          <w:tcPr>
            <w:tcW w:type="dxa" w:w="2076"/>
          </w:tcPr>
          <w:p/>
        </w:tc>
        <w:tc>
          <w:tcPr>
            <w:tcW w:type="dxa" w:w="415"/>
          </w:tcPr>
          <w:p>
            <w:r>
              <w:rPr/>
              <w:t>5</w:t>
            </w:r>
          </w:p>
        </w:tc>
        <w:tc>
          <w:tcPr>
            <w:tcW w:type="dxa" w:w="5814"/>
          </w:tcPr>
          <w:p>
            <w:pPr>
              <w:jc w:val="both"/>
            </w:pPr>
            <w:r>
              <w:rPr>
                <w:color w:val="000000"/>
                <w:sz w:val="21"/>
              </w:rPr>
              <w:t>8、配置：恒温恒湿箱1台（工作室尺寸1000×1000×1000mm，温度范围：-20℃至100℃，温度误差：±0.5℃、湿度20%HR～95%HR,误差：±3%HR）、涂层结露锥体3个、天平1台、玻璃烧杯1个、循环水浴1台、软件1套、仪器工作站1台（硬盘容量不少于1TB、处理器主频不少于2.4GHz、内存不少于16GB、液晶显示屏设备不低于21寸、正版操作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拉拔试验机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1、仪器用途：用于干混砂浆、保温材料、陶瓷墙地砖胶粘剂、复层建筑涂料等产品的拉伸及粘结强度试验，符合标准JC/T 547-2017、GB/T9779-2015等的要求；</w:t>
            </w:r>
          </w:p>
          <w:p>
            <w:pPr>
              <w:jc w:val="both"/>
            </w:pPr>
            <w:r>
              <w:rPr>
                <w:color w:val="000000"/>
                <w:sz w:val="21"/>
              </w:rPr>
              <w:t>2、传感器量程：≥10000N（准确度等级：1级）；</w:t>
            </w:r>
          </w:p>
          <w:p>
            <w:pPr>
              <w:jc w:val="both"/>
            </w:pPr>
            <w:r>
              <w:rPr>
                <w:color w:val="000000"/>
                <w:sz w:val="21"/>
              </w:rPr>
              <w:t>3、分辨率：1N；</w:t>
            </w:r>
          </w:p>
        </w:tc>
      </w:tr>
      <w:tr>
        <w:tc>
          <w:tcPr>
            <w:tcW w:type="dxa" w:w="2076"/>
          </w:tcPr>
          <w:p>
            <w:r>
              <w:rPr/>
              <w:t>▲</w:t>
            </w:r>
          </w:p>
        </w:tc>
        <w:tc>
          <w:tcPr>
            <w:tcW w:type="dxa" w:w="415"/>
          </w:tcPr>
          <w:p>
            <w:r>
              <w:rPr/>
              <w:t>2</w:t>
            </w:r>
          </w:p>
        </w:tc>
        <w:tc>
          <w:tcPr>
            <w:tcW w:type="dxa" w:w="5814"/>
          </w:tcPr>
          <w:p>
            <w:pPr>
              <w:jc w:val="both"/>
            </w:pPr>
            <w:r>
              <w:rPr>
                <w:color w:val="000000"/>
                <w:sz w:val="21"/>
              </w:rPr>
              <w:t>4、具有触摸屏控制，自动操作软件，可输出打印检测参数和结果参数，配有品牌仪器工作站1台（硬盘容量不少于500GB，处理器主频不少于2.4GHz，内存不少于16GB，液晶显示设备不低于21寸，正版操作系统）、激光输出设备1套和随机工具包1套，仪器自动操作软件及光盘1套；</w:t>
            </w:r>
          </w:p>
        </w:tc>
      </w:tr>
      <w:tr>
        <w:tc>
          <w:tcPr>
            <w:tcW w:type="dxa" w:w="2076"/>
          </w:tcPr>
          <w:p/>
        </w:tc>
        <w:tc>
          <w:tcPr>
            <w:tcW w:type="dxa" w:w="415"/>
          </w:tcPr>
          <w:p>
            <w:r>
              <w:rPr/>
              <w:t>3</w:t>
            </w:r>
          </w:p>
        </w:tc>
        <w:tc>
          <w:tcPr>
            <w:tcW w:type="dxa" w:w="5814"/>
          </w:tcPr>
          <w:p>
            <w:pPr>
              <w:jc w:val="both"/>
            </w:pPr>
            <w:r>
              <w:rPr>
                <w:color w:val="000000"/>
                <w:sz w:val="21"/>
              </w:rPr>
              <w:t>5、拉拔方式：均速/均加力、可调（0mm/min～200 mm/min或0N/s～250 N/s）；</w:t>
            </w:r>
          </w:p>
          <w:p>
            <w:pPr>
              <w:jc w:val="both"/>
            </w:pPr>
            <w:r>
              <w:rPr>
                <w:color w:val="000000"/>
                <w:sz w:val="21"/>
              </w:rPr>
              <w:t>6、拉拔头最大行程：≥100mm；</w:t>
            </w:r>
          </w:p>
        </w:tc>
      </w:tr>
      <w:tr>
        <w:tc>
          <w:tcPr>
            <w:tcW w:type="dxa" w:w="2076"/>
          </w:tcPr>
          <w:p/>
        </w:tc>
        <w:tc>
          <w:tcPr>
            <w:tcW w:type="dxa" w:w="415"/>
          </w:tcPr>
          <w:p>
            <w:r>
              <w:rPr/>
              <w:t>4</w:t>
            </w:r>
          </w:p>
        </w:tc>
        <w:tc>
          <w:tcPr>
            <w:tcW w:type="dxa" w:w="5814"/>
          </w:tcPr>
          <w:p>
            <w:pPr>
              <w:jc w:val="both"/>
            </w:pPr>
            <w:r>
              <w:rPr>
                <w:color w:val="000000"/>
                <w:sz w:val="21"/>
              </w:rPr>
              <w:t>7、试件的宽度70 mm～500 mm，最大厚度70mm；</w:t>
            </w:r>
          </w:p>
          <w:p>
            <w:pPr>
              <w:jc w:val="both"/>
            </w:pPr>
            <w:r>
              <w:rPr>
                <w:color w:val="000000"/>
                <w:sz w:val="21"/>
              </w:rPr>
              <w:t>8、驱动方式：伺服电机驱动；</w:t>
            </w:r>
          </w:p>
          <w:p>
            <w:pPr>
              <w:jc w:val="both"/>
            </w:pPr>
            <w:r>
              <w:rPr>
                <w:color w:val="000000"/>
                <w:sz w:val="21"/>
              </w:rPr>
              <w:t>9、设备具有过载保护（力和行程过载保护）。</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自动粘结强度测试仪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1、最大试验拉力：≥10kN；</w:t>
            </w:r>
          </w:p>
          <w:p>
            <w:pPr>
              <w:jc w:val="both"/>
            </w:pPr>
            <w:r>
              <w:rPr>
                <w:color w:val="000000"/>
                <w:sz w:val="21"/>
              </w:rPr>
              <w:t>2、最小分辨单位：≤0.001kN；</w:t>
            </w:r>
          </w:p>
          <w:p>
            <w:pPr>
              <w:jc w:val="both"/>
            </w:pPr>
            <w:r>
              <w:rPr>
                <w:color w:val="000000"/>
                <w:sz w:val="21"/>
              </w:rPr>
              <w:t>3、拉拔速度：可自主选择力控制速度或位移控制速度，多级可调，且须可选5mm/min；</w:t>
            </w:r>
          </w:p>
          <w:p>
            <w:pPr>
              <w:jc w:val="both"/>
            </w:pPr>
            <w:r>
              <w:rPr>
                <w:color w:val="000000"/>
                <w:sz w:val="21"/>
              </w:rPr>
              <w:t>4、拉力精度：≤1% 满量程；</w:t>
            </w:r>
          </w:p>
          <w:p>
            <w:pPr>
              <w:jc w:val="both"/>
            </w:pPr>
            <w:r>
              <w:rPr>
                <w:color w:val="000000"/>
                <w:sz w:val="21"/>
              </w:rPr>
              <w:t>5、压力分辨率：≤0.01MPa；</w:t>
            </w:r>
          </w:p>
        </w:tc>
      </w:tr>
      <w:tr>
        <w:tc>
          <w:tcPr>
            <w:tcW w:type="dxa" w:w="2076"/>
          </w:tcPr>
          <w:p/>
        </w:tc>
        <w:tc>
          <w:tcPr>
            <w:tcW w:type="dxa" w:w="415"/>
          </w:tcPr>
          <w:p>
            <w:r>
              <w:rPr/>
              <w:t>2</w:t>
            </w:r>
          </w:p>
        </w:tc>
        <w:tc>
          <w:tcPr>
            <w:tcW w:type="dxa" w:w="5814"/>
          </w:tcPr>
          <w:p>
            <w:pPr>
              <w:jc w:val="both"/>
            </w:pPr>
            <w:r>
              <w:rPr>
                <w:color w:val="000000"/>
                <w:sz w:val="21"/>
              </w:rPr>
              <w:t>6、配套多种锭子（试块）：40×40mm和50×50mm各6个，45×95mm和100×100mm各3个；</w:t>
            </w:r>
          </w:p>
          <w:p>
            <w:pPr>
              <w:jc w:val="both"/>
            </w:pPr>
            <w:r>
              <w:rPr>
                <w:color w:val="000000"/>
                <w:sz w:val="21"/>
              </w:rPr>
              <w:t>7、设备主机可充电使用，便于携带；</w:t>
            </w:r>
          </w:p>
          <w:p>
            <w:pPr>
              <w:jc w:val="both"/>
            </w:pPr>
            <w:r>
              <w:rPr>
                <w:color w:val="000000"/>
                <w:sz w:val="21"/>
              </w:rPr>
              <w:t>8、试验开始前可以选择对应的锭子（试块）尺寸以便设备自动计算结果值，试验过程显示对应的力值、强度值、拉力曲线图；</w:t>
            </w:r>
          </w:p>
          <w:p>
            <w:pPr>
              <w:jc w:val="both"/>
            </w:pPr>
            <w:r>
              <w:rPr>
                <w:color w:val="000000"/>
                <w:sz w:val="21"/>
              </w:rPr>
              <w:t>9、设备能自动复位；</w:t>
            </w:r>
          </w:p>
        </w:tc>
      </w:tr>
      <w:tr>
        <w:tc>
          <w:tcPr>
            <w:tcW w:type="dxa" w:w="2076"/>
          </w:tcPr>
          <w:p/>
        </w:tc>
        <w:tc>
          <w:tcPr>
            <w:tcW w:type="dxa" w:w="415"/>
          </w:tcPr>
          <w:p>
            <w:r>
              <w:rPr/>
              <w:t>3</w:t>
            </w:r>
          </w:p>
        </w:tc>
        <w:tc>
          <w:tcPr>
            <w:tcW w:type="dxa" w:w="5814"/>
          </w:tcPr>
          <w:p>
            <w:pPr>
              <w:jc w:val="both"/>
            </w:pPr>
            <w:r>
              <w:rPr>
                <w:color w:val="000000"/>
                <w:sz w:val="21"/>
              </w:rPr>
              <w:t>10、试验程序可存储、查询及导出试验数据、图表，数据可以切换多种单位显示（如MPa、kN、psi等）；</w:t>
            </w:r>
          </w:p>
          <w:p>
            <w:pPr>
              <w:jc w:val="both"/>
            </w:pPr>
            <w:r>
              <w:rPr>
                <w:color w:val="000000"/>
                <w:sz w:val="21"/>
              </w:rPr>
              <w:t>11、带有温湿度监测功能，方便记录试验现场环境温湿度。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紫外线箱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1、符合标准GB/T 16777-2008的技术要求；</w:t>
            </w:r>
          </w:p>
          <w:p>
            <w:pPr>
              <w:jc w:val="both"/>
            </w:pPr>
            <w:r>
              <w:rPr>
                <w:color w:val="000000"/>
                <w:sz w:val="21"/>
              </w:rPr>
              <w:t>2、光源：500W直形高压汞灯，灯管与箱底平行,试件与灯管间的距离可调：400～600mm；</w:t>
            </w:r>
          </w:p>
        </w:tc>
      </w:tr>
      <w:tr>
        <w:tc>
          <w:tcPr>
            <w:tcW w:type="dxa" w:w="2076"/>
          </w:tcPr>
          <w:p/>
        </w:tc>
        <w:tc>
          <w:tcPr>
            <w:tcW w:type="dxa" w:w="415"/>
          </w:tcPr>
          <w:p>
            <w:r>
              <w:rPr/>
              <w:t>2</w:t>
            </w:r>
          </w:p>
        </w:tc>
        <w:tc>
          <w:tcPr>
            <w:tcW w:type="dxa" w:w="5814"/>
          </w:tcPr>
          <w:p>
            <w:pPr>
              <w:jc w:val="both"/>
            </w:pPr>
            <w:r>
              <w:rPr>
                <w:color w:val="000000"/>
                <w:sz w:val="21"/>
              </w:rPr>
              <w:t>3、温度测量范围：室温～60℃；</w:t>
            </w:r>
          </w:p>
          <w:p>
            <w:pPr>
              <w:jc w:val="both"/>
            </w:pPr>
            <w:r>
              <w:rPr>
                <w:color w:val="000000"/>
                <w:sz w:val="21"/>
              </w:rPr>
              <w:t>4、温度偏差：±2℃；</w:t>
            </w:r>
          </w:p>
          <w:p>
            <w:pPr>
              <w:jc w:val="both"/>
            </w:pPr>
            <w:r>
              <w:rPr>
                <w:color w:val="000000"/>
                <w:sz w:val="21"/>
              </w:rPr>
              <w:t>5、辐照时间设定：0～9999小时，带停电记忆功能。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全自动沥青软化点测试仪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1、仪器用途：用于测定道路石油沥青、聚合物改性沥青的软化点、液体石油沥青、煤沥青蒸馏残留物或乳化沥青蒸发残留物、兼顾测定部分树脂类材料的软化点，符合标准GB/T 4507、JTG E20-2011等的要求。</w:t>
            </w:r>
          </w:p>
          <w:p>
            <w:pPr>
              <w:jc w:val="both"/>
            </w:pPr>
            <w:r>
              <w:rPr>
                <w:color w:val="000000"/>
                <w:sz w:val="21"/>
              </w:rPr>
              <w:t>2、测温范围</w:t>
            </w:r>
          </w:p>
          <w:p>
            <w:pPr>
              <w:jc w:val="both"/>
            </w:pPr>
            <w:r>
              <w:rPr>
                <w:color w:val="000000"/>
                <w:sz w:val="21"/>
              </w:rPr>
              <w:t>2.1 试样软化点在80℃以下时（用蒸馏水做加热介质），+5 ℃～+80℃；</w:t>
            </w:r>
          </w:p>
          <w:p>
            <w:pPr>
              <w:jc w:val="both"/>
            </w:pPr>
            <w:r>
              <w:rPr>
                <w:color w:val="000000"/>
                <w:sz w:val="21"/>
              </w:rPr>
              <w:t>2.2 试样软化点在80℃以上时（用甘油做加热介质），+32℃～+160℃；</w:t>
            </w:r>
          </w:p>
        </w:tc>
      </w:tr>
      <w:tr>
        <w:tc>
          <w:tcPr>
            <w:tcW w:type="dxa" w:w="2076"/>
          </w:tcPr>
          <w:p/>
        </w:tc>
        <w:tc>
          <w:tcPr>
            <w:tcW w:type="dxa" w:w="415"/>
          </w:tcPr>
          <w:p>
            <w:r>
              <w:rPr/>
              <w:t>2</w:t>
            </w:r>
          </w:p>
        </w:tc>
        <w:tc>
          <w:tcPr>
            <w:tcW w:type="dxa" w:w="5814"/>
          </w:tcPr>
          <w:p>
            <w:pPr>
              <w:jc w:val="both"/>
            </w:pPr>
            <w:r>
              <w:rPr>
                <w:color w:val="000000"/>
                <w:sz w:val="21"/>
              </w:rPr>
              <w:t>3、升温速率：试验开始三分钟后自动调整至（5±0.5）℃/min；</w:t>
            </w:r>
          </w:p>
          <w:p>
            <w:pPr>
              <w:jc w:val="both"/>
            </w:pPr>
            <w:r>
              <w:rPr>
                <w:color w:val="000000"/>
                <w:sz w:val="21"/>
              </w:rPr>
              <w:t>4、介质搅拌：可搅拌，搅拌速度为(0～300)转/分钟（可调）；</w:t>
            </w:r>
          </w:p>
          <w:p>
            <w:pPr>
              <w:jc w:val="both"/>
            </w:pPr>
            <w:r>
              <w:rPr>
                <w:color w:val="000000"/>
                <w:sz w:val="21"/>
              </w:rPr>
              <w:t>5、温度分辨率：0.1℃；</w:t>
            </w:r>
          </w:p>
          <w:p>
            <w:pPr>
              <w:jc w:val="both"/>
            </w:pPr>
            <w:r>
              <w:rPr>
                <w:color w:val="000000"/>
                <w:sz w:val="21"/>
              </w:rPr>
              <w:t>6、每次试验可同时测试两个试样以上。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布氏粘度计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1、仪器用途：用于测量牛顿型液体的绝对粘度和非牛顿型液体的表观粘度,可用于对沥青、热熔胶、石蜡、高聚物等各种流体粘度的测量。符合标准：JTG E20-2011、HG/T 3660等的要求；</w:t>
            </w:r>
          </w:p>
          <w:p>
            <w:pPr>
              <w:jc w:val="both"/>
            </w:pPr>
            <w:r>
              <w:rPr>
                <w:color w:val="000000"/>
                <w:sz w:val="21"/>
              </w:rPr>
              <w:t>2、测量范围：100mPa·s～（2×10</w:t>
            </w:r>
            <w:r>
              <w:rPr>
                <w:color w:val="000000"/>
                <w:sz w:val="21"/>
                <w:vertAlign w:val="superscript"/>
              </w:rPr>
              <w:t>5</w:t>
            </w:r>
            <w:r>
              <w:rPr>
                <w:color w:val="000000"/>
                <w:sz w:val="21"/>
              </w:rPr>
              <w:t>）</w:t>
            </w:r>
            <w:r>
              <w:rPr>
                <w:color w:val="000000"/>
                <w:sz w:val="21"/>
              </w:rPr>
              <w:t>mPa·s；</w:t>
            </w:r>
          </w:p>
          <w:p>
            <w:pPr>
              <w:jc w:val="both"/>
            </w:pPr>
            <w:r>
              <w:rPr>
                <w:color w:val="000000"/>
                <w:sz w:val="21"/>
              </w:rPr>
              <w:t>3、四种转子规格：21号、27号、28号、29号；</w:t>
            </w:r>
          </w:p>
        </w:tc>
      </w:tr>
      <w:tr>
        <w:tc>
          <w:tcPr>
            <w:tcW w:type="dxa" w:w="2076"/>
          </w:tcPr>
          <w:p/>
        </w:tc>
        <w:tc>
          <w:tcPr>
            <w:tcW w:type="dxa" w:w="415"/>
          </w:tcPr>
          <w:p>
            <w:r>
              <w:rPr/>
              <w:t>2</w:t>
            </w:r>
          </w:p>
        </w:tc>
        <w:tc>
          <w:tcPr>
            <w:tcW w:type="dxa" w:w="5814"/>
          </w:tcPr>
          <w:p>
            <w:pPr>
              <w:jc w:val="both"/>
            </w:pPr>
            <w:r>
              <w:rPr>
                <w:color w:val="000000"/>
                <w:sz w:val="21"/>
              </w:rPr>
              <w:t>4、转子转速：(5、10、20、50)r/min四档；</w:t>
            </w:r>
          </w:p>
          <w:p>
            <w:pPr>
              <w:jc w:val="both"/>
            </w:pPr>
            <w:r>
              <w:rPr>
                <w:color w:val="000000"/>
                <w:sz w:val="21"/>
              </w:rPr>
              <w:t>5、测量精度：±1.0%(满量程)，重复性±0.2%(满量程)；</w:t>
            </w:r>
          </w:p>
        </w:tc>
      </w:tr>
      <w:tr>
        <w:tc>
          <w:tcPr>
            <w:tcW w:type="dxa" w:w="2076"/>
          </w:tcPr>
          <w:p/>
        </w:tc>
        <w:tc>
          <w:tcPr>
            <w:tcW w:type="dxa" w:w="415"/>
          </w:tcPr>
          <w:p>
            <w:r>
              <w:rPr/>
              <w:t>3</w:t>
            </w:r>
          </w:p>
        </w:tc>
        <w:tc>
          <w:tcPr>
            <w:tcW w:type="dxa" w:w="5814"/>
          </w:tcPr>
          <w:p>
            <w:pPr>
              <w:jc w:val="both"/>
            </w:pPr>
            <w:r>
              <w:rPr>
                <w:color w:val="000000"/>
                <w:sz w:val="21"/>
              </w:rPr>
              <w:t>6、控温范围：45℃～200℃；</w:t>
            </w:r>
          </w:p>
          <w:p>
            <w:pPr>
              <w:jc w:val="both"/>
            </w:pPr>
            <w:r>
              <w:rPr>
                <w:color w:val="000000"/>
                <w:sz w:val="21"/>
              </w:rPr>
              <w:t>7、控温精度：±0.1℃；</w:t>
            </w:r>
          </w:p>
          <w:p>
            <w:pPr>
              <w:jc w:val="both"/>
            </w:pPr>
            <w:r>
              <w:rPr>
                <w:color w:val="000000"/>
                <w:sz w:val="21"/>
              </w:rPr>
              <w:t>8、盛样筒容积：20ml。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电控淋水装置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1、依据JC/T 1024—2019《墙体饰面砂浆》标准要求制作，具有定时加热加湿喷淋功能；</w:t>
            </w:r>
          </w:p>
          <w:p>
            <w:pPr>
              <w:jc w:val="both"/>
            </w:pPr>
            <w:r>
              <w:rPr>
                <w:color w:val="000000"/>
                <w:sz w:val="21"/>
              </w:rPr>
              <w:t>2、该装置中可能接触到水的零部件均需采用防生锈材料制作；</w:t>
            </w:r>
          </w:p>
        </w:tc>
      </w:tr>
      <w:tr>
        <w:tc>
          <w:tcPr>
            <w:tcW w:type="dxa" w:w="2076"/>
          </w:tcPr>
          <w:p/>
        </w:tc>
        <w:tc>
          <w:tcPr>
            <w:tcW w:type="dxa" w:w="415"/>
          </w:tcPr>
          <w:p>
            <w:r>
              <w:rPr/>
              <w:t>2</w:t>
            </w:r>
          </w:p>
        </w:tc>
        <w:tc>
          <w:tcPr>
            <w:tcW w:type="dxa" w:w="5814"/>
          </w:tcPr>
          <w:p>
            <w:pPr>
              <w:jc w:val="both"/>
            </w:pPr>
            <w:r>
              <w:rPr>
                <w:color w:val="000000"/>
                <w:sz w:val="21"/>
              </w:rPr>
              <w:t>3、技术要求：连接水管及淋水管内径均为20mm，连接水管总长500mm，淋水管两端封闭，侧面开设两个将水喷淋到试件上的淋水孔，淋水孔水平间距200mm，淋水孔与连接水管中心间距100mm，淋水孔尺寸直径φ1.0mm，试件架与水平面成60°，淋水方向与试件表面成60°，调节试件架位置，使淋水孔与试件表面的垂直距离约150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水-紫外线辐照箱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1、仪器用途：用于建筑密封材料老化试验，可满足标准GB/T 14683、GB 16776、JC/T 485、GB/T 29755-2013、JC/T882-2001、JC/T884-2001等对紫外线辐照条件的要求。</w:t>
            </w:r>
          </w:p>
          <w:p>
            <w:pPr>
              <w:jc w:val="both"/>
            </w:pPr>
            <w:r>
              <w:rPr>
                <w:color w:val="000000"/>
                <w:sz w:val="21"/>
              </w:rPr>
              <w:t>2、高压汞灯功率：不小于300W；</w:t>
            </w:r>
          </w:p>
        </w:tc>
      </w:tr>
      <w:tr>
        <w:tc>
          <w:tcPr>
            <w:tcW w:type="dxa" w:w="2076"/>
          </w:tcPr>
          <w:p/>
        </w:tc>
        <w:tc>
          <w:tcPr>
            <w:tcW w:type="dxa" w:w="415"/>
          </w:tcPr>
          <w:p>
            <w:r>
              <w:rPr/>
              <w:t>2</w:t>
            </w:r>
          </w:p>
        </w:tc>
        <w:tc>
          <w:tcPr>
            <w:tcW w:type="dxa" w:w="5814"/>
          </w:tcPr>
          <w:p>
            <w:pPr>
              <w:jc w:val="both"/>
            </w:pPr>
            <w:r>
              <w:rPr>
                <w:color w:val="000000"/>
                <w:sz w:val="21"/>
              </w:rPr>
              <w:t>3、温度测量范围：室温～65℃；</w:t>
            </w:r>
          </w:p>
          <w:p>
            <w:pPr>
              <w:jc w:val="both"/>
            </w:pPr>
            <w:r>
              <w:rPr>
                <w:color w:val="000000"/>
                <w:sz w:val="21"/>
              </w:rPr>
              <w:t>4、温度偏差：±2℃；</w:t>
            </w:r>
          </w:p>
          <w:p>
            <w:pPr>
              <w:jc w:val="both"/>
            </w:pPr>
            <w:r>
              <w:rPr>
                <w:color w:val="000000"/>
                <w:sz w:val="21"/>
              </w:rPr>
              <w:t>5、辐照时间设定：0～999小时；</w:t>
            </w:r>
          </w:p>
        </w:tc>
      </w:tr>
      <w:tr>
        <w:tc>
          <w:tcPr>
            <w:tcW w:type="dxa" w:w="2076"/>
          </w:tcPr>
          <w:p/>
        </w:tc>
        <w:tc>
          <w:tcPr>
            <w:tcW w:type="dxa" w:w="415"/>
          </w:tcPr>
          <w:p>
            <w:r>
              <w:rPr/>
              <w:t>3</w:t>
            </w:r>
          </w:p>
        </w:tc>
        <w:tc>
          <w:tcPr>
            <w:tcW w:type="dxa" w:w="5814"/>
          </w:tcPr>
          <w:p>
            <w:pPr>
              <w:jc w:val="both"/>
            </w:pPr>
            <w:r>
              <w:rPr>
                <w:color w:val="000000"/>
                <w:sz w:val="21"/>
              </w:rPr>
              <w:t>6、加热器功率：不小于600W；</w:t>
            </w:r>
          </w:p>
          <w:p>
            <w:pPr>
              <w:jc w:val="both"/>
            </w:pPr>
            <w:r>
              <w:rPr>
                <w:color w:val="000000"/>
                <w:sz w:val="21"/>
              </w:rPr>
              <w:t>7、水位控制精度：设定值±1mm；</w:t>
            </w:r>
          </w:p>
          <w:p>
            <w:pPr>
              <w:jc w:val="both"/>
            </w:pPr>
            <w:r>
              <w:rPr>
                <w:color w:val="000000"/>
                <w:sz w:val="21"/>
              </w:rPr>
              <w:t>8、灯与试件表面距离：250mm（可调节）。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漆膜膜耗仪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1、符合标准GB/T 1768-2006的要求；</w:t>
            </w:r>
          </w:p>
          <w:p>
            <w:pPr>
              <w:jc w:val="both"/>
            </w:pPr>
            <w:r>
              <w:rPr>
                <w:color w:val="000000"/>
                <w:sz w:val="21"/>
              </w:rPr>
              <w:t>2、工作盘可设置两种转速：（60±2）r/min、（72±2）r/min；</w:t>
            </w:r>
          </w:p>
          <w:p>
            <w:pPr>
              <w:jc w:val="both"/>
            </w:pPr>
            <w:r>
              <w:rPr>
                <w:color w:val="000000"/>
                <w:sz w:val="21"/>
              </w:rPr>
              <w:t>3、配置三种不同试验负荷:（500±5）g、（750±5）g、（1000±5）g；</w:t>
            </w:r>
          </w:p>
          <w:p>
            <w:pPr>
              <w:jc w:val="both"/>
            </w:pPr>
            <w:r>
              <w:rPr>
                <w:color w:val="000000"/>
                <w:sz w:val="21"/>
              </w:rPr>
              <w:t>4、适合试板尺寸:直径100mm，中间带孔的底材；</w:t>
            </w:r>
          </w:p>
        </w:tc>
      </w:tr>
      <w:tr>
        <w:tc>
          <w:tcPr>
            <w:tcW w:type="dxa" w:w="2076"/>
          </w:tcPr>
          <w:p/>
        </w:tc>
        <w:tc>
          <w:tcPr>
            <w:tcW w:type="dxa" w:w="415"/>
          </w:tcPr>
          <w:p>
            <w:r>
              <w:rPr/>
              <w:t>2</w:t>
            </w:r>
          </w:p>
        </w:tc>
        <w:tc>
          <w:tcPr>
            <w:tcW w:type="dxa" w:w="5814"/>
          </w:tcPr>
          <w:p>
            <w:pPr>
              <w:jc w:val="both"/>
            </w:pPr>
            <w:r>
              <w:rPr>
                <w:color w:val="000000"/>
                <w:sz w:val="21"/>
              </w:rPr>
              <w:t>5、校准板：厚度（0.8mm～1mm）；</w:t>
            </w:r>
          </w:p>
          <w:p>
            <w:pPr>
              <w:jc w:val="both"/>
            </w:pPr>
            <w:r>
              <w:rPr>
                <w:color w:val="000000"/>
                <w:sz w:val="21"/>
              </w:rPr>
              <w:t>6、橡胶砂轮尺寸:外径(51.6±0.1) mm；厚度( 12.7±0.1 ) mm；</w:t>
            </w:r>
          </w:p>
        </w:tc>
      </w:tr>
      <w:tr>
        <w:tc>
          <w:tcPr>
            <w:tcW w:type="dxa" w:w="2076"/>
          </w:tcPr>
          <w:p/>
        </w:tc>
        <w:tc>
          <w:tcPr>
            <w:tcW w:type="dxa" w:w="415"/>
          </w:tcPr>
          <w:p>
            <w:r>
              <w:rPr/>
              <w:t>3</w:t>
            </w:r>
          </w:p>
        </w:tc>
        <w:tc>
          <w:tcPr>
            <w:tcW w:type="dxa" w:w="5814"/>
          </w:tcPr>
          <w:p>
            <w:pPr>
              <w:jc w:val="both"/>
            </w:pPr>
            <w:r>
              <w:rPr>
                <w:color w:val="000000"/>
                <w:sz w:val="21"/>
              </w:rPr>
              <w:t>7、记数器:记数范围0～9999次 ；</w:t>
            </w:r>
          </w:p>
          <w:p>
            <w:pPr>
              <w:jc w:val="both"/>
            </w:pPr>
            <w:r>
              <w:rPr>
                <w:color w:val="000000"/>
                <w:sz w:val="21"/>
              </w:rPr>
              <w:t>8、橡胶砂轮型号：CS-10、CS-17、CS-10F ；</w:t>
            </w:r>
          </w:p>
          <w:p>
            <w:pPr>
              <w:jc w:val="both"/>
            </w:pPr>
            <w:r>
              <w:rPr>
                <w:color w:val="000000"/>
                <w:sz w:val="21"/>
              </w:rPr>
              <w:t>9、配套吸尘装置：两吸尘嘴轴线之间距离（75±2）mm，吸尘装置中气压比大气压低1.5～1.6kPa。</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全自动划圈法附着力测定仪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1、符合标准GB/T 1720-2020的要求；</w:t>
            </w:r>
          </w:p>
          <w:p>
            <w:pPr>
              <w:jc w:val="both"/>
            </w:pPr>
            <w:r>
              <w:rPr>
                <w:color w:val="000000"/>
                <w:sz w:val="21"/>
              </w:rPr>
              <w:t>2、试验台丝杆螺距：（1.5±0.1）mm；</w:t>
            </w:r>
          </w:p>
        </w:tc>
      </w:tr>
      <w:tr>
        <w:tc>
          <w:tcPr>
            <w:tcW w:type="dxa" w:w="2076"/>
          </w:tcPr>
          <w:p/>
        </w:tc>
        <w:tc>
          <w:tcPr>
            <w:tcW w:type="dxa" w:w="415"/>
          </w:tcPr>
          <w:p>
            <w:r>
              <w:rPr/>
              <w:t>2</w:t>
            </w:r>
          </w:p>
        </w:tc>
        <w:tc>
          <w:tcPr>
            <w:tcW w:type="dxa" w:w="5814"/>
          </w:tcPr>
          <w:p>
            <w:pPr>
              <w:jc w:val="both"/>
            </w:pPr>
            <w:r>
              <w:rPr>
                <w:color w:val="000000"/>
                <w:sz w:val="21"/>
              </w:rPr>
              <w:t>3、回转半径：R=（5.25±0.05）mm；</w:t>
            </w:r>
          </w:p>
          <w:p>
            <w:pPr>
              <w:jc w:val="both"/>
            </w:pPr>
            <w:r>
              <w:rPr>
                <w:color w:val="000000"/>
                <w:sz w:val="21"/>
              </w:rPr>
              <w:t>4、有效划圈长度：≥75mm；</w:t>
            </w:r>
          </w:p>
        </w:tc>
      </w:tr>
      <w:tr>
        <w:tc>
          <w:tcPr>
            <w:tcW w:type="dxa" w:w="2076"/>
          </w:tcPr>
          <w:p/>
        </w:tc>
        <w:tc>
          <w:tcPr>
            <w:tcW w:type="dxa" w:w="415"/>
          </w:tcPr>
          <w:p>
            <w:r>
              <w:rPr/>
              <w:t>3</w:t>
            </w:r>
          </w:p>
        </w:tc>
        <w:tc>
          <w:tcPr>
            <w:tcW w:type="dxa" w:w="5814"/>
          </w:tcPr>
          <w:p>
            <w:pPr>
              <w:jc w:val="both"/>
            </w:pPr>
            <w:r>
              <w:rPr>
                <w:color w:val="000000"/>
                <w:sz w:val="21"/>
              </w:rPr>
              <w:t>5、空载压力：（200±10）g；</w:t>
            </w:r>
          </w:p>
          <w:p>
            <w:pPr>
              <w:jc w:val="both"/>
            </w:pPr>
            <w:r>
              <w:rPr>
                <w:color w:val="000000"/>
                <w:sz w:val="21"/>
              </w:rPr>
              <w:t>6、电动划圈转速：80r/min；</w:t>
            </w:r>
          </w:p>
          <w:p>
            <w:pPr>
              <w:jc w:val="both"/>
            </w:pPr>
            <w:r>
              <w:rPr>
                <w:color w:val="000000"/>
                <w:sz w:val="21"/>
              </w:rPr>
              <w:t>7、可满足放置底材尺寸要求：120mm×50mm×(0.2～1.0)mm；</w:t>
            </w:r>
          </w:p>
        </w:tc>
      </w:tr>
      <w:tr>
        <w:tc>
          <w:tcPr>
            <w:tcW w:type="dxa" w:w="2076"/>
          </w:tcPr>
          <w:p/>
        </w:tc>
        <w:tc>
          <w:tcPr>
            <w:tcW w:type="dxa" w:w="415"/>
          </w:tcPr>
          <w:p>
            <w:r>
              <w:rPr/>
              <w:t>4</w:t>
            </w:r>
          </w:p>
        </w:tc>
        <w:tc>
          <w:tcPr>
            <w:tcW w:type="dxa" w:w="5814"/>
          </w:tcPr>
          <w:p>
            <w:pPr>
              <w:jc w:val="both"/>
            </w:pPr>
            <w:r>
              <w:rPr>
                <w:color w:val="000000"/>
                <w:sz w:val="21"/>
              </w:rPr>
              <w:t>8、配置要求：</w:t>
            </w:r>
          </w:p>
          <w:p>
            <w:pPr>
              <w:jc w:val="both"/>
            </w:pPr>
            <w:r>
              <w:rPr>
                <w:color w:val="000000"/>
                <w:sz w:val="21"/>
              </w:rPr>
              <w:t>8.1砝码重量及数量：（100±1）g*1个、（200±1）g*2个、（500±1）g*1个；</w:t>
            </w:r>
          </w:p>
          <w:p>
            <w:pPr>
              <w:jc w:val="both"/>
            </w:pPr>
            <w:r>
              <w:rPr>
                <w:color w:val="000000"/>
                <w:sz w:val="21"/>
              </w:rPr>
              <w:t>8.2配置划针1盒（不少于10根）：硬度为HRC 45～50的合金制作，针尖半径（0.05±0.01）mm；</w:t>
            </w:r>
          </w:p>
          <w:p>
            <w:pPr>
              <w:jc w:val="both"/>
            </w:pPr>
            <w:r>
              <w:rPr>
                <w:color w:val="000000"/>
                <w:sz w:val="21"/>
              </w:rPr>
              <w:t>8.3四倍放大镜1个。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手动喷砂机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1、喷料为钢丸；</w:t>
            </w:r>
          </w:p>
          <w:p>
            <w:pPr>
              <w:jc w:val="both"/>
            </w:pPr>
            <w:r>
              <w:rPr>
                <w:color w:val="000000"/>
                <w:sz w:val="21"/>
              </w:rPr>
              <w:t>2、配备除尘风机及相应装置，风机功率≥0.7kw；</w:t>
            </w:r>
          </w:p>
        </w:tc>
      </w:tr>
      <w:tr>
        <w:tc>
          <w:tcPr>
            <w:tcW w:type="dxa" w:w="2076"/>
          </w:tcPr>
          <w:p/>
        </w:tc>
        <w:tc>
          <w:tcPr>
            <w:tcW w:type="dxa" w:w="415"/>
          </w:tcPr>
          <w:p>
            <w:r>
              <w:rPr/>
              <w:t>2</w:t>
            </w:r>
          </w:p>
        </w:tc>
        <w:tc>
          <w:tcPr>
            <w:tcW w:type="dxa" w:w="5814"/>
          </w:tcPr>
          <w:p>
            <w:pPr>
              <w:jc w:val="both"/>
            </w:pPr>
            <w:r>
              <w:rPr>
                <w:color w:val="000000"/>
                <w:sz w:val="21"/>
              </w:rPr>
              <w:t>3、工作室内带有照明灯，尺寸不小于850mm×600mm×500mm；</w:t>
            </w:r>
          </w:p>
          <w:p>
            <w:pPr>
              <w:jc w:val="both"/>
            </w:pPr>
            <w:r>
              <w:rPr>
                <w:color w:val="000000"/>
                <w:sz w:val="21"/>
              </w:rPr>
              <w:t>4、工作室内含1支喷枪（铝合金带碳化硼喷嘴）、1个透视窗、2个手套孔（带加厚耐磨橡胶手套）；</w:t>
            </w:r>
          </w:p>
          <w:p>
            <w:pPr>
              <w:jc w:val="both"/>
            </w:pPr>
            <w:r>
              <w:rPr>
                <w:color w:val="000000"/>
                <w:sz w:val="21"/>
              </w:rPr>
              <w:t>5、透视窗玻璃应可方便拆卸更换；</w:t>
            </w:r>
          </w:p>
        </w:tc>
      </w:tr>
      <w:tr>
        <w:tc>
          <w:tcPr>
            <w:tcW w:type="dxa" w:w="2076"/>
          </w:tcPr>
          <w:p/>
        </w:tc>
        <w:tc>
          <w:tcPr>
            <w:tcW w:type="dxa" w:w="415"/>
          </w:tcPr>
          <w:p>
            <w:r>
              <w:rPr/>
              <w:t>3</w:t>
            </w:r>
          </w:p>
        </w:tc>
        <w:tc>
          <w:tcPr>
            <w:tcW w:type="dxa" w:w="5814"/>
          </w:tcPr>
          <w:p>
            <w:pPr>
              <w:jc w:val="both"/>
            </w:pPr>
            <w:r>
              <w:rPr>
                <w:color w:val="000000"/>
                <w:sz w:val="21"/>
              </w:rPr>
              <w:t>6、设备外壳由＞2.0mm的冷轧钢板焊接制成,机舱内加＞4mm 的橡胶以保护机器外壳；</w:t>
            </w:r>
          </w:p>
          <w:p>
            <w:pPr>
              <w:jc w:val="both"/>
            </w:pPr>
            <w:r>
              <w:rPr>
                <w:color w:val="000000"/>
                <w:sz w:val="21"/>
              </w:rPr>
              <w:t>7、压缩空气压力：＞6bar(kg/cm</w:t>
            </w:r>
            <w:r>
              <w:rPr>
                <w:color w:val="000000"/>
                <w:sz w:val="21"/>
                <w:vertAlign w:val="superscript"/>
              </w:rPr>
              <w:t>2</w:t>
            </w:r>
            <w:r>
              <w:rPr>
                <w:color w:val="000000"/>
                <w:sz w:val="21"/>
              </w:rPr>
              <w:t>)；</w:t>
            </w:r>
          </w:p>
          <w:p>
            <w:pPr>
              <w:jc w:val="both"/>
            </w:pPr>
            <w:r>
              <w:rPr>
                <w:color w:val="000000"/>
                <w:sz w:val="21"/>
              </w:rPr>
              <w:t>8、下砂斗1个，底部带橡胶塞，方便更换钢丸；</w:t>
            </w:r>
          </w:p>
          <w:p>
            <w:pPr>
              <w:jc w:val="both"/>
            </w:pPr>
            <w:r>
              <w:rPr>
                <w:color w:val="000000"/>
                <w:sz w:val="21"/>
              </w:rPr>
              <w:t>9、脚踏开关控制喷砂。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双摆硬度计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1、适合0.1mm～5.5mm等不同厚度试板的测试；</w:t>
            </w:r>
          </w:p>
          <w:p>
            <w:pPr>
              <w:jc w:val="both"/>
            </w:pPr>
            <w:r>
              <w:rPr>
                <w:color w:val="000000"/>
                <w:sz w:val="21"/>
              </w:rPr>
              <w:t>2、具备自动计数或计时功能，有两个光敏探头自动记录摆针偏转，并相应地在偏转低至 2°时自动停止试验；</w:t>
            </w:r>
          </w:p>
        </w:tc>
      </w:tr>
      <w:tr>
        <w:tc>
          <w:tcPr>
            <w:tcW w:type="dxa" w:w="2076"/>
          </w:tcPr>
          <w:p>
            <w:r>
              <w:rPr/>
              <w:t>▲</w:t>
            </w:r>
          </w:p>
        </w:tc>
        <w:tc>
          <w:tcPr>
            <w:tcW w:type="dxa" w:w="415"/>
          </w:tcPr>
          <w:p>
            <w:r>
              <w:rPr/>
              <w:t>2</w:t>
            </w:r>
          </w:p>
        </w:tc>
        <w:tc>
          <w:tcPr>
            <w:tcW w:type="dxa" w:w="5814"/>
          </w:tcPr>
          <w:p>
            <w:pPr>
              <w:jc w:val="both"/>
            </w:pPr>
            <w:r>
              <w:rPr>
                <w:color w:val="000000"/>
                <w:sz w:val="21"/>
              </w:rPr>
              <w:t>3、具有计时和计次功能，并可任意选择试验结果记录模式；</w:t>
            </w:r>
          </w:p>
        </w:tc>
      </w:tr>
      <w:tr>
        <w:tc>
          <w:tcPr>
            <w:tcW w:type="dxa" w:w="2076"/>
          </w:tcPr>
          <w:p/>
        </w:tc>
        <w:tc>
          <w:tcPr>
            <w:tcW w:type="dxa" w:w="415"/>
          </w:tcPr>
          <w:p>
            <w:r>
              <w:rPr/>
              <w:t>3</w:t>
            </w:r>
          </w:p>
        </w:tc>
        <w:tc>
          <w:tcPr>
            <w:tcW w:type="dxa" w:w="5814"/>
          </w:tcPr>
          <w:p>
            <w:pPr>
              <w:jc w:val="both"/>
            </w:pPr>
            <w:r>
              <w:rPr>
                <w:color w:val="000000"/>
                <w:sz w:val="21"/>
              </w:rPr>
              <w:t>4、摆杆总重量：120g±1g；</w:t>
            </w:r>
          </w:p>
          <w:p>
            <w:pPr>
              <w:jc w:val="both"/>
            </w:pPr>
            <w:r>
              <w:rPr>
                <w:color w:val="000000"/>
                <w:sz w:val="21"/>
              </w:rPr>
              <w:t>5、摆杆长度：500mm±1mm；</w:t>
            </w:r>
          </w:p>
          <w:p>
            <w:pPr>
              <w:jc w:val="both"/>
            </w:pPr>
            <w:r>
              <w:rPr>
                <w:color w:val="000000"/>
                <w:sz w:val="21"/>
              </w:rPr>
              <w:t>6、摆杆横杆下的两个钢珠直径：8mm；</w:t>
            </w:r>
          </w:p>
          <w:p>
            <w:pPr>
              <w:jc w:val="both"/>
            </w:pPr>
            <w:r>
              <w:rPr>
                <w:color w:val="000000"/>
                <w:sz w:val="21"/>
              </w:rPr>
              <w:t>7、记录摆动角度：5°～2°；</w:t>
            </w:r>
          </w:p>
          <w:p>
            <w:pPr>
              <w:jc w:val="both"/>
            </w:pPr>
            <w:r>
              <w:rPr>
                <w:color w:val="000000"/>
                <w:sz w:val="21"/>
              </w:rPr>
              <w:t>8、配有整体压铸有机玻璃门罩。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1、量程：≥500g；</w:t>
            </w:r>
          </w:p>
          <w:p>
            <w:pPr>
              <w:jc w:val="both"/>
            </w:pPr>
            <w:r>
              <w:rPr>
                <w:color w:val="000000"/>
                <w:sz w:val="21"/>
              </w:rPr>
              <w:t>2、精度：0.001g；</w:t>
            </w:r>
          </w:p>
          <w:p>
            <w:pPr>
              <w:jc w:val="both"/>
            </w:pPr>
            <w:r>
              <w:rPr>
                <w:color w:val="000000"/>
                <w:sz w:val="21"/>
              </w:rPr>
              <w:t>3、秤盘直径不小于9cm。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广东产品质量监督检验研究院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采购机构代理服务收费标准：按照委托协议协商标准。</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关于开展省级政府采购合同融资工作的通知》（粤财采购〔2020〕6号）等。 2、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 3、递交投标资料的法定代表人或授权代表须凭“健康码”绿码到达开标现场递交投标资料，否则由此产生的后果由投标人自行承担。</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广东华伦招标有限公司（http://www.gdhualun.com.cn/）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广东华伦招标有限公司（http://www.gdhualun.com.cn/）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广州市越秀区广仁路1号广仁大厦7楼（如采用邮寄形式提交，请提前跟我司工作人员联系，并同步将邮寄底单发送至我司邮箱）</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质检院国家涂料产品质检中心检测能力建设设备采购项目（二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采购包1（广东质检院国家涂料产品质检中心检测能力建设设备采购项目（二次））：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采购包1（广东质检院国家涂料产品质检中心检测能力建设设备采购项目（二次））：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r>
              <w:rPr/>
              <w:t>8</w:t>
            </w:r>
          </w:p>
        </w:tc>
        <w:tc>
          <w:tcPr>
            <w:tcW w:type="dxa" w:w="3178"/>
          </w:tcPr>
          <w:p>
            <w:r>
              <w:rPr/>
              <w:t>关于联合体投标</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采购包1（广东质检院国家涂料产品质检中心检测能力建设设备采购项目（二次））：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采购包1广东质检院国家涂料产品质检中心检测能力建设设备采购项目（二次）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重要技术参数响应情况 (27.0分)</w:t>
            </w:r>
          </w:p>
        </w:tc>
        <w:tc>
          <w:tcPr>
            <w:tcW w:type="dxa" w:w="5076"/>
          </w:tcPr>
          <w:p>
            <w:pPr>
              <w:jc w:val="left"/>
            </w:pPr>
            <w:r>
              <w:rPr/>
              <w:t>根据投标人所投产品对《第二章 采购需求》中“技术标准与要求”的重要技术参数条款（带“▲”号的条款）对应响应情况进行评审： 本项基础得分为27分，在此基础上，带“▲”号的重要技术参数条款（共9个）每出现一项不满足或负偏离，扣3分，最低分为0分。 备注：1.投标人须提供投标货物介绍资料印刷品（彩页），或使用说明书，或制造商技术参数确认函，或检测机构出具的检测报告等作为证明材料，并加盖投标人公章，投标人需清晰注明投标货物参数在“提供的证明资料”中所处的位置。投标文件内提供的证明材料中的技术参数描述与投标人在《技术和服务要求响应表》中的响应描述不一致时，以投标文件内提供的证明材料中的技术参数描述为准。 2.若存在“正偏离”的情形，投标人需对正偏离的情形进行说明并提供证明材料。</w:t>
            </w:r>
          </w:p>
        </w:tc>
      </w:tr>
      <w:tr>
        <w:tc>
          <w:tcPr>
            <w:tcW w:type="dxa" w:w="922"/>
            <w:gridSpan w:val="2"/>
            <w:vMerge/>
          </w:tcPr>
          <w:p/>
        </w:tc>
        <w:tc>
          <w:tcPr>
            <w:tcW w:type="dxa" w:w="2307"/>
          </w:tcPr>
          <w:p>
            <w:pPr>
              <w:jc w:val="left"/>
            </w:pPr>
            <w:r>
              <w:rPr/>
              <w:t>一般技术参数响应情况 (10.0分)</w:t>
            </w:r>
          </w:p>
        </w:tc>
        <w:tc>
          <w:tcPr>
            <w:tcW w:type="dxa" w:w="5076"/>
          </w:tcPr>
          <w:p>
            <w:pPr>
              <w:jc w:val="left"/>
            </w:pPr>
            <w:r>
              <w:rPr/>
              <w:t>根据投标人所投产品对《第二章 采购需求》中“技术标准与要求”的一般技术参数条款（非带“▲”号或“★”号的条款）对应响应情况进行评审： 1.全部满足或优于，得10分； 2.负偏离总数≤10项的，每出现一项负偏离，扣1分； 3.负偏离总数＞10项的，得0分。 备注：1.投标人须提供投标货物介绍资料印刷品（彩页），或使用说明书，或制造商技术参数确认函，或检测机构出具的检测报告等作为证明材料，并加盖投标人公章，投标人需清晰注明投标货物参数在“提供的证明资料”中所处的位置。投标文件内提供的证明材料中的技术参数描述与投标人在《技术和服务要求响应表》中的响应描述不一致时，以投标文件内提供的证明材料中的技术参数描述为准。 2.若存在“正偏离”的情形，投标人需对正偏离的情形进行说明并提供证明材料。</w:t>
            </w:r>
          </w:p>
        </w:tc>
      </w:tr>
      <w:tr>
        <w:tc>
          <w:tcPr>
            <w:tcW w:type="dxa" w:w="922"/>
            <w:gridSpan w:val="2"/>
            <w:vMerge/>
          </w:tcPr>
          <w:p/>
        </w:tc>
        <w:tc>
          <w:tcPr>
            <w:tcW w:type="dxa" w:w="2307"/>
          </w:tcPr>
          <w:p>
            <w:pPr>
              <w:jc w:val="left"/>
            </w:pPr>
            <w:r>
              <w:rPr/>
              <w:t>安装调试、验收方案 (7.0分)</w:t>
            </w:r>
            <w:r>
              <w:rPr/>
              <w:t>，（等次分值选择：</w:t>
            </w:r>
            <w:r>
              <w:rPr/>
              <w:t>0.0;</w:t>
            </w:r>
            <w:r>
              <w:rPr/>
              <w:t>1.0;</w:t>
            </w:r>
            <w:r>
              <w:rPr/>
              <w:t>4.0;</w:t>
            </w:r>
            <w:r>
              <w:rPr/>
              <w:t>7.0;</w:t>
            </w:r>
            <w:r>
              <w:rPr/>
              <w:t>）</w:t>
            </w:r>
          </w:p>
        </w:tc>
        <w:tc>
          <w:tcPr>
            <w:tcW w:type="dxa" w:w="5076"/>
          </w:tcPr>
          <w:p>
            <w:pPr>
              <w:jc w:val="left"/>
            </w:pPr>
            <w:r>
              <w:rPr/>
              <w:t>根据投标人提供的安装调试验收方案（包括安装调试人员安排、安装调试计划流程、验收标准、验收保障等）进行评审： 1.有提供安装调试验收方案，内容详细，流程合理，完全符合采购人安装调试验收要求，得7分； 2.有提供安装调试验收方案，但方案简单、流程基本合理，基本符合采购人安装调试验收要求，得4分； 3.有提供安装调试验收方案，但方案粗略，或流程不清晰或不合理，或未按采购人安装调试验收要求拟写，得1分； 4.无提供或其他情况，得0分。</w:t>
            </w:r>
          </w:p>
        </w:tc>
      </w:tr>
      <w:tr>
        <w:tc>
          <w:tcPr>
            <w:tcW w:type="dxa" w:w="922"/>
            <w:gridSpan w:val="2"/>
            <w:vMerge/>
          </w:tcPr>
          <w:p/>
        </w:tc>
        <w:tc>
          <w:tcPr>
            <w:tcW w:type="dxa" w:w="2307"/>
          </w:tcPr>
          <w:p>
            <w:pPr>
              <w:jc w:val="left"/>
            </w:pPr>
            <w:r>
              <w:rPr/>
              <w:t>质量保障措施 (6.0分)</w:t>
            </w:r>
            <w:r>
              <w:rPr/>
              <w:t>，（等次分值选择：</w:t>
            </w:r>
            <w:r>
              <w:rPr/>
              <w:t>0.0;</w:t>
            </w:r>
            <w:r>
              <w:rPr/>
              <w:t>1.0;</w:t>
            </w:r>
            <w:r>
              <w:rPr/>
              <w:t>4.0;</w:t>
            </w:r>
            <w:r>
              <w:rPr/>
              <w:t>6.0;</w:t>
            </w:r>
            <w:r>
              <w:rPr/>
              <w:t>）</w:t>
            </w:r>
          </w:p>
        </w:tc>
        <w:tc>
          <w:tcPr>
            <w:tcW w:type="dxa" w:w="5076"/>
          </w:tcPr>
          <w:p>
            <w:pPr>
              <w:jc w:val="left"/>
            </w:pPr>
            <w:r>
              <w:rPr/>
              <w:t>根据投标人提供的质量保证措施（包括但不限于产品质量保障方案、运输过程质量保证措施、质量保障承诺等）进行评审： 1.有提供质量保证措施，内容完整、详细、科学合理，得6分； 2.有提供质量保证措施，但内容有缺漏或有一定科学性或合理性，得4分； 3.有提供质量保证措施，但内容不科学或不合理，得1分； 4.无提供或其他情况，得0分。</w:t>
            </w:r>
          </w:p>
        </w:tc>
      </w:tr>
      <w:tr>
        <w:tc>
          <w:tcPr>
            <w:tcW w:type="dxa" w:w="922"/>
            <w:gridSpan w:val="2"/>
            <w:vMerge w:val="restart"/>
          </w:tcPr>
          <w:p>
            <w:pPr>
              <w:jc w:val="center"/>
            </w:pPr>
            <w:r>
              <w:rPr/>
              <w:t>商务部分</w:t>
            </w:r>
          </w:p>
        </w:tc>
        <w:tc>
          <w:tcPr>
            <w:tcW w:type="dxa" w:w="2307"/>
          </w:tcPr>
          <w:p>
            <w:pPr>
              <w:jc w:val="left"/>
            </w:pPr>
            <w:r>
              <w:rPr/>
              <w:t>同类项目业绩 (6.0分)</w:t>
            </w:r>
            <w:r>
              <w:rPr/>
              <w:t>，（等次分值选择：</w:t>
            </w:r>
            <w:r>
              <w:rPr/>
              <w:t>0.0;</w:t>
            </w:r>
            <w:r>
              <w:rPr/>
              <w:t>1.0;</w:t>
            </w:r>
            <w:r>
              <w:rPr/>
              <w:t>2.0;</w:t>
            </w:r>
            <w:r>
              <w:rPr/>
              <w:t>3.0;</w:t>
            </w:r>
            <w:r>
              <w:rPr/>
              <w:t>4.0;</w:t>
            </w:r>
            <w:r>
              <w:rPr/>
              <w:t>5.0;</w:t>
            </w:r>
            <w:r>
              <w:rPr/>
              <w:t>6.0;</w:t>
            </w:r>
            <w:r>
              <w:rPr/>
              <w:t>）</w:t>
            </w:r>
          </w:p>
        </w:tc>
        <w:tc>
          <w:tcPr>
            <w:tcW w:type="dxa" w:w="5076"/>
          </w:tcPr>
          <w:p>
            <w:pPr>
              <w:jc w:val="left"/>
            </w:pPr>
            <w:r>
              <w:rPr/>
              <w:t>自2019年1月1日至（以合同签订日期为准），以投标人名义独立承接的同类项目业绩，每提供1份业绩证明材料得1分，最高得6分。 注：须提供上述业绩对应的合同书复印件并加盖投标人公章。</w:t>
            </w:r>
          </w:p>
        </w:tc>
      </w:tr>
      <w:tr>
        <w:tc>
          <w:tcPr>
            <w:tcW w:type="dxa" w:w="922"/>
            <w:gridSpan w:val="2"/>
            <w:vMerge/>
          </w:tcPr>
          <w:p/>
        </w:tc>
        <w:tc>
          <w:tcPr>
            <w:tcW w:type="dxa" w:w="2307"/>
          </w:tcPr>
          <w:p>
            <w:pPr>
              <w:jc w:val="left"/>
            </w:pPr>
            <w:r>
              <w:rPr/>
              <w:t>用户评价 (6.0分)</w:t>
            </w:r>
            <w:r>
              <w:rPr/>
              <w:t>，（等次分值选择：</w:t>
            </w:r>
            <w:r>
              <w:rPr/>
              <w:t>0.0;</w:t>
            </w:r>
            <w:r>
              <w:rPr/>
              <w:t>1.0;</w:t>
            </w:r>
            <w:r>
              <w:rPr/>
              <w:t>2.0;</w:t>
            </w:r>
            <w:r>
              <w:rPr/>
              <w:t>3.0;</w:t>
            </w:r>
            <w:r>
              <w:rPr/>
              <w:t>4.0;</w:t>
            </w:r>
            <w:r>
              <w:rPr/>
              <w:t>5.0;</w:t>
            </w:r>
            <w:r>
              <w:rPr/>
              <w:t>6.0;</w:t>
            </w:r>
            <w:r>
              <w:rPr/>
              <w:t>）</w:t>
            </w:r>
          </w:p>
        </w:tc>
        <w:tc>
          <w:tcPr>
            <w:tcW w:type="dxa" w:w="5076"/>
          </w:tcPr>
          <w:p>
            <w:pPr>
              <w:jc w:val="left"/>
            </w:pPr>
            <w:r>
              <w:rPr/>
              <w:t>提供上述同类项目业绩对应类同于“好”或“满意”或“优秀”或85分（含）以上或相当于优的业主（或用户）单位的满意度评价或表扬信，每提供一份得1分，最高得6分。 注：提供满意度评价或表扬信证明材料的复印件并加盖投标人公章，不提供不得分；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根据投标人提供的售后服务方案（包括但不限于售后服务承诺、便利性、保障措施、保修期、备品备件价格、维护保养及应急维修时间安排等）进行评审： 1.有提供售后服务方案，方案内容完整、详细、科学合理，得5分； 2.有提供售后服务方案，但方案内容有缺漏或有一定科学性或合理性，得3分； 3.有提供售后服务方案，但方案内容不科学或不合理，得1分； 4.无提供或其他情况，得0分。</w:t>
            </w:r>
          </w:p>
        </w:tc>
      </w:tr>
      <w:tr>
        <w:tc>
          <w:tcPr>
            <w:tcW w:type="dxa" w:w="922"/>
            <w:gridSpan w:val="2"/>
            <w:vMerge/>
          </w:tcPr>
          <w:p/>
        </w:tc>
        <w:tc>
          <w:tcPr>
            <w:tcW w:type="dxa" w:w="2307"/>
          </w:tcPr>
          <w:p>
            <w:pPr>
              <w:jc w:val="left"/>
            </w:pPr>
            <w:r>
              <w:rPr/>
              <w:t>投标人综合实力 (3.0分)</w:t>
            </w:r>
            <w:r>
              <w:rPr/>
              <w:t>，（等次分值选择：</w:t>
            </w:r>
            <w:r>
              <w:rPr/>
              <w:t>0.0;</w:t>
            </w:r>
            <w:r>
              <w:rPr/>
              <w:t>1.0;</w:t>
            </w:r>
            <w:r>
              <w:rPr/>
              <w:t>2.0;</w:t>
            </w:r>
            <w:r>
              <w:rPr/>
              <w:t>3.0;</w:t>
            </w:r>
            <w:r>
              <w:rPr/>
              <w:t>）</w:t>
            </w:r>
          </w:p>
        </w:tc>
        <w:tc>
          <w:tcPr>
            <w:tcW w:type="dxa" w:w="5076"/>
          </w:tcPr>
          <w:p>
            <w:pPr>
              <w:jc w:val="left"/>
            </w:pPr>
            <w:r>
              <w:rPr/>
              <w:t>投标人具有： 1.质量管理体系认证证书； 2.环境管理体系认证证书； 3.职业健康安全管理体系认证证书； 每提供上述一类有效证书得1分，最高得3分。 注：须提供上述相关有效证书的复印件并加盖投标人公章。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color w:val="000000"/>
          <w:sz w:val="21"/>
        </w:rPr>
        <w:t>甲</w:t>
      </w:r>
      <w:r>
        <w:rPr>
          <w:color w:val="000000"/>
          <w:sz w:val="21"/>
        </w:rPr>
        <w:t xml:space="preserve">  </w:t>
      </w:r>
      <w:r>
        <w:rPr>
          <w:color w:val="000000"/>
          <w:sz w:val="21"/>
        </w:rPr>
        <w:t>方：</w:t>
      </w:r>
      <w:r>
        <w:rPr>
          <w:color w:val="000000"/>
          <w:sz w:val="21"/>
          <w:u w:val="single"/>
        </w:rPr>
        <w:t xml:space="preserve">    </w:t>
      </w:r>
      <w:r>
        <w:rPr>
          <w:color w:val="000000"/>
          <w:sz w:val="21"/>
          <w:u w:val="single"/>
        </w:rPr>
        <w:t>广东产品质量监督检验研究院</w:t>
      </w:r>
      <w:r>
        <w:rPr>
          <w:color w:val="000000"/>
          <w:sz w:val="21"/>
          <w:u w:val="single"/>
        </w:rPr>
        <w:t xml:space="preserve">    </w:t>
      </w:r>
    </w:p>
    <w:p>
      <w:pPr>
        <w:jc w:val="both"/>
      </w:pPr>
      <w:r>
        <w:rPr>
          <w:color w:val="000000"/>
          <w:sz w:val="21"/>
        </w:rPr>
        <w:t>电</w:t>
      </w:r>
      <w:r>
        <w:rPr>
          <w:color w:val="000000"/>
          <w:sz w:val="21"/>
        </w:rPr>
        <w:t xml:space="preserve">  </w:t>
      </w:r>
      <w:r>
        <w:rPr>
          <w:color w:val="000000"/>
          <w:sz w:val="21"/>
        </w:rPr>
        <w:t>话：</w:t>
      </w:r>
      <w:r>
        <w:rPr>
          <w:sz w:val="21"/>
          <w:u w:val="single"/>
        </w:rPr>
        <w:t xml:space="preserve">                                   </w:t>
      </w:r>
    </w:p>
    <w:p>
      <w:pPr>
        <w:jc w:val="both"/>
      </w:pPr>
      <w:r>
        <w:rPr>
          <w:color w:val="000000"/>
          <w:sz w:val="21"/>
        </w:rPr>
        <w:t>传</w:t>
      </w:r>
      <w:r>
        <w:rPr>
          <w:color w:val="000000"/>
          <w:sz w:val="21"/>
        </w:rPr>
        <w:t xml:space="preserve">  </w:t>
      </w:r>
      <w:r>
        <w:rPr>
          <w:color w:val="000000"/>
          <w:sz w:val="21"/>
        </w:rPr>
        <w:t>真：</w:t>
      </w:r>
      <w:r>
        <w:rPr>
          <w:sz w:val="21"/>
          <w:u w:val="single"/>
        </w:rPr>
        <w:t xml:space="preserve">                                   </w:t>
      </w:r>
    </w:p>
    <w:p>
      <w:pPr>
        <w:jc w:val="both"/>
      </w:pPr>
      <w:r>
        <w:rPr>
          <w:color w:val="000000"/>
          <w:sz w:val="21"/>
        </w:rPr>
        <w:t>地</w:t>
      </w:r>
      <w:r>
        <w:rPr>
          <w:color w:val="000000"/>
          <w:sz w:val="21"/>
        </w:rPr>
        <w:t xml:space="preserve">  </w:t>
      </w:r>
      <w:r>
        <w:rPr>
          <w:color w:val="000000"/>
          <w:sz w:val="21"/>
        </w:rPr>
        <w:t>址：</w:t>
      </w:r>
      <w:r>
        <w:rPr>
          <w:sz w:val="21"/>
          <w:u w:val="single"/>
        </w:rPr>
        <w:t xml:space="preserve">                                   </w:t>
      </w:r>
    </w:p>
    <w:p>
      <w:pPr>
        <w:jc w:val="both"/>
      </w:pPr>
    </w:p>
    <w:p>
      <w:pPr>
        <w:jc w:val="both"/>
      </w:pPr>
      <w:r>
        <w:rPr>
          <w:color w:val="000000"/>
          <w:sz w:val="21"/>
        </w:rPr>
        <w:t>乙</w:t>
      </w:r>
      <w:r>
        <w:rPr>
          <w:color w:val="000000"/>
          <w:sz w:val="21"/>
        </w:rPr>
        <w:t xml:space="preserve">  </w:t>
      </w:r>
      <w:r>
        <w:rPr>
          <w:color w:val="000000"/>
          <w:sz w:val="21"/>
        </w:rPr>
        <w:t>方：</w:t>
      </w:r>
      <w:r>
        <w:rPr>
          <w:sz w:val="21"/>
          <w:u w:val="single"/>
        </w:rPr>
        <w:t xml:space="preserve">                                   </w:t>
      </w:r>
    </w:p>
    <w:p>
      <w:pPr>
        <w:jc w:val="both"/>
      </w:pPr>
      <w:r>
        <w:rPr>
          <w:color w:val="000000"/>
          <w:sz w:val="21"/>
        </w:rPr>
        <w:t>电</w:t>
      </w:r>
      <w:r>
        <w:rPr>
          <w:color w:val="000000"/>
          <w:sz w:val="21"/>
        </w:rPr>
        <w:t xml:space="preserve">  </w:t>
      </w:r>
      <w:r>
        <w:rPr>
          <w:color w:val="000000"/>
          <w:sz w:val="21"/>
        </w:rPr>
        <w:t>话：</w:t>
      </w:r>
      <w:r>
        <w:rPr>
          <w:sz w:val="21"/>
          <w:u w:val="single"/>
        </w:rPr>
        <w:t xml:space="preserve">                                   </w:t>
      </w:r>
    </w:p>
    <w:p>
      <w:pPr>
        <w:jc w:val="both"/>
      </w:pPr>
      <w:r>
        <w:rPr>
          <w:color w:val="000000"/>
          <w:sz w:val="21"/>
        </w:rPr>
        <w:t>传</w:t>
      </w:r>
      <w:r>
        <w:rPr>
          <w:color w:val="000000"/>
          <w:sz w:val="21"/>
        </w:rPr>
        <w:t xml:space="preserve">  </w:t>
      </w:r>
      <w:r>
        <w:rPr>
          <w:color w:val="000000"/>
          <w:sz w:val="21"/>
        </w:rPr>
        <w:t>真：</w:t>
      </w:r>
      <w:r>
        <w:rPr>
          <w:sz w:val="21"/>
          <w:u w:val="single"/>
        </w:rPr>
        <w:t xml:space="preserve">                                   </w:t>
      </w:r>
    </w:p>
    <w:p>
      <w:pPr>
        <w:jc w:val="both"/>
      </w:pPr>
      <w:r>
        <w:rPr>
          <w:color w:val="000000"/>
          <w:sz w:val="21"/>
        </w:rPr>
        <w:t>地</w:t>
      </w:r>
      <w:r>
        <w:rPr>
          <w:color w:val="000000"/>
          <w:sz w:val="21"/>
        </w:rPr>
        <w:t xml:space="preserve">  </w:t>
      </w:r>
      <w:r>
        <w:rPr>
          <w:color w:val="000000"/>
          <w:sz w:val="21"/>
        </w:rPr>
        <w:t>址：</w:t>
      </w:r>
      <w:r>
        <w:rPr>
          <w:sz w:val="21"/>
          <w:u w:val="single"/>
        </w:rPr>
        <w:t xml:space="preserve">                                   </w:t>
      </w:r>
    </w:p>
    <w:p>
      <w:pPr>
        <w:jc w:val="both"/>
      </w:pPr>
    </w:p>
    <w:p>
      <w:pPr>
        <w:jc w:val="both"/>
      </w:pPr>
    </w:p>
    <w:p>
      <w:pPr>
        <w:ind w:firstLine="420"/>
        <w:jc w:val="both"/>
      </w:pPr>
      <w:r>
        <w:rPr>
          <w:color w:val="000000"/>
          <w:sz w:val="21"/>
        </w:rPr>
        <w:t>根据</w:t>
      </w:r>
      <w:r>
        <w:rPr>
          <w:b/>
          <w:sz w:val="21"/>
          <w:u w:val="single"/>
        </w:rPr>
        <w:t xml:space="preserve">         </w:t>
      </w:r>
      <w:r>
        <w:rPr>
          <w:b/>
          <w:color w:val="000000"/>
          <w:sz w:val="21"/>
        </w:rPr>
        <w:t>（项目编号：</w:t>
      </w:r>
      <w:r>
        <w:rPr>
          <w:b/>
          <w:color w:val="000000"/>
          <w:sz w:val="21"/>
        </w:rPr>
        <w:t xml:space="preserve">    </w:t>
      </w:r>
      <w:r>
        <w:rPr>
          <w:b/>
          <w:color w:val="000000"/>
          <w:sz w:val="21"/>
        </w:rPr>
        <w:t>）</w:t>
      </w:r>
      <w:r>
        <w:rPr>
          <w:color w:val="000000"/>
          <w:sz w:val="21"/>
        </w:rPr>
        <w:t>的采购结果，现依照《中华人民共和国政府采购法》及实施条例、《中华人民共和国民法典》的规定，经双方协商，本着平等互利和诚实信用的原则，一致同意签订本合同如下。</w:t>
      </w:r>
    </w:p>
    <w:p>
      <w:pPr>
        <w:jc w:val="both"/>
      </w:pPr>
      <w:r>
        <w:rPr>
          <w:b/>
          <w:color w:val="000000"/>
          <w:sz w:val="21"/>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429"/>
        <w:gridCol w:w="1259"/>
        <w:gridCol w:w="1527"/>
        <w:gridCol w:w="844"/>
        <w:gridCol w:w="884"/>
        <w:gridCol w:w="790"/>
        <w:gridCol w:w="656"/>
        <w:gridCol w:w="924"/>
        <w:gridCol w:w="991"/>
      </w:tblGrid>
      <w:tr>
        <w:tc>
          <w:tcPr>
            <w:tcW w:type="dxa" w:w="429"/>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59"/>
            <w:tcBorders>
              <w:top w:val="single" w:color="000000" w:sz="4"/>
              <w:left w:val="none" w:color="000000" w:sz="4"/>
              <w:bottom w:val="single" w:color="000000" w:sz="4"/>
              <w:right w:val="single" w:color="000000" w:sz="4"/>
            </w:tcBorders>
            <w:vAlign w:val="top"/>
          </w:tcPr>
          <w:p>
            <w:pPr>
              <w:jc w:val="center"/>
            </w:pPr>
            <w:r>
              <w:rPr>
                <w:b/>
                <w:color w:val="000000"/>
                <w:sz w:val="21"/>
              </w:rPr>
              <w:t>标的名称</w:t>
            </w:r>
          </w:p>
        </w:tc>
        <w:tc>
          <w:tcPr>
            <w:tcW w:type="dxa" w:w="1527"/>
            <w:tcBorders>
              <w:top w:val="single" w:color="000000" w:sz="4"/>
              <w:left w:val="none" w:color="000000" w:sz="4"/>
              <w:bottom w:val="single" w:color="000000" w:sz="4"/>
              <w:right w:val="single" w:color="000000" w:sz="4"/>
            </w:tcBorders>
            <w:vAlign w:val="top"/>
          </w:tcPr>
          <w:p>
            <w:pPr>
              <w:jc w:val="center"/>
            </w:pPr>
            <w:r>
              <w:rPr>
                <w:b/>
                <w:color w:val="000000"/>
                <w:sz w:val="21"/>
              </w:rPr>
              <w:t>规格型号（详细技术参数见招、投标文件）</w:t>
            </w:r>
          </w:p>
        </w:tc>
        <w:tc>
          <w:tcPr>
            <w:tcW w:type="dxa" w:w="844"/>
            <w:tcBorders>
              <w:top w:val="single" w:color="000000" w:sz="4"/>
              <w:left w:val="none" w:color="000000" w:sz="4"/>
              <w:bottom w:val="single" w:color="000000" w:sz="4"/>
              <w:right w:val="single" w:color="000000" w:sz="4"/>
            </w:tcBorders>
            <w:vAlign w:val="top"/>
          </w:tcPr>
          <w:p>
            <w:pPr>
              <w:jc w:val="center"/>
            </w:pPr>
            <w:r>
              <w:rPr>
                <w:b/>
                <w:color w:val="000000"/>
                <w:sz w:val="21"/>
              </w:rPr>
              <w:t>品牌</w:t>
            </w:r>
          </w:p>
        </w:tc>
        <w:tc>
          <w:tcPr>
            <w:tcW w:type="dxa" w:w="884"/>
            <w:tcBorders>
              <w:top w:val="single" w:color="000000" w:sz="4"/>
              <w:left w:val="none" w:color="000000" w:sz="4"/>
              <w:bottom w:val="single" w:color="000000" w:sz="4"/>
              <w:right w:val="single" w:color="000000" w:sz="4"/>
            </w:tcBorders>
            <w:vAlign w:val="top"/>
          </w:tcPr>
          <w:p>
            <w:pPr>
              <w:jc w:val="center"/>
            </w:pPr>
            <w:r>
              <w:rPr>
                <w:b/>
                <w:color w:val="000000"/>
                <w:sz w:val="21"/>
              </w:rPr>
              <w:t>制造商</w:t>
            </w:r>
          </w:p>
          <w:p>
            <w:pPr>
              <w:jc w:val="center"/>
            </w:pPr>
            <w:r>
              <w:rPr>
                <w:b/>
                <w:color w:val="000000"/>
                <w:sz w:val="21"/>
              </w:rPr>
              <w:t>名称</w:t>
            </w:r>
          </w:p>
        </w:tc>
        <w:tc>
          <w:tcPr>
            <w:tcW w:type="dxa" w:w="790"/>
            <w:tcBorders>
              <w:top w:val="single" w:color="000000" w:sz="4"/>
              <w:left w:val="none" w:color="000000" w:sz="4"/>
              <w:bottom w:val="single" w:color="000000" w:sz="4"/>
              <w:right w:val="single" w:color="000000" w:sz="4"/>
            </w:tcBorders>
            <w:vAlign w:val="top"/>
          </w:tcPr>
          <w:p>
            <w:pPr>
              <w:jc w:val="center"/>
            </w:pPr>
            <w:r>
              <w:rPr>
                <w:b/>
                <w:color w:val="000000"/>
                <w:sz w:val="21"/>
              </w:rPr>
              <w:t>产地</w:t>
            </w:r>
          </w:p>
        </w:tc>
        <w:tc>
          <w:tcPr>
            <w:tcW w:type="dxa" w:w="656"/>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924"/>
            <w:tcBorders>
              <w:top w:val="single" w:color="000000" w:sz="4"/>
              <w:left w:val="none" w:color="000000" w:sz="4"/>
              <w:bottom w:val="single" w:color="000000" w:sz="4"/>
              <w:right w:val="single" w:color="000000" w:sz="4"/>
            </w:tcBorders>
            <w:vAlign w:val="top"/>
          </w:tcPr>
          <w:p>
            <w:pPr>
              <w:jc w:val="center"/>
            </w:pPr>
            <w:r>
              <w:rPr>
                <w:b/>
                <w:color w:val="000000"/>
                <w:sz w:val="21"/>
              </w:rPr>
              <w:t>单价（元）</w:t>
            </w:r>
          </w:p>
        </w:tc>
        <w:tc>
          <w:tcPr>
            <w:tcW w:type="dxa" w:w="991"/>
            <w:tcBorders>
              <w:top w:val="single" w:color="000000" w:sz="4"/>
              <w:left w:val="none" w:color="000000" w:sz="4"/>
              <w:bottom w:val="single" w:color="000000" w:sz="4"/>
              <w:right w:val="single" w:color="000000" w:sz="4"/>
            </w:tcBorders>
            <w:vAlign w:val="top"/>
          </w:tcPr>
          <w:p>
            <w:pPr>
              <w:jc w:val="center"/>
            </w:pPr>
            <w:r>
              <w:rPr>
                <w:b/>
                <w:color w:val="000000"/>
                <w:sz w:val="21"/>
              </w:rPr>
              <w:t>合计（元）</w:t>
            </w:r>
          </w:p>
        </w:tc>
      </w:tr>
      <w:tr>
        <w:tc>
          <w:tcPr>
            <w:tcW w:type="dxa" w:w="4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527"/>
            <w:tcBorders>
              <w:top w:val="none" w:color="000000" w:sz="4"/>
              <w:left w:val="none" w:color="000000" w:sz="4"/>
              <w:bottom w:val="single" w:color="000000" w:sz="4"/>
              <w:right w:val="single" w:color="000000" w:sz="4"/>
            </w:tcBorders>
            <w:vAlign w:val="top"/>
          </w:tcPr>
          <w:p>
            <w:pPr>
              <w:jc w:val="both"/>
            </w:pPr>
          </w:p>
        </w:tc>
        <w:tc>
          <w:tcPr>
            <w:tcW w:type="dxa" w:w="844"/>
            <w:tcBorders>
              <w:top w:val="none" w:color="000000" w:sz="4"/>
              <w:left w:val="none" w:color="000000" w:sz="4"/>
              <w:bottom w:val="single" w:color="000000" w:sz="4"/>
              <w:right w:val="single" w:color="000000" w:sz="4"/>
            </w:tcBorders>
            <w:vAlign w:val="top"/>
          </w:tcPr>
          <w:p>
            <w:pPr>
              <w:jc w:val="both"/>
            </w:pPr>
          </w:p>
        </w:tc>
        <w:tc>
          <w:tcPr>
            <w:tcW w:type="dxa" w:w="884"/>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656"/>
            <w:tcBorders>
              <w:top w:val="none" w:color="000000" w:sz="4"/>
              <w:left w:val="none" w:color="000000" w:sz="4"/>
              <w:bottom w:val="single" w:color="000000" w:sz="4"/>
              <w:right w:val="single" w:color="000000" w:sz="4"/>
            </w:tcBorders>
            <w:vAlign w:val="top"/>
          </w:tcPr>
          <w:p>
            <w:pPr>
              <w:jc w:val="both"/>
            </w:pPr>
          </w:p>
        </w:tc>
        <w:tc>
          <w:tcPr>
            <w:tcW w:type="dxa" w:w="924"/>
            <w:tcBorders>
              <w:top w:val="none" w:color="000000" w:sz="4"/>
              <w:left w:val="none" w:color="000000" w:sz="4"/>
              <w:bottom w:val="single" w:color="000000" w:sz="4"/>
              <w:right w:val="single" w:color="000000" w:sz="4"/>
            </w:tcBorders>
            <w:vAlign w:val="top"/>
          </w:tcPr>
          <w:p>
            <w:pPr>
              <w:jc w:val="both"/>
            </w:pPr>
          </w:p>
        </w:tc>
        <w:tc>
          <w:tcPr>
            <w:tcW w:type="dxa" w:w="991"/>
            <w:tcBorders>
              <w:top w:val="none" w:color="000000" w:sz="4"/>
              <w:left w:val="none" w:color="000000" w:sz="4"/>
              <w:bottom w:val="single" w:color="000000" w:sz="4"/>
              <w:right w:val="single" w:color="000000" w:sz="4"/>
            </w:tcBorders>
            <w:vAlign w:val="top"/>
          </w:tcPr>
          <w:p>
            <w:pPr>
              <w:jc w:val="both"/>
            </w:pPr>
          </w:p>
        </w:tc>
      </w:tr>
      <w:tr>
        <w:tc>
          <w:tcPr>
            <w:tcW w:type="dxa" w:w="42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527"/>
            <w:tcBorders>
              <w:top w:val="none" w:color="000000" w:sz="4"/>
              <w:left w:val="none" w:color="000000" w:sz="4"/>
              <w:bottom w:val="single" w:color="000000" w:sz="4"/>
              <w:right w:val="single" w:color="000000" w:sz="4"/>
            </w:tcBorders>
            <w:vAlign w:val="top"/>
          </w:tcPr>
          <w:p>
            <w:pPr>
              <w:jc w:val="both"/>
            </w:pPr>
          </w:p>
        </w:tc>
        <w:tc>
          <w:tcPr>
            <w:tcW w:type="dxa" w:w="844"/>
            <w:tcBorders>
              <w:top w:val="none" w:color="000000" w:sz="4"/>
              <w:left w:val="none" w:color="000000" w:sz="4"/>
              <w:bottom w:val="single" w:color="000000" w:sz="4"/>
              <w:right w:val="single" w:color="000000" w:sz="4"/>
            </w:tcBorders>
            <w:vAlign w:val="top"/>
          </w:tcPr>
          <w:p>
            <w:pPr>
              <w:jc w:val="both"/>
            </w:pPr>
          </w:p>
        </w:tc>
        <w:tc>
          <w:tcPr>
            <w:tcW w:type="dxa" w:w="884"/>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656"/>
            <w:tcBorders>
              <w:top w:val="none" w:color="000000" w:sz="4"/>
              <w:left w:val="none" w:color="000000" w:sz="4"/>
              <w:bottom w:val="single" w:color="000000" w:sz="4"/>
              <w:right w:val="single" w:color="000000" w:sz="4"/>
            </w:tcBorders>
            <w:vAlign w:val="top"/>
          </w:tcPr>
          <w:p>
            <w:pPr>
              <w:jc w:val="both"/>
            </w:pPr>
          </w:p>
        </w:tc>
        <w:tc>
          <w:tcPr>
            <w:tcW w:type="dxa" w:w="924"/>
            <w:tcBorders>
              <w:top w:val="none" w:color="000000" w:sz="4"/>
              <w:left w:val="none" w:color="000000" w:sz="4"/>
              <w:bottom w:val="single" w:color="000000" w:sz="4"/>
              <w:right w:val="single" w:color="000000" w:sz="4"/>
            </w:tcBorders>
            <w:vAlign w:val="top"/>
          </w:tcPr>
          <w:p>
            <w:pPr>
              <w:jc w:val="both"/>
            </w:pPr>
          </w:p>
        </w:tc>
        <w:tc>
          <w:tcPr>
            <w:tcW w:type="dxa" w:w="991"/>
            <w:tcBorders>
              <w:top w:val="none" w:color="000000" w:sz="4"/>
              <w:left w:val="none" w:color="000000" w:sz="4"/>
              <w:bottom w:val="single" w:color="000000" w:sz="4"/>
              <w:right w:val="single" w:color="000000" w:sz="4"/>
            </w:tcBorders>
            <w:vAlign w:val="top"/>
          </w:tcPr>
          <w:p>
            <w:pPr>
              <w:jc w:val="both"/>
            </w:pPr>
          </w:p>
        </w:tc>
      </w:tr>
      <w:tr>
        <w:tc>
          <w:tcPr>
            <w:tcW w:type="dxa" w:w="42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527"/>
            <w:tcBorders>
              <w:top w:val="none" w:color="000000" w:sz="4"/>
              <w:left w:val="none" w:color="000000" w:sz="4"/>
              <w:bottom w:val="single" w:color="000000" w:sz="4"/>
              <w:right w:val="single" w:color="000000" w:sz="4"/>
            </w:tcBorders>
            <w:vAlign w:val="top"/>
          </w:tcPr>
          <w:p>
            <w:pPr>
              <w:jc w:val="both"/>
            </w:pPr>
          </w:p>
        </w:tc>
        <w:tc>
          <w:tcPr>
            <w:tcW w:type="dxa" w:w="844"/>
            <w:tcBorders>
              <w:top w:val="none" w:color="000000" w:sz="4"/>
              <w:left w:val="none" w:color="000000" w:sz="4"/>
              <w:bottom w:val="single" w:color="000000" w:sz="4"/>
              <w:right w:val="single" w:color="000000" w:sz="4"/>
            </w:tcBorders>
            <w:vAlign w:val="top"/>
          </w:tcPr>
          <w:p>
            <w:pPr>
              <w:jc w:val="both"/>
            </w:pPr>
          </w:p>
        </w:tc>
        <w:tc>
          <w:tcPr>
            <w:tcW w:type="dxa" w:w="884"/>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656"/>
            <w:tcBorders>
              <w:top w:val="none" w:color="000000" w:sz="4"/>
              <w:left w:val="none" w:color="000000" w:sz="4"/>
              <w:bottom w:val="single" w:color="000000" w:sz="4"/>
              <w:right w:val="single" w:color="000000" w:sz="4"/>
            </w:tcBorders>
            <w:vAlign w:val="top"/>
          </w:tcPr>
          <w:p>
            <w:pPr>
              <w:jc w:val="both"/>
            </w:pPr>
          </w:p>
        </w:tc>
        <w:tc>
          <w:tcPr>
            <w:tcW w:type="dxa" w:w="924"/>
            <w:tcBorders>
              <w:top w:val="none" w:color="000000" w:sz="4"/>
              <w:left w:val="none" w:color="000000" w:sz="4"/>
              <w:bottom w:val="single" w:color="000000" w:sz="4"/>
              <w:right w:val="single" w:color="000000" w:sz="4"/>
            </w:tcBorders>
            <w:vAlign w:val="top"/>
          </w:tcPr>
          <w:p>
            <w:pPr>
              <w:jc w:val="both"/>
            </w:pPr>
          </w:p>
        </w:tc>
        <w:tc>
          <w:tcPr>
            <w:tcW w:type="dxa" w:w="991"/>
            <w:tcBorders>
              <w:top w:val="none" w:color="000000" w:sz="4"/>
              <w:left w:val="none" w:color="000000" w:sz="4"/>
              <w:bottom w:val="single" w:color="000000" w:sz="4"/>
              <w:right w:val="single" w:color="000000" w:sz="4"/>
            </w:tcBorders>
            <w:vAlign w:val="top"/>
          </w:tcPr>
          <w:p>
            <w:pPr>
              <w:jc w:val="both"/>
            </w:pPr>
          </w:p>
        </w:tc>
      </w:tr>
      <w:tr>
        <w:tc>
          <w:tcPr>
            <w:tcW w:type="dxa" w:w="4943"/>
            <w:gridSpan w:val="5"/>
            <w:tcBorders>
              <w:top w:val="none" w:color="000000" w:sz="4"/>
              <w:left w:val="single" w:color="000000" w:sz="4"/>
              <w:bottom w:val="single" w:color="000000" w:sz="4"/>
              <w:right w:val="single" w:color="000000" w:sz="4"/>
            </w:tcBorders>
            <w:vAlign w:val="top"/>
          </w:tcPr>
          <w:p>
            <w:pPr>
              <w:jc w:val="center"/>
            </w:pPr>
            <w:r>
              <w:rPr>
                <w:b/>
                <w:color w:val="000000"/>
                <w:sz w:val="21"/>
              </w:rPr>
              <w:t>合计</w:t>
            </w:r>
          </w:p>
        </w:tc>
        <w:tc>
          <w:tcPr>
            <w:tcW w:type="dxa" w:w="2370"/>
            <w:gridSpan w:val="3"/>
            <w:tcBorders>
              <w:top w:val="none" w:color="000000" w:sz="4"/>
              <w:left w:val="none" w:color="000000" w:sz="4"/>
              <w:bottom w:val="single" w:color="000000" w:sz="4"/>
              <w:right w:val="single" w:color="000000" w:sz="4"/>
            </w:tcBorders>
            <w:vAlign w:val="top"/>
          </w:tcPr>
          <w:p>
            <w:pPr>
              <w:jc w:val="center"/>
            </w:pPr>
            <w:r>
              <w:rPr>
                <w:b/>
                <w:color w:val="000000"/>
                <w:sz w:val="21"/>
              </w:rPr>
              <w:t>数量合计：</w:t>
            </w:r>
          </w:p>
        </w:tc>
        <w:tc>
          <w:tcPr>
            <w:tcW w:type="dxa" w:w="991"/>
            <w:tcBorders>
              <w:top w:val="none" w:color="000000" w:sz="4"/>
              <w:left w:val="none" w:color="000000" w:sz="4"/>
              <w:bottom w:val="single" w:color="000000" w:sz="4"/>
              <w:right w:val="single" w:color="000000" w:sz="4"/>
            </w:tcBorders>
            <w:vAlign w:val="top"/>
          </w:tcPr>
          <w:p>
            <w:pPr>
              <w:jc w:val="both"/>
            </w:pPr>
          </w:p>
        </w:tc>
      </w:tr>
      <w:tr>
        <w:tc>
          <w:tcPr>
            <w:tcW w:type="dxa" w:w="8304"/>
            <w:gridSpan w:val="9"/>
            <w:tcBorders>
              <w:top w:val="none" w:color="000000" w:sz="4"/>
              <w:left w:val="single" w:color="000000" w:sz="4"/>
              <w:bottom w:val="single" w:color="000000" w:sz="4"/>
              <w:right w:val="single" w:color="000000" w:sz="4"/>
            </w:tcBorders>
            <w:vAlign w:val="top"/>
          </w:tcPr>
          <w:p>
            <w:pPr>
              <w:jc w:val="center"/>
            </w:pPr>
            <w:r>
              <w:rPr>
                <w:b/>
                <w:color w:val="000000"/>
                <w:sz w:val="21"/>
                <w:u w:val="single"/>
              </w:rPr>
              <w:t>合计总额：</w:t>
            </w:r>
            <w:r>
              <w:rPr>
                <w:b/>
                <w:color w:val="000000"/>
                <w:sz w:val="21"/>
                <w:u w:val="single"/>
              </w:rPr>
              <w:t>¥          元  大写：人民币          元整</w:t>
            </w:r>
          </w:p>
          <w:p>
            <w:pPr>
              <w:jc w:val="center"/>
            </w:pPr>
            <w:r>
              <w:rPr>
                <w:b/>
                <w:color w:val="000000"/>
                <w:sz w:val="21"/>
                <w:u w:val="single"/>
              </w:rPr>
              <w:t>（乙方提供增值税专用发票）</w:t>
            </w:r>
          </w:p>
        </w:tc>
      </w:tr>
    </w:tbl>
    <w:p>
      <w:pPr>
        <w:ind w:firstLine="412"/>
        <w:jc w:val="both"/>
      </w:pPr>
      <w:r>
        <w:rPr>
          <w:color w:val="000000"/>
          <w:sz w:val="21"/>
        </w:rPr>
        <w:t>合同总额包括甲方招标文件《采购需求》要求的全部内容、技术协议的全部内容、乙方投标文件响应承诺的全部内容、乙方设计、安装、随机零配件、标配工具、包装、运输保险、装卸、调试、培训、质保期服务、各项税费、配置测试系统、软件、验收计量费用及合同实施过程中不可预见费用等项目相关的一切费用。</w:t>
      </w:r>
    </w:p>
    <w:p>
      <w:pPr>
        <w:jc w:val="both"/>
      </w:pPr>
      <w:r>
        <w:rPr>
          <w:b/>
          <w:color w:val="000000"/>
          <w:sz w:val="21"/>
          <w:u w:val="single"/>
        </w:rPr>
        <w:t>注：标的名称内容与投标文件中标的名称内容一致。</w:t>
      </w:r>
    </w:p>
    <w:p>
      <w:pPr>
        <w:jc w:val="both"/>
      </w:pPr>
      <w:r>
        <w:rPr>
          <w:b/>
          <w:color w:val="000000"/>
          <w:sz w:val="21"/>
        </w:rPr>
        <w:t>二、合同金额</w:t>
      </w:r>
    </w:p>
    <w:p>
      <w:pPr>
        <w:ind w:firstLine="372"/>
        <w:jc w:val="both"/>
      </w:pPr>
      <w:r>
        <w:rPr>
          <w:color w:val="000000"/>
          <w:sz w:val="21"/>
        </w:rPr>
        <w:t>合同金额为（大写）：</w:t>
      </w:r>
      <w:r>
        <w:rPr>
          <w:b/>
          <w:color w:val="000000"/>
          <w:sz w:val="21"/>
        </w:rPr>
        <w:t>人民币</w:t>
      </w:r>
      <w:r>
        <w:rPr>
          <w:b/>
          <w:sz w:val="21"/>
          <w:u w:val="single"/>
        </w:rPr>
        <w:t xml:space="preserve">          </w:t>
      </w:r>
      <w:r>
        <w:rPr>
          <w:b/>
          <w:color w:val="000000"/>
          <w:sz w:val="21"/>
        </w:rPr>
        <w:t>元（</w:t>
      </w:r>
      <w:r>
        <w:rPr>
          <w:b/>
          <w:color w:val="000000"/>
          <w:sz w:val="21"/>
        </w:rPr>
        <w:t>¥</w:t>
      </w:r>
      <w:r>
        <w:rPr>
          <w:b/>
          <w:sz w:val="21"/>
          <w:u w:val="single"/>
        </w:rPr>
        <w:t xml:space="preserve">          </w:t>
      </w:r>
      <w:r>
        <w:rPr>
          <w:b/>
          <w:color w:val="000000"/>
          <w:sz w:val="21"/>
        </w:rPr>
        <w:t>元）人民币。</w:t>
      </w:r>
    </w:p>
    <w:p>
      <w:pPr>
        <w:jc w:val="both"/>
      </w:pPr>
      <w:r>
        <w:rPr>
          <w:b/>
          <w:color w:val="000000"/>
          <w:sz w:val="21"/>
        </w:rPr>
        <w:t>三、标的要求</w:t>
      </w:r>
    </w:p>
    <w:p>
      <w:pPr>
        <w:ind w:firstLine="420"/>
        <w:jc w:val="both"/>
      </w:pPr>
      <w:r>
        <w:rPr>
          <w:color w:val="000000"/>
          <w:sz w:val="21"/>
        </w:rPr>
        <w:t>1.货物为原制造商制造的全新产品，整机无污染，无侵权行为、表面无划损、无任何缺陷隐患，在中国境内可依常规安全合法使用。</w:t>
      </w:r>
    </w:p>
    <w:p>
      <w:pPr>
        <w:ind w:firstLine="420"/>
        <w:jc w:val="both"/>
      </w:pPr>
      <w:r>
        <w:rPr>
          <w:color w:val="000000"/>
          <w:sz w:val="21"/>
        </w:rPr>
        <w:t>2.交付验收标准依次序对照适用标准为：①符合中华人民共和国国家安全质量标准、环保标准或行业标准；②符合招标文件和响应承诺中甲方认可的合理最佳配置、参数及各项要求；③货物来源国官方标准。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jc w:val="both"/>
      </w:pPr>
      <w:r>
        <w:rPr>
          <w:color w:val="000000"/>
          <w:sz w:val="21"/>
        </w:rPr>
        <w:t>3.货物为原厂商未启封全新包装，具出厂合格证，序号、包装箱号与出厂批号一致，并可追索查阅。</w:t>
      </w:r>
    </w:p>
    <w:p>
      <w:pPr>
        <w:ind w:firstLine="420"/>
        <w:jc w:val="both"/>
      </w:pPr>
      <w:r>
        <w:rPr>
          <w:color w:val="000000"/>
          <w:sz w:val="21"/>
        </w:rPr>
        <w:t>4.乙方应将全部产品的用户手册、保修手册、有关单证数据及配备件、随机工具等交付给甲方，使用操作及安全须知等重要数据应附有中文说明。</w:t>
      </w:r>
    </w:p>
    <w:p>
      <w:pPr>
        <w:jc w:val="both"/>
      </w:pPr>
      <w:r>
        <w:rPr>
          <w:b/>
          <w:color w:val="000000"/>
          <w:sz w:val="21"/>
        </w:rPr>
        <w:t>四、合同履行期限、实施方式及实施地点</w:t>
      </w:r>
    </w:p>
    <w:p>
      <w:pPr>
        <w:ind w:firstLine="420"/>
        <w:jc w:val="both"/>
      </w:pPr>
      <w:r>
        <w:rPr>
          <w:color w:val="000000"/>
          <w:sz w:val="21"/>
        </w:rPr>
        <w:t>1.合同履行期限：自合同签订之日起</w:t>
      </w:r>
      <w:r>
        <w:rPr>
          <w:sz w:val="21"/>
          <w:u w:val="single"/>
        </w:rPr>
        <w:t xml:space="preserve">    </w:t>
      </w:r>
      <w:r>
        <w:rPr>
          <w:color w:val="000000"/>
          <w:sz w:val="21"/>
        </w:rPr>
        <w:t>天内完成交货、安装、调试及验收，并履行至所有设备质保期满之日止。</w:t>
      </w:r>
    </w:p>
    <w:p>
      <w:pPr>
        <w:ind w:firstLine="420"/>
        <w:jc w:val="both"/>
      </w:pPr>
      <w:r>
        <w:rPr>
          <w:color w:val="000000"/>
          <w:sz w:val="21"/>
        </w:rPr>
        <w:t>2.实施方式：设备的包装应符合相关产品包装的国家和行业标准及甲方的特殊标准。乙方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乙方承担，包装物不回收。由于不适当的包装而造成货物在运输过程中有任何损坏、丢失由乙方负责。</w:t>
      </w:r>
    </w:p>
    <w:p>
      <w:pPr>
        <w:ind w:firstLine="420"/>
        <w:jc w:val="both"/>
      </w:pPr>
      <w:r>
        <w:rPr>
          <w:color w:val="000000"/>
          <w:sz w:val="21"/>
        </w:rPr>
        <w:t>3.交货地点：</w:t>
      </w:r>
      <w:r>
        <w:rPr>
          <w:sz w:val="21"/>
          <w:u w:val="single"/>
        </w:rPr>
        <w:t xml:space="preserve">                        </w:t>
      </w:r>
      <w:r>
        <w:rPr>
          <w:color w:val="000000"/>
          <w:sz w:val="21"/>
        </w:rPr>
        <w:t>。</w:t>
      </w:r>
    </w:p>
    <w:p>
      <w:pPr>
        <w:jc w:val="both"/>
      </w:pPr>
      <w:r>
        <w:rPr>
          <w:b/>
          <w:color w:val="000000"/>
          <w:sz w:val="21"/>
        </w:rPr>
        <w:t>五、付款方式</w:t>
      </w:r>
    </w:p>
    <w:p>
      <w:pPr>
        <w:ind w:firstLine="420"/>
        <w:jc w:val="both"/>
      </w:pPr>
      <w:r>
        <w:rPr>
          <w:color w:val="000000"/>
          <w:sz w:val="21"/>
        </w:rPr>
        <w:t>由甲方按下列程序付款：</w:t>
      </w:r>
    </w:p>
    <w:p>
      <w:pPr>
        <w:ind w:firstLine="420"/>
        <w:jc w:val="both"/>
      </w:pPr>
      <w:r>
        <w:rPr>
          <w:color w:val="000000"/>
          <w:sz w:val="21"/>
        </w:rPr>
        <w:t>1.预付款：合同签订后5个工作日内，甲方向乙方支付合同总金额30%的预付款。</w:t>
      </w:r>
    </w:p>
    <w:p>
      <w:pPr>
        <w:ind w:firstLine="420"/>
        <w:jc w:val="both"/>
      </w:pPr>
      <w:r>
        <w:rPr>
          <w:color w:val="000000"/>
          <w:sz w:val="21"/>
        </w:rPr>
        <w:t>2.双方确认设备验收合格、安装调试到正常运行后10个日历日内，乙方通过转账、银行履约保函等非现金方式向甲方提交合同总金额5%的履约保证金。甲方收到乙方提交的履约保证金和正规销售的合同全额发票后，15个日历日内，甲方向乙方支付合同总金额70%的货款。</w:t>
      </w:r>
    </w:p>
    <w:p>
      <w:pPr>
        <w:ind w:firstLine="420"/>
        <w:jc w:val="both"/>
      </w:pPr>
      <w:r>
        <w:rPr>
          <w:color w:val="000000"/>
          <w:sz w:val="21"/>
        </w:rPr>
        <w:t>3.乙方根据上述第2小点向甲方提交履约保证金，</w:t>
      </w:r>
      <w:r>
        <w:rPr>
          <w:color w:val="000000"/>
          <w:sz w:val="21"/>
        </w:rPr>
        <w:t>在合同履行期满</w:t>
      </w:r>
      <w:r>
        <w:rPr>
          <w:color w:val="000000"/>
          <w:sz w:val="21"/>
        </w:rPr>
        <w:t>后，乙方在此期间无违约行为，乙方向甲方提出申请退还履约保证金，甲方在</w:t>
      </w:r>
      <w:r>
        <w:rPr>
          <w:color w:val="000000"/>
          <w:sz w:val="21"/>
        </w:rPr>
        <w:t>30个日历日内向乙方退还履约保证金（履约保证金不计利息）。甲方有权直接从履约保证金扣除乙方应当向甲方承担的违约金、赔偿金、维修费、验收计量费用等相关费用。乙方对此没有任何异议。</w:t>
      </w:r>
    </w:p>
    <w:p>
      <w:pPr>
        <w:ind w:firstLine="420"/>
        <w:jc w:val="both"/>
      </w:pPr>
      <w:r>
        <w:rPr>
          <w:color w:val="000000"/>
          <w:sz w:val="21"/>
        </w:rPr>
        <w:t>4.乙方根据甲方要求开具相应金额的增值税普通发票或增值税专用发票。增值税专用发票应能在税局正常抵扣税额。</w:t>
      </w:r>
    </w:p>
    <w:p>
      <w:pPr>
        <w:ind w:firstLine="420"/>
        <w:jc w:val="both"/>
      </w:pPr>
      <w:r>
        <w:rPr>
          <w:color w:val="000000"/>
          <w:sz w:val="21"/>
        </w:rPr>
        <w:t>5.乙方凭以下有效文件与甲方结算:(1)合同；(2)乙方开具的正式发票；(3)甲方验收报告；(4)中标通知书。</w:t>
      </w:r>
    </w:p>
    <w:p>
      <w:pPr>
        <w:ind w:firstLine="420"/>
        <w:jc w:val="both"/>
      </w:pPr>
      <w:r>
        <w:rPr>
          <w:color w:val="000000"/>
          <w:sz w:val="21"/>
        </w:rPr>
        <w:t>甲方帐户具体信息：</w:t>
      </w:r>
    </w:p>
    <w:p>
      <w:pPr>
        <w:ind w:firstLine="630"/>
        <w:jc w:val="both"/>
      </w:pPr>
      <w:r>
        <w:rPr>
          <w:color w:val="000000"/>
          <w:sz w:val="21"/>
        </w:rPr>
        <w:t>开户名称：广东产品质量监督检验研究院</w:t>
      </w:r>
    </w:p>
    <w:p>
      <w:pPr>
        <w:ind w:firstLine="630"/>
        <w:jc w:val="both"/>
      </w:pPr>
      <w:r>
        <w:rPr>
          <w:color w:val="000000"/>
          <w:sz w:val="21"/>
        </w:rPr>
        <w:t>开户行：中国农业佛山顺德清晖支行</w:t>
      </w:r>
    </w:p>
    <w:p>
      <w:pPr>
        <w:ind w:firstLine="630"/>
        <w:jc w:val="both"/>
      </w:pPr>
      <w:r>
        <w:rPr>
          <w:color w:val="000000"/>
          <w:sz w:val="21"/>
        </w:rPr>
        <w:t>银行账号：</w:t>
      </w:r>
      <w:r>
        <w:rPr>
          <w:color w:val="000000"/>
          <w:sz w:val="21"/>
        </w:rPr>
        <w:t>44465001040025096</w:t>
      </w:r>
    </w:p>
    <w:p>
      <w:pPr>
        <w:ind w:firstLine="420"/>
        <w:jc w:val="both"/>
      </w:pPr>
      <w:r>
        <w:rPr>
          <w:color w:val="000000"/>
          <w:sz w:val="21"/>
        </w:rPr>
        <w:t>乙方帐户具体信息：</w:t>
      </w:r>
    </w:p>
    <w:p>
      <w:pPr>
        <w:ind w:firstLine="630"/>
        <w:jc w:val="both"/>
      </w:pPr>
      <w:r>
        <w:rPr>
          <w:color w:val="000000"/>
          <w:sz w:val="21"/>
        </w:rPr>
        <w:t>开户名称：</w:t>
      </w:r>
    </w:p>
    <w:p>
      <w:pPr>
        <w:ind w:firstLine="630"/>
        <w:jc w:val="both"/>
      </w:pPr>
      <w:r>
        <w:rPr>
          <w:color w:val="000000"/>
          <w:sz w:val="21"/>
        </w:rPr>
        <w:t>开户行：</w:t>
      </w:r>
    </w:p>
    <w:p>
      <w:pPr>
        <w:ind w:firstLine="630"/>
        <w:jc w:val="both"/>
      </w:pPr>
      <w:r>
        <w:rPr>
          <w:color w:val="000000"/>
          <w:sz w:val="21"/>
        </w:rPr>
        <w:t>银行账号：</w:t>
      </w:r>
    </w:p>
    <w:p>
      <w:pPr>
        <w:jc w:val="both"/>
      </w:pPr>
      <w:r>
        <w:rPr>
          <w:b/>
          <w:color w:val="000000"/>
          <w:sz w:val="21"/>
        </w:rPr>
        <w:t>六、履约保证金</w:t>
      </w:r>
    </w:p>
    <w:p>
      <w:pPr>
        <w:ind w:firstLine="420"/>
        <w:jc w:val="both"/>
      </w:pPr>
      <w:r>
        <w:rPr>
          <w:color w:val="000000"/>
          <w:sz w:val="21"/>
        </w:rPr>
        <w:t>(一)提交说明</w:t>
      </w:r>
    </w:p>
    <w:p>
      <w:pPr>
        <w:ind w:firstLine="420"/>
        <w:jc w:val="both"/>
      </w:pPr>
      <w:r>
        <w:rPr>
          <w:color w:val="000000"/>
          <w:sz w:val="21"/>
        </w:rPr>
        <w:t>1.时间：双方确认设备验收合格、安装调试到正常运行后10个日历日内；</w:t>
      </w:r>
    </w:p>
    <w:p>
      <w:pPr>
        <w:ind w:firstLine="420"/>
        <w:jc w:val="both"/>
      </w:pPr>
      <w:r>
        <w:rPr>
          <w:color w:val="000000"/>
          <w:sz w:val="21"/>
        </w:rPr>
        <w:t>2.金额：合同总金额的5%，即人民币</w:t>
      </w:r>
      <w:r>
        <w:rPr>
          <w:sz w:val="21"/>
          <w:u w:val="single"/>
        </w:rPr>
        <w:t xml:space="preserve">          </w:t>
      </w:r>
      <w:r>
        <w:rPr>
          <w:color w:val="000000"/>
          <w:sz w:val="21"/>
        </w:rPr>
        <w:t>元；</w:t>
      </w:r>
    </w:p>
    <w:p>
      <w:pPr>
        <w:ind w:firstLine="420"/>
        <w:jc w:val="both"/>
      </w:pPr>
      <w:r>
        <w:rPr>
          <w:color w:val="000000"/>
          <w:sz w:val="21"/>
        </w:rPr>
        <w:t>3.方式：转账等非现金方式；</w:t>
      </w:r>
    </w:p>
    <w:p>
      <w:pPr>
        <w:ind w:firstLine="420"/>
        <w:jc w:val="both"/>
      </w:pPr>
      <w:r>
        <w:rPr>
          <w:color w:val="000000"/>
          <w:sz w:val="21"/>
        </w:rPr>
        <w:t>(二)退还说明：</w:t>
      </w:r>
    </w:p>
    <w:p>
      <w:pPr>
        <w:ind w:firstLine="420"/>
        <w:jc w:val="both"/>
      </w:pPr>
      <w:r>
        <w:rPr>
          <w:color w:val="000000"/>
          <w:sz w:val="21"/>
        </w:rPr>
        <w:t>1.时间、方式和条件：本合同履行期间乙方无违约行为，乙方履行完成合同约定权利义务事项，在合同履行期满后向甲方提出申请退还履约保证金，甲方在30个日历日内向乙方退还履约保证金(履约保证金不计利息)。</w:t>
      </w:r>
    </w:p>
    <w:p>
      <w:pPr>
        <w:ind w:firstLine="420"/>
        <w:jc w:val="both"/>
      </w:pPr>
      <w:r>
        <w:rPr>
          <w:color w:val="000000"/>
          <w:sz w:val="21"/>
        </w:rPr>
        <w:t>2.违约责任：甲方逾期退还履约保证金的，除应当退还履约保证金本金外，还应当每日按合同总价的3‰向乙方偿付违约金，但因乙方自身原因导致无法及时退还的除外。</w:t>
      </w:r>
    </w:p>
    <w:p>
      <w:pPr>
        <w:ind w:firstLine="420"/>
        <w:jc w:val="both"/>
      </w:pPr>
      <w:r>
        <w:rPr>
          <w:color w:val="000000"/>
          <w:sz w:val="21"/>
        </w:rPr>
        <w:t>3.甲方有权直接从履约保证金扣除乙方应当向采购人承担的违约金、赔偿金、维修费、验收计量费用等相关费用。</w:t>
      </w:r>
    </w:p>
    <w:p>
      <w:pPr>
        <w:ind w:firstLine="420"/>
        <w:jc w:val="both"/>
      </w:pPr>
      <w:r>
        <w:rPr>
          <w:color w:val="000000"/>
          <w:sz w:val="21"/>
        </w:rPr>
        <w:t>（三）不予退还的情形：</w:t>
      </w:r>
    </w:p>
    <w:p>
      <w:pPr>
        <w:ind w:firstLine="420"/>
        <w:jc w:val="both"/>
      </w:pPr>
      <w:r>
        <w:rPr>
          <w:color w:val="000000"/>
          <w:sz w:val="21"/>
        </w:rPr>
        <w:t>1.未经甲方同意，乙方将本项目进行分包或转包给他人；</w:t>
      </w:r>
    </w:p>
    <w:p>
      <w:pPr>
        <w:ind w:firstLine="420"/>
        <w:jc w:val="both"/>
      </w:pPr>
      <w:r>
        <w:rPr>
          <w:color w:val="000000"/>
          <w:sz w:val="21"/>
        </w:rPr>
        <w:t>2.在履行合同期间，乙方未经甲方同意提前终止本项目合同；</w:t>
      </w:r>
    </w:p>
    <w:p>
      <w:pPr>
        <w:ind w:firstLine="420"/>
        <w:jc w:val="both"/>
      </w:pPr>
      <w:r>
        <w:rPr>
          <w:color w:val="000000"/>
          <w:sz w:val="21"/>
        </w:rPr>
        <w:t>3.在履行合同期间，乙方因在经营活动中存在违法被吊销营业执照或相关许可，导致本项目合同无法继续履行的。</w:t>
      </w:r>
    </w:p>
    <w:p>
      <w:pPr>
        <w:jc w:val="both"/>
      </w:pPr>
      <w:r>
        <w:rPr>
          <w:b/>
          <w:color w:val="000000"/>
          <w:sz w:val="21"/>
        </w:rPr>
        <w:t>七、质保期及售后服务</w:t>
      </w:r>
    </w:p>
    <w:p>
      <w:pPr>
        <w:ind w:firstLine="420"/>
        <w:jc w:val="both"/>
      </w:pPr>
      <w:r>
        <w:rPr>
          <w:color w:val="000000"/>
          <w:sz w:val="21"/>
        </w:rPr>
        <w:t>1.本合同的质量保证期（简称“质保期”）为双方确认项目验收合格后</w:t>
      </w:r>
      <w:r>
        <w:rPr>
          <w:sz w:val="21"/>
          <w:u w:val="single"/>
        </w:rPr>
        <w:t xml:space="preserve">    </w:t>
      </w:r>
      <w:r>
        <w:rPr>
          <w:color w:val="000000"/>
          <w:sz w:val="21"/>
        </w:rPr>
        <w:t>年。质保期内，乙方负责所有设备的上门保修及提供软件升级、备品备件、专用工具、培训和易耗品；（该费用包含在合同金额内，甲方不再另外支付费用。）质保期内乙方对所供货物实行包修、包换、包退、包维护保养及合同约定的其它事项，质保期内由于设备维修所产生的全部费用由乙方承担，所更换的部件三包期从更换之日起重新计算，所需费用包含在合同金额中；质保期满后，有偿售后服务期间，产品零部件如有损坏，按成本收取相应费用，乙方安排技术人员上门服务，不收取任何技术费用，并且乙方承诺将提供终身售后服务；在设备使用寿命内，当控制软件在现有硬件基础上可进行升级时，乙方应主动提供软件升级服务，当软件涵盖的测试标准发生更新或替换时，乙方应在标准执行后</w:t>
      </w:r>
      <w:r>
        <w:rPr>
          <w:color w:val="000000"/>
          <w:sz w:val="21"/>
        </w:rPr>
        <w:t>10天内主动提供相应的软件升级服务，所有配套软件为正版软件。（该费用包含在合同金额内，甲方不再另外支付费用。）乙方确保供货渠道畅通，长期提供设备所需的维修备件，零配件供应周期一般不超过7天。</w:t>
      </w:r>
    </w:p>
    <w:p>
      <w:pPr>
        <w:ind w:firstLine="420"/>
        <w:jc w:val="both"/>
      </w:pPr>
      <w:r>
        <w:rPr>
          <w:color w:val="000000"/>
          <w:sz w:val="21"/>
        </w:rPr>
        <w:t>2.质保期内，如设备或零部件因质量原因出现故障而造成短期停用时，则质保期和维修期相应顺延。如停用时间累计超过30天则质保期重新计算。</w:t>
      </w:r>
    </w:p>
    <w:p>
      <w:pPr>
        <w:ind w:firstLine="420"/>
        <w:jc w:val="both"/>
      </w:pPr>
      <w:r>
        <w:rPr>
          <w:color w:val="000000"/>
          <w:sz w:val="21"/>
        </w:rPr>
        <w:t>3.对甲方的服务通知，乙方在接报后2小时内响应，24小时内到达现场，48小时内处理完毕。若在48小时内仍未能有效解决，乙方须提供同档次的设备予甲方临时使用。（该费用包含在合同金额内，甲方不再另外支付费用。）若不能在该期限内派人更换、维修，甲方不再另行通知，有权委托其他厂家或施工队伍更换、维修，发生的费用由乙方承担，甲方有权在乙方履约保证金中扣除。甲乙双方均不能修理或调换的，按不能交货处理，乙方应退回货款。在保修期内，乙方应安排工程师每年四次到现场维护和巡检，并指导甲方进行必要的维护工作，由于维护和巡检等产生的全部费用由乙方承担。乙方逾期响应，逾期到达现场或逾期有效解决的，乙方应承担违约责任。每逾期一小时，违约金按500元计算。</w:t>
      </w:r>
    </w:p>
    <w:p>
      <w:pPr>
        <w:jc w:val="both"/>
      </w:pPr>
      <w:r>
        <w:rPr>
          <w:b/>
          <w:color w:val="000000"/>
          <w:sz w:val="21"/>
        </w:rPr>
        <w:t>八、安装与调试</w:t>
      </w:r>
    </w:p>
    <w:p>
      <w:pPr>
        <w:ind w:firstLine="420"/>
        <w:jc w:val="both"/>
      </w:pPr>
      <w:r>
        <w:rPr>
          <w:color w:val="000000"/>
          <w:sz w:val="21"/>
        </w:rPr>
        <w:t>1.乙方必须依照招标文件的要求和投标文件的承诺，将设备、系统、线材安装并调试至正常运行的最佳状态。</w:t>
      </w:r>
    </w:p>
    <w:p>
      <w:pPr>
        <w:ind w:firstLine="420"/>
        <w:jc w:val="both"/>
      </w:pPr>
      <w:r>
        <w:rPr>
          <w:color w:val="000000"/>
          <w:sz w:val="21"/>
        </w:rPr>
        <w:t>2.乙方应保证在安装调试过程中，其工作人员在甲方场所内活动时，听从甲方接待人员的安排和引导。遵守甲方的各项规章制度，服从甲方的管理，未经甲方书面同意，乙方不得向第三方披露甲方的任何信息。同时，对于前述乙方工作人员在甲方的一切行为，由乙方承担责任。设备需要与甲方现有测试系统或软件配合使用的，由乙方负责集成和调试。</w:t>
      </w:r>
    </w:p>
    <w:p>
      <w:pPr>
        <w:ind w:firstLine="420"/>
        <w:jc w:val="both"/>
      </w:pPr>
      <w:r>
        <w:rPr>
          <w:color w:val="000000"/>
          <w:sz w:val="21"/>
        </w:rPr>
        <w:t>3.乙方应派技术人员对甲方技术人员进行培训，使其熟练掌握所有设备系统的应用和维护。培训工作的完成需经甲方的认可方可结束。供方应在设备到货后的7个工作日内完成设备的安装调试工作，并应在5个工作日内完成对需方至少3名以上使用操作人员设备使用培训工作。乙方应根据甲方的使用情况，当甲方操作人员有变动或系统软件升级时，到现场对甲方操作人员进行技术培训，使系统运行保持良好，避免不必要的误操作等情况发生。设备安装调试、培训所产生的费用由乙方承担。</w:t>
      </w:r>
    </w:p>
    <w:p>
      <w:pPr>
        <w:jc w:val="both"/>
      </w:pPr>
      <w:r>
        <w:rPr>
          <w:b/>
          <w:color w:val="000000"/>
          <w:sz w:val="21"/>
        </w:rPr>
        <w:t>九、验收</w:t>
      </w:r>
    </w:p>
    <w:p>
      <w:pPr>
        <w:ind w:firstLine="420"/>
        <w:jc w:val="both"/>
      </w:pPr>
      <w:r>
        <w:rPr>
          <w:color w:val="000000"/>
          <w:sz w:val="21"/>
        </w:rPr>
        <w:t>1.交付验收标准依次序对照适用标准为：①符合中华人民共和国国家安全质量标准、环保标准或行业标准；②符合招标文件、投标书、合同和响应承诺中甲方认可的合理最佳配置、参数及各项要求；③货物来源国官方标准。同时参照国内最新相关标准。验收的过程和结果必须详细记录，如发现性能指标或功能上不符合招投标书或合同要求时，或经法定第三方计量检测机构计量检定、校准、检测不合格时，均视为验收不合格。乙方应立即整改直至合格。</w:t>
      </w:r>
    </w:p>
    <w:p>
      <w:pPr>
        <w:ind w:firstLine="420"/>
        <w:jc w:val="both"/>
      </w:pPr>
      <w:r>
        <w:rPr>
          <w:color w:val="000000"/>
          <w:sz w:val="21"/>
        </w:rPr>
        <w:t>2.乙方将设备运至甲方指定的使用现场安装完毕后须进行计量，并由甲方指定具备资质的法定计量机构承担，验收计量费用由乙方支付，计量证书的委托方应为甲方。</w:t>
      </w:r>
    </w:p>
    <w:p>
      <w:pPr>
        <w:ind w:firstLine="420"/>
        <w:jc w:val="both"/>
      </w:pPr>
      <w:r>
        <w:rPr>
          <w:color w:val="000000"/>
          <w:sz w:val="21"/>
        </w:rPr>
        <w:t>3.如中标设备技术指标与招标文件偏差过大导致无法通过验收投入使用的，乙方应提供设备的升级以达到验收要求。（该费用包含在合同金额内，甲方不再另外支付费用。）</w:t>
      </w:r>
    </w:p>
    <w:p>
      <w:pPr>
        <w:ind w:firstLine="420"/>
        <w:jc w:val="both"/>
      </w:pPr>
      <w:r>
        <w:rPr>
          <w:color w:val="000000"/>
          <w:sz w:val="21"/>
        </w:rPr>
        <w:t>4.货物若有国家标准按照国家标准验收，若无国家标准按行业标准验收，为原制造商制造的全新产品，整机无污染，无侵权行为、表面无划损、无任何缺陷隐患，在中国境内可依常规安全合法使用。</w:t>
      </w:r>
    </w:p>
    <w:p>
      <w:pPr>
        <w:ind w:firstLine="420"/>
        <w:jc w:val="both"/>
      </w:pPr>
      <w:r>
        <w:rPr>
          <w:color w:val="000000"/>
          <w:sz w:val="21"/>
        </w:rPr>
        <w:t>5.进口产品必须具备原产地证明和合法进货渠道证明。甲方有权要求乙方提供进口货物的报关报检证明文件（如有适用）。乙方应满足甲方的相关要求。</w:t>
      </w:r>
    </w:p>
    <w:p>
      <w:pPr>
        <w:ind w:firstLine="420"/>
        <w:jc w:val="both"/>
      </w:pPr>
      <w:r>
        <w:rPr>
          <w:color w:val="000000"/>
          <w:sz w:val="21"/>
        </w:rPr>
        <w:t>6.货物为原厂商未启封全新包装，具出厂合格证，序号、包装箱号与出厂批号一致，并可追索查阅。所有随设备的附件必须齐全。</w:t>
      </w:r>
    </w:p>
    <w:p>
      <w:pPr>
        <w:ind w:firstLine="420"/>
        <w:jc w:val="both"/>
      </w:pPr>
      <w:r>
        <w:rPr>
          <w:color w:val="000000"/>
          <w:sz w:val="21"/>
        </w:rPr>
        <w:t>7.乙方应将全部产品的用户手册、保修手册、有关单证数据及配备件、随机工具等交付给甲方，使用操作及安全须知等重要数据应附有中文说明。</w:t>
      </w:r>
    </w:p>
    <w:p>
      <w:pPr>
        <w:ind w:firstLine="420"/>
        <w:jc w:val="both"/>
      </w:pPr>
      <w:r>
        <w:rPr>
          <w:color w:val="000000"/>
          <w:sz w:val="21"/>
        </w:rPr>
        <w:t>8.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ind w:firstLine="420"/>
        <w:jc w:val="both"/>
      </w:pPr>
      <w:r>
        <w:rPr>
          <w:color w:val="000000"/>
          <w:sz w:val="21"/>
        </w:rPr>
        <w:t>9.如发现货物的质量、规格和数量等任何一项与合同约定不符，乙方应于甲方通知后补正或更换新品，如经补正或更换新品仍不符合同约定时，甲方有权拒绝接受。在甲方按照本合同约定验收合格之前，产品的损坏、丢失等全部风险由乙方承担。</w:t>
      </w:r>
    </w:p>
    <w:p>
      <w:pPr>
        <w:jc w:val="both"/>
      </w:pPr>
      <w:r>
        <w:rPr>
          <w:b/>
          <w:color w:val="000000"/>
          <w:sz w:val="21"/>
        </w:rPr>
        <w:t>十、合同的转让和分包</w:t>
      </w:r>
    </w:p>
    <w:p>
      <w:pPr>
        <w:ind w:firstLine="420"/>
        <w:jc w:val="both"/>
      </w:pPr>
      <w:r>
        <w:rPr>
          <w:color w:val="000000"/>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color w:val="000000"/>
          <w:sz w:val="21"/>
        </w:rPr>
        <w:t>20%支付违约金。</w:t>
      </w:r>
    </w:p>
    <w:p>
      <w:pPr>
        <w:jc w:val="both"/>
      </w:pPr>
      <w:r>
        <w:rPr>
          <w:b/>
          <w:color w:val="000000"/>
          <w:sz w:val="21"/>
        </w:rPr>
        <w:t>十一、知识产权</w:t>
      </w:r>
    </w:p>
    <w:p>
      <w:pPr>
        <w:ind w:firstLine="420"/>
        <w:jc w:val="both"/>
      </w:pPr>
      <w:r>
        <w:rPr>
          <w:color w:val="000000"/>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ind w:firstLine="420"/>
        <w:jc w:val="both"/>
      </w:pPr>
      <w:r>
        <w:rPr>
          <w:color w:val="000000"/>
          <w:sz w:val="21"/>
        </w:rPr>
        <w:t>2.乙方如在本合同实施过程中采用自有知识成果，需向甲方提前书面声明并提供相关知识产权证明文件，甲方对该等知识产权享有永久使用权。</w:t>
      </w:r>
    </w:p>
    <w:p>
      <w:pPr>
        <w:ind w:firstLine="420"/>
        <w:jc w:val="both"/>
      </w:pPr>
      <w:r>
        <w:rPr>
          <w:color w:val="000000"/>
          <w:sz w:val="21"/>
        </w:rPr>
        <w:t>3.如乙方需要采用第三人拥有的知识产权，则在合同金额中已经包括合法获取该知识产权的相关费用。</w:t>
      </w:r>
    </w:p>
    <w:p>
      <w:pPr>
        <w:jc w:val="both"/>
      </w:pPr>
      <w:r>
        <w:rPr>
          <w:b/>
          <w:color w:val="000000"/>
          <w:sz w:val="21"/>
        </w:rPr>
        <w:t>十二、违约责任与赔偿损失</w:t>
      </w:r>
    </w:p>
    <w:p>
      <w:pPr>
        <w:ind w:firstLine="420"/>
        <w:jc w:val="both"/>
      </w:pPr>
      <w:r>
        <w:rPr>
          <w:color w:val="000000"/>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ind w:firstLine="420"/>
        <w:jc w:val="both"/>
      </w:pPr>
      <w:r>
        <w:rPr>
          <w:color w:val="000000"/>
          <w:sz w:val="21"/>
        </w:rPr>
        <w:t>2.乙方对产品的质量承担完全责任，如因产品的设计、质量瑕疵造成甲方或第三方财物损失或人身损害的，由乙方承担全部责任。</w:t>
      </w:r>
    </w:p>
    <w:p>
      <w:pPr>
        <w:ind w:firstLine="420"/>
        <w:jc w:val="both"/>
      </w:pPr>
      <w:r>
        <w:rPr>
          <w:color w:val="000000"/>
          <w:sz w:val="21"/>
        </w:rPr>
        <w:t>3.乙方交付的货物不符合招标文件、投标文件或本合同规定的，甲方有权拒收或退回，并且乙方须向甲方支付本合同总价5%的违约金并退还甲方所支付的全部费用，乙方支付的履约保证金甲方不予退回。</w:t>
      </w:r>
    </w:p>
    <w:p>
      <w:pPr>
        <w:ind w:firstLine="420"/>
        <w:jc w:val="both"/>
      </w:pPr>
      <w:r>
        <w:rPr>
          <w:color w:val="000000"/>
          <w:sz w:val="21"/>
        </w:rPr>
        <w:t>4.乙方未能按本合同规定的交货时间交付货物的，从逾期之日起每日按本合同总价3‰/天的数额向甲方支付违约金，逾期15天以上（含15天）的，甲方有权终止合同，要求乙方支付本合同总价5%作为违约金并退还甲方所支付的全部费用，并且给甲方造成的经济损失由乙方承担赔偿责任。</w:t>
      </w:r>
    </w:p>
    <w:p>
      <w:pPr>
        <w:ind w:firstLine="420"/>
        <w:jc w:val="both"/>
      </w:pPr>
      <w:r>
        <w:rPr>
          <w:color w:val="000000"/>
          <w:sz w:val="21"/>
        </w:rPr>
        <w:t>5.甲方无正当理由拒收货物/接受服务，到期拒付货物款项的，每逾期一日，甲方向乙方偿付本合同总价3‰/天的违约金。甲方逾期付款，则每日按本合同到期未付部分合同金额的3‰的标准向乙方偿付违约金。甲方逾期退还履约保证金的，则每日按履约保证金的3‰的标准向乙方偿付违约金，但因乙方自身原因导致无法及时退还的除外。</w:t>
      </w:r>
    </w:p>
    <w:p>
      <w:pPr>
        <w:ind w:firstLine="420"/>
        <w:jc w:val="both"/>
      </w:pPr>
      <w:r>
        <w:rPr>
          <w:color w:val="000000"/>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ind w:firstLine="420"/>
        <w:jc w:val="both"/>
      </w:pPr>
      <w:r>
        <w:rPr>
          <w:color w:val="000000"/>
          <w:sz w:val="21"/>
        </w:rPr>
        <w:t>7.如乙方违约导致履约保证金被甲方扣减的，乙方应在收到甲方通知后三天内及时补足，否则，应承担违约责任，违约金每天按本合同总价3‰计算。</w:t>
      </w:r>
    </w:p>
    <w:p>
      <w:pPr>
        <w:ind w:firstLine="420"/>
        <w:jc w:val="both"/>
      </w:pPr>
      <w:r>
        <w:rPr>
          <w:color w:val="000000"/>
          <w:sz w:val="21"/>
        </w:rPr>
        <w:t>8.其它违约责任按《中华人民共和国民法典》处理。</w:t>
      </w:r>
    </w:p>
    <w:p>
      <w:pPr>
        <w:jc w:val="both"/>
      </w:pPr>
      <w:r>
        <w:rPr>
          <w:b/>
          <w:color w:val="000000"/>
          <w:sz w:val="21"/>
        </w:rPr>
        <w:t>十三、合同纠纷处理方式</w:t>
      </w:r>
    </w:p>
    <w:p>
      <w:pPr>
        <w:ind w:firstLine="420"/>
        <w:jc w:val="both"/>
      </w:pPr>
      <w:r>
        <w:rPr>
          <w:color w:val="000000"/>
          <w:sz w:val="21"/>
        </w:rPr>
        <w:t>合同执行过程中发生的任何争议，如双方不能通过友好协商解决，甲、乙双方一致同意向甲方所在地人民法院提起诉讼。</w:t>
      </w:r>
    </w:p>
    <w:p>
      <w:pPr>
        <w:jc w:val="both"/>
      </w:pPr>
      <w:r>
        <w:rPr>
          <w:b/>
          <w:color w:val="000000"/>
          <w:sz w:val="21"/>
        </w:rPr>
        <w:t>十四、不可抗力</w:t>
      </w:r>
    </w:p>
    <w:p>
      <w:pPr>
        <w:ind w:firstLine="420"/>
        <w:jc w:val="both"/>
      </w:pPr>
      <w:r>
        <w:rPr>
          <w:color w:val="000000"/>
          <w:sz w:val="21"/>
        </w:rPr>
        <w:t>本合同所称的不可抗力是指不能预见、不能避免并不能克服的客观情况。具体包括但不限于：一是自然原因，如洪水、暴风雪、地震、干旱等人类无法控制的自然原因引发的灾害事故；二是社会原因，如战争、罢工、骚乱、政府禁止令、政府征用等引起的；三是突发重大疫情。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十五、税费</w:t>
      </w:r>
    </w:p>
    <w:p>
      <w:pPr>
        <w:ind w:firstLine="420"/>
        <w:jc w:val="both"/>
      </w:pPr>
      <w:r>
        <w:rPr>
          <w:color w:val="000000"/>
          <w:sz w:val="21"/>
        </w:rPr>
        <w:t>在中国境内、外发生的与本合同执行有关的一切税费均由乙方负担。</w:t>
      </w:r>
    </w:p>
    <w:p>
      <w:pPr>
        <w:jc w:val="both"/>
      </w:pPr>
      <w:r>
        <w:rPr>
          <w:b/>
          <w:color w:val="000000"/>
          <w:sz w:val="21"/>
        </w:rPr>
        <w:t>十六、其它</w:t>
      </w:r>
    </w:p>
    <w:p>
      <w:pPr>
        <w:ind w:firstLine="420"/>
        <w:jc w:val="both"/>
      </w:pPr>
      <w:r>
        <w:rPr>
          <w:color w:val="000000"/>
          <w:sz w:val="21"/>
        </w:rPr>
        <w:t>1.本合同所有附件、招标文件、投标文件（含技术方案书）、中标通知书均为合同的有效组成部分，与本合同具有同等法律效力。</w:t>
      </w:r>
    </w:p>
    <w:p>
      <w:pPr>
        <w:ind w:firstLine="420"/>
        <w:jc w:val="both"/>
      </w:pPr>
      <w:r>
        <w:rPr>
          <w:color w:val="000000"/>
          <w:sz w:val="21"/>
        </w:rPr>
        <w:t>2.在执行本合同的过程中，所有经双方签署确认的文件（包括会议纪要、补充协议、往来信函）即成为本合同的有效组成部分。</w:t>
      </w:r>
    </w:p>
    <w:p>
      <w:pPr>
        <w:ind w:firstLine="420"/>
        <w:jc w:val="both"/>
      </w:pPr>
      <w:r>
        <w:rPr>
          <w:color w:val="000000"/>
          <w:sz w:val="21"/>
        </w:rPr>
        <w:t>3.如一方地址、电话、传真号码有变更，应在变更当日内书面通知对方，否则，应承担相应责任。</w:t>
      </w:r>
    </w:p>
    <w:p>
      <w:pPr>
        <w:ind w:firstLine="420"/>
        <w:jc w:val="both"/>
      </w:pPr>
      <w:r>
        <w:rPr>
          <w:color w:val="000000"/>
          <w:sz w:val="21"/>
        </w:rPr>
        <w:t>4.除甲方事先书面同意外，乙方不得部分或全部转让其应履行的合同项下的义务。</w:t>
      </w:r>
    </w:p>
    <w:p>
      <w:pPr>
        <w:jc w:val="both"/>
      </w:pPr>
      <w:r>
        <w:rPr>
          <w:b/>
          <w:color w:val="000000"/>
          <w:sz w:val="21"/>
        </w:rPr>
        <w:t>十七、其他约定</w:t>
      </w:r>
    </w:p>
    <w:p>
      <w:pPr>
        <w:ind w:firstLine="420"/>
        <w:jc w:val="both"/>
      </w:pPr>
      <w:r>
        <w:rPr>
          <w:color w:val="000000"/>
          <w:sz w:val="21"/>
        </w:rPr>
        <w:t>1.合同自甲乙双方法人代表或经其正式授权代表签字盖章之日起生效。</w:t>
      </w:r>
    </w:p>
    <w:p>
      <w:pPr>
        <w:ind w:firstLine="420"/>
        <w:jc w:val="both"/>
      </w:pPr>
      <w:r>
        <w:rPr>
          <w:color w:val="000000"/>
          <w:sz w:val="21"/>
        </w:rPr>
        <w:t>2.合同壹式</w:t>
      </w:r>
      <w:r>
        <w:rPr>
          <w:color w:val="000000"/>
          <w:sz w:val="21"/>
          <w:u w:val="single"/>
        </w:rPr>
        <w:t xml:space="preserve"> </w:t>
      </w:r>
      <w:r>
        <w:rPr>
          <w:color w:val="000000"/>
          <w:sz w:val="21"/>
          <w:u w:val="single"/>
        </w:rPr>
        <w:t>伍</w:t>
      </w:r>
      <w:r>
        <w:rPr>
          <w:color w:val="000000"/>
          <w:sz w:val="21"/>
        </w:rPr>
        <w:t>份，其中甲方执</w:t>
      </w:r>
      <w:r>
        <w:rPr>
          <w:color w:val="000000"/>
          <w:sz w:val="21"/>
          <w:u w:val="single"/>
        </w:rPr>
        <w:t xml:space="preserve"> </w:t>
      </w:r>
      <w:r>
        <w:rPr>
          <w:color w:val="000000"/>
          <w:sz w:val="21"/>
          <w:u w:val="single"/>
        </w:rPr>
        <w:t>叁</w:t>
      </w:r>
      <w:r>
        <w:rPr>
          <w:color w:val="000000"/>
          <w:sz w:val="21"/>
        </w:rPr>
        <w:t>份，乙方执</w:t>
      </w:r>
      <w:r>
        <w:rPr>
          <w:color w:val="000000"/>
          <w:sz w:val="21"/>
          <w:u w:val="single"/>
        </w:rPr>
        <w:t xml:space="preserve"> </w:t>
      </w:r>
      <w:r>
        <w:rPr>
          <w:color w:val="000000"/>
          <w:sz w:val="21"/>
          <w:u w:val="single"/>
        </w:rPr>
        <w:t>壹</w:t>
      </w:r>
      <w:r>
        <w:rPr>
          <w:color w:val="000000"/>
          <w:sz w:val="21"/>
        </w:rPr>
        <w:t>份，政府采购代理机构执</w:t>
      </w:r>
      <w:r>
        <w:rPr>
          <w:color w:val="000000"/>
          <w:sz w:val="21"/>
          <w:u w:val="single"/>
        </w:rPr>
        <w:t xml:space="preserve"> </w:t>
      </w:r>
      <w:r>
        <w:rPr>
          <w:color w:val="000000"/>
          <w:sz w:val="21"/>
          <w:u w:val="single"/>
        </w:rPr>
        <w:t>壹</w:t>
      </w:r>
      <w:r>
        <w:rPr>
          <w:color w:val="000000"/>
          <w:sz w:val="21"/>
        </w:rPr>
        <w:t>份。</w:t>
      </w:r>
    </w:p>
    <w:p>
      <w:pPr>
        <w:jc w:val="both"/>
      </w:pPr>
    </w:p>
    <w:p>
      <w:pPr>
        <w:ind w:firstLine="420"/>
        <w:jc w:val="both"/>
      </w:pPr>
      <w:r>
        <w:rPr>
          <w:color w:val="000000"/>
          <w:sz w:val="21"/>
        </w:rPr>
        <w:t>甲方（盖章）：广东产品质量监督检验研究院</w:t>
      </w:r>
      <w:r>
        <w:rPr>
          <w:color w:val="000000"/>
          <w:sz w:val="21"/>
        </w:rPr>
        <w:t xml:space="preserve">        </w:t>
      </w:r>
      <w:r>
        <w:rPr>
          <w:color w:val="000000"/>
          <w:sz w:val="21"/>
        </w:rPr>
        <w:t>乙方（盖章）：</w:t>
      </w:r>
    </w:p>
    <w:p>
      <w:pPr>
        <w:ind w:firstLine="420"/>
        <w:jc w:val="both"/>
      </w:pPr>
      <w:r>
        <w:rPr>
          <w:color w:val="000000"/>
          <w:sz w:val="21"/>
        </w:rPr>
        <w:t>法定代表人：</w:t>
      </w:r>
      <w:r>
        <w:rPr>
          <w:color w:val="000000"/>
          <w:sz w:val="21"/>
        </w:rPr>
        <w:t xml:space="preserve">                                </w:t>
      </w:r>
      <w:r>
        <w:rPr>
          <w:color w:val="000000"/>
          <w:sz w:val="21"/>
        </w:rPr>
        <w:t>法定代表人：</w:t>
      </w:r>
    </w:p>
    <w:p>
      <w:pPr>
        <w:ind w:firstLine="420"/>
        <w:jc w:val="both"/>
      </w:pPr>
      <w:r>
        <w:rPr>
          <w:color w:val="000000"/>
          <w:sz w:val="21"/>
        </w:rPr>
        <w:t>委托代理人：</w:t>
      </w:r>
      <w:r>
        <w:rPr>
          <w:color w:val="000000"/>
          <w:sz w:val="21"/>
        </w:rPr>
        <w:t xml:space="preserve">                                </w:t>
      </w:r>
      <w:r>
        <w:rPr>
          <w:color w:val="000000"/>
          <w:sz w:val="21"/>
        </w:rPr>
        <w:t>委托代理人：</w:t>
      </w:r>
    </w:p>
    <w:p>
      <w:pPr>
        <w:ind w:firstLine="420"/>
        <w:jc w:val="both"/>
      </w:pPr>
      <w:r>
        <w:rPr>
          <w:color w:val="000000"/>
          <w:sz w:val="21"/>
        </w:rPr>
        <w:t>签约地点：</w:t>
      </w:r>
    </w:p>
    <w:p>
      <w:pPr>
        <w:ind w:firstLine="420"/>
        <w:jc w:val="both"/>
      </w:pPr>
      <w:r>
        <w:rPr>
          <w:color w:val="000000"/>
          <w:sz w:val="21"/>
        </w:rPr>
        <w:t>日</w:t>
      </w:r>
      <w:r>
        <w:rPr>
          <w:color w:val="000000"/>
          <w:sz w:val="21"/>
        </w:rPr>
        <w:t>期：</w:t>
      </w:r>
      <w:r>
        <w:rPr>
          <w:color w:val="000000"/>
          <w:sz w:val="21"/>
        </w:rPr>
        <w:t xml:space="preserve">                                     </w:t>
      </w:r>
      <w:r>
        <w:rPr>
          <w:color w:val="000000"/>
          <w:sz w:val="21"/>
        </w:rPr>
        <w:t>日期：</w:t>
      </w:r>
    </w:p>
    <w:p>
      <w:pPr>
        <w:ind w:firstLine="420"/>
        <w:jc w:val="both"/>
      </w:pPr>
      <w:r>
        <w:rPr/>
        <w:t xml:space="preserve"> </w:t>
      </w:r>
    </w:p>
    <w:p>
      <w:pPr>
        <w:ind w:firstLine="420"/>
        <w:jc w:val="both"/>
      </w:pPr>
      <w:r>
        <w:rPr/>
        <w:t xml:space="preserve"> </w:t>
      </w:r>
    </w:p>
    <w:p>
      <w:pPr>
        <w:ind w:firstLine="420"/>
        <w:jc w:val="both"/>
      </w:pPr>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440001-2022-35764</w:t>
      </w:r>
    </w:p>
    <w:p>
      <w:pPr>
        <w:jc w:val="center"/>
      </w:pPr>
      <w:r>
        <w:rPr>
          <w:b/>
          <w:sz w:val="24"/>
        </w:rPr>
        <w:t>采购项目编号：</w:t>
      </w:r>
      <w:r>
        <w:rPr>
          <w:b/>
          <w:sz w:val="24"/>
        </w:rPr>
        <w:t>0809-2241GDG12094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广东质检院国家涂料产品质检中心检测能力建设设备采购项目(二次)</w:t>
      </w:r>
      <w:r>
        <w:rPr>
          <w:u w:val="single"/>
        </w:rPr>
        <w:t>”</w:t>
      </w:r>
      <w:r>
        <w:rPr/>
        <w:t>项目的招标[采购项目编号为：</w:t>
      </w:r>
      <w:r>
        <w:rPr>
          <w:u w:val="single"/>
        </w:rPr>
        <w:t>0809-2241GDG12094</w:t>
      </w:r>
      <w:r>
        <w:rPr/>
        <w:t>]，我方愿参与投标。</w:t>
      </w:r>
    </w:p>
    <w:p>
      <w:pPr>
        <w:ind w:firstLine="480"/>
      </w:pPr>
      <w:r>
        <w:rPr/>
        <w:t>我方确认收到贵方提供的</w:t>
      </w:r>
      <w:r>
        <w:rPr>
          <w:u w:val="single"/>
        </w:rPr>
        <w:t>“</w:t>
      </w:r>
      <w:r>
        <w:rPr>
          <w:u w:val="single"/>
        </w:rPr>
        <w:t>广东质检院国家涂料产品质检中心检测能力建设设备采购项目(二次)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广东质检院国家涂料产品质检中心检测能力建设设备采购项目(二次)</w:t>
      </w:r>
      <w:r>
        <w:rPr/>
        <w:t>”项目采购[采购项目编号为</w:t>
      </w:r>
      <w:r>
        <w:rPr/>
        <w:t>0809-2241GDG12094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广东产品质量监督检验研究院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广东质检院国家涂料产品质检中心检测能力建设设备采购项目(二次)</w:t>
      </w:r>
      <w:r>
        <w:rPr/>
        <w:t>招标中获中标（采购项目编号：</w:t>
      </w:r>
      <w:r>
        <w:rPr/>
        <w:t>0809-2241GDG12094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广东质检院国家涂料产品质检中心检测能力建设设备采购项目(二次)</w:t>
      </w:r>
      <w:r>
        <w:rPr/>
        <w:t>”项目（采购项目编号：</w:t>
      </w:r>
      <w:r>
        <w:rPr/>
        <w:t>0809-2241GDG12094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