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基本配置要求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1.该分析仪必须是一套全自动运行的物理和化学吸附分析系统。可进行如下分析：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1.1静态物理吸附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1.2. *静态化学吸附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1.3. *全自动TPR/TPD/TPO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480" w:firstLineChars="20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2．技术参数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480" w:firstLineChars="20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2.1 物理吸附功能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480" w:firstLineChars="20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2.1.1 分析站: 可以进行比表面及孔径分析，可以进行任何非腐蚀性气体物理吸附测试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480" w:firstLineChars="20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2.1.2 P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站必须配有独立的1000torr压力传感器，可以实时测定P/P0值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360" w:lineRule="auto"/>
        <w:ind w:left="0" w:firstLine="480" w:firstLineChars="20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2.1.3 脱气站：配有4个脱气站，真空脱气，电脑控制程序升温和抽空压力，具有过压保护功能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360" w:lineRule="auto"/>
        <w:ind w:left="0" w:firstLine="480" w:firstLineChars="20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2.1.4*分析站和脱气站必须在一台仪器上完成无需另外单独配脱气站，脱气站必须配有独立的压力传感器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360" w:lineRule="auto"/>
        <w:ind w:left="0" w:firstLine="480" w:firstLineChars="20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2.1.5 *脱气系统必须具有可装液氮的保护冷阱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360" w:lineRule="auto"/>
        <w:ind w:left="0" w:firstLine="480" w:firstLineChars="200"/>
        <w:jc w:val="left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sz w:val="24"/>
          <w:szCs w:val="24"/>
        </w:rPr>
        <w:t>2.1.6 压力传感器精度：±0.1％满量程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360" w:lineRule="auto"/>
        <w:ind w:left="0" w:firstLine="480" w:firstLineChars="20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2.1.7*必须配有液位传感器，可精确控制液氮液面到±0.5mm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360" w:lineRule="auto"/>
        <w:ind w:left="0" w:firstLine="480" w:firstLineChars="20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2.1.8杜瓦瓶持续工作时间：可达90小时，配备3L杜瓦瓶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2.2  * 必须内置TCD检测器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2.2.1</w:t>
      </w:r>
      <w:r>
        <w:rPr>
          <w:sz w:val="24"/>
          <w:szCs w:val="24"/>
        </w:rPr>
        <w:tab/>
      </w:r>
      <w:r>
        <w:rPr>
          <w:sz w:val="24"/>
          <w:szCs w:val="24"/>
        </w:rPr>
        <w:t>TCD气体体积范围：0.001到大于100cc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2.2.2  TCD 重现性：对典型样品，优于0.5％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2.2.3</w:t>
      </w:r>
      <w:r>
        <w:rPr>
          <w:sz w:val="24"/>
          <w:szCs w:val="24"/>
        </w:rPr>
        <w:tab/>
      </w:r>
      <w:r>
        <w:rPr>
          <w:sz w:val="24"/>
          <w:szCs w:val="24"/>
        </w:rPr>
        <w:t>TCD 灯丝：必须配备钨铼合金灯丝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2.2.4  TCD与样品管出口之间必须带有保护冷阱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lef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2.2.5 必须满足以下温度爬升速率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sz w:val="24"/>
          <w:szCs w:val="24"/>
        </w:rPr>
        <w:t xml:space="preserve">1 deg C / min to 100 deg C / min up to 500 deg C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lef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 deg C / min to 50 deg C / min up to 750 deg C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lef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1 deg C / min to 30 deg C / min up to 1000 deg C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1 deg C / min to 20 deg C / min up to 1100 deg 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360" w:lineRule="auto"/>
        <w:ind w:left="0" w:firstLine="480" w:firstLineChars="20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2.4 软件功能和分析方法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360" w:lineRule="auto"/>
        <w:ind w:left="0" w:firstLine="480" w:firstLineChars="20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2.4.1等温线：用户可以在指定的目标压力选择数据点的个数；BET比表面积，朗格莫尔表面积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360" w:lineRule="auto"/>
        <w:ind w:left="0" w:firstLine="480" w:firstLineChars="20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2.4.2 BJH孔径分布；Dollimore-Heal 孔径分布；Dubinin-Radushkevich  微孔面积，平均孔径，微孔体积，平均吸附能；总孔体积，平均孔径；统计壁厚（t－曲线）：de Boer，Halsey或碳黑模型；t法：微孔表面积，中孔表面积，微孔体积，相关系数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360" w:lineRule="auto"/>
        <w:ind w:left="0" w:firstLine="480" w:firstLineChars="20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2.4.3微孔孔径分布模型：至少有MP，HK，SF，MC，非定域密度函数理论（NLDFT），QSDFT，6种以上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360" w:lineRule="auto"/>
        <w:ind w:left="0" w:firstLine="480" w:firstLineChars="20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2.5.4至少提供25个NLDFT核心模型文件和两个QSDFT核心模型文件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ind w:left="0" w:firstLine="482" w:firstLineChars="20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3仪器配置清单</w:t>
      </w:r>
    </w:p>
    <w:tbl>
      <w:tblPr>
        <w:tblStyle w:val="16"/>
        <w:tblpPr w:leftFromText="180" w:rightFromText="180" w:vertAnchor="text" w:horzAnchor="margin" w:tblpXSpec="center" w:tblpY="18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1"/>
        <w:gridCol w:w="4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ATTACHMENT TO THE </w:t>
            </w:r>
            <w:r>
              <w:rPr>
                <w:rStyle w:val="40"/>
                <w:color w:val="auto"/>
                <w:sz w:val="24"/>
                <w:szCs w:val="24"/>
              </w:rPr>
              <w:t>CONTRACT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配置清单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货物名称</w:t>
            </w:r>
          </w:p>
        </w:tc>
        <w:tc>
          <w:tcPr>
            <w:tcW w:w="2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程序升温化学吸附仪主机</w:t>
            </w:r>
          </w:p>
        </w:tc>
        <w:tc>
          <w:tcPr>
            <w:tcW w:w="2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left="31" w:leftChars="-54" w:hanging="144" w:hangingChars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样品管</w:t>
            </w:r>
          </w:p>
        </w:tc>
        <w:tc>
          <w:tcPr>
            <w:tcW w:w="2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left="31" w:leftChars="-54" w:hanging="144" w:hangingChars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电脑</w:t>
            </w:r>
          </w:p>
        </w:tc>
        <w:tc>
          <w:tcPr>
            <w:tcW w:w="2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left="31" w:leftChars="-54" w:hanging="144" w:hangingChars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冷阱杜瓦</w:t>
            </w:r>
          </w:p>
        </w:tc>
        <w:tc>
          <w:tcPr>
            <w:tcW w:w="2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left="31" w:leftChars="-54" w:hanging="144" w:hangingChars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1个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高温炉</w:t>
            </w:r>
          </w:p>
        </w:tc>
        <w:tc>
          <w:tcPr>
            <w:tcW w:w="2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left="31" w:leftChars="-54" w:hanging="144" w:hangingChars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液位传感器</w:t>
            </w:r>
          </w:p>
        </w:tc>
        <w:tc>
          <w:tcPr>
            <w:tcW w:w="2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left="31" w:leftChars="-54" w:hanging="144" w:hangingChars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3L液氮杜瓦</w:t>
            </w:r>
          </w:p>
        </w:tc>
        <w:tc>
          <w:tcPr>
            <w:tcW w:w="2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1个</w:t>
            </w:r>
          </w:p>
        </w:tc>
      </w:tr>
    </w:tbl>
    <w:p>
      <w:pPr>
        <w:ind w:left="420"/>
        <w:jc w:val="left"/>
        <w:rPr>
          <w:rFonts w:eastAsia="方正书宋简体"/>
          <w:szCs w:val="21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黑体 CN Regular">
    <w:altName w:val="黑体"/>
    <w:panose1 w:val="00000000000000000000"/>
    <w:charset w:val="86"/>
    <w:family w:val="swiss"/>
    <w:pitch w:val="default"/>
    <w:sig w:usb0="00000000" w:usb1="00000000" w:usb2="00000016" w:usb3="00000000" w:csb0="00060107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0ZDdiMTAwYjMwYmFkODVkZjViZWIxODFhNGNlMWMifQ=="/>
  </w:docVars>
  <w:rsids>
    <w:rsidRoot w:val="00A552FB"/>
    <w:rsid w:val="00060D54"/>
    <w:rsid w:val="000B02E2"/>
    <w:rsid w:val="000F5392"/>
    <w:rsid w:val="00124313"/>
    <w:rsid w:val="001372BA"/>
    <w:rsid w:val="00307378"/>
    <w:rsid w:val="00332DF7"/>
    <w:rsid w:val="0038788B"/>
    <w:rsid w:val="00396BE0"/>
    <w:rsid w:val="003B2C53"/>
    <w:rsid w:val="003C06CD"/>
    <w:rsid w:val="00425B02"/>
    <w:rsid w:val="00456315"/>
    <w:rsid w:val="00467AD0"/>
    <w:rsid w:val="00484BBC"/>
    <w:rsid w:val="00485702"/>
    <w:rsid w:val="00492304"/>
    <w:rsid w:val="004A5A3D"/>
    <w:rsid w:val="004D5665"/>
    <w:rsid w:val="005049D6"/>
    <w:rsid w:val="005C6EE9"/>
    <w:rsid w:val="005F3687"/>
    <w:rsid w:val="0062561C"/>
    <w:rsid w:val="006315B2"/>
    <w:rsid w:val="00661FA7"/>
    <w:rsid w:val="006A58FD"/>
    <w:rsid w:val="007721D2"/>
    <w:rsid w:val="008476DD"/>
    <w:rsid w:val="00926D58"/>
    <w:rsid w:val="0093583E"/>
    <w:rsid w:val="0093782F"/>
    <w:rsid w:val="00956E8D"/>
    <w:rsid w:val="00965AAC"/>
    <w:rsid w:val="00A552FB"/>
    <w:rsid w:val="00A85726"/>
    <w:rsid w:val="00AD7970"/>
    <w:rsid w:val="00B30D98"/>
    <w:rsid w:val="00B400C4"/>
    <w:rsid w:val="00C857E6"/>
    <w:rsid w:val="00C9251B"/>
    <w:rsid w:val="00CA15DD"/>
    <w:rsid w:val="00CA62CD"/>
    <w:rsid w:val="00CF7E11"/>
    <w:rsid w:val="00D27C0D"/>
    <w:rsid w:val="00D959D5"/>
    <w:rsid w:val="00DB116A"/>
    <w:rsid w:val="00DD4369"/>
    <w:rsid w:val="00E317C3"/>
    <w:rsid w:val="00E33445"/>
    <w:rsid w:val="00E337A1"/>
    <w:rsid w:val="00EB383F"/>
    <w:rsid w:val="00EE3A71"/>
    <w:rsid w:val="00FF73F6"/>
    <w:rsid w:val="039D77CC"/>
    <w:rsid w:val="068A01A2"/>
    <w:rsid w:val="0A5A0A4F"/>
    <w:rsid w:val="13996E34"/>
    <w:rsid w:val="2572361E"/>
    <w:rsid w:val="29267A03"/>
    <w:rsid w:val="2AA01EDB"/>
    <w:rsid w:val="2C2B2FCD"/>
    <w:rsid w:val="411E08F8"/>
    <w:rsid w:val="468F2128"/>
    <w:rsid w:val="47335FF8"/>
    <w:rsid w:val="475D7E24"/>
    <w:rsid w:val="4D141B27"/>
    <w:rsid w:val="50E26B82"/>
    <w:rsid w:val="592D28A0"/>
    <w:rsid w:val="5C0E150F"/>
    <w:rsid w:val="5DFA42C0"/>
    <w:rsid w:val="653E50FB"/>
    <w:rsid w:val="6D3F1745"/>
    <w:rsid w:val="78BB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9"/>
    <w:qFormat/>
    <w:uiPriority w:val="0"/>
    <w:pPr>
      <w:keepNext/>
      <w:keepLines/>
      <w:spacing w:line="360" w:lineRule="auto"/>
      <w:outlineLvl w:val="2"/>
    </w:pPr>
    <w:rPr>
      <w:rFonts w:eastAsia="微软雅黑"/>
      <w:b/>
      <w:bCs/>
      <w:sz w:val="24"/>
      <w:szCs w:val="32"/>
    </w:rPr>
  </w:style>
  <w:style w:type="paragraph" w:styleId="6">
    <w:name w:val="heading 4"/>
    <w:basedOn w:val="1"/>
    <w:next w:val="1"/>
    <w:link w:val="28"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paragraph" w:styleId="7">
    <w:name w:val="heading 5"/>
    <w:basedOn w:val="1"/>
    <w:next w:val="1"/>
    <w:link w:val="33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kern w:val="0"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Body Text"/>
    <w:basedOn w:val="1"/>
    <w:link w:val="38"/>
    <w:semiHidden/>
    <w:unhideWhenUsed/>
    <w:qFormat/>
    <w:uiPriority w:val="99"/>
    <w:pPr>
      <w:spacing w:after="120"/>
    </w:pPr>
  </w:style>
  <w:style w:type="paragraph" w:styleId="9">
    <w:name w:val="Body Text Indent"/>
    <w:basedOn w:val="1"/>
    <w:qFormat/>
    <w:uiPriority w:val="0"/>
    <w:pPr>
      <w:adjustRightInd w:val="0"/>
      <w:spacing w:line="312" w:lineRule="atLeast"/>
      <w:ind w:left="719" w:leftChars="115" w:hanging="478" w:hangingChars="199"/>
      <w:textAlignment w:val="baseline"/>
    </w:pPr>
    <w:rPr>
      <w:rFonts w:ascii="黑体" w:eastAsia="黑体"/>
      <w:kern w:val="0"/>
      <w:sz w:val="24"/>
      <w:szCs w:val="20"/>
    </w:rPr>
  </w:style>
  <w:style w:type="paragraph" w:styleId="10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toc 4"/>
    <w:basedOn w:val="1"/>
    <w:next w:val="1"/>
    <w:qFormat/>
    <w:uiPriority w:val="0"/>
    <w:pPr>
      <w:ind w:left="1260" w:leftChars="600"/>
    </w:pPr>
  </w:style>
  <w:style w:type="paragraph" w:styleId="14">
    <w:name w:val="Normal (Web)"/>
    <w:basedOn w:val="1"/>
    <w:qFormat/>
    <w:uiPriority w:val="99"/>
    <w:rPr>
      <w:kern w:val="0"/>
      <w:sz w:val="24"/>
      <w:szCs w:val="20"/>
    </w:rPr>
  </w:style>
  <w:style w:type="paragraph" w:styleId="15">
    <w:name w:val="Body Text First Indent 2"/>
    <w:basedOn w:val="9"/>
    <w:unhideWhenUsed/>
    <w:qFormat/>
    <w:uiPriority w:val="99"/>
    <w:pPr>
      <w:ind w:firstLine="420" w:firstLineChars="200"/>
    </w:pPr>
  </w:style>
  <w:style w:type="table" w:styleId="17">
    <w:name w:val="Table Grid"/>
    <w:basedOn w:val="1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0">
    <w:name w:val="页眉 Char"/>
    <w:basedOn w:val="18"/>
    <w:link w:val="12"/>
    <w:qFormat/>
    <w:uiPriority w:val="99"/>
    <w:rPr>
      <w:sz w:val="18"/>
      <w:szCs w:val="18"/>
    </w:rPr>
  </w:style>
  <w:style w:type="character" w:customStyle="1" w:styleId="21">
    <w:name w:val="页脚 Char"/>
    <w:basedOn w:val="18"/>
    <w:link w:val="11"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3">
    <w:name w:val="Body text|3"/>
    <w:basedOn w:val="1"/>
    <w:qFormat/>
    <w:uiPriority w:val="0"/>
    <w:rPr>
      <w:rFonts w:ascii="宋体" w:hAnsi="宋体" w:cs="宋体"/>
      <w:color w:val="231F20"/>
      <w:sz w:val="17"/>
      <w:szCs w:val="17"/>
      <w:lang w:val="zh-TW" w:eastAsia="zh-TW" w:bidi="zh-TW"/>
    </w:rPr>
  </w:style>
  <w:style w:type="paragraph" w:customStyle="1" w:styleId="24">
    <w:name w:val="Body text|2"/>
    <w:basedOn w:val="1"/>
    <w:qFormat/>
    <w:uiPriority w:val="0"/>
    <w:rPr>
      <w:rFonts w:asciiTheme="minorHAnsi" w:hAnsiTheme="minorHAnsi" w:eastAsiaTheme="minorEastAsia" w:cstheme="minorBidi"/>
      <w:color w:val="231F20"/>
      <w:sz w:val="19"/>
      <w:szCs w:val="19"/>
    </w:rPr>
  </w:style>
  <w:style w:type="character" w:customStyle="1" w:styleId="25">
    <w:name w:val="批注框文本 Char"/>
    <w:basedOn w:val="18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标题 3 Char"/>
    <w:basedOn w:val="18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7">
    <w:name w:val="标题 4 Char"/>
    <w:basedOn w:val="18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8">
    <w:name w:val="标题 4 Char1"/>
    <w:link w:val="6"/>
    <w:qFormat/>
    <w:uiPriority w:val="0"/>
    <w:rPr>
      <w:rFonts w:ascii="等线 Light" w:hAnsi="等线 Light" w:eastAsia="等线 Light" w:cs="Times New Roman"/>
      <w:b/>
      <w:bCs/>
      <w:sz w:val="28"/>
      <w:szCs w:val="28"/>
    </w:rPr>
  </w:style>
  <w:style w:type="character" w:customStyle="1" w:styleId="29">
    <w:name w:val="标题 3 Char1"/>
    <w:link w:val="5"/>
    <w:qFormat/>
    <w:uiPriority w:val="0"/>
    <w:rPr>
      <w:rFonts w:ascii="Times New Roman" w:hAnsi="Times New Roman" w:eastAsia="微软雅黑" w:cs="Times New Roman"/>
      <w:b/>
      <w:bCs/>
      <w:sz w:val="24"/>
      <w:szCs w:val="32"/>
    </w:rPr>
  </w:style>
  <w:style w:type="paragraph" w:styleId="30">
    <w:name w:val="List Paragraph"/>
    <w:basedOn w:val="1"/>
    <w:next w:val="13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31">
    <w:name w:val="标题 2 Char"/>
    <w:basedOn w:val="18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Calibri"/>
      <w:kern w:val="0"/>
      <w:sz w:val="21"/>
      <w:szCs w:val="20"/>
      <w:lang w:val="en-US" w:eastAsia="zh-CN" w:bidi="ar-SA"/>
    </w:rPr>
  </w:style>
  <w:style w:type="character" w:customStyle="1" w:styleId="33">
    <w:name w:val="标题 5 Char"/>
    <w:basedOn w:val="18"/>
    <w:link w:val="7"/>
    <w:semiHidden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paragraph" w:customStyle="1" w:styleId="34">
    <w:name w:val="0正文"/>
    <w:basedOn w:val="8"/>
    <w:qFormat/>
    <w:uiPriority w:val="0"/>
    <w:pPr>
      <w:spacing w:after="0" w:line="500" w:lineRule="exact"/>
      <w:ind w:firstLine="200" w:firstLineChars="200"/>
    </w:pPr>
    <w:rPr>
      <w:rFonts w:ascii="微软雅黑" w:hAnsi="微软雅黑"/>
      <w:kern w:val="0"/>
      <w:sz w:val="20"/>
      <w:szCs w:val="23"/>
    </w:rPr>
  </w:style>
  <w:style w:type="paragraph" w:customStyle="1" w:styleId="35">
    <w:name w:val="正文格式（小四）"/>
    <w:basedOn w:val="1"/>
    <w:qFormat/>
    <w:uiPriority w:val="0"/>
    <w:pPr>
      <w:widowControl/>
      <w:adjustRightInd w:val="0"/>
      <w:snapToGrid w:val="0"/>
      <w:spacing w:line="360" w:lineRule="auto"/>
      <w:ind w:firstLine="482"/>
      <w:jc w:val="left"/>
      <w:textAlignment w:val="baseline"/>
    </w:pPr>
    <w:rPr>
      <w:rFonts w:ascii="Calibri" w:hAnsi="Calibri"/>
      <w:kern w:val="24"/>
      <w:sz w:val="24"/>
      <w:szCs w:val="20"/>
    </w:rPr>
  </w:style>
  <w:style w:type="paragraph" w:customStyle="1" w:styleId="36">
    <w:name w:val="样式1文本内容部分"/>
    <w:basedOn w:val="1"/>
    <w:link w:val="37"/>
    <w:qFormat/>
    <w:uiPriority w:val="0"/>
    <w:pPr>
      <w:spacing w:line="340" w:lineRule="exact"/>
    </w:pPr>
    <w:rPr>
      <w:rFonts w:ascii="思源黑体 CN Regular" w:hAnsi="思源黑体 CN Regular" w:eastAsia="思源黑体 CN Regular"/>
      <w:sz w:val="18"/>
      <w:szCs w:val="18"/>
    </w:rPr>
  </w:style>
  <w:style w:type="character" w:customStyle="1" w:styleId="37">
    <w:name w:val="样式1文本内容部分 Char"/>
    <w:link w:val="36"/>
    <w:qFormat/>
    <w:uiPriority w:val="0"/>
    <w:rPr>
      <w:rFonts w:ascii="思源黑体 CN Regular" w:hAnsi="思源黑体 CN Regular" w:eastAsia="思源黑体 CN Regular" w:cs="Times New Roman"/>
      <w:sz w:val="18"/>
      <w:szCs w:val="18"/>
    </w:rPr>
  </w:style>
  <w:style w:type="character" w:customStyle="1" w:styleId="38">
    <w:name w:val="正文文本 Char"/>
    <w:basedOn w:val="18"/>
    <w:link w:val="8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39">
    <w:name w:val="报告正文"/>
    <w:basedOn w:val="1"/>
    <w:qFormat/>
    <w:uiPriority w:val="0"/>
    <w:pPr>
      <w:adjustRightInd w:val="0"/>
      <w:snapToGrid w:val="0"/>
      <w:spacing w:line="480" w:lineRule="exact"/>
      <w:ind w:firstLine="560"/>
    </w:pPr>
    <w:rPr>
      <w:rFonts w:ascii="宋体" w:hAnsi="宋体"/>
      <w:snapToGrid w:val="0"/>
      <w:kern w:val="0"/>
      <w:sz w:val="28"/>
      <w:szCs w:val="28"/>
    </w:rPr>
  </w:style>
  <w:style w:type="character" w:customStyle="1" w:styleId="40">
    <w:name w:val="font71"/>
    <w:basedOn w:val="1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669</Words>
  <Characters>785</Characters>
  <Lines>82</Lines>
  <Paragraphs>23</Paragraphs>
  <TotalTime>0</TotalTime>
  <ScaleCrop>false</ScaleCrop>
  <LinksUpToDate>false</LinksUpToDate>
  <CharactersWithSpaces>785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2020-04-02T03:45:00Z</dcterms:created>
  <dc:creator>黑龙江省世纪环宇项目管理有限公司</dc:creator>
  <cp:lastModifiedBy>LLL</cp:lastModifiedBy>
  <dcterms:modified xsi:type="dcterms:W3CDTF">2022-11-27T07:51:07Z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D6C01FB628124755A0F68BB4BDCBB84F</vt:lpwstr>
  </property>
</Properties>
</file>