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70" w:firstLineChars="200"/>
        <w:jc w:val="center"/>
        <w:rPr>
          <w:rFonts w:hint="eastAsia" w:ascii="宋体" w:hAnsi="宋体" w:eastAsia="宋体" w:cs="宋体"/>
          <w:color w:val="6E622E"/>
          <w:sz w:val="36"/>
          <w:szCs w:val="36"/>
          <w:bdr w:val="none" w:color="auto" w:sz="0" w:space="0"/>
        </w:rPr>
      </w:pPr>
      <w:bookmarkStart w:id="1" w:name="_GoBack"/>
      <w:r>
        <w:rPr>
          <w:rFonts w:hint="eastAsia" w:ascii="宋体" w:hAnsi="宋体" w:eastAsia="宋体" w:cs="宋体"/>
          <w:color w:val="6E622E"/>
          <w:sz w:val="36"/>
          <w:szCs w:val="36"/>
          <w:bdr w:val="none" w:color="auto" w:sz="0" w:space="0"/>
        </w:rPr>
        <w:t>洛阳市文物局汉魏洛阳城遗址博物馆建筑设计方案项目（二次）招标公告</w:t>
      </w:r>
    </w:p>
    <w:bookmarkEnd w:id="1"/>
    <w:p>
      <w:pPr>
        <w:ind w:firstLine="470" w:firstLineChars="200"/>
        <w:rPr>
          <w:rFonts w:hint="eastAsia" w:ascii="微软雅黑" w:hAnsi="微软雅黑" w:eastAsia="微软雅黑" w:cs="微软雅黑"/>
          <w:color w:val="6E622E"/>
          <w:sz w:val="21"/>
          <w:szCs w:val="21"/>
          <w:bdr w:val="none" w:color="auto" w:sz="0" w:space="0"/>
        </w:rPr>
      </w:pPr>
    </w:p>
    <w:p>
      <w:pPr>
        <w:ind w:firstLine="530" w:firstLineChars="200"/>
        <w:rPr>
          <w:rFonts w:hint="eastAsia"/>
        </w:rPr>
      </w:pPr>
      <w:r>
        <w:rPr>
          <w:rFonts w:hint="eastAsia"/>
          <w:lang w:eastAsia="zh-CN"/>
        </w:rPr>
        <w:t>（一）</w:t>
      </w:r>
      <w:r>
        <w:rPr>
          <w:rFonts w:hint="eastAsia"/>
        </w:rPr>
        <w:t>招标条件</w:t>
      </w:r>
    </w:p>
    <w:p>
      <w:pPr>
        <w:ind w:firstLine="530" w:firstLineChars="200"/>
        <w:rPr>
          <w:rFonts w:hint="eastAsia"/>
        </w:rPr>
      </w:pPr>
      <w:r>
        <w:rPr>
          <w:rFonts w:hint="eastAsia"/>
        </w:rPr>
        <w:t>本招标项目河南省洛阳市文物局汉魏洛阳城遗址博物馆建筑设计方案项目已由上级主管部门批准，招标人为洛阳市文物局。项目已具备招标条件，现对该项目的设计进行公开招标。</w:t>
      </w:r>
    </w:p>
    <w:p>
      <w:pPr>
        <w:ind w:firstLine="530" w:firstLineChars="200"/>
        <w:rPr>
          <w:rFonts w:hint="eastAsia"/>
        </w:rPr>
      </w:pPr>
      <w:r>
        <w:rPr>
          <w:rFonts w:hint="eastAsia"/>
          <w:lang w:eastAsia="zh-CN"/>
        </w:rPr>
        <w:t>（二）</w:t>
      </w:r>
      <w:r>
        <w:rPr>
          <w:rFonts w:hint="eastAsia"/>
        </w:rPr>
        <w:t>项目概况与招标范围</w:t>
      </w:r>
    </w:p>
    <w:p>
      <w:pPr>
        <w:ind w:firstLine="530" w:firstLineChars="200"/>
        <w:rPr>
          <w:rFonts w:hint="eastAsia"/>
        </w:rPr>
      </w:pPr>
      <w:r>
        <w:rPr>
          <w:rFonts w:hint="eastAsia"/>
        </w:rPr>
        <w:t>1.政府采购管理部门备案编号: 洛采公开-2022-17</w:t>
      </w:r>
    </w:p>
    <w:p>
      <w:pPr>
        <w:ind w:firstLine="530" w:firstLineChars="200"/>
        <w:rPr>
          <w:rFonts w:hint="eastAsia"/>
        </w:rPr>
      </w:pPr>
      <w:r>
        <w:rPr>
          <w:rFonts w:hint="eastAsia"/>
        </w:rPr>
        <w:t>2.项目名称：洛阳市文物局汉魏洛阳城遗址博物馆建筑设计方案项目</w:t>
      </w:r>
    </w:p>
    <w:p>
      <w:pPr>
        <w:ind w:firstLine="530" w:firstLineChars="200"/>
        <w:rPr>
          <w:rFonts w:hint="eastAsia"/>
        </w:rPr>
      </w:pPr>
      <w:r>
        <w:rPr>
          <w:rFonts w:hint="eastAsia"/>
        </w:rPr>
        <w:t xml:space="preserve">3.采购方式：公开招标   </w:t>
      </w:r>
    </w:p>
    <w:p>
      <w:pPr>
        <w:ind w:firstLine="530" w:firstLineChars="200"/>
        <w:rPr>
          <w:rFonts w:hint="eastAsia"/>
        </w:rPr>
      </w:pPr>
      <w:r>
        <w:rPr>
          <w:rFonts w:hint="eastAsia"/>
        </w:rPr>
        <w:t>4.预算金额：7765614.73元；最高限价：7765614.73元。</w:t>
      </w:r>
    </w:p>
    <w:p>
      <w:pPr>
        <w:ind w:firstLine="530" w:firstLineChars="200"/>
        <w:rPr>
          <w:rFonts w:hint="eastAsia"/>
        </w:rPr>
      </w:pPr>
      <w:r>
        <w:rPr>
          <w:rFonts w:hint="eastAsia"/>
        </w:rPr>
        <w:t>5.采购需求</w:t>
      </w:r>
    </w:p>
    <w:p>
      <w:pPr>
        <w:ind w:firstLine="530" w:firstLineChars="200"/>
        <w:rPr>
          <w:rFonts w:hint="eastAsia"/>
        </w:rPr>
      </w:pPr>
      <w:r>
        <w:rPr>
          <w:rFonts w:hint="eastAsia"/>
        </w:rPr>
        <w:t>5.1招标条件</w:t>
      </w:r>
    </w:p>
    <w:p>
      <w:pPr>
        <w:ind w:firstLine="530" w:firstLineChars="200"/>
        <w:rPr>
          <w:rFonts w:hint="eastAsia"/>
        </w:rPr>
      </w:pPr>
      <w:r>
        <w:rPr>
          <w:rFonts w:hint="eastAsia"/>
        </w:rPr>
        <w:t>本招标项目河南省洛阳市文物局汉魏洛阳城遗址博物馆建筑设计方案项目已由上级主管部门批准，招标人为洛阳市文物局。项目已具备招标条件，现对该项目的设计进行公开招标。</w:t>
      </w:r>
    </w:p>
    <w:p>
      <w:pPr>
        <w:ind w:firstLine="530" w:firstLineChars="200"/>
        <w:rPr>
          <w:rFonts w:hint="eastAsia"/>
        </w:rPr>
      </w:pPr>
      <w:r>
        <w:rPr>
          <w:rFonts w:hint="eastAsia"/>
        </w:rPr>
        <w:t>5.2项目概况与招标范围</w:t>
      </w:r>
    </w:p>
    <w:p>
      <w:pPr>
        <w:ind w:firstLine="530" w:firstLineChars="200"/>
        <w:rPr>
          <w:rFonts w:hint="eastAsia"/>
        </w:rPr>
      </w:pPr>
      <w:r>
        <w:rPr>
          <w:rFonts w:hint="eastAsia"/>
        </w:rPr>
        <w:t xml:space="preserve">5.2.1招标编号：洛建招2022-012 </w:t>
      </w:r>
    </w:p>
    <w:p>
      <w:pPr>
        <w:ind w:firstLine="530" w:firstLineChars="200"/>
        <w:rPr>
          <w:rFonts w:hint="eastAsia"/>
        </w:rPr>
      </w:pPr>
      <w:r>
        <w:rPr>
          <w:rFonts w:hint="eastAsia"/>
        </w:rPr>
        <w:t>5.2.2资金来源及出资比例：财政投资，100%；</w:t>
      </w:r>
    </w:p>
    <w:p>
      <w:pPr>
        <w:ind w:firstLine="530" w:firstLineChars="200"/>
        <w:rPr>
          <w:rFonts w:hint="eastAsia"/>
        </w:rPr>
      </w:pPr>
      <w:r>
        <w:rPr>
          <w:rFonts w:hint="eastAsia"/>
        </w:rPr>
        <w:t>5.2.3招标范围：汉魏洛阳城遗址博物馆建设项目的建筑方案设计、初步设计（含概算编制）、施工图设计及本项目计划投资所含的所有设计内容（不含展陈设计）。详见招标文件第五章发包人要求。</w:t>
      </w:r>
    </w:p>
    <w:p>
      <w:pPr>
        <w:ind w:firstLine="530" w:firstLineChars="200"/>
        <w:rPr>
          <w:rFonts w:hint="eastAsia"/>
        </w:rPr>
      </w:pPr>
      <w:r>
        <w:rPr>
          <w:rFonts w:hint="eastAsia"/>
        </w:rPr>
        <w:t>5.2.4建设地点：洛阳市瀍河区白马寺镇翟泉村南部，洛白路北侧、工业区大道东侧</w:t>
      </w:r>
    </w:p>
    <w:p>
      <w:pPr>
        <w:ind w:firstLine="530" w:firstLineChars="200"/>
        <w:rPr>
          <w:rFonts w:hint="eastAsia"/>
        </w:rPr>
      </w:pPr>
      <w:r>
        <w:rPr>
          <w:rFonts w:hint="eastAsia"/>
        </w:rPr>
        <w:t>5.2.5建设规模：小于3.2万平方米</w:t>
      </w:r>
    </w:p>
    <w:p>
      <w:pPr>
        <w:ind w:firstLine="530" w:firstLineChars="200"/>
        <w:rPr>
          <w:rFonts w:hint="eastAsia"/>
        </w:rPr>
      </w:pPr>
      <w:r>
        <w:rPr>
          <w:rFonts w:hint="eastAsia"/>
        </w:rPr>
        <w:t>5.2.6质量要求：符合国家、行业、地方政府有关法律法规及技术规范要求。</w:t>
      </w:r>
    </w:p>
    <w:p>
      <w:pPr>
        <w:ind w:firstLine="530" w:firstLineChars="200"/>
        <w:rPr>
          <w:rFonts w:hint="eastAsia"/>
        </w:rPr>
      </w:pPr>
      <w:r>
        <w:rPr>
          <w:rFonts w:hint="eastAsia"/>
        </w:rPr>
        <w:t>5.2.7设计服务期限:初步设计15天、施工图设计40天；建筑工程施工期间驻场设计≥360天</w:t>
      </w:r>
    </w:p>
    <w:p>
      <w:pPr>
        <w:ind w:firstLine="530" w:firstLineChars="200"/>
        <w:rPr>
          <w:rFonts w:hint="eastAsia"/>
        </w:rPr>
      </w:pPr>
      <w:r>
        <w:rPr>
          <w:rFonts w:hint="eastAsia"/>
        </w:rPr>
        <w:t>5.2.8最高限价：7765614.73元。控制费率1.8%。</w:t>
      </w:r>
    </w:p>
    <w:p>
      <w:pPr>
        <w:ind w:firstLine="530" w:firstLineChars="200"/>
        <w:rPr>
          <w:rFonts w:hint="eastAsia"/>
        </w:rPr>
      </w:pPr>
      <w:r>
        <w:rPr>
          <w:rFonts w:hint="eastAsia"/>
        </w:rPr>
        <w:t>5.2.9标段划分：本项目共划分为一个标段。</w:t>
      </w:r>
    </w:p>
    <w:p>
      <w:pPr>
        <w:ind w:firstLine="530" w:firstLineChars="200"/>
        <w:rPr>
          <w:rFonts w:hint="eastAsia"/>
        </w:rPr>
      </w:pPr>
      <w:r>
        <w:rPr>
          <w:rFonts w:hint="eastAsia"/>
        </w:rPr>
        <w:t>6.本项目是否接受联合体投标：否</w:t>
      </w:r>
    </w:p>
    <w:p>
      <w:pPr>
        <w:ind w:firstLine="530" w:firstLineChars="200"/>
        <w:rPr>
          <w:rFonts w:hint="eastAsia"/>
        </w:rPr>
      </w:pPr>
      <w:r>
        <w:rPr>
          <w:rFonts w:hint="eastAsia"/>
        </w:rPr>
        <w:t>7.是否接受进口产品：否</w:t>
      </w:r>
    </w:p>
    <w:p>
      <w:pPr>
        <w:ind w:firstLine="530" w:firstLineChars="200"/>
        <w:rPr>
          <w:rFonts w:hint="eastAsia"/>
        </w:rPr>
      </w:pPr>
      <w:r>
        <w:rPr>
          <w:rFonts w:hint="eastAsia"/>
        </w:rPr>
        <w:t>8.技术成果经济补偿</w:t>
      </w:r>
    </w:p>
    <w:p>
      <w:pPr>
        <w:ind w:firstLine="530" w:firstLineChars="200"/>
        <w:rPr>
          <w:rFonts w:hint="eastAsia"/>
        </w:rPr>
      </w:pPr>
      <w:r>
        <w:rPr>
          <w:rFonts w:hint="eastAsia"/>
        </w:rPr>
        <w:t>本次招标对未中标人投标文件中的技术成果给予经济补偿。给予经济补偿的，招标人将按如下标准支付经济补偿费：招标人向经评审排在四至十名的投标人各给予补偿金人民币肆万元，前三名中标候选人分别给予第一名补偿金人民币壹拾万元、第二名补偿金捌万元、第三名补偿金陆万元的设计补偿费；被确定为最终中标方案的投标人不给予设计补偿费，未进入前十名的投标方案均不给予补偿费。</w:t>
      </w:r>
    </w:p>
    <w:p>
      <w:pPr>
        <w:ind w:firstLine="530" w:firstLineChars="200"/>
        <w:rPr>
          <w:rFonts w:hint="eastAsia"/>
        </w:rPr>
      </w:pPr>
      <w:r>
        <w:rPr>
          <w:rFonts w:hint="eastAsia"/>
        </w:rPr>
        <w:t>9.本次代理服务费由中标人向本采购代理机构支付。</w:t>
      </w:r>
    </w:p>
    <w:p>
      <w:pPr>
        <w:ind w:firstLine="530" w:firstLineChars="200"/>
        <w:rPr>
          <w:rFonts w:hint="eastAsia"/>
        </w:rPr>
      </w:pPr>
      <w:r>
        <w:rPr>
          <w:rFonts w:hint="eastAsia"/>
          <w:lang w:eastAsia="zh-CN"/>
        </w:rPr>
        <w:t>（三）</w:t>
      </w:r>
      <w:r>
        <w:rPr>
          <w:rFonts w:hint="eastAsia"/>
        </w:rPr>
        <w:t>投标人资格要求</w:t>
      </w:r>
    </w:p>
    <w:p>
      <w:pPr>
        <w:ind w:firstLine="530" w:firstLineChars="200"/>
        <w:rPr>
          <w:rFonts w:hint="eastAsia"/>
        </w:rPr>
      </w:pPr>
      <w:r>
        <w:rPr>
          <w:rFonts w:hint="eastAsia"/>
        </w:rPr>
        <w:t>1.投标人具有法人资格，须提供证明材料，包括但不限于营业执照或事业单位法人证书等。</w:t>
      </w:r>
    </w:p>
    <w:p>
      <w:pPr>
        <w:ind w:firstLine="530" w:firstLineChars="200"/>
        <w:rPr>
          <w:rFonts w:hint="eastAsia"/>
        </w:rPr>
      </w:pPr>
      <w:r>
        <w:rPr>
          <w:rFonts w:hint="eastAsia"/>
        </w:rPr>
        <w:t>2.投标人具有建设行政主管部门颁发的工程设计综合甲级资质或建筑行业（建筑工程）甲级资质。</w:t>
      </w:r>
    </w:p>
    <w:p>
      <w:pPr>
        <w:ind w:firstLine="530" w:firstLineChars="200"/>
        <w:rPr>
          <w:rFonts w:hint="eastAsia"/>
        </w:rPr>
      </w:pPr>
      <w:r>
        <w:rPr>
          <w:rFonts w:hint="eastAsia"/>
        </w:rPr>
        <w:t>3.投标人具有自2018年1月20日以来单一项目总建筑面积不低于2万平方米的博物馆建筑（含展览馆、科技馆、美术馆、纪念馆、党史军史类展馆）方案设计业绩一个。</w:t>
      </w:r>
    </w:p>
    <w:p>
      <w:pPr>
        <w:ind w:firstLine="530" w:firstLineChars="200"/>
        <w:rPr>
          <w:rFonts w:hint="eastAsia"/>
        </w:rPr>
      </w:pPr>
      <w:r>
        <w:rPr>
          <w:rFonts w:hint="eastAsia"/>
        </w:rPr>
        <w:t>4.投标人拟派项目负责人具有国家一级注册建筑师资格或高级专业技术职称（高等院校教授职称）。</w:t>
      </w:r>
    </w:p>
    <w:p>
      <w:pPr>
        <w:ind w:firstLine="530" w:firstLineChars="200"/>
        <w:rPr>
          <w:rFonts w:hint="eastAsia"/>
        </w:rPr>
      </w:pPr>
      <w:r>
        <w:rPr>
          <w:rFonts w:hint="eastAsia"/>
        </w:rPr>
        <w:t>5.投标人拟派项目负责人具有自2018年1月20日以来单一项目总建筑面积不低于2万平方米的博物馆建筑（含展览馆、科技馆、美术馆、纪念馆、党史军史类展馆）方案设计业绩一个（可与投标人业绩为同一项目业绩）。</w:t>
      </w:r>
    </w:p>
    <w:p>
      <w:pPr>
        <w:ind w:firstLine="530" w:firstLineChars="200"/>
        <w:rPr>
          <w:rFonts w:hint="eastAsia"/>
        </w:rPr>
      </w:pPr>
      <w:r>
        <w:rPr>
          <w:rFonts w:hint="eastAsia"/>
        </w:rPr>
        <w:t>6.本项目委托代理人、项目负责人须为本单位或本单位隶属高校的正式人员，提供在本单位或隶属高校为其缴纳的自2022年1月1日以来连续缴纳3个月的社保证明材料（至少应包括养老保险证明）。</w:t>
      </w:r>
    </w:p>
    <w:p>
      <w:pPr>
        <w:ind w:firstLine="530" w:firstLineChars="200"/>
        <w:rPr>
          <w:rFonts w:hint="eastAsia"/>
        </w:rPr>
      </w:pPr>
      <w:r>
        <w:rPr>
          <w:rFonts w:hint="eastAsia"/>
        </w:rPr>
        <w:t>7.投标人须提供2019、2020、2021年度或2020、2021、2022年度经第三方审计机构出具的审计报告；企业成立不足三年的，提供成立之年至今的审计报告；企业成立不满一年的提供最近一月的财务报表(包含资产负债表、现金流量表、利润表或损益表)。非企业性质的单位提供近三年资产负债表、收入支出表。</w:t>
      </w:r>
    </w:p>
    <w:p>
      <w:pPr>
        <w:ind w:firstLine="530" w:firstLineChars="200"/>
        <w:rPr>
          <w:rFonts w:hint="eastAsia"/>
        </w:rPr>
      </w:pPr>
      <w:r>
        <w:rPr>
          <w:rFonts w:hint="eastAsia"/>
        </w:rPr>
        <w:t>8.投标人须提供2022年1月1日以来任意3个月份依法缴纳税收和社会保障资金的证明材料：缴纳增值税或企业所得税的凭据；缴纳社会保险的凭据（专用收据或社会保险缴纳清单）。依法免税、延期纳税或不需要缴纳社会保障资金的投标人，应提供相应文件证明其依法免税、延期纳税或不需要缴纳社会保障资金。</w:t>
      </w:r>
    </w:p>
    <w:p>
      <w:pPr>
        <w:ind w:firstLine="530" w:firstLineChars="200"/>
        <w:rPr>
          <w:rFonts w:hint="eastAsia"/>
        </w:rPr>
      </w:pPr>
      <w:r>
        <w:rPr>
          <w:rFonts w:hint="eastAsia"/>
        </w:rPr>
        <w:t>9.投标人、投标人法定代表人及拟派项目负责人未被列入“信用中国（河南）”http://www.xyhn.gov.cn/红黑榜中黑名单。若被列入黑名单，将拒绝其参与本项目投标。（须在投标文件中附投标人、投标人法定代表人及拟派项目负责人“信用中国（河南）、信用中国（洛阳）”近三年（至投标截止时间前1天）未列入黑名单的承诺函，并加盖公章。）</w:t>
      </w:r>
    </w:p>
    <w:p>
      <w:pPr>
        <w:ind w:firstLine="530" w:firstLineChars="200"/>
        <w:rPr>
          <w:rFonts w:hint="eastAsia"/>
        </w:rPr>
      </w:pPr>
      <w:r>
        <w:rPr>
          <w:rFonts w:hint="eastAsia"/>
        </w:rPr>
        <w:t>10.其他要求：本项目投标人之间不得有隶属关系或为同一母公司，否则其将不被接受。</w:t>
      </w:r>
    </w:p>
    <w:p>
      <w:pPr>
        <w:ind w:firstLine="530" w:firstLineChars="200"/>
        <w:rPr>
          <w:rFonts w:hint="eastAsia"/>
        </w:rPr>
      </w:pPr>
      <w:r>
        <w:rPr>
          <w:rFonts w:hint="eastAsia"/>
          <w:lang w:eastAsia="zh-CN"/>
        </w:rPr>
        <w:t>（四）</w:t>
      </w:r>
      <w:r>
        <w:rPr>
          <w:rFonts w:hint="eastAsia"/>
        </w:rPr>
        <w:t>招标文件的获取</w:t>
      </w:r>
    </w:p>
    <w:p>
      <w:pPr>
        <w:ind w:firstLine="530" w:firstLineChars="200"/>
        <w:rPr>
          <w:rFonts w:hint="eastAsia"/>
        </w:rPr>
      </w:pPr>
      <w:r>
        <w:rPr>
          <w:rFonts w:hint="eastAsia"/>
        </w:rPr>
        <w:t>1、本次招标文件在网上获取，请登录洛阳市公共资源交易中心网站（lyggzyjy.ly.gov.cn），点击“交易登录”进入“洛阳市电子招投标交易平台”进行用户注册，并办理CA数字证书。详见洛阳市公共资源交易中心网站—办事指南—办事流程—主体注册CA办理。</w:t>
      </w:r>
    </w:p>
    <w:p>
      <w:pPr>
        <w:ind w:firstLine="530" w:firstLineChars="200"/>
        <w:rPr>
          <w:rFonts w:hint="eastAsia"/>
        </w:rPr>
      </w:pPr>
      <w:r>
        <w:rPr>
          <w:rFonts w:hint="eastAsia"/>
        </w:rPr>
        <w:t>2、办理数字证书后，请于</w:t>
      </w:r>
      <w:r>
        <w:rPr>
          <w:rFonts w:hint="eastAsia"/>
        </w:rPr>
        <w:t>2023年01月20日</w:t>
      </w:r>
      <w:r>
        <w:rPr>
          <w:rFonts w:hint="eastAsia"/>
        </w:rPr>
        <w:t>至</w:t>
      </w:r>
      <w:r>
        <w:rPr>
          <w:rFonts w:hint="eastAsia"/>
        </w:rPr>
        <w:t>2023年02月01日24:00</w:t>
      </w:r>
      <w:r>
        <w:rPr>
          <w:rFonts w:hint="eastAsia"/>
        </w:rPr>
        <w:t>，登录洛阳市公共资源交易中心网站，点击“交易登录”，选择“证书Key”方式登录，免费下载招标文件。如投多个标段，则应就所投每个标段分别下载获取。联合体投标的，由联合体牵头人完成招标文件下载。</w:t>
      </w:r>
    </w:p>
    <w:p>
      <w:pPr>
        <w:ind w:firstLine="530" w:firstLineChars="200"/>
        <w:rPr>
          <w:rFonts w:hint="eastAsia"/>
        </w:rPr>
      </w:pPr>
      <w:r>
        <w:rPr>
          <w:rFonts w:hint="eastAsia"/>
        </w:rPr>
        <w:t>3、获取招标文件后，请到洛阳市公共资源交易中心网站—办事指南—下载中心栏目下载并安装最新版本投标文件制作工具，查看招标文件和制作电子投标文件。</w:t>
      </w:r>
    </w:p>
    <w:p>
      <w:pPr>
        <w:ind w:firstLine="530" w:firstLineChars="200"/>
        <w:rPr>
          <w:rFonts w:hint="eastAsia"/>
        </w:rPr>
      </w:pPr>
      <w:r>
        <w:rPr>
          <w:rFonts w:hint="eastAsia"/>
          <w:lang w:eastAsia="zh-CN"/>
        </w:rPr>
        <w:t>（五）</w:t>
      </w:r>
      <w:r>
        <w:rPr>
          <w:rFonts w:hint="eastAsia"/>
        </w:rPr>
        <w:t>投标文件的递交</w:t>
      </w:r>
    </w:p>
    <w:p>
      <w:pPr>
        <w:ind w:firstLine="530" w:firstLineChars="200"/>
        <w:rPr>
          <w:rFonts w:hint="eastAsia"/>
        </w:rPr>
      </w:pPr>
      <w:r>
        <w:rPr>
          <w:rFonts w:hint="eastAsia"/>
        </w:rPr>
        <w:t>1、投标文件递交的截止时间（投标截止时间）为</w:t>
      </w:r>
      <w:r>
        <w:rPr>
          <w:rFonts w:hint="eastAsia"/>
        </w:rPr>
        <w:t>2023年2月20日9时5分</w:t>
      </w:r>
      <w:r>
        <w:rPr>
          <w:rFonts w:hint="eastAsia"/>
        </w:rPr>
        <w:t xml:space="preserve"> (北京时间)。</w:t>
      </w:r>
    </w:p>
    <w:p>
      <w:pPr>
        <w:ind w:firstLine="530" w:firstLineChars="200"/>
        <w:rPr>
          <w:rFonts w:hint="eastAsia"/>
        </w:rPr>
      </w:pPr>
      <w:r>
        <w:rPr>
          <w:rFonts w:hint="eastAsia"/>
        </w:rPr>
        <w:t>2、投标文件接收地点及开标地点为</w:t>
      </w:r>
      <w:r>
        <w:rPr>
          <w:rFonts w:hint="eastAsia"/>
        </w:rPr>
        <w:t>洛阳市</w:t>
      </w:r>
      <w:r>
        <w:rPr>
          <w:rFonts w:hint="eastAsia"/>
        </w:rPr>
        <w:t>公共资源交易中心</w:t>
      </w:r>
      <w:r>
        <w:rPr>
          <w:rFonts w:hint="eastAsia"/>
        </w:rPr>
        <w:t>开标二室</w:t>
      </w:r>
      <w:r>
        <w:rPr>
          <w:rFonts w:hint="eastAsia"/>
        </w:rPr>
        <w:t>。</w:t>
      </w:r>
    </w:p>
    <w:p>
      <w:pPr>
        <w:ind w:firstLine="530" w:firstLineChars="200"/>
        <w:rPr>
          <w:rFonts w:hint="eastAsia"/>
        </w:rPr>
      </w:pPr>
      <w:r>
        <w:rPr>
          <w:rFonts w:hint="eastAsia"/>
        </w:rPr>
        <w:t xml:space="preserve">3、投标人应在投标截止时间前，通过互联网使用CA 数字证书登录洛阳市公共资源交易中心网站，将加密的投标文件上传至“洛阳市电子招投标交易平台”指定位置，上传成功后将得到上传成功的确认。投标人应充分考虑上传文件时的不可预见因素，未在投标截止时间前完成上传的，视为逾期送达，洛阳市电子招投标交易平台将拒绝接收。 </w:t>
      </w:r>
    </w:p>
    <w:p>
      <w:pPr>
        <w:ind w:firstLine="530" w:firstLineChars="200"/>
        <w:rPr>
          <w:rFonts w:hint="eastAsia"/>
        </w:rPr>
      </w:pPr>
      <w:r>
        <w:rPr>
          <w:rFonts w:hint="eastAsia"/>
        </w:rPr>
        <w:t>4、本项目采用远程不见面交易的模式，开标当日，投标人无需到开标现场参加开标会议，投标人应当在投标截止时间前，登录到洛阳市电子招投标交易平台（http://lyggzyjy.ly.gov.cn/TPBidder），点击右上方【不见面开标大厅】按钮进入，在线准时参加开标活动并进行投标文件解密等。因投标人原因未能解密、解密失败或解密超时的将被拒绝。请参照洛阳市公共资源交易中心首页-办事指南-下载中心-操作手册-《洛阳市公共资源交易中心不见面开标大厅操作手册（投标人）》。</w:t>
      </w:r>
    </w:p>
    <w:p>
      <w:pPr>
        <w:ind w:firstLine="530" w:firstLineChars="200"/>
        <w:rPr>
          <w:rFonts w:hint="eastAsia"/>
        </w:rPr>
      </w:pPr>
      <w:r>
        <w:rPr>
          <w:rFonts w:hint="eastAsia"/>
        </w:rPr>
        <w:t xml:space="preserve">5、除电子投标文件外，投标时不再接受任何纸质文件、资料等。逾期送达的或者未送达指定地点的投标文件，招标人不予受理。 </w:t>
      </w:r>
    </w:p>
    <w:p>
      <w:pPr>
        <w:ind w:firstLine="530" w:firstLineChars="200"/>
        <w:rPr>
          <w:rFonts w:hint="eastAsia"/>
        </w:rPr>
      </w:pPr>
      <w:r>
        <w:rPr>
          <w:rFonts w:hint="eastAsia"/>
          <w:lang w:eastAsia="zh-CN"/>
        </w:rPr>
        <w:t>（六）</w:t>
      </w:r>
      <w:r>
        <w:rPr>
          <w:rFonts w:hint="eastAsia"/>
        </w:rPr>
        <w:t>提出异议的渠道和方式</w:t>
      </w:r>
    </w:p>
    <w:p>
      <w:pPr>
        <w:ind w:firstLine="530" w:firstLineChars="200"/>
        <w:rPr>
          <w:rFonts w:hint="eastAsia"/>
        </w:rPr>
      </w:pPr>
      <w:r>
        <w:rPr>
          <w:rFonts w:hint="eastAsia"/>
        </w:rPr>
        <w:t>投标人或者其他利害关系人对招标文件有异议的，应当在投标截止时间10日前通过交易系统内向招标人或招标代理机构提交异议函(法定代表人签字并加盖单位</w:t>
      </w:r>
      <w:bookmarkStart w:id="0" w:name="_GoBack"/>
      <w:bookmarkEnd w:id="0"/>
      <w:r>
        <w:rPr>
          <w:rFonts w:hint="eastAsia"/>
        </w:rPr>
        <w:t>公章)，委托他人提出异议的，需一并提交授权委托书和授权委托人身份证明，邮寄件、传真件不予受理。逾期未提交或未按照要求提交的异议函将不予受理。</w:t>
      </w:r>
    </w:p>
    <w:p>
      <w:pPr>
        <w:ind w:firstLine="530" w:firstLineChars="200"/>
        <w:rPr>
          <w:rFonts w:hint="eastAsia"/>
        </w:rPr>
      </w:pPr>
      <w:r>
        <w:rPr>
          <w:rFonts w:hint="eastAsia"/>
          <w:lang w:eastAsia="zh-CN"/>
        </w:rPr>
        <w:t>（七）</w:t>
      </w:r>
      <w:r>
        <w:rPr>
          <w:rFonts w:hint="eastAsia"/>
        </w:rPr>
        <w:t>发布公告的媒体</w:t>
      </w:r>
    </w:p>
    <w:p>
      <w:pPr>
        <w:ind w:firstLine="530" w:firstLineChars="200"/>
        <w:rPr>
          <w:rFonts w:hint="eastAsia"/>
        </w:rPr>
      </w:pPr>
      <w:r>
        <w:rPr>
          <w:rFonts w:hint="eastAsia"/>
        </w:rPr>
        <w:t>1、本次招标公告同时在</w:t>
      </w:r>
      <w:r>
        <w:rPr>
          <w:rFonts w:hint="eastAsia"/>
        </w:rPr>
        <w:t>《中国招标投标公共服务平台》《洛阳市公共资源交易中心网》《河南省电子招标投标公共服务平台》</w:t>
      </w:r>
      <w:r>
        <w:rPr>
          <w:rFonts w:hint="eastAsia"/>
        </w:rPr>
        <w:t>上发布。</w:t>
      </w:r>
    </w:p>
    <w:p>
      <w:pPr>
        <w:ind w:firstLine="530" w:firstLineChars="200"/>
        <w:rPr>
          <w:rFonts w:hint="eastAsia"/>
        </w:rPr>
      </w:pPr>
      <w:r>
        <w:rPr>
          <w:rFonts w:hint="eastAsia"/>
        </w:rPr>
        <w:t>2、投标人在参与本项目招标采购活动期间应及时关注本网站获取相关澄清或变更等信息。</w:t>
      </w:r>
    </w:p>
    <w:p>
      <w:pPr>
        <w:ind w:firstLine="530" w:firstLineChars="200"/>
        <w:rPr>
          <w:rFonts w:hint="eastAsia"/>
        </w:rPr>
      </w:pPr>
      <w:r>
        <w:rPr>
          <w:rFonts w:hint="eastAsia"/>
          <w:lang w:eastAsia="zh-CN"/>
        </w:rPr>
        <w:t>（八）</w:t>
      </w:r>
      <w:r>
        <w:rPr>
          <w:rFonts w:hint="eastAsia"/>
        </w:rPr>
        <w:t>联系方式</w:t>
      </w:r>
    </w:p>
    <w:p>
      <w:pPr>
        <w:ind w:firstLine="530" w:firstLineChars="200"/>
        <w:rPr>
          <w:rFonts w:hint="eastAsia"/>
        </w:rPr>
      </w:pPr>
      <w:r>
        <w:rPr>
          <w:rFonts w:hint="eastAsia"/>
        </w:rPr>
        <w:t>招 标 人：</w:t>
      </w:r>
      <w:r>
        <w:rPr>
          <w:rFonts w:hint="eastAsia"/>
        </w:rPr>
        <w:t>洛阳市文物局</w:t>
      </w:r>
    </w:p>
    <w:p>
      <w:pPr>
        <w:ind w:firstLine="530" w:firstLineChars="200"/>
        <w:rPr>
          <w:rFonts w:hint="eastAsia"/>
        </w:rPr>
      </w:pPr>
      <w:r>
        <w:rPr>
          <w:rFonts w:hint="eastAsia"/>
        </w:rPr>
        <w:t>地    址：</w:t>
      </w:r>
      <w:r>
        <w:rPr>
          <w:rFonts w:hint="eastAsia"/>
        </w:rPr>
        <w:t>洛阳市洛龙区开元大道232号</w:t>
      </w:r>
    </w:p>
    <w:p>
      <w:pPr>
        <w:ind w:firstLine="530" w:firstLineChars="200"/>
        <w:rPr>
          <w:rFonts w:hint="eastAsia"/>
        </w:rPr>
      </w:pPr>
      <w:r>
        <w:rPr>
          <w:rFonts w:hint="eastAsia"/>
        </w:rPr>
        <w:t>联 系 人：</w:t>
      </w:r>
      <w:r>
        <w:rPr>
          <w:rFonts w:hint="eastAsia"/>
        </w:rPr>
        <w:t>王先生</w:t>
      </w:r>
    </w:p>
    <w:p>
      <w:pPr>
        <w:ind w:firstLine="530" w:firstLineChars="200"/>
        <w:rPr>
          <w:rFonts w:hint="eastAsia"/>
        </w:rPr>
      </w:pPr>
      <w:r>
        <w:rPr>
          <w:rFonts w:hint="eastAsia"/>
        </w:rPr>
        <w:t>电    话：</w:t>
      </w:r>
      <w:r>
        <w:rPr>
          <w:rFonts w:hint="eastAsia"/>
        </w:rPr>
        <w:t>0379-65255398</w:t>
      </w:r>
    </w:p>
    <w:p>
      <w:pPr>
        <w:ind w:firstLine="530" w:firstLineChars="200"/>
        <w:rPr>
          <w:rFonts w:hint="eastAsia"/>
        </w:rPr>
      </w:pPr>
      <w:r>
        <w:rPr>
          <w:rFonts w:hint="eastAsia"/>
        </w:rPr>
        <w:t>代理机构：</w:t>
      </w:r>
      <w:r>
        <w:rPr>
          <w:rFonts w:hint="eastAsia"/>
        </w:rPr>
        <w:t>中资国际工程咨询集团有限责任公司</w:t>
      </w:r>
    </w:p>
    <w:p>
      <w:pPr>
        <w:ind w:firstLine="530" w:firstLineChars="200"/>
        <w:rPr>
          <w:rFonts w:hint="eastAsia"/>
        </w:rPr>
      </w:pPr>
      <w:r>
        <w:rPr>
          <w:rFonts w:hint="eastAsia"/>
        </w:rPr>
        <w:t>地    址：</w:t>
      </w:r>
      <w:r>
        <w:rPr>
          <w:rFonts w:hint="eastAsia"/>
        </w:rPr>
        <w:t>洛阳市洛龙区开元大道262号大曌国际广场二期商铺7-111号</w:t>
      </w:r>
    </w:p>
    <w:p>
      <w:pPr>
        <w:ind w:firstLine="530" w:firstLineChars="200"/>
        <w:rPr>
          <w:rFonts w:hint="eastAsia"/>
        </w:rPr>
      </w:pPr>
      <w:r>
        <w:rPr>
          <w:rFonts w:hint="eastAsia"/>
        </w:rPr>
        <w:t>联 系 人：</w:t>
      </w:r>
      <w:r>
        <w:rPr>
          <w:rFonts w:hint="eastAsia"/>
        </w:rPr>
        <w:t>李雅林(工号:Lyszfcg2005)</w:t>
      </w:r>
    </w:p>
    <w:p>
      <w:pPr>
        <w:ind w:firstLine="530" w:firstLineChars="200"/>
        <w:rPr>
          <w:rFonts w:hint="eastAsia"/>
        </w:rPr>
      </w:pPr>
      <w:r>
        <w:rPr>
          <w:rFonts w:hint="eastAsia"/>
        </w:rPr>
        <w:t>电    话：</w:t>
      </w:r>
      <w:r>
        <w:rPr>
          <w:rFonts w:hint="eastAsia"/>
        </w:rPr>
        <w:t>0379-80887951</w:t>
      </w:r>
    </w:p>
    <w:p>
      <w:pPr>
        <w:ind w:firstLine="530" w:firstLineChars="200"/>
        <w:rPr>
          <w:rFonts w:hint="eastAsia"/>
        </w:rPr>
      </w:pPr>
      <w:r>
        <w:rPr>
          <w:rFonts w:hint="eastAsia"/>
        </w:rPr>
        <w:t>监管部门：洛阳市住房和城乡建设局</w:t>
      </w:r>
    </w:p>
    <w:p>
      <w:pPr>
        <w:ind w:firstLine="530" w:firstLineChars="200"/>
        <w:rPr>
          <w:rFonts w:hint="eastAsia"/>
        </w:rPr>
      </w:pPr>
      <w:r>
        <w:rPr>
          <w:rFonts w:hint="eastAsia"/>
        </w:rPr>
        <w:t>监管部门联系人：洛阳市住房和城乡建设局</w:t>
      </w:r>
    </w:p>
    <w:p>
      <w:pPr>
        <w:ind w:firstLine="530" w:firstLineChars="200"/>
        <w:rPr>
          <w:rFonts w:hint="eastAsia"/>
        </w:rPr>
      </w:pPr>
      <w:r>
        <w:rPr>
          <w:rFonts w:hint="eastAsia"/>
        </w:rPr>
        <w:t>监管部门联系方式：</w:t>
      </w:r>
      <w:r>
        <w:rPr>
          <w:rFonts w:hint="eastAsia"/>
        </w:rPr>
        <w:t>0379-63937963</w:t>
      </w:r>
    </w:p>
    <w:p>
      <w:pPr>
        <w:ind w:firstLine="530" w:firstLineChars="200"/>
        <w:rPr>
          <w:rFonts w:hint="eastAsia"/>
        </w:rPr>
      </w:pPr>
      <w:r>
        <w:rPr>
          <w:rFonts w:hint="eastAsia"/>
        </w:rPr>
        <w:t>2023年01月20日</w:t>
      </w:r>
    </w:p>
    <w:p>
      <w:pPr>
        <w:ind w:firstLine="530" w:firstLineChars="200"/>
        <w:rPr>
          <w:rFonts w:hint="eastAsia"/>
        </w:rPr>
      </w:pPr>
    </w:p>
    <w:sectPr>
      <w:pgSz w:w="11906" w:h="16838"/>
      <w:pgMar w:top="1474" w:right="1417" w:bottom="1247" w:left="1418" w:header="680" w:footer="680" w:gutter="170"/>
      <w:cols w:space="0" w:num="1"/>
      <w:rtlGutter w:val="0"/>
      <w:docGrid w:type="linesAndChars" w:linePitch="467" w:charSpace="-3109"/>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s>
  <wne:acds>
    <wne:acd wne:argValue="AQAAAAEA" wne:acdName="acd0" wne:fciIndexBasedOn="0065"/>
    <wne:acd wne:argValue="AQAAAAI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MmQzNWE3MzU2M2NhNTM3YjJmMWIzYTQ1NTIwZjcifQ=="/>
  </w:docVars>
  <w:rsids>
    <w:rsidRoot w:val="00000000"/>
    <w:rsid w:val="002A7F52"/>
    <w:rsid w:val="00512A82"/>
    <w:rsid w:val="00852BEA"/>
    <w:rsid w:val="00BC74C1"/>
    <w:rsid w:val="01593EC7"/>
    <w:rsid w:val="0185278D"/>
    <w:rsid w:val="02582765"/>
    <w:rsid w:val="02C81B1F"/>
    <w:rsid w:val="02F442F1"/>
    <w:rsid w:val="043C7483"/>
    <w:rsid w:val="044D390B"/>
    <w:rsid w:val="0682513E"/>
    <w:rsid w:val="06B04988"/>
    <w:rsid w:val="0728185A"/>
    <w:rsid w:val="075A3B1D"/>
    <w:rsid w:val="076A4501"/>
    <w:rsid w:val="088A5513"/>
    <w:rsid w:val="08B42AD4"/>
    <w:rsid w:val="0973399D"/>
    <w:rsid w:val="0B5C7530"/>
    <w:rsid w:val="0B6C77CA"/>
    <w:rsid w:val="0C177C63"/>
    <w:rsid w:val="0C28597F"/>
    <w:rsid w:val="0C4E5BBE"/>
    <w:rsid w:val="0C5806CC"/>
    <w:rsid w:val="0E247D43"/>
    <w:rsid w:val="0EAD69A2"/>
    <w:rsid w:val="0F272A69"/>
    <w:rsid w:val="10476743"/>
    <w:rsid w:val="11F97FC2"/>
    <w:rsid w:val="12B90746"/>
    <w:rsid w:val="12BA61C8"/>
    <w:rsid w:val="13C65400"/>
    <w:rsid w:val="148A2BC0"/>
    <w:rsid w:val="148F7048"/>
    <w:rsid w:val="152D23E2"/>
    <w:rsid w:val="155C2F18"/>
    <w:rsid w:val="15AE749F"/>
    <w:rsid w:val="15C9134E"/>
    <w:rsid w:val="16ED44DA"/>
    <w:rsid w:val="1884411D"/>
    <w:rsid w:val="189B6BED"/>
    <w:rsid w:val="18D36D47"/>
    <w:rsid w:val="1942287E"/>
    <w:rsid w:val="19C575D4"/>
    <w:rsid w:val="1A3E3A1B"/>
    <w:rsid w:val="1BA002F8"/>
    <w:rsid w:val="1C0A3092"/>
    <w:rsid w:val="1CA6768D"/>
    <w:rsid w:val="1D852B5E"/>
    <w:rsid w:val="1E0F6C5F"/>
    <w:rsid w:val="1EB91676"/>
    <w:rsid w:val="1F383249"/>
    <w:rsid w:val="2001740F"/>
    <w:rsid w:val="21124CCD"/>
    <w:rsid w:val="216D40E2"/>
    <w:rsid w:val="226755FF"/>
    <w:rsid w:val="226D2D8C"/>
    <w:rsid w:val="23C32038"/>
    <w:rsid w:val="23DE0664"/>
    <w:rsid w:val="25E023B3"/>
    <w:rsid w:val="26B03985"/>
    <w:rsid w:val="27723D21"/>
    <w:rsid w:val="27762449"/>
    <w:rsid w:val="27B457B1"/>
    <w:rsid w:val="280E29C8"/>
    <w:rsid w:val="28331903"/>
    <w:rsid w:val="28335B13"/>
    <w:rsid w:val="289E5BBC"/>
    <w:rsid w:val="28A066B3"/>
    <w:rsid w:val="29EA03D8"/>
    <w:rsid w:val="2AA270FE"/>
    <w:rsid w:val="2ACE6CC8"/>
    <w:rsid w:val="2B022A5E"/>
    <w:rsid w:val="2BBA7BCA"/>
    <w:rsid w:val="2BC82763"/>
    <w:rsid w:val="2C4C06CD"/>
    <w:rsid w:val="2C701C77"/>
    <w:rsid w:val="2CAD0457"/>
    <w:rsid w:val="2D552465"/>
    <w:rsid w:val="2D5B72F6"/>
    <w:rsid w:val="2D817536"/>
    <w:rsid w:val="2E8E41F0"/>
    <w:rsid w:val="2EAA029D"/>
    <w:rsid w:val="2F6F6D61"/>
    <w:rsid w:val="2F9D65AC"/>
    <w:rsid w:val="2FBB395D"/>
    <w:rsid w:val="30332322"/>
    <w:rsid w:val="31763C33"/>
    <w:rsid w:val="31A359FC"/>
    <w:rsid w:val="31DA5B56"/>
    <w:rsid w:val="32D92FA8"/>
    <w:rsid w:val="336246D8"/>
    <w:rsid w:val="33790ABC"/>
    <w:rsid w:val="356E6D37"/>
    <w:rsid w:val="364D63A5"/>
    <w:rsid w:val="36E25231"/>
    <w:rsid w:val="37BC3FFD"/>
    <w:rsid w:val="39577622"/>
    <w:rsid w:val="3A7135F2"/>
    <w:rsid w:val="3A7D40FC"/>
    <w:rsid w:val="3AC37B79"/>
    <w:rsid w:val="3B6D0F0B"/>
    <w:rsid w:val="3C202033"/>
    <w:rsid w:val="3C3C60E0"/>
    <w:rsid w:val="3C754130"/>
    <w:rsid w:val="3DCC5572"/>
    <w:rsid w:val="3E255C01"/>
    <w:rsid w:val="3EC84510"/>
    <w:rsid w:val="3F4418DB"/>
    <w:rsid w:val="3F97018E"/>
    <w:rsid w:val="3FBE2562"/>
    <w:rsid w:val="400D1324"/>
    <w:rsid w:val="42D12AAA"/>
    <w:rsid w:val="430D63BA"/>
    <w:rsid w:val="43911EEB"/>
    <w:rsid w:val="43BB1AED"/>
    <w:rsid w:val="43FF6C9B"/>
    <w:rsid w:val="442858E1"/>
    <w:rsid w:val="44626C63"/>
    <w:rsid w:val="44E20593"/>
    <w:rsid w:val="455F2EA8"/>
    <w:rsid w:val="45DF172F"/>
    <w:rsid w:val="464D77E5"/>
    <w:rsid w:val="467731ED"/>
    <w:rsid w:val="47C22BCA"/>
    <w:rsid w:val="491A4480"/>
    <w:rsid w:val="49CF7426"/>
    <w:rsid w:val="49ED69D6"/>
    <w:rsid w:val="4A6F152E"/>
    <w:rsid w:val="4B390BF7"/>
    <w:rsid w:val="4B50661E"/>
    <w:rsid w:val="4C095A4C"/>
    <w:rsid w:val="4DB56D8D"/>
    <w:rsid w:val="4EB27F29"/>
    <w:rsid w:val="4F912E1A"/>
    <w:rsid w:val="4FBA295A"/>
    <w:rsid w:val="507D3D1D"/>
    <w:rsid w:val="50F70163"/>
    <w:rsid w:val="5171202B"/>
    <w:rsid w:val="52C051D0"/>
    <w:rsid w:val="530733C6"/>
    <w:rsid w:val="55016A04"/>
    <w:rsid w:val="55114AA0"/>
    <w:rsid w:val="55434EEF"/>
    <w:rsid w:val="56BF34E2"/>
    <w:rsid w:val="573E3DB0"/>
    <w:rsid w:val="58E169DF"/>
    <w:rsid w:val="59234ECA"/>
    <w:rsid w:val="5A82610B"/>
    <w:rsid w:val="5AB368DA"/>
    <w:rsid w:val="5B32087F"/>
    <w:rsid w:val="5BBC1EE6"/>
    <w:rsid w:val="5CCF5950"/>
    <w:rsid w:val="5D2F6C6E"/>
    <w:rsid w:val="5D39757E"/>
    <w:rsid w:val="61834A0A"/>
    <w:rsid w:val="61C60487"/>
    <w:rsid w:val="61D9064E"/>
    <w:rsid w:val="62654FFD"/>
    <w:rsid w:val="62C63D9D"/>
    <w:rsid w:val="62EF16DE"/>
    <w:rsid w:val="63084806"/>
    <w:rsid w:val="6315739F"/>
    <w:rsid w:val="63E663F3"/>
    <w:rsid w:val="63FD1A00"/>
    <w:rsid w:val="63FE731D"/>
    <w:rsid w:val="64E21DAF"/>
    <w:rsid w:val="65657B68"/>
    <w:rsid w:val="65E5173B"/>
    <w:rsid w:val="660A60F8"/>
    <w:rsid w:val="66A11AEE"/>
    <w:rsid w:val="66E634DC"/>
    <w:rsid w:val="671962B5"/>
    <w:rsid w:val="67760BCD"/>
    <w:rsid w:val="67A163A4"/>
    <w:rsid w:val="67F50179"/>
    <w:rsid w:val="681419D0"/>
    <w:rsid w:val="692D249D"/>
    <w:rsid w:val="6942333C"/>
    <w:rsid w:val="6A201197"/>
    <w:rsid w:val="6A4960ED"/>
    <w:rsid w:val="6A8A4ED1"/>
    <w:rsid w:val="6ABD60AB"/>
    <w:rsid w:val="6AF22AC6"/>
    <w:rsid w:val="6B080AA9"/>
    <w:rsid w:val="6B233010"/>
    <w:rsid w:val="6C5B6DD1"/>
    <w:rsid w:val="6C621FDF"/>
    <w:rsid w:val="6C637A61"/>
    <w:rsid w:val="6E8A28E9"/>
    <w:rsid w:val="6ED36561"/>
    <w:rsid w:val="6FBE19E1"/>
    <w:rsid w:val="710032F2"/>
    <w:rsid w:val="71224B2C"/>
    <w:rsid w:val="71DA4774"/>
    <w:rsid w:val="736C596A"/>
    <w:rsid w:val="7443214A"/>
    <w:rsid w:val="76041DAB"/>
    <w:rsid w:val="76764668"/>
    <w:rsid w:val="769D6AA6"/>
    <w:rsid w:val="772B3963"/>
    <w:rsid w:val="77694EF6"/>
    <w:rsid w:val="78281A1F"/>
    <w:rsid w:val="785B7D01"/>
    <w:rsid w:val="78AD7B0B"/>
    <w:rsid w:val="795C3E26"/>
    <w:rsid w:val="7968023E"/>
    <w:rsid w:val="79DD23FB"/>
    <w:rsid w:val="7A096743"/>
    <w:rsid w:val="7A7F7A06"/>
    <w:rsid w:val="7AAA2628"/>
    <w:rsid w:val="7AD60415"/>
    <w:rsid w:val="7B803A8A"/>
    <w:rsid w:val="7B985F55"/>
    <w:rsid w:val="7BC13896"/>
    <w:rsid w:val="7C37425F"/>
    <w:rsid w:val="7D772F67"/>
    <w:rsid w:val="7EF746DD"/>
    <w:rsid w:val="7F7F3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napToGrid w:val="0"/>
      <w:spacing w:val="20"/>
      <w:sz w:val="24"/>
      <w:lang w:val="en-US" w:eastAsia="zh-CN" w:bidi="ar-SA"/>
    </w:rPr>
  </w:style>
  <w:style w:type="paragraph" w:styleId="3">
    <w:name w:val="heading 1"/>
    <w:basedOn w:val="1"/>
    <w:next w:val="1"/>
    <w:link w:val="16"/>
    <w:qFormat/>
    <w:uiPriority w:val="0"/>
    <w:pPr>
      <w:keepNext/>
      <w:keepLines/>
      <w:shd w:val="clear" w:fill="BDD6EE" w:themeFill="accent1" w:themeFillTint="66"/>
      <w:adjustRightInd w:val="0"/>
      <w:snapToGrid/>
      <w:spacing w:before="260" w:beforeLines="0" w:beforeAutospacing="0" w:after="60" w:afterLines="0" w:afterAutospacing="0" w:line="360" w:lineRule="auto"/>
      <w:jc w:val="center"/>
      <w:outlineLvl w:val="0"/>
    </w:pPr>
    <w:rPr>
      <w:rFonts w:ascii="Tahoma" w:hAnsi="Tahoma" w:eastAsia="宋体" w:cstheme="minorBidi"/>
      <w:b/>
      <w:kern w:val="44"/>
      <w:sz w:val="32"/>
      <w:szCs w:val="22"/>
    </w:rPr>
  </w:style>
  <w:style w:type="paragraph" w:styleId="4">
    <w:name w:val="heading 2"/>
    <w:basedOn w:val="1"/>
    <w:next w:val="1"/>
    <w:link w:val="17"/>
    <w:semiHidden/>
    <w:unhideWhenUsed/>
    <w:qFormat/>
    <w:uiPriority w:val="0"/>
    <w:pPr>
      <w:keepNext/>
      <w:keepLines/>
      <w:adjustRightInd w:val="0"/>
      <w:snapToGrid/>
      <w:spacing w:line="360" w:lineRule="auto"/>
      <w:ind w:left="0" w:leftChars="0"/>
      <w:jc w:val="left"/>
      <w:outlineLvl w:val="1"/>
    </w:pPr>
    <w:rPr>
      <w:rFonts w:ascii="Cambria" w:hAnsi="Cambria" w:eastAsia="宋体"/>
      <w:bCs/>
      <w:snapToGrid w:val="0"/>
      <w:kern w:val="32"/>
      <w:sz w:val="30"/>
      <w:szCs w:val="32"/>
    </w:rPr>
  </w:style>
  <w:style w:type="paragraph" w:styleId="5">
    <w:name w:val="heading 3"/>
    <w:basedOn w:val="1"/>
    <w:next w:val="1"/>
    <w:link w:val="20"/>
    <w:semiHidden/>
    <w:unhideWhenUsed/>
    <w:qFormat/>
    <w:uiPriority w:val="0"/>
    <w:pPr>
      <w:keepNext/>
      <w:keepLines/>
      <w:adjustRightInd w:val="0"/>
      <w:snapToGrid/>
      <w:spacing w:before="260" w:beforeLines="0" w:beforeAutospacing="0" w:after="260" w:afterLines="0" w:afterAutospacing="0" w:line="240" w:lineRule="auto"/>
      <w:outlineLvl w:val="2"/>
    </w:pPr>
    <w:rPr>
      <w:rFonts w:ascii="Times New Roman" w:hAnsi="Times New Roman" w:eastAsia="宋体" w:cstheme="minorBidi"/>
      <w:kern w:val="2"/>
      <w:sz w:val="28"/>
      <w:szCs w:val="2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toc 3"/>
    <w:basedOn w:val="1"/>
    <w:next w:val="1"/>
    <w:qFormat/>
    <w:uiPriority w:val="0"/>
    <w:pPr>
      <w:adjustRightInd/>
      <w:snapToGrid/>
      <w:spacing w:line="240" w:lineRule="auto"/>
      <w:ind w:left="1350" w:leftChars="600"/>
    </w:pPr>
    <w:rPr>
      <w:rFonts w:ascii="Times New Roman" w:hAnsi="Times New Roman" w:eastAsia="宋体" w:cstheme="minorBidi"/>
      <w:snapToGrid w:val="0"/>
      <w:spacing w:val="6"/>
      <w:szCs w:val="22"/>
    </w:rPr>
  </w:style>
  <w:style w:type="paragraph" w:styleId="7">
    <w:name w:val="footer"/>
    <w:basedOn w:val="1"/>
    <w:qFormat/>
    <w:uiPriority w:val="0"/>
    <w:pPr>
      <w:tabs>
        <w:tab w:val="center" w:pos="4153"/>
        <w:tab w:val="right" w:pos="8306"/>
      </w:tabs>
      <w:snapToGrid w:val="0"/>
      <w:jc w:val="center"/>
    </w:pPr>
    <w:rPr>
      <w:rFonts w:ascii="Tahoma" w:hAnsi="Tahoma" w:eastAsia="宋体" w:cstheme="minorBidi"/>
      <w:sz w:val="18"/>
      <w:szCs w:val="22"/>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outlineLvl w:val="9"/>
    </w:pPr>
    <w:rPr>
      <w:rFonts w:ascii="Times New Roman" w:hAnsi="Times New Roman" w:eastAsia="宋体"/>
      <w:sz w:val="18"/>
    </w:rPr>
  </w:style>
  <w:style w:type="paragraph" w:styleId="9">
    <w:name w:val="toc 1"/>
    <w:basedOn w:val="1"/>
    <w:next w:val="1"/>
    <w:link w:val="19"/>
    <w:qFormat/>
    <w:uiPriority w:val="0"/>
    <w:pPr>
      <w:pBdr>
        <w:top w:val="double" w:color="BDD6EE" w:themeColor="accent1" w:themeTint="66" w:sz="12" w:space="1"/>
        <w:left w:val="double" w:color="BDD6EE" w:themeColor="accent1" w:themeTint="66" w:sz="12" w:space="4"/>
        <w:bottom w:val="double" w:color="BDD6EE" w:themeColor="accent1" w:themeTint="66" w:sz="12" w:space="1"/>
        <w:right w:val="double" w:color="BDD6EE" w:themeColor="accent1" w:themeTint="66" w:sz="12" w:space="4"/>
      </w:pBdr>
      <w:shd w:val="clear"/>
      <w:adjustRightInd w:val="0"/>
      <w:snapToGrid/>
      <w:spacing w:line="240" w:lineRule="auto"/>
      <w:ind w:left="0" w:leftChars="0" w:right="0" w:rightChars="0"/>
    </w:pPr>
    <w:rPr>
      <w:rFonts w:ascii="Tahoma" w:hAnsi="Tahoma" w:eastAsia="宋体" w:cstheme="minorBidi"/>
      <w:spacing w:val="0"/>
      <w:szCs w:val="22"/>
    </w:rPr>
  </w:style>
  <w:style w:type="paragraph" w:styleId="10">
    <w:name w:val="toc 2"/>
    <w:basedOn w:val="1"/>
    <w:next w:val="1"/>
    <w:qFormat/>
    <w:uiPriority w:val="0"/>
    <w:pPr>
      <w:adjustRightInd w:val="0"/>
      <w:snapToGrid/>
      <w:spacing w:line="240" w:lineRule="auto"/>
      <w:ind w:left="1012" w:leftChars="450"/>
    </w:pPr>
    <w:rPr>
      <w:rFonts w:ascii="Times New Roman" w:hAnsi="Times New Roman" w:eastAsia="宋体" w:cstheme="minorBidi"/>
      <w:snapToGrid w:val="0"/>
      <w:spacing w:val="6"/>
      <w:szCs w:val="22"/>
    </w:rPr>
  </w:style>
  <w:style w:type="paragraph" w:styleId="11">
    <w:name w:val="Normal (Web)"/>
    <w:basedOn w:val="1"/>
    <w:uiPriority w:val="0"/>
    <w:pPr>
      <w:spacing w:before="0" w:beforeAutospacing="1" w:after="0" w:afterAutospacing="1"/>
      <w:ind w:left="0" w:right="0"/>
      <w:jc w:val="left"/>
    </w:pPr>
    <w:rPr>
      <w:kern w:val="0"/>
      <w:sz w:val="0"/>
      <w:szCs w:val="0"/>
      <w:lang w:val="en-US" w:eastAsia="zh-CN" w:bidi="ar"/>
    </w:rPr>
  </w:style>
  <w:style w:type="character" w:styleId="14">
    <w:name w:val="FollowedHyperlink"/>
    <w:basedOn w:val="13"/>
    <w:uiPriority w:val="0"/>
    <w:rPr>
      <w:color w:val="333333"/>
      <w:u w:val="none"/>
    </w:rPr>
  </w:style>
  <w:style w:type="character" w:styleId="15">
    <w:name w:val="Hyperlink"/>
    <w:basedOn w:val="13"/>
    <w:uiPriority w:val="0"/>
    <w:rPr>
      <w:color w:val="333333"/>
      <w:u w:val="none"/>
    </w:rPr>
  </w:style>
  <w:style w:type="character" w:customStyle="1" w:styleId="16">
    <w:name w:val="标题 1 Char"/>
    <w:link w:val="3"/>
    <w:qFormat/>
    <w:uiPriority w:val="0"/>
    <w:rPr>
      <w:rFonts w:ascii="Tahoma" w:hAnsi="Tahoma" w:eastAsia="宋体" w:cstheme="minorBidi"/>
      <w:b/>
      <w:snapToGrid w:val="0"/>
      <w:kern w:val="44"/>
      <w:sz w:val="32"/>
      <w:szCs w:val="22"/>
    </w:rPr>
  </w:style>
  <w:style w:type="character" w:customStyle="1" w:styleId="17">
    <w:name w:val="标题 2 Char"/>
    <w:basedOn w:val="13"/>
    <w:link w:val="4"/>
    <w:qFormat/>
    <w:uiPriority w:val="0"/>
    <w:rPr>
      <w:rFonts w:ascii="宋体" w:hAnsi="宋体" w:eastAsia="宋体" w:cs="Times New Roman"/>
      <w:bCs/>
      <w:snapToGrid w:val="0"/>
      <w:spacing w:val="0"/>
      <w:kern w:val="32"/>
      <w:sz w:val="30"/>
      <w:szCs w:val="32"/>
    </w:rPr>
  </w:style>
  <w:style w:type="paragraph" w:customStyle="1" w:styleId="18">
    <w:name w:val="*正文"/>
    <w:basedOn w:val="1"/>
    <w:next w:val="1"/>
    <w:qFormat/>
    <w:uiPriority w:val="0"/>
    <w:pPr>
      <w:widowControl/>
      <w:adjustRightInd w:val="0"/>
      <w:snapToGrid w:val="0"/>
      <w:ind w:firstLine="482"/>
      <w:jc w:val="left"/>
    </w:pPr>
    <w:rPr>
      <w:rFonts w:ascii="微软雅黑" w:hAnsi="微软雅黑" w:eastAsia="宋体"/>
      <w:sz w:val="24"/>
    </w:rPr>
  </w:style>
  <w:style w:type="character" w:customStyle="1" w:styleId="19">
    <w:name w:val="目录 1 Char"/>
    <w:link w:val="9"/>
    <w:qFormat/>
    <w:uiPriority w:val="39"/>
    <w:rPr>
      <w:rFonts w:ascii="Tahoma" w:hAnsi="Tahoma" w:eastAsia="宋体" w:cstheme="minorBidi"/>
      <w:snapToGrid w:val="0"/>
      <w:spacing w:val="0"/>
      <w:sz w:val="24"/>
      <w:szCs w:val="22"/>
    </w:rPr>
  </w:style>
  <w:style w:type="character" w:customStyle="1" w:styleId="20">
    <w:name w:val="标题 3 Char"/>
    <w:link w:val="5"/>
    <w:qFormat/>
    <w:uiPriority w:val="0"/>
    <w:rPr>
      <w:rFonts w:ascii="Times New Roman" w:hAnsi="Times New Roman" w:eastAsia="宋体" w:cstheme="minorBidi"/>
      <w:kern w:val="2"/>
      <w:sz w:val="28"/>
      <w:szCs w:val="22"/>
    </w:rPr>
  </w:style>
  <w:style w:type="paragraph" w:styleId="21">
    <w:name w:val=""/>
    <w:basedOn w:val="1"/>
    <w:next w:val="1"/>
    <w:uiPriority w:val="0"/>
    <w:pPr>
      <w:pBdr>
        <w:bottom w:val="single" w:color="auto" w:sz="6" w:space="1"/>
      </w:pBdr>
      <w:jc w:val="center"/>
    </w:pPr>
    <w:rPr>
      <w:rFonts w:ascii="Arial" w:eastAsia="宋体"/>
      <w:vanish/>
      <w:sz w:val="16"/>
    </w:rPr>
  </w:style>
  <w:style w:type="paragraph" w:styleId="22">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microsoft.com/office/2006/relationships/keyMapCustomizations" Target="customizations.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2857</Words>
  <Characters>3159</Characters>
  <Lines>0</Lines>
  <Paragraphs>0</Paragraphs>
  <TotalTime>14</TotalTime>
  <ScaleCrop>false</ScaleCrop>
  <LinksUpToDate>false</LinksUpToDate>
  <CharactersWithSpaces>3190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2022-06-27T06:36:00Z</dcterms:created>
  <dc:creator>Administrator</dc:creator>
  <cp:lastModifiedBy>寳鋇ル微笑</cp:lastModifiedBy>
  <dcterms:modified xsi:type="dcterms:W3CDTF">2023-01-20T09:11:29Z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7A84DD4F3BD344A6A8CBA77D32B4339D</vt:lpwstr>
  </property>
</Properties>
</file>