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宋体" w:hAnsi="宋体"/>
          <w:b/>
          <w:color w:val="auto"/>
          <w:szCs w:val="21"/>
          <w:highlight w:val="none"/>
        </w:rPr>
      </w:pPr>
      <w:r>
        <w:rPr>
          <w:rFonts w:hint="eastAsia" w:ascii="宋体" w:hAnsi="宋体"/>
          <w:b/>
          <w:color w:val="auto"/>
          <w:szCs w:val="21"/>
          <w:highlight w:val="none"/>
        </w:rPr>
        <w:t>1</w:t>
      </w:r>
      <w:r>
        <w:rPr>
          <w:rFonts w:ascii="宋体" w:hAnsi="宋体"/>
          <w:b/>
          <w:color w:val="auto"/>
          <w:szCs w:val="21"/>
          <w:highlight w:val="none"/>
        </w:rPr>
        <w:t>.</w:t>
      </w:r>
      <w:r>
        <w:rPr>
          <w:rFonts w:hint="eastAsia" w:ascii="宋体" w:hAnsi="宋体"/>
          <w:b/>
          <w:color w:val="auto"/>
          <w:szCs w:val="21"/>
          <w:highlight w:val="none"/>
        </w:rPr>
        <w:t>项目概况</w:t>
      </w:r>
    </w:p>
    <w:p>
      <w:pPr>
        <w:spacing w:line="360" w:lineRule="auto"/>
        <w:ind w:firstLine="420" w:firstLineChars="200"/>
        <w:rPr>
          <w:bCs/>
          <w:color w:val="auto"/>
          <w:highlight w:val="none"/>
        </w:rPr>
      </w:pPr>
      <w:r>
        <w:rPr>
          <w:rFonts w:hint="eastAsia" w:ascii="宋体" w:hAnsi="宋体"/>
          <w:color w:val="auto"/>
          <w:szCs w:val="21"/>
          <w:highlight w:val="none"/>
        </w:rPr>
        <w:t>本项目位于</w:t>
      </w:r>
      <w:r>
        <w:rPr>
          <w:rFonts w:hint="eastAsia"/>
          <w:bCs/>
          <w:color w:val="auto"/>
          <w:highlight w:val="none"/>
        </w:rPr>
        <w:t>哈尔滨市松北区科技创新城</w:t>
      </w:r>
      <w:r>
        <w:rPr>
          <w:rFonts w:hint="eastAsia" w:ascii="宋体" w:hAnsi="宋体"/>
          <w:color w:val="auto"/>
          <w:szCs w:val="21"/>
          <w:highlight w:val="none"/>
        </w:rPr>
        <w:t>，地上2层，局部4层，总建筑面积约</w:t>
      </w:r>
      <w:r>
        <w:rPr>
          <w:rFonts w:ascii="宋体" w:hAnsi="宋体"/>
          <w:color w:val="auto"/>
          <w:szCs w:val="21"/>
          <w:highlight w:val="none"/>
        </w:rPr>
        <w:t>21748.75</w:t>
      </w:r>
      <w:r>
        <w:rPr>
          <w:rFonts w:hint="eastAsia" w:ascii="宋体" w:hAnsi="宋体"/>
          <w:color w:val="auto"/>
          <w:szCs w:val="21"/>
          <w:highlight w:val="none"/>
        </w:rPr>
        <w:t>㎡，主要为教育科研用房。</w:t>
      </w:r>
      <w:r>
        <w:rPr>
          <w:bCs/>
          <w:color w:val="auto"/>
          <w:highlight w:val="none"/>
        </w:rPr>
        <w:t xml:space="preserve"> </w:t>
      </w:r>
    </w:p>
    <w:p>
      <w:pPr>
        <w:spacing w:line="360" w:lineRule="auto"/>
        <w:rPr>
          <w:rFonts w:ascii="宋体" w:hAnsi="宋体"/>
          <w:b/>
          <w:color w:val="auto"/>
          <w:szCs w:val="21"/>
          <w:highlight w:val="none"/>
        </w:rPr>
      </w:pPr>
      <w:r>
        <w:rPr>
          <w:rFonts w:hint="eastAsia" w:ascii="宋体" w:hAnsi="宋体"/>
          <w:b/>
          <w:color w:val="auto"/>
          <w:szCs w:val="21"/>
          <w:highlight w:val="none"/>
        </w:rPr>
        <w:t>2</w:t>
      </w:r>
      <w:r>
        <w:rPr>
          <w:rFonts w:ascii="宋体" w:hAnsi="宋体"/>
          <w:b/>
          <w:color w:val="auto"/>
          <w:szCs w:val="21"/>
          <w:highlight w:val="none"/>
        </w:rPr>
        <w:t>.</w:t>
      </w:r>
      <w:r>
        <w:rPr>
          <w:rFonts w:hint="eastAsia" w:ascii="宋体" w:hAnsi="宋体"/>
          <w:b/>
          <w:color w:val="auto"/>
          <w:szCs w:val="21"/>
          <w:highlight w:val="none"/>
          <w:lang w:val="en-US"/>
        </w:rPr>
        <w:t>采购</w:t>
      </w:r>
      <w:r>
        <w:rPr>
          <w:rFonts w:hint="eastAsia" w:ascii="宋体" w:hAnsi="宋体"/>
          <w:b/>
          <w:color w:val="auto"/>
          <w:szCs w:val="21"/>
          <w:highlight w:val="none"/>
        </w:rPr>
        <w:t>范围及工作内容</w:t>
      </w:r>
    </w:p>
    <w:p>
      <w:pPr>
        <w:spacing w:line="360" w:lineRule="auto"/>
        <w:ind w:firstLine="420" w:firstLineChars="200"/>
        <w:rPr>
          <w:rFonts w:ascii="宋体" w:hAnsi="宋体"/>
          <w:color w:val="auto"/>
          <w:szCs w:val="21"/>
          <w:highlight w:val="none"/>
        </w:rPr>
      </w:pPr>
      <w:r>
        <w:rPr>
          <w:rFonts w:hint="eastAsia" w:ascii="宋体" w:hAnsi="宋体" w:cs="宋体"/>
          <w:color w:val="auto"/>
          <w:szCs w:val="21"/>
          <w:highlight w:val="none"/>
        </w:rPr>
        <w:t>主要包括原有部分外立面拆除，金属饰面装饰保温一体板及墙面2.5厚铝板施工，墙面喷刷涂料等内容。各</w:t>
      </w:r>
      <w:r>
        <w:rPr>
          <w:rFonts w:hint="eastAsia" w:ascii="宋体" w:hAnsi="宋体" w:cs="宋体"/>
          <w:color w:val="auto"/>
          <w:szCs w:val="21"/>
          <w:highlight w:val="none"/>
          <w:lang w:val="en-US" w:eastAsia="zh-CN"/>
        </w:rPr>
        <w:t>供应商</w:t>
      </w:r>
      <w:r>
        <w:rPr>
          <w:rFonts w:hint="eastAsia" w:ascii="宋体" w:hAnsi="宋体" w:cs="宋体"/>
          <w:color w:val="auto"/>
          <w:szCs w:val="21"/>
          <w:highlight w:val="none"/>
        </w:rPr>
        <w:t>须根据</w:t>
      </w:r>
      <w:r>
        <w:rPr>
          <w:rFonts w:hint="eastAsia" w:ascii="宋体" w:hAnsi="宋体" w:cs="宋体"/>
          <w:color w:val="auto"/>
          <w:szCs w:val="21"/>
          <w:highlight w:val="none"/>
          <w:lang w:val="en-US" w:eastAsia="zh-CN"/>
        </w:rPr>
        <w:t>财股</w:t>
      </w:r>
      <w:r>
        <w:rPr>
          <w:rFonts w:hint="eastAsia" w:ascii="宋体" w:hAnsi="宋体" w:cs="宋体"/>
          <w:color w:val="auto"/>
          <w:szCs w:val="21"/>
          <w:highlight w:val="none"/>
        </w:rPr>
        <w:t>人提供的施工图及工程量清单，根据国家相关规范标准完成招标范围内所有采购制作、运输供货、安装施工（含脚手架、垂直运输、设施保护等措施）、检验验收、售后服务及其他为必要内容，</w:t>
      </w:r>
      <w:r>
        <w:rPr>
          <w:rFonts w:hint="eastAsia" w:ascii="宋体" w:hAnsi="宋体"/>
          <w:color w:val="auto"/>
          <w:szCs w:val="21"/>
          <w:highlight w:val="none"/>
        </w:rPr>
        <w:t>具体分项工程内容如下：</w:t>
      </w:r>
    </w:p>
    <w:tbl>
      <w:tblPr>
        <w:tblStyle w:val="3"/>
        <w:tblW w:w="0" w:type="auto"/>
        <w:tblInd w:w="108" w:type="dxa"/>
        <w:tblLayout w:type="autofit"/>
        <w:tblCellMar>
          <w:top w:w="0" w:type="dxa"/>
          <w:left w:w="108" w:type="dxa"/>
          <w:bottom w:w="0" w:type="dxa"/>
          <w:right w:w="108" w:type="dxa"/>
        </w:tblCellMar>
      </w:tblPr>
      <w:tblGrid>
        <w:gridCol w:w="426"/>
        <w:gridCol w:w="1221"/>
        <w:gridCol w:w="5246"/>
        <w:gridCol w:w="570"/>
        <w:gridCol w:w="951"/>
      </w:tblGrid>
      <w:tr>
        <w:tblPrEx>
          <w:tblCellMar>
            <w:top w:w="0" w:type="dxa"/>
            <w:left w:w="108" w:type="dxa"/>
            <w:bottom w:w="0" w:type="dxa"/>
            <w:right w:w="108" w:type="dxa"/>
          </w:tblCellMar>
        </w:tblPrEx>
        <w:trPr>
          <w:trHeight w:val="360" w:hRule="atLeast"/>
        </w:trPr>
        <w:tc>
          <w:tcPr>
            <w:tcW w:w="426" w:type="dxa"/>
            <w:vMerge w:val="restart"/>
            <w:tcBorders>
              <w:top w:val="single" w:color="000000" w:sz="8" w:space="0"/>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序号</w:t>
            </w:r>
          </w:p>
        </w:tc>
        <w:tc>
          <w:tcPr>
            <w:tcW w:w="1275"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分项工程名称</w:t>
            </w:r>
          </w:p>
        </w:tc>
        <w:tc>
          <w:tcPr>
            <w:tcW w:w="5670"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主要材料选用标准及施工技术要求</w:t>
            </w:r>
          </w:p>
        </w:tc>
        <w:tc>
          <w:tcPr>
            <w:tcW w:w="586" w:type="dxa"/>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单位</w:t>
            </w:r>
          </w:p>
        </w:tc>
        <w:tc>
          <w:tcPr>
            <w:tcW w:w="0" w:type="auto"/>
            <w:vMerge w:val="restart"/>
            <w:tcBorders>
              <w:top w:val="single" w:color="000000" w:sz="8" w:space="0"/>
              <w:left w:val="single" w:color="000000" w:sz="4"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工程量</w:t>
            </w:r>
          </w:p>
        </w:tc>
      </w:tr>
      <w:tr>
        <w:tblPrEx>
          <w:tblCellMar>
            <w:top w:w="0" w:type="dxa"/>
            <w:left w:w="108" w:type="dxa"/>
            <w:bottom w:w="0" w:type="dxa"/>
            <w:right w:w="108" w:type="dxa"/>
          </w:tblCellMar>
        </w:tblPrEx>
        <w:trPr>
          <w:trHeight w:val="375" w:hRule="atLeast"/>
        </w:trPr>
        <w:tc>
          <w:tcPr>
            <w:tcW w:w="426" w:type="dxa"/>
            <w:vMerge w:val="continue"/>
            <w:tcBorders>
              <w:top w:val="single" w:color="000000" w:sz="8" w:space="0"/>
              <w:left w:val="single" w:color="000000" w:sz="8" w:space="0"/>
              <w:bottom w:val="single" w:color="000000" w:sz="4" w:space="0"/>
              <w:right w:val="single" w:color="000000" w:sz="4" w:space="0"/>
            </w:tcBorders>
            <w:vAlign w:val="center"/>
          </w:tcPr>
          <w:p>
            <w:pPr>
              <w:rPr>
                <w:rFonts w:ascii="宋体" w:hAnsi="宋体" w:cs="宋体"/>
                <w:color w:val="auto"/>
                <w:kern w:val="0"/>
                <w:szCs w:val="21"/>
                <w:highlight w:val="none"/>
              </w:rPr>
            </w:pPr>
          </w:p>
        </w:tc>
        <w:tc>
          <w:tcPr>
            <w:tcW w:w="1275" w:type="dxa"/>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color w:val="auto"/>
                <w:kern w:val="0"/>
                <w:szCs w:val="21"/>
                <w:highlight w:val="none"/>
              </w:rPr>
            </w:pPr>
          </w:p>
        </w:tc>
        <w:tc>
          <w:tcPr>
            <w:tcW w:w="5670" w:type="dxa"/>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color w:val="auto"/>
                <w:kern w:val="0"/>
                <w:szCs w:val="21"/>
                <w:highlight w:val="none"/>
              </w:rPr>
            </w:pPr>
          </w:p>
        </w:tc>
        <w:tc>
          <w:tcPr>
            <w:tcW w:w="586" w:type="dxa"/>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color w:val="auto"/>
                <w:kern w:val="0"/>
                <w:szCs w:val="21"/>
                <w:highlight w:val="none"/>
              </w:rPr>
            </w:pPr>
          </w:p>
        </w:tc>
        <w:tc>
          <w:tcPr>
            <w:tcW w:w="0" w:type="auto"/>
            <w:vMerge w:val="continue"/>
            <w:tcBorders>
              <w:top w:val="single" w:color="000000" w:sz="8" w:space="0"/>
              <w:left w:val="single" w:color="000000" w:sz="4" w:space="0"/>
              <w:bottom w:val="single" w:color="000000" w:sz="4" w:space="0"/>
              <w:right w:val="single" w:color="000000" w:sz="4" w:space="0"/>
            </w:tcBorders>
            <w:vAlign w:val="center"/>
          </w:tcPr>
          <w:p>
            <w:pPr>
              <w:rPr>
                <w:rFonts w:ascii="宋体" w:hAnsi="宋体" w:cs="宋体"/>
                <w:color w:val="auto"/>
                <w:kern w:val="0"/>
                <w:szCs w:val="21"/>
                <w:highlight w:val="none"/>
              </w:rPr>
            </w:pPr>
          </w:p>
        </w:tc>
      </w:tr>
      <w:tr>
        <w:tblPrEx>
          <w:tblCellMar>
            <w:top w:w="0" w:type="dxa"/>
            <w:left w:w="108" w:type="dxa"/>
            <w:bottom w:w="0" w:type="dxa"/>
            <w:right w:w="108" w:type="dxa"/>
          </w:tblCellMar>
        </w:tblPrEx>
        <w:trPr>
          <w:trHeight w:val="482"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铲除涂料面</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1.铲除部位名称:原混凝土墙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2.原墙面清理找平</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3.渣土外运：运距自行考虑</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5578.83</w:t>
            </w:r>
          </w:p>
        </w:tc>
      </w:tr>
      <w:tr>
        <w:tblPrEx>
          <w:tblCellMar>
            <w:top w:w="0" w:type="dxa"/>
            <w:left w:w="108" w:type="dxa"/>
            <w:bottom w:w="0" w:type="dxa"/>
            <w:right w:w="108" w:type="dxa"/>
          </w:tblCellMar>
        </w:tblPrEx>
        <w:trPr>
          <w:trHeight w:val="367"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2</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墙面界面剂</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1.部位:装饰一体板处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2.满涂界面剂一遍</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3.具体详见图纸设计</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5312.94</w:t>
            </w:r>
          </w:p>
        </w:tc>
      </w:tr>
      <w:tr>
        <w:tblPrEx>
          <w:tblCellMar>
            <w:top w:w="0" w:type="dxa"/>
            <w:left w:w="108" w:type="dxa"/>
            <w:bottom w:w="0" w:type="dxa"/>
            <w:right w:w="108" w:type="dxa"/>
          </w:tblCellMar>
        </w:tblPrEx>
        <w:trPr>
          <w:trHeight w:val="392"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3</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立面砂浆找平层</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1.基层类型:混凝土墙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2.找平层砂浆厚度、配合比:15mm厚M7.5水泥抗裂砂浆（干混砂浆）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3.具体详见图纸设计</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5312.94</w:t>
            </w:r>
          </w:p>
        </w:tc>
      </w:tr>
      <w:tr>
        <w:tblPrEx>
          <w:tblCellMar>
            <w:top w:w="0" w:type="dxa"/>
            <w:left w:w="108" w:type="dxa"/>
            <w:bottom w:w="0" w:type="dxa"/>
            <w:right w:w="108" w:type="dxa"/>
          </w:tblCellMar>
        </w:tblPrEx>
        <w:trPr>
          <w:trHeight w:val="706"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4</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钢托架</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1.部位:墙面一体板处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2.钢材品种、规格:50*5通长镀锌角钢托板(墙面板≥5米使用)一道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3.螺栓种类:M12*120膨胀螺栓(≤1200mm)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4.其他:具体详见图纸设计</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t</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2.012</w:t>
            </w:r>
          </w:p>
        </w:tc>
      </w:tr>
      <w:tr>
        <w:tblPrEx>
          <w:tblCellMar>
            <w:top w:w="0" w:type="dxa"/>
            <w:left w:w="108" w:type="dxa"/>
            <w:bottom w:w="0" w:type="dxa"/>
            <w:right w:w="108" w:type="dxa"/>
          </w:tblCellMar>
        </w:tblPrEx>
        <w:trPr>
          <w:trHeight w:val="70"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5</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金属饰面装饰保温一体板</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1.制作、安装材料种类、规格:胶粘剂(大于板面50%)+专用镀锌挂件+M6*80锚栓</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2.做法参见10J121-G4、G5页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3.填缝材料种类、规格:硅酮密封胶填缝</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4.窗口转角处金属一体板包角件灰白色耐候胶粘接</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5.墙体空隙发泡填充</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6.专用粘接砂浆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7.面层材料品种、规格、颜色:基板厚0.6mm,基板镀锌量双面&gt;AZ120g/m,表面氟碳喷涂,正面漆膜厚度&gt;30um背面漆膜厚度 5-7um;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中间层岩棉厚度50mm,容重≥120kg/m³;背板10mm厚穿孔水泥压力板.</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8.其他:具体以设计图纸为准</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5312.94</w:t>
            </w:r>
          </w:p>
        </w:tc>
      </w:tr>
      <w:tr>
        <w:tblPrEx>
          <w:tblCellMar>
            <w:top w:w="0" w:type="dxa"/>
            <w:left w:w="108" w:type="dxa"/>
            <w:bottom w:w="0" w:type="dxa"/>
            <w:right w:w="108" w:type="dxa"/>
          </w:tblCellMar>
        </w:tblPrEx>
        <w:trPr>
          <w:trHeight w:val="907"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6</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墙面喷刷涂料</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1.喷刷涂料部位:A区9轴-1轴北立面处</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2.基层清理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3.基层材料: 一遍抗碱封闭底漆</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4.腻子种类:批刮腻子</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5.涂料品种、喷刷遍数: 两遍高级外墙防水涂料面漆平涂</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6.其他:具体详见设计图纸</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265.98</w:t>
            </w:r>
          </w:p>
        </w:tc>
      </w:tr>
      <w:tr>
        <w:tblPrEx>
          <w:tblCellMar>
            <w:top w:w="0" w:type="dxa"/>
            <w:left w:w="108" w:type="dxa"/>
            <w:bottom w:w="0" w:type="dxa"/>
            <w:right w:w="108" w:type="dxa"/>
          </w:tblCellMar>
        </w:tblPrEx>
        <w:trPr>
          <w:trHeight w:val="411"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7</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墙柱面龙骨及饰面拆除</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1.龙骨及饰面种类:原钢骨架保留，水泥压力板饰面拆除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2.渣土外运:运距自行考虑</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1808.81</w:t>
            </w:r>
          </w:p>
        </w:tc>
      </w:tr>
      <w:tr>
        <w:tblPrEx>
          <w:tblCellMar>
            <w:top w:w="0" w:type="dxa"/>
            <w:left w:w="108" w:type="dxa"/>
            <w:bottom w:w="0" w:type="dxa"/>
            <w:right w:w="108" w:type="dxa"/>
          </w:tblCellMar>
        </w:tblPrEx>
        <w:trPr>
          <w:trHeight w:val="702"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8</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檐顶处原彩钢板盖拆除</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1.龙骨及饰面种类:原钢骨架保留，檐顶处原彩钢板盖拆除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2.渣土外运:运距自行考虑</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252.4</w:t>
            </w:r>
          </w:p>
        </w:tc>
      </w:tr>
      <w:tr>
        <w:tblPrEx>
          <w:tblCellMar>
            <w:top w:w="0" w:type="dxa"/>
            <w:left w:w="108" w:type="dxa"/>
            <w:bottom w:w="0" w:type="dxa"/>
            <w:right w:w="108" w:type="dxa"/>
          </w:tblCellMar>
        </w:tblPrEx>
        <w:trPr>
          <w:trHeight w:val="1720"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9</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墙面2.5mm厚铝板</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1.龙骨材料种类、规格、中距:横竖龙骨为40*3镀锌钢管，横纵龙骨与原钢结构骨架焊接、双向镀锌钢管间距450mm</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2.抽芯铆钉固定于龙骨上.</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3.面层材料品种、规格、颜色:2.5mm厚铝板,表面氟碳喷涂处理，板缝用聚乙烯发泡条,外注密封胶</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4.外墙铝板及穿孔铝板做法参见06J505-1-Q23页</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5.其他:具体以设计图纸为准</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2061.21</w:t>
            </w:r>
          </w:p>
        </w:tc>
      </w:tr>
      <w:tr>
        <w:tblPrEx>
          <w:tblCellMar>
            <w:top w:w="0" w:type="dxa"/>
            <w:left w:w="108" w:type="dxa"/>
            <w:bottom w:w="0" w:type="dxa"/>
            <w:right w:w="108" w:type="dxa"/>
          </w:tblCellMar>
        </w:tblPrEx>
        <w:trPr>
          <w:trHeight w:val="70"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10</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屋面板材防护</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1位置：屋面安装脚手架原防水卷材饰面施工保护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2.面层材料品种、规格、颜色:板材防护</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3.结算以实际发生为准</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m2</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1169.86</w:t>
            </w:r>
          </w:p>
        </w:tc>
      </w:tr>
      <w:tr>
        <w:tblPrEx>
          <w:tblCellMar>
            <w:top w:w="0" w:type="dxa"/>
            <w:left w:w="108" w:type="dxa"/>
            <w:bottom w:w="0" w:type="dxa"/>
            <w:right w:w="108" w:type="dxa"/>
          </w:tblCellMar>
        </w:tblPrEx>
        <w:trPr>
          <w:trHeight w:val="333" w:hRule="atLeast"/>
        </w:trPr>
        <w:tc>
          <w:tcPr>
            <w:tcW w:w="426" w:type="dxa"/>
            <w:tcBorders>
              <w:top w:val="nil"/>
              <w:left w:val="single" w:color="000000" w:sz="8" w:space="0"/>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11</w:t>
            </w:r>
          </w:p>
        </w:tc>
        <w:tc>
          <w:tcPr>
            <w:tcW w:w="1275" w:type="dxa"/>
            <w:tcBorders>
              <w:top w:val="nil"/>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避雷网</w:t>
            </w:r>
          </w:p>
        </w:tc>
        <w:tc>
          <w:tcPr>
            <w:tcW w:w="5670" w:type="dxa"/>
            <w:tcBorders>
              <w:top w:val="single" w:color="000000" w:sz="4" w:space="0"/>
              <w:left w:val="nil"/>
              <w:bottom w:val="single" w:color="000000" w:sz="4" w:space="0"/>
              <w:right w:val="single" w:color="000000" w:sz="4" w:space="0"/>
            </w:tcBorders>
            <w:shd w:val="clear" w:color="FFFFFF" w:fill="FFFFFF"/>
            <w:vAlign w:val="center"/>
          </w:tcPr>
          <w:p>
            <w:pPr>
              <w:rPr>
                <w:rFonts w:ascii="宋体" w:hAnsi="宋体" w:cs="宋体"/>
                <w:color w:val="auto"/>
                <w:kern w:val="0"/>
                <w:szCs w:val="21"/>
                <w:highlight w:val="none"/>
              </w:rPr>
            </w:pPr>
            <w:r>
              <w:rPr>
                <w:rFonts w:hint="eastAsia" w:ascii="宋体" w:hAnsi="宋体" w:cs="宋体"/>
                <w:color w:val="auto"/>
                <w:kern w:val="0"/>
                <w:szCs w:val="21"/>
                <w:highlight w:val="none"/>
              </w:rPr>
              <w:t>1.名称:女儿墙避雷拆除及安装</w:t>
            </w:r>
          </w:p>
        </w:tc>
        <w:tc>
          <w:tcPr>
            <w:tcW w:w="586" w:type="dxa"/>
            <w:tcBorders>
              <w:top w:val="nil"/>
              <w:left w:val="nil"/>
              <w:bottom w:val="single" w:color="000000" w:sz="4" w:space="0"/>
              <w:right w:val="single" w:color="000000" w:sz="4" w:space="0"/>
            </w:tcBorders>
            <w:shd w:val="clear" w:color="FFFFFF" w:fill="FFFFFF"/>
            <w:vAlign w:val="center"/>
          </w:tcPr>
          <w:p>
            <w:pPr>
              <w:jc w:val="center"/>
              <w:rPr>
                <w:rFonts w:ascii="宋体" w:hAnsi="宋体" w:cs="宋体"/>
                <w:color w:val="auto"/>
                <w:kern w:val="0"/>
                <w:szCs w:val="21"/>
                <w:highlight w:val="none"/>
              </w:rPr>
            </w:pPr>
            <w:r>
              <w:rPr>
                <w:rFonts w:hint="eastAsia" w:ascii="宋体" w:hAnsi="宋体" w:cs="宋体"/>
                <w:color w:val="auto"/>
                <w:kern w:val="0"/>
                <w:szCs w:val="21"/>
                <w:highlight w:val="none"/>
              </w:rPr>
              <w:t>m</w:t>
            </w:r>
          </w:p>
        </w:tc>
        <w:tc>
          <w:tcPr>
            <w:tcW w:w="0" w:type="auto"/>
            <w:tcBorders>
              <w:top w:val="nil"/>
              <w:left w:val="nil"/>
              <w:bottom w:val="single" w:color="000000" w:sz="4" w:space="0"/>
              <w:right w:val="single" w:color="000000" w:sz="4" w:space="0"/>
            </w:tcBorders>
            <w:shd w:val="clear" w:color="FFFFFF" w:fill="FFFFFF"/>
            <w:vAlign w:val="center"/>
          </w:tcPr>
          <w:p>
            <w:pPr>
              <w:jc w:val="right"/>
              <w:rPr>
                <w:rFonts w:ascii="宋体" w:hAnsi="宋体" w:cs="宋体"/>
                <w:color w:val="auto"/>
                <w:kern w:val="0"/>
                <w:szCs w:val="21"/>
                <w:highlight w:val="none"/>
              </w:rPr>
            </w:pPr>
            <w:r>
              <w:rPr>
                <w:rFonts w:hint="eastAsia" w:ascii="宋体" w:hAnsi="宋体" w:cs="宋体"/>
                <w:color w:val="auto"/>
                <w:kern w:val="0"/>
                <w:szCs w:val="21"/>
                <w:highlight w:val="none"/>
              </w:rPr>
              <w:t>518.8</w:t>
            </w:r>
          </w:p>
        </w:tc>
      </w:tr>
    </w:tbl>
    <w:p>
      <w:pPr>
        <w:pStyle w:val="2"/>
        <w:rPr>
          <w:color w:val="auto"/>
          <w:highlight w:val="none"/>
          <w:lang w:val="zh-CN"/>
        </w:rPr>
      </w:pPr>
    </w:p>
    <w:p>
      <w:pPr>
        <w:pStyle w:val="2"/>
        <w:ind w:firstLine="0"/>
        <w:jc w:val="left"/>
        <w:rPr>
          <w:rFonts w:ascii="宋体" w:hAnsi="宋体" w:eastAsia="微软雅黑" w:cs="宋体"/>
          <w:color w:val="auto"/>
          <w:kern w:val="0"/>
          <w:szCs w:val="21"/>
          <w:highlight w:val="none"/>
          <w:lang w:val="zh-CN"/>
        </w:rPr>
      </w:pPr>
      <w:r>
        <w:rPr>
          <w:rFonts w:hint="eastAsia" w:ascii="宋体" w:hAnsi="宋体" w:eastAsia="微软雅黑" w:cs="宋体"/>
          <w:color w:val="auto"/>
          <w:kern w:val="0"/>
          <w:szCs w:val="21"/>
          <w:highlight w:val="none"/>
          <w:lang w:val="zh-CN"/>
        </w:rPr>
        <w:t>注：以上工程内容为工程造价咨询机构根据施工图纸、计价规范及采购人相关要求综合测算而来，采购人不排除存在误差的风险，但施工图纸中已明确设计或说明的施工内容、材料标准、工艺要求等均视为已包含在以上分项工程中，供应商如有问题应在投标阶段尽快提出，否则结算时采购人除工程量偏差及必要的签证变更外，有权拒绝成交供应商提出的对招标分项工程清单有争议的问题，如因此导致项目在施工进度、质量及竣工验收等阶段给采购人造成影响的，采购人有权扣罚全部履约保证金，拒绝支付工程款，由此产生的损失全部由成交人自行承担。</w:t>
      </w:r>
    </w:p>
    <w:p>
      <w:pPr>
        <w:spacing w:line="360" w:lineRule="auto"/>
        <w:rPr>
          <w:rFonts w:ascii="宋体" w:hAnsi="宋体"/>
          <w:b/>
          <w:color w:val="auto"/>
          <w:szCs w:val="21"/>
          <w:highlight w:val="none"/>
        </w:rPr>
      </w:pPr>
      <w:r>
        <w:rPr>
          <w:rFonts w:hint="eastAsia" w:ascii="宋体" w:hAnsi="宋体"/>
          <w:b/>
          <w:color w:val="auto"/>
          <w:szCs w:val="21"/>
          <w:highlight w:val="none"/>
        </w:rPr>
        <w:t>3</w:t>
      </w:r>
      <w:r>
        <w:rPr>
          <w:rFonts w:ascii="宋体" w:hAnsi="宋体"/>
          <w:b/>
          <w:color w:val="auto"/>
          <w:szCs w:val="21"/>
          <w:highlight w:val="none"/>
        </w:rPr>
        <w:t>.</w:t>
      </w:r>
      <w:r>
        <w:rPr>
          <w:rFonts w:hint="eastAsia" w:ascii="宋体" w:hAnsi="宋体"/>
          <w:b/>
          <w:color w:val="auto"/>
          <w:szCs w:val="21"/>
          <w:highlight w:val="none"/>
        </w:rPr>
        <w:t>深化设计要求</w:t>
      </w:r>
    </w:p>
    <w:p>
      <w:pPr>
        <w:pStyle w:val="2"/>
        <w:rPr>
          <w:color w:val="auto"/>
          <w:highlight w:val="none"/>
        </w:rPr>
      </w:pPr>
      <w:r>
        <w:rPr>
          <w:color w:val="auto"/>
          <w:highlight w:val="none"/>
        </w:rPr>
        <w:drawing>
          <wp:inline distT="0" distB="0" distL="114300" distR="114300">
            <wp:extent cx="5586730" cy="2827655"/>
            <wp:effectExtent l="0" t="0" r="13970" b="10795"/>
            <wp:docPr id="3" name="图片 6" descr="微信图片_202307060759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6" descr="微信图片_20230706075930"/>
                    <pic:cNvPicPr>
                      <a:picLocks noChangeAspect="1"/>
                    </pic:cNvPicPr>
                  </pic:nvPicPr>
                  <pic:blipFill>
                    <a:blip r:embed="rId4"/>
                    <a:stretch>
                      <a:fillRect/>
                    </a:stretch>
                  </pic:blipFill>
                  <pic:spPr>
                    <a:xfrm>
                      <a:off x="0" y="0"/>
                      <a:ext cx="5586730" cy="2827655"/>
                    </a:xfrm>
                    <a:prstGeom prst="rect">
                      <a:avLst/>
                    </a:prstGeom>
                    <a:noFill/>
                    <a:ln>
                      <a:noFill/>
                    </a:ln>
                  </pic:spPr>
                </pic:pic>
              </a:graphicData>
            </a:graphic>
          </wp:inline>
        </w:drawing>
      </w:r>
    </w:p>
    <w:p>
      <w:pPr>
        <w:pStyle w:val="2"/>
        <w:rPr>
          <w:color w:val="auto"/>
          <w:highlight w:val="none"/>
        </w:rPr>
      </w:pPr>
      <w:r>
        <w:rPr>
          <w:color w:val="auto"/>
          <w:highlight w:val="none"/>
        </w:rPr>
        <w:drawing>
          <wp:inline distT="0" distB="0" distL="114300" distR="114300">
            <wp:extent cx="5586730" cy="2498725"/>
            <wp:effectExtent l="0" t="0" r="13970" b="15875"/>
            <wp:docPr id="4" name="图片 7" descr="微信图片_202307060759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微信图片_202307060759301"/>
                    <pic:cNvPicPr>
                      <a:picLocks noChangeAspect="1"/>
                    </pic:cNvPicPr>
                  </pic:nvPicPr>
                  <pic:blipFill>
                    <a:blip r:embed="rId5"/>
                    <a:stretch>
                      <a:fillRect/>
                    </a:stretch>
                  </pic:blipFill>
                  <pic:spPr>
                    <a:xfrm>
                      <a:off x="0" y="0"/>
                      <a:ext cx="5586730" cy="2498725"/>
                    </a:xfrm>
                    <a:prstGeom prst="rect">
                      <a:avLst/>
                    </a:prstGeom>
                    <a:noFill/>
                    <a:ln>
                      <a:noFill/>
                    </a:ln>
                  </pic:spPr>
                </pic:pic>
              </a:graphicData>
            </a:graphic>
          </wp:inline>
        </w:drawing>
      </w:r>
    </w:p>
    <w:p>
      <w:pPr>
        <w:autoSpaceDE w:val="0"/>
        <w:autoSpaceDN w:val="0"/>
        <w:adjustRightInd w:val="0"/>
        <w:spacing w:line="360" w:lineRule="auto"/>
        <w:ind w:firstLine="420" w:firstLineChars="200"/>
        <w:rPr>
          <w:rFonts w:ascii="宋体" w:hAnsi="宋体"/>
          <w:color w:val="auto"/>
          <w:szCs w:val="21"/>
          <w:highlight w:val="none"/>
        </w:rPr>
      </w:pPr>
      <w:r>
        <w:rPr>
          <w:rFonts w:hint="eastAsia" w:ascii="宋体" w:hAnsi="宋体" w:cs="宋体"/>
          <w:color w:val="auto"/>
          <w:kern w:val="0"/>
          <w:szCs w:val="21"/>
          <w:highlight w:val="none"/>
        </w:rPr>
        <w:t>本次采购要求投标人应具备幕墙深化设计的能力，采购人发布的施工图纸及效果图作为施工指导性文件，但不排除在工程实施过程中需要成交人按照施工实际情况及采购人相关要求，根据国家、行业、地方相关设计规范标准对本幕墙工程进行深化设计，</w:t>
      </w:r>
      <w:r>
        <w:rPr>
          <w:rFonts w:hint="eastAsia" w:ascii="宋体" w:hAnsi="宋体"/>
          <w:color w:val="auto"/>
          <w:szCs w:val="21"/>
          <w:highlight w:val="none"/>
        </w:rPr>
        <w:t>深化设计文件应包括以下内容：</w:t>
      </w:r>
    </w:p>
    <w:p>
      <w:pPr>
        <w:autoSpaceDE w:val="0"/>
        <w:autoSpaceDN w:val="0"/>
        <w:adjustRightInd w:val="0"/>
        <w:spacing w:line="360" w:lineRule="auto"/>
        <w:rPr>
          <w:rFonts w:ascii="宋体" w:hAnsi="宋体"/>
          <w:color w:val="auto"/>
          <w:szCs w:val="21"/>
          <w:highlight w:val="none"/>
        </w:rPr>
      </w:pPr>
      <w:r>
        <w:rPr>
          <w:rFonts w:hint="eastAsia" w:ascii="宋体" w:hAnsi="宋体"/>
          <w:b/>
          <w:color w:val="auto"/>
          <w:szCs w:val="21"/>
          <w:highlight w:val="none"/>
          <w:u w:val="single"/>
        </w:rPr>
        <w:t>3</w:t>
      </w:r>
      <w:r>
        <w:rPr>
          <w:rFonts w:ascii="宋体" w:hAnsi="宋体"/>
          <w:b/>
          <w:color w:val="auto"/>
          <w:szCs w:val="21"/>
          <w:highlight w:val="none"/>
          <w:u w:val="single"/>
        </w:rPr>
        <w:t xml:space="preserve">.1 </w:t>
      </w:r>
      <w:r>
        <w:rPr>
          <w:rFonts w:hint="eastAsia" w:ascii="宋体" w:hAnsi="宋体"/>
          <w:b/>
          <w:color w:val="auto"/>
          <w:szCs w:val="21"/>
          <w:highlight w:val="none"/>
          <w:u w:val="single"/>
        </w:rPr>
        <w:t>深化效果图设计及说明：要求投标人根据招标人对本项目幕墙深化设计的相关要求，对招标人发布的效果图进行细化调整并编制深化设计说明，深化设计说明内容应阐明外幕墙、喷涂、钢结构造型等部位的具体调整内容、包括但不限于主材技术标准、主要施工工艺等。</w:t>
      </w:r>
    </w:p>
    <w:p>
      <w:pPr>
        <w:autoSpaceDE w:val="0"/>
        <w:autoSpaceDN w:val="0"/>
        <w:adjustRightInd w:val="0"/>
        <w:spacing w:line="360" w:lineRule="auto"/>
        <w:rPr>
          <w:rFonts w:ascii="宋体" w:hAnsi="宋体"/>
          <w:b/>
          <w:color w:val="auto"/>
          <w:szCs w:val="21"/>
          <w:highlight w:val="none"/>
          <w:u w:val="single"/>
        </w:rPr>
      </w:pPr>
      <w:r>
        <w:rPr>
          <w:rFonts w:hint="eastAsia" w:ascii="宋体" w:hAnsi="宋体"/>
          <w:b/>
          <w:color w:val="auto"/>
          <w:szCs w:val="21"/>
          <w:highlight w:val="none"/>
          <w:u w:val="single"/>
        </w:rPr>
        <w:t>3</w:t>
      </w:r>
      <w:r>
        <w:rPr>
          <w:rFonts w:ascii="宋体" w:hAnsi="宋体"/>
          <w:b/>
          <w:color w:val="auto"/>
          <w:szCs w:val="21"/>
          <w:highlight w:val="none"/>
          <w:u w:val="single"/>
        </w:rPr>
        <w:t xml:space="preserve">.2 </w:t>
      </w:r>
      <w:r>
        <w:rPr>
          <w:rFonts w:hint="eastAsia" w:ascii="宋体" w:hAnsi="宋体"/>
          <w:b/>
          <w:color w:val="auto"/>
          <w:szCs w:val="21"/>
          <w:highlight w:val="none"/>
          <w:u w:val="single"/>
        </w:rPr>
        <w:t>深化施工图设计：要求投标人根据调整后的效果图出具施工图深化设计，深化设计图纸内容应包括图纸目录、设计说明、施工平面图、分格大样图、立面图、预埋件布置图、节点图等；</w:t>
      </w:r>
    </w:p>
    <w:p>
      <w:pPr>
        <w:pStyle w:val="2"/>
        <w:rPr>
          <w:color w:val="auto"/>
          <w:highlight w:val="none"/>
          <w:lang w:val="zh-CN"/>
        </w:rPr>
      </w:pPr>
    </w:p>
    <w:p>
      <w:pPr>
        <w:autoSpaceDE w:val="0"/>
        <w:autoSpaceDN w:val="0"/>
        <w:adjustRightInd w:val="0"/>
        <w:spacing w:line="360" w:lineRule="auto"/>
        <w:rPr>
          <w:rFonts w:ascii="宋体" w:hAnsi="宋体" w:cs="宋体"/>
          <w:b/>
          <w:color w:val="auto"/>
          <w:kern w:val="0"/>
          <w:szCs w:val="21"/>
          <w:highlight w:val="none"/>
        </w:rPr>
      </w:pPr>
      <w:r>
        <w:rPr>
          <w:rFonts w:ascii="宋体" w:hAnsi="宋体" w:cs="宋体"/>
          <w:b/>
          <w:color w:val="auto"/>
          <w:kern w:val="0"/>
          <w:szCs w:val="21"/>
          <w:highlight w:val="none"/>
        </w:rPr>
        <w:t>3.</w:t>
      </w:r>
      <w:r>
        <w:rPr>
          <w:rFonts w:hint="eastAsia" w:ascii="宋体" w:hAnsi="宋体" w:cs="宋体"/>
          <w:b/>
          <w:color w:val="auto"/>
          <w:kern w:val="0"/>
          <w:szCs w:val="21"/>
          <w:highlight w:val="none"/>
        </w:rPr>
        <w:t xml:space="preserve"> 主要材料施工部位及技术标准要求</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.1</w:t>
      </w:r>
      <w:r>
        <w:rPr>
          <w:rFonts w:hint="eastAsia" w:ascii="宋体" w:hAnsi="宋体" w:cs="宋体"/>
          <w:color w:val="auto"/>
          <w:kern w:val="0"/>
          <w:szCs w:val="21"/>
          <w:highlight w:val="none"/>
        </w:rPr>
        <w:t>建筑外立面突出屋面结构上部采用铝单板为2.5mm厚铝合金单板表面氟碳喷涂处理，龙骨钢材选用Q235B型钢表面镀锌处理，采用40×3矩形型钢管为龙骨，与原屋面钢结构焊接。</w:t>
      </w:r>
      <w:r>
        <w:rPr>
          <w:rFonts w:ascii="宋体" w:hAnsi="宋体" w:cs="宋体"/>
          <w:color w:val="auto"/>
          <w:kern w:val="0"/>
          <w:szCs w:val="21"/>
          <w:highlight w:val="none"/>
        </w:rPr>
        <w:t xml:space="preserve"> </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lang w:val="en-US" w:eastAsia="zh-CN"/>
        </w:rPr>
        <w:t>3</w:t>
      </w:r>
      <w:r>
        <w:rPr>
          <w:rFonts w:ascii="宋体" w:hAnsi="宋体" w:cs="宋体"/>
          <w:color w:val="auto"/>
          <w:kern w:val="0"/>
          <w:szCs w:val="21"/>
          <w:highlight w:val="none"/>
        </w:rPr>
        <w:t>.2</w:t>
      </w:r>
      <w:r>
        <w:rPr>
          <w:rFonts w:hint="eastAsia" w:ascii="宋体" w:hAnsi="宋体" w:cs="宋体"/>
          <w:color w:val="auto"/>
          <w:kern w:val="0"/>
          <w:szCs w:val="21"/>
          <w:highlight w:val="none"/>
        </w:rPr>
        <w:t>建筑外立面突出屋面结构下部金属保温一体板基板厚0.6mm，基板镀锌量双面&gt;AZ120g/m，表面氟碳喷涂，正面漆膜厚度&gt;30μm，背面漆膜厚度5-7μm，中间岩棉厚度50mm，容重≥120kg/㎡，背板10mm厚穿孔水泥压力板。</w:t>
      </w:r>
    </w:p>
    <w:p>
      <w:pPr>
        <w:autoSpaceDE w:val="0"/>
        <w:autoSpaceDN w:val="0"/>
        <w:adjustRightInd w:val="0"/>
        <w:spacing w:line="360" w:lineRule="auto"/>
        <w:rPr>
          <w:rFonts w:ascii="宋体" w:hAnsi="宋体"/>
          <w:b/>
          <w:color w:val="auto"/>
          <w:szCs w:val="21"/>
          <w:highlight w:val="none"/>
        </w:rPr>
      </w:pPr>
      <w:r>
        <w:rPr>
          <w:rFonts w:ascii="宋体" w:hAnsi="宋体"/>
          <w:b/>
          <w:color w:val="auto"/>
          <w:szCs w:val="21"/>
          <w:highlight w:val="none"/>
        </w:rPr>
        <w:t xml:space="preserve">4. </w:t>
      </w:r>
      <w:r>
        <w:rPr>
          <w:rFonts w:hint="eastAsia" w:ascii="宋体" w:hAnsi="宋体"/>
          <w:b/>
          <w:color w:val="auto"/>
          <w:szCs w:val="21"/>
          <w:highlight w:val="none"/>
        </w:rPr>
        <w:t>规范标准</w:t>
      </w:r>
    </w:p>
    <w:p>
      <w:pPr>
        <w:autoSpaceDE w:val="0"/>
        <w:autoSpaceDN w:val="0"/>
        <w:adjustRightInd w:val="0"/>
        <w:spacing w:line="360" w:lineRule="auto"/>
        <w:ind w:firstLine="478" w:firstLineChars="228"/>
        <w:rPr>
          <w:rFonts w:ascii="宋体" w:hAnsi="宋体" w:cs="宋体"/>
          <w:color w:val="auto"/>
          <w:kern w:val="0"/>
          <w:szCs w:val="21"/>
          <w:highlight w:val="none"/>
        </w:rPr>
      </w:pPr>
      <w:r>
        <w:rPr>
          <w:rFonts w:hint="eastAsia" w:ascii="宋体" w:hAnsi="宋体" w:cs="宋体"/>
          <w:color w:val="auto"/>
          <w:kern w:val="0"/>
          <w:szCs w:val="21"/>
          <w:highlight w:val="none"/>
        </w:rPr>
        <w:t>本工程的所有分项工程的施工及其使用材料都必须符合现行有关法规、规范及标准的规定，包括但不限于如下规范。</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《建筑幕墙工程技术规范》DBG08</w:t>
      </w:r>
      <w:r>
        <w:rPr>
          <w:rFonts w:ascii="宋体" w:hAnsi="宋体" w:cs="宋体"/>
          <w:color w:val="auto"/>
          <w:kern w:val="0"/>
          <w:szCs w:val="21"/>
          <w:highlight w:val="none"/>
        </w:rPr>
        <w:t>—</w:t>
      </w:r>
      <w:r>
        <w:rPr>
          <w:rFonts w:hint="eastAsia" w:ascii="宋体" w:hAnsi="宋体" w:cs="宋体"/>
          <w:color w:val="auto"/>
          <w:kern w:val="0"/>
          <w:szCs w:val="21"/>
          <w:highlight w:val="none"/>
        </w:rPr>
        <w:t>56</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《建筑幕墙物理性能分级》GB／T15225</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《建筑幕墙空气渗透性能测试方法》GB／T15226</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《建筑幕墙风压变形性能测度方法》GB／T15227</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《建筑幕墙雨水渗透性能测试方法》GB／T15228</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《建筑结构荷载规范》GBJl9</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《建筑幕墙》JGJ3035</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《建筑设计防火规范》GBJ 16(修订本)</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《建筑物防雷设计规范》GB50057</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《高层民用建筑设计防火规范》GB50045</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《建筑抗震设计规范》GBJ11</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《建筑抗震设计规程》DBJ08</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《民用建筑隔声设计规范》GBJl 18</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《民用建筑热工设计规程》．]GJ24</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《采暖通风与空气调节设计规范》GBJ19</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《铝及铝合金板材》GB3380</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《铝合金建筑型树》GB／T5237</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《铝及铝合金阳极氧化一阳极氧化膜的总规范》GB80l3</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《建筑玻璃应用技术规程》JGJl113</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《钢化玻璃》GB9963</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《夹层玻璃》GB9962</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《浮法玻璃》GBl 1614</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《普通平板玻璃》GB487</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《中空玻璃》681 1944</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《吸热玻璃》JC／T536</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《钢结构设计规范》GBJ17</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《碳素结构钢》GB700</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《优质碳素结构钢技术条件》GB699</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《低合金高强度结构钢》GBl597</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《不锈钢棒》GBl220</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《不锈钢冷加工钢棒》GB4226</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《不锈钢冷轧钢板》GB3280</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《不锈钢热轧钢板》GB4237</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《硅酮建筑密封胶》GB／T14683</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《聚硫建筑密封胶》JC483</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《中空玻璃用弹性密封剂》JC486</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《建筑窗用弹性密封剂》JC485</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《金属与石材幕墙工程技术规范》JGJ131</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《硅酮建筑密封胶》GB／T14683</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《建筑安全玻璃管理规定》</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《幕墙玻璃接缝用密封胶》</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《石材幕墙接缝用密封胶》</w:t>
      </w:r>
    </w:p>
    <w:p>
      <w:pPr>
        <w:numPr>
          <w:ilvl w:val="0"/>
          <w:numId w:val="1"/>
        </w:num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《钢板用建筑密封胶》</w:t>
      </w:r>
    </w:p>
    <w:p>
      <w:pPr>
        <w:autoSpaceDE w:val="0"/>
        <w:autoSpaceDN w:val="0"/>
        <w:adjustRightInd w:val="0"/>
        <w:spacing w:line="360" w:lineRule="auto"/>
        <w:ind w:firstLine="478" w:firstLineChars="228"/>
        <w:rPr>
          <w:rFonts w:ascii="宋体" w:hAnsi="宋体" w:cs="宋体"/>
          <w:color w:val="auto"/>
          <w:kern w:val="0"/>
          <w:szCs w:val="21"/>
          <w:highlight w:val="none"/>
        </w:rPr>
      </w:pPr>
      <w:r>
        <w:rPr>
          <w:rFonts w:hint="eastAsia" w:ascii="宋体" w:hAnsi="宋体" w:cs="宋体"/>
          <w:color w:val="auto"/>
          <w:kern w:val="0"/>
          <w:szCs w:val="21"/>
          <w:highlight w:val="none"/>
        </w:rPr>
        <w:t>本工程实施中所采用的材料设备与工艺，应在各个方面符合技术标准与施工规范。招标文件发出之日以后，如果所引用的标准或规范有所修改，甲方应决定是否应用或修改；如果认为有必要修改，应发出变更通知作为招标文件的附录发出。如果承包人建议对本规范引用的标准或规范进行任何变更，承包人应向甲方提供他在工程施工中所建议变更的规范、标准的副本（流行的版本）一份。除非另有规定，由承包人提供的规范应作为其投标书的附录。规范中引用的标准或规范无论是否写明颁布的年份，皆应以最新颁布的规范为准。</w:t>
      </w:r>
    </w:p>
    <w:p>
      <w:pPr>
        <w:autoSpaceDE w:val="0"/>
        <w:autoSpaceDN w:val="0"/>
        <w:adjustRightInd w:val="0"/>
        <w:spacing w:line="360" w:lineRule="auto"/>
        <w:rPr>
          <w:rFonts w:ascii="宋体" w:hAnsi="宋体"/>
          <w:b/>
          <w:color w:val="auto"/>
          <w:szCs w:val="21"/>
          <w:highlight w:val="none"/>
        </w:rPr>
      </w:pPr>
      <w:r>
        <w:rPr>
          <w:rFonts w:hint="eastAsia" w:ascii="宋体" w:hAnsi="宋体"/>
          <w:b/>
          <w:color w:val="auto"/>
          <w:szCs w:val="21"/>
          <w:highlight w:val="none"/>
        </w:rPr>
        <w:t>5．建筑幕墙的施工要求</w:t>
      </w:r>
    </w:p>
    <w:p>
      <w:pPr>
        <w:autoSpaceDE w:val="0"/>
        <w:autoSpaceDN w:val="0"/>
        <w:adjustRightInd w:val="0"/>
        <w:spacing w:line="360" w:lineRule="auto"/>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1一般规定</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5.1.1 承包商应对建筑幕墙的施工准确性负责，承包商在构件制作前应对设计施工图进行核对，对已建的土建结构进行复测，确定土建结构施工所产生的误差，同时对已预埋的幕墙预埋件进行定位核对，进行交接验收，对因预埋不当及深化设计修改造成的偏差，应在投标文件中明确处理预案。按实测结果调整建筑幕墙并经设计单位同意后，加工组装。</w:t>
      </w:r>
    </w:p>
    <w:p>
      <w:pPr>
        <w:autoSpaceDE w:val="0"/>
        <w:autoSpaceDN w:val="0"/>
        <w:adjustRightInd w:val="0"/>
        <w:spacing w:line="360" w:lineRule="auto"/>
        <w:rPr>
          <w:rFonts w:hint="eastAsia" w:ascii="宋体" w:hAnsi="宋体" w:cs="宋体"/>
          <w:color w:val="auto"/>
          <w:kern w:val="0"/>
          <w:szCs w:val="21"/>
          <w:highlight w:val="none"/>
        </w:rPr>
      </w:pPr>
      <w:r>
        <w:rPr>
          <w:rFonts w:hint="eastAsia" w:ascii="宋体" w:hAnsi="宋体" w:cs="宋体"/>
          <w:color w:val="auto"/>
          <w:kern w:val="0"/>
          <w:szCs w:val="21"/>
          <w:highlight w:val="none"/>
        </w:rPr>
        <w:t>5.1.2 所有建筑幕墙所用铝合金应保证表面处理包括颜色和氟碳漆厚度应均匀一致。</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5.1.3 幕墙各单元完成制作，装嵌后应立即进行产品表面的保护措施，以防受到污染和损坏。</w:t>
      </w:r>
    </w:p>
    <w:p>
      <w:pPr>
        <w:autoSpaceDE w:val="0"/>
        <w:autoSpaceDN w:val="0"/>
        <w:adjustRightInd w:val="0"/>
        <w:spacing w:line="360" w:lineRule="auto"/>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2 建筑幕墙构件加工和组装精度</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5.2.1 承包商所提供的构件，其表面处理、加工和组合均应由熟练工人以行业内最高水平的施工手法达到同类工程的最高数量要求。</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5.2.2 幕墙构件在截料前必须进行直线度检测，如直线度超过允许误差，必须校直至允许偏差的范围内。</w:t>
      </w:r>
    </w:p>
    <w:p>
      <w:pPr>
        <w:autoSpaceDE w:val="0"/>
        <w:autoSpaceDN w:val="0"/>
        <w:adjustRightInd w:val="0"/>
        <w:spacing w:line="360" w:lineRule="auto"/>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3幕墙施工技术要求</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5.3.1 安装施工应符合规范要求</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5.3.1.1 幕墙招标图纸只是基本的示意图，承包商应对其进行深化设计并对其负责，承包商应根据规范和本技术要求进行整个建筑幕墙的设计、制造、装配、加固和锚固。</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5.3.1.2 承包商必须依照批准的制作图及技术规范进行施工，符合设计对材料、表面处理、形状、大小、厚度及接口位置等的要求；并且对选用的同类型材料，应使色泽、纹理及线条统一和谐，以达到业主和设计单位满意的外观质量。</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5.3.1.3 承包商应充分考虑在施工过程中发生的交叉施工、施工搭接及施工工期要求等实际情况，及时调整施工方案，并确保施工质量符合有关规范和合同要求。</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5.3.2 业主审核、批准</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承包商应编制建筑幕墙工程施工组织设计供业主、监理和土建承包商审核和批准。</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5.3.3 承包商现场施工职责</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5.3.3.1 承包商应负责完成整个建筑幕墙工程的施工，包括提供所有幕墙施工有关人员、材料、设备和工程管理，并对所有有关质量、进度、安全和施工协调等方面负责。</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5.3.3.2 工地的施工安装工作必须符合现行的有关法律、法规和规范性文件。</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5.3.3.3 承包商在施工现场安装期间，应服从甲方的管理，作好与其它承包商的配合，协调工作，不得影响工程进度、质量。</w:t>
      </w:r>
    </w:p>
    <w:p>
      <w:pPr>
        <w:autoSpaceDE w:val="0"/>
        <w:autoSpaceDN w:val="0"/>
        <w:adjustRightInd w:val="0"/>
        <w:spacing w:line="360" w:lineRule="auto"/>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4 安装施工准备</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5.4.1 承包商应负责安装产品的保证工作，承包商应与土建承包商协调，在工地预留干燥、有通风及有遮挡的场所存放材料，尽量减少搬运。</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5.4.2 承包商应与土建承包商协调，在工地预留足够空间进行幕墙的现场安装，承包商应负责自身的防护措施。</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5.4.3 承包商在安装过程中应采取保证措施，以防止现场其它工程受到损坏和污染，若由于承包商原因对其它工程部分造成损坏，承包商将承担所有责任，并负责进行修复工作。</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5.4.4 单元制成品和构件的搬运、吊装时不得碰撞和损坏。单元制成品和构件应按品种、规格堆放在特种架子和垫木上。</w:t>
      </w:r>
    </w:p>
    <w:p>
      <w:pPr>
        <w:autoSpaceDE w:val="0"/>
        <w:autoSpaceDN w:val="0"/>
        <w:adjustRightInd w:val="0"/>
        <w:spacing w:line="360" w:lineRule="auto"/>
        <w:ind w:right="-130" w:rightChars="-62"/>
        <w:rPr>
          <w:rFonts w:ascii="宋体" w:hAnsi="宋体" w:cs="宋体"/>
          <w:color w:val="auto"/>
          <w:kern w:val="0"/>
          <w:szCs w:val="21"/>
          <w:highlight w:val="none"/>
        </w:rPr>
      </w:pPr>
      <w:r>
        <w:rPr>
          <w:rFonts w:hint="eastAsia" w:ascii="宋体" w:hAnsi="宋体" w:cs="宋体"/>
          <w:color w:val="auto"/>
          <w:kern w:val="0"/>
          <w:szCs w:val="21"/>
          <w:highlight w:val="none"/>
        </w:rPr>
        <w:t>5.4.5 构件安装前应进行检验和校正，构件应平直不得有变形和刮痕，不合格的构件不得安装。</w:t>
      </w:r>
    </w:p>
    <w:p>
      <w:pPr>
        <w:autoSpaceDE w:val="0"/>
        <w:autoSpaceDN w:val="0"/>
        <w:adjustRightInd w:val="0"/>
        <w:spacing w:line="360" w:lineRule="auto"/>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5 建筑幕墙的安装施工</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5.5.1 建筑幕墙施工测量要求</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① 建筑幕墙分格轴线的测量应与主体结构的测量配合，对于主体结构因制造和安装引起的误差，应及时作相应的调整，确保加工制造的幕墙符合现场实际情况。</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② 测量应在风力不大于4 级情况下进行，每天应定时对建筑幕墙的位置进行校核。</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5.5.2  密封胶的施工要求</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① 密封胶的施工厚度应大于3.5mm并符合规范及强制标准要求，施工宽度不应小于施工厚度的2倍，较深的密封槽口底部采用聚乙烯发泡材料填塞。</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② 密封胶在接缝内应形成相对两面粘结，并不得三面粘结。</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5.5.</w:t>
      </w:r>
      <w:r>
        <w:rPr>
          <w:rFonts w:ascii="宋体" w:hAnsi="宋体" w:cs="宋体"/>
          <w:color w:val="auto"/>
          <w:kern w:val="0"/>
          <w:szCs w:val="21"/>
          <w:highlight w:val="none"/>
        </w:rPr>
        <w:t>3</w:t>
      </w:r>
      <w:r>
        <w:rPr>
          <w:rFonts w:hint="eastAsia" w:ascii="宋体" w:hAnsi="宋体" w:cs="宋体"/>
          <w:color w:val="auto"/>
          <w:kern w:val="0"/>
          <w:szCs w:val="21"/>
          <w:highlight w:val="none"/>
        </w:rPr>
        <w:t xml:space="preserve"> 建筑幕墙安装施工的其它要求</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① 建筑幕墙与主体结构之间的缝隙，应采用保温、吸音材料填塞，内外表面应采用拆叠形橡胶条（EPDM）接缝连接、接缝应严密不漏水。</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② 建筑幕墙施工过程中应进行分层抗雨水渗漏性能检查。</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5.5.</w:t>
      </w:r>
      <w:r>
        <w:rPr>
          <w:rFonts w:ascii="宋体" w:hAnsi="宋体" w:cs="宋体"/>
          <w:color w:val="auto"/>
          <w:kern w:val="0"/>
          <w:szCs w:val="21"/>
          <w:highlight w:val="none"/>
        </w:rPr>
        <w:t>4</w:t>
      </w:r>
      <w:r>
        <w:rPr>
          <w:rFonts w:hint="eastAsia" w:ascii="宋体" w:hAnsi="宋体" w:cs="宋体"/>
          <w:color w:val="auto"/>
          <w:kern w:val="0"/>
          <w:szCs w:val="21"/>
          <w:highlight w:val="none"/>
        </w:rPr>
        <w:t xml:space="preserve"> 建筑幕墙安装施工隐蔽工程验收</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幕墙在安装施工过程中监理工程师将对下列工作进行隐蔽工程验收，承包商应予以积极的配合，包括但不限于：</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① 构件与主体结构的连接节点的安装。</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② 幕墙与主体结构的连接节点的安装。</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③ 幕墙伸缩缝、沉降缝及墙面转角节点的安装。</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④ 幕墙防雷接地节点的安装。</w:t>
      </w:r>
    </w:p>
    <w:p>
      <w:pPr>
        <w:autoSpaceDE w:val="0"/>
        <w:autoSpaceDN w:val="0"/>
        <w:adjustRightInd w:val="0"/>
        <w:spacing w:line="360" w:lineRule="auto"/>
        <w:rPr>
          <w:rFonts w:ascii="宋体" w:hAnsi="宋体" w:cs="宋体"/>
          <w:color w:val="auto"/>
          <w:kern w:val="0"/>
          <w:szCs w:val="21"/>
          <w:highlight w:val="none"/>
        </w:rPr>
      </w:pPr>
      <w:r>
        <w:rPr>
          <w:rFonts w:ascii="宋体" w:hAnsi="宋体" w:cs="宋体"/>
          <w:color w:val="auto"/>
          <w:kern w:val="0"/>
          <w:szCs w:val="21"/>
          <w:highlight w:val="none"/>
        </w:rPr>
        <w:t>5.</w:t>
      </w:r>
      <w:r>
        <w:rPr>
          <w:rFonts w:hint="eastAsia" w:ascii="宋体" w:hAnsi="宋体" w:cs="宋体"/>
          <w:color w:val="auto"/>
          <w:kern w:val="0"/>
          <w:szCs w:val="21"/>
          <w:highlight w:val="none"/>
        </w:rPr>
        <w:t>6 建筑幕墙的保护与清洁</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① 建筑幕墙的构件、玻璃和密封等应制定保护措施，不得使其发生碰撞变形、刮伤、变色、污染等现象。</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② 施工中建筑幕墙及其构件表面的粘附件应及时清除。</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③ 建筑幕墙工程安装完成后，应制定清洗方案提交业主审核，并将幕墙表面擦拭干净。</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④ 清洗幕墙应采用中性清洁剂，并进行腐蚀性检验后方可使用，中性清洁剂清洁后应及时用清水冲洗干净。</w:t>
      </w:r>
    </w:p>
    <w:p>
      <w:pPr>
        <w:autoSpaceDE w:val="0"/>
        <w:autoSpaceDN w:val="0"/>
        <w:adjustRightInd w:val="0"/>
        <w:spacing w:line="360" w:lineRule="auto"/>
        <w:rPr>
          <w:rFonts w:ascii="宋体" w:hAnsi="宋体" w:cs="宋体"/>
          <w:color w:val="auto"/>
          <w:kern w:val="0"/>
          <w:szCs w:val="21"/>
          <w:highlight w:val="none"/>
        </w:rPr>
      </w:pPr>
      <w:r>
        <w:rPr>
          <w:rFonts w:hint="eastAsia" w:ascii="宋体" w:hAnsi="宋体" w:cs="宋体"/>
          <w:color w:val="auto"/>
          <w:kern w:val="0"/>
          <w:szCs w:val="21"/>
          <w:highlight w:val="none"/>
        </w:rPr>
        <w:t>⑤ 安装施工的安全措施</w:t>
      </w:r>
    </w:p>
    <w:p>
      <w:pPr>
        <w:spacing w:line="50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承包商需对整个幕墙工程的施工安全负责，应采取一切必要的安全文明施工措施，服从现场甲方的安全管理规定。</w:t>
      </w:r>
    </w:p>
    <w:p>
      <w:pPr>
        <w:pStyle w:val="2"/>
        <w:ind w:firstLine="0"/>
        <w:rPr>
          <w:rFonts w:ascii="宋体" w:hAnsi="宋体" w:cs="宋体"/>
          <w:color w:val="auto"/>
          <w:kern w:val="0"/>
          <w:szCs w:val="21"/>
          <w:highlight w:val="none"/>
        </w:rPr>
      </w:pPr>
    </w:p>
    <w:p>
      <w:pPr>
        <w:pStyle w:val="2"/>
        <w:ind w:firstLine="0"/>
        <w:rPr>
          <w:rFonts w:ascii="宋体" w:hAnsi="宋体" w:cs="宋体"/>
          <w:b/>
          <w:bCs/>
          <w:color w:val="auto"/>
          <w:kern w:val="0"/>
          <w:szCs w:val="21"/>
          <w:highlight w:val="none"/>
        </w:rPr>
      </w:pPr>
      <w:r>
        <w:rPr>
          <w:rFonts w:hint="eastAsia" w:ascii="宋体" w:hAnsi="宋体" w:cs="宋体"/>
          <w:b/>
          <w:bCs/>
          <w:color w:val="auto"/>
          <w:kern w:val="0"/>
          <w:szCs w:val="21"/>
          <w:highlight w:val="none"/>
        </w:rPr>
        <w:t>6</w:t>
      </w:r>
      <w:r>
        <w:rPr>
          <w:rFonts w:ascii="宋体" w:hAnsi="宋体" w:cs="宋体"/>
          <w:b/>
          <w:bCs/>
          <w:color w:val="auto"/>
          <w:kern w:val="0"/>
          <w:szCs w:val="21"/>
          <w:highlight w:val="none"/>
        </w:rPr>
        <w:t>.</w:t>
      </w:r>
      <w:r>
        <w:rPr>
          <w:rFonts w:hint="eastAsia" w:ascii="宋体" w:hAnsi="宋体" w:cs="宋体"/>
          <w:b/>
          <w:bCs/>
          <w:color w:val="auto"/>
          <w:kern w:val="0"/>
          <w:szCs w:val="21"/>
          <w:highlight w:val="none"/>
        </w:rPr>
        <w:t>其他：</w:t>
      </w:r>
    </w:p>
    <w:p>
      <w:pPr>
        <w:tabs>
          <w:tab w:val="left" w:pos="1044"/>
        </w:tabs>
        <w:spacing w:line="360" w:lineRule="auto"/>
        <w:ind w:right="360"/>
        <w:rPr>
          <w:rFonts w:ascii="宋体" w:hAnsi="宋体"/>
          <w:b/>
          <w:color w:val="auto"/>
          <w:szCs w:val="21"/>
          <w:highlight w:val="none"/>
        </w:rPr>
      </w:pPr>
      <w:r>
        <w:rPr>
          <w:rFonts w:hint="eastAsia" w:ascii="宋体" w:hAnsi="宋体"/>
          <w:b/>
          <w:color w:val="auto"/>
          <w:szCs w:val="21"/>
          <w:highlight w:val="none"/>
          <w:lang w:val="en-US"/>
        </w:rPr>
        <w:t>1</w:t>
      </w:r>
      <w:r>
        <w:rPr>
          <w:rFonts w:hint="eastAsia" w:ascii="宋体" w:hAnsi="宋体"/>
          <w:b/>
          <w:color w:val="auto"/>
          <w:szCs w:val="21"/>
          <w:highlight w:val="none"/>
        </w:rPr>
        <w:t>、预</w:t>
      </w:r>
      <w:r>
        <w:rPr>
          <w:rFonts w:hint="eastAsia" w:ascii="宋体" w:hAnsi="宋体"/>
          <w:b/>
          <w:color w:val="auto"/>
          <w:szCs w:val="21"/>
          <w:highlight w:val="none"/>
          <w:lang w:val="en-US"/>
        </w:rPr>
        <w:t>成交供应商</w:t>
      </w:r>
      <w:r>
        <w:rPr>
          <w:rFonts w:hint="eastAsia" w:ascii="宋体" w:hAnsi="宋体"/>
          <w:b/>
          <w:color w:val="auto"/>
          <w:szCs w:val="21"/>
          <w:highlight w:val="none"/>
        </w:rPr>
        <w:t>在合同签订阶段及工程实施阶段的样品检验要求：</w:t>
      </w:r>
    </w:p>
    <w:p>
      <w:pPr>
        <w:spacing w:line="500" w:lineRule="exac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（1）评标结束后，成交供应商的投标样品将由</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人带走并检验，在合同签订前，</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人有权对成交供应商的投标样品及</w:t>
      </w:r>
      <w:r>
        <w:rPr>
          <w:rFonts w:hint="eastAsia" w:ascii="宋体" w:hAnsi="宋体" w:cs="宋体"/>
          <w:color w:val="auto"/>
          <w:kern w:val="0"/>
          <w:szCs w:val="21"/>
          <w:highlight w:val="none"/>
          <w:lang w:val="en-US"/>
        </w:rPr>
        <w:t>响应</w:t>
      </w:r>
      <w:r>
        <w:rPr>
          <w:rFonts w:hint="eastAsia" w:ascii="宋体" w:hAnsi="宋体" w:cs="宋体"/>
          <w:color w:val="auto"/>
          <w:kern w:val="0"/>
          <w:szCs w:val="21"/>
          <w:highlight w:val="none"/>
        </w:rPr>
        <w:t>文件内的技术质量标准描述进行详细检验，如发现</w:t>
      </w:r>
      <w:r>
        <w:rPr>
          <w:rFonts w:hint="eastAsia" w:ascii="宋体" w:hAnsi="宋体" w:cs="宋体"/>
          <w:color w:val="auto"/>
          <w:kern w:val="0"/>
          <w:szCs w:val="21"/>
          <w:highlight w:val="none"/>
          <w:lang w:val="en-US"/>
        </w:rPr>
        <w:t>成交</w:t>
      </w:r>
      <w:r>
        <w:rPr>
          <w:rFonts w:hint="eastAsia" w:ascii="宋体" w:hAnsi="宋体" w:cs="宋体"/>
          <w:color w:val="auto"/>
          <w:kern w:val="0"/>
          <w:szCs w:val="21"/>
          <w:highlight w:val="none"/>
        </w:rPr>
        <w:t>样品未满足</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文件内关于产品质量的实质性技术要求或发现</w:t>
      </w:r>
      <w:r>
        <w:rPr>
          <w:rFonts w:hint="eastAsia" w:ascii="宋体" w:hAnsi="宋体" w:cs="宋体"/>
          <w:color w:val="auto"/>
          <w:kern w:val="0"/>
          <w:szCs w:val="21"/>
          <w:highlight w:val="none"/>
          <w:lang w:val="en-US"/>
        </w:rPr>
        <w:t>成交</w:t>
      </w:r>
      <w:r>
        <w:rPr>
          <w:rFonts w:hint="eastAsia" w:ascii="宋体" w:hAnsi="宋体" w:cs="宋体"/>
          <w:color w:val="auto"/>
          <w:kern w:val="0"/>
          <w:szCs w:val="21"/>
          <w:highlight w:val="none"/>
        </w:rPr>
        <w:t>样品未达到</w:t>
      </w:r>
      <w:r>
        <w:rPr>
          <w:rFonts w:hint="eastAsia" w:ascii="宋体" w:hAnsi="宋体" w:cs="宋体"/>
          <w:color w:val="auto"/>
          <w:kern w:val="0"/>
          <w:szCs w:val="21"/>
          <w:highlight w:val="none"/>
          <w:lang w:val="en-US"/>
        </w:rPr>
        <w:t>响应</w:t>
      </w:r>
      <w:r>
        <w:rPr>
          <w:rFonts w:hint="eastAsia" w:ascii="宋体" w:hAnsi="宋体" w:cs="宋体"/>
          <w:color w:val="auto"/>
          <w:kern w:val="0"/>
          <w:szCs w:val="21"/>
          <w:highlight w:val="none"/>
        </w:rPr>
        <w:t>文件内的描述的技术质量标准，均视为成交供应商提供虚假投标材料，</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人有权提起取消成交供应商的</w:t>
      </w:r>
      <w:r>
        <w:rPr>
          <w:rFonts w:hint="eastAsia" w:ascii="宋体" w:hAnsi="宋体" w:cs="宋体"/>
          <w:color w:val="auto"/>
          <w:kern w:val="0"/>
          <w:szCs w:val="21"/>
          <w:highlight w:val="none"/>
          <w:lang w:val="en-US"/>
        </w:rPr>
        <w:t>成交</w:t>
      </w:r>
      <w:r>
        <w:rPr>
          <w:rFonts w:hint="eastAsia" w:ascii="宋体" w:hAnsi="宋体" w:cs="宋体"/>
          <w:color w:val="auto"/>
          <w:kern w:val="0"/>
          <w:szCs w:val="21"/>
          <w:highlight w:val="none"/>
        </w:rPr>
        <w:t>资格、没收其投标保证金并按照国家相关法律法规及招标文件内的相关要求重新选定其他合格的中标人。</w:t>
      </w:r>
    </w:p>
    <w:p>
      <w:pPr>
        <w:spacing w:line="500" w:lineRule="exact"/>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（2）预成交供应商提交的样品通过检验后将由</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人进行封样保存，如</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人在供货安装、检验验收等工程实施阶段过程中发现成交供应商实际供货产品与</w:t>
      </w:r>
      <w:r>
        <w:rPr>
          <w:rFonts w:hint="eastAsia" w:ascii="宋体" w:hAnsi="宋体" w:cs="宋体"/>
          <w:color w:val="auto"/>
          <w:kern w:val="0"/>
          <w:szCs w:val="21"/>
          <w:highlight w:val="none"/>
          <w:lang w:val="en-US"/>
        </w:rPr>
        <w:t>成交</w:t>
      </w:r>
      <w:r>
        <w:rPr>
          <w:rFonts w:hint="eastAsia" w:ascii="宋体" w:hAnsi="宋体" w:cs="宋体"/>
          <w:color w:val="auto"/>
          <w:kern w:val="0"/>
          <w:szCs w:val="21"/>
          <w:highlight w:val="none"/>
        </w:rPr>
        <w:t>样品不符（外观颜色或其他招标人另行要求除外），均视为成交供应商违约，不符之处</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人将以</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rPr>
        <w:t>响应</w:t>
      </w:r>
      <w:r>
        <w:rPr>
          <w:rFonts w:hint="eastAsia" w:ascii="宋体" w:hAnsi="宋体" w:cs="宋体"/>
          <w:color w:val="auto"/>
          <w:kern w:val="0"/>
          <w:szCs w:val="21"/>
          <w:highlight w:val="none"/>
        </w:rPr>
        <w:t>文件、</w:t>
      </w:r>
      <w:r>
        <w:rPr>
          <w:rFonts w:hint="eastAsia" w:ascii="宋体" w:hAnsi="宋体" w:cs="宋体"/>
          <w:color w:val="auto"/>
          <w:kern w:val="0"/>
          <w:szCs w:val="21"/>
          <w:highlight w:val="none"/>
          <w:lang w:val="en-US"/>
        </w:rPr>
        <w:t>成交</w:t>
      </w:r>
      <w:r>
        <w:rPr>
          <w:rFonts w:hint="eastAsia" w:ascii="宋体" w:hAnsi="宋体" w:cs="宋体"/>
          <w:color w:val="auto"/>
          <w:kern w:val="0"/>
          <w:szCs w:val="21"/>
          <w:highlight w:val="none"/>
        </w:rPr>
        <w:t>样品及实际供货产品中最高技术质量标准认定，</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人将以认定的最高标准并有权采取扣罚履约保证金、拒绝支付工程款、解除合约等方式要求成交供应商进行退换或赔偿，并由此给</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人工程造成的质量、进度损失及给成交供应商自身带来的经济损失均由中标人自行承担。</w:t>
      </w:r>
    </w:p>
    <w:p>
      <w:pPr>
        <w:tabs>
          <w:tab w:val="left" w:pos="1044"/>
        </w:tabs>
        <w:spacing w:line="440" w:lineRule="exact"/>
        <w:ind w:right="360"/>
        <w:rPr>
          <w:rFonts w:ascii="宋体" w:hAnsi="宋体"/>
          <w:b/>
          <w:color w:val="auto"/>
          <w:highlight w:val="none"/>
        </w:rPr>
      </w:pPr>
      <w:r>
        <w:rPr>
          <w:rFonts w:hint="eastAsia" w:ascii="宋体" w:hAnsi="宋体"/>
          <w:b/>
          <w:color w:val="auto"/>
          <w:highlight w:val="none"/>
          <w:lang w:val="en-US"/>
        </w:rPr>
        <w:t>2</w:t>
      </w:r>
      <w:r>
        <w:rPr>
          <w:rFonts w:ascii="宋体" w:hAnsi="宋体"/>
          <w:b/>
          <w:color w:val="auto"/>
          <w:highlight w:val="none"/>
        </w:rPr>
        <w:t>、验收</w:t>
      </w:r>
      <w:r>
        <w:rPr>
          <w:rFonts w:hint="eastAsia" w:ascii="宋体" w:hAnsi="宋体"/>
          <w:b/>
          <w:color w:val="auto"/>
          <w:highlight w:val="none"/>
        </w:rPr>
        <w:t>及售后</w:t>
      </w:r>
    </w:p>
    <w:p>
      <w:pPr>
        <w:spacing w:line="50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1、成交供应商所供产品进场时由</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人及监理单位根据招</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文件及</w:t>
      </w:r>
      <w:r>
        <w:rPr>
          <w:rFonts w:hint="eastAsia" w:ascii="宋体" w:hAnsi="宋体" w:cs="宋体"/>
          <w:color w:val="auto"/>
          <w:kern w:val="0"/>
          <w:szCs w:val="21"/>
          <w:highlight w:val="none"/>
          <w:lang w:val="en-US"/>
        </w:rPr>
        <w:t>成交</w:t>
      </w:r>
      <w:r>
        <w:rPr>
          <w:rFonts w:hint="eastAsia" w:ascii="宋体" w:hAnsi="宋体" w:cs="宋体"/>
          <w:color w:val="auto"/>
          <w:kern w:val="0"/>
          <w:szCs w:val="21"/>
          <w:highlight w:val="none"/>
        </w:rPr>
        <w:t>样品等资料对进场材料进行验收，如验收不合格，根据实际情况，</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人有权要求成交供应商退换产品，并有权采取扣罚履约保证金等方式对中标人进行处罚。</w:t>
      </w:r>
    </w:p>
    <w:p>
      <w:pPr>
        <w:spacing w:line="50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2、工程竣工并具备验收条件后，成交供应商应备齐完整的竣工资料向</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人提请竣工验收，</w:t>
      </w:r>
      <w:r>
        <w:rPr>
          <w:rFonts w:hint="eastAsia" w:ascii="宋体" w:hAnsi="宋体" w:cs="宋体"/>
          <w:color w:val="auto"/>
          <w:kern w:val="0"/>
          <w:szCs w:val="21"/>
          <w:highlight w:val="none"/>
          <w:lang w:val="en-US"/>
        </w:rPr>
        <w:t>采购人</w:t>
      </w:r>
      <w:r>
        <w:rPr>
          <w:rFonts w:hint="eastAsia" w:ascii="宋体" w:hAnsi="宋体" w:cs="宋体"/>
          <w:color w:val="auto"/>
          <w:kern w:val="0"/>
          <w:szCs w:val="21"/>
          <w:highlight w:val="none"/>
        </w:rPr>
        <w:t>将组织相关单位进行竣工验收，验收合格后，视为工程内容结束，成交供应商可向招标人报送竣工结算资料申请进行结算审计并支付工程尾款。</w:t>
      </w:r>
    </w:p>
    <w:p>
      <w:pPr>
        <w:spacing w:line="50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3、</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人要求本工程整体最低免费质保期为5年，质保期从工程竣工验收合格之日起计算。</w:t>
      </w:r>
    </w:p>
    <w:p>
      <w:pPr>
        <w:spacing w:line="500" w:lineRule="exact"/>
        <w:ind w:firstLine="420" w:firstLineChars="200"/>
        <w:textAlignment w:val="baseline"/>
        <w:rPr>
          <w:rFonts w:ascii="宋体" w:hAnsi="宋体" w:cs="宋体"/>
          <w:color w:val="auto"/>
          <w:kern w:val="0"/>
          <w:szCs w:val="21"/>
          <w:highlight w:val="none"/>
        </w:rPr>
      </w:pPr>
      <w:r>
        <w:rPr>
          <w:rFonts w:hint="eastAsia" w:ascii="宋体" w:hAnsi="宋体" w:cs="宋体"/>
          <w:color w:val="auto"/>
          <w:kern w:val="0"/>
          <w:szCs w:val="21"/>
          <w:highlight w:val="none"/>
        </w:rPr>
        <w:t>4、质保期内成交供应商应定期免费提供幕墙的安全检测、常规维护及保养工作。</w:t>
      </w:r>
    </w:p>
    <w:p>
      <w:pPr>
        <w:ind w:firstLine="420" w:firstLineChars="200"/>
      </w:pPr>
      <w:bookmarkStart w:id="0" w:name="_GoBack"/>
      <w:bookmarkEnd w:id="0"/>
      <w:r>
        <w:rPr>
          <w:rFonts w:hint="eastAsia" w:ascii="宋体" w:hAnsi="宋体" w:cs="宋体"/>
          <w:color w:val="auto"/>
          <w:kern w:val="0"/>
          <w:szCs w:val="21"/>
          <w:highlight w:val="none"/>
        </w:rPr>
        <w:t>5、质保期间如发现成交供应商幕墙由于安装工艺或产品质量问题导致发生结构变形、材料脱落、腐蚀生锈、雨水渗漏等问题以至给招标人造成损失的，</w:t>
      </w:r>
      <w:r>
        <w:rPr>
          <w:rFonts w:hint="eastAsia" w:ascii="宋体" w:hAnsi="宋体" w:cs="宋体"/>
          <w:color w:val="auto"/>
          <w:kern w:val="0"/>
          <w:szCs w:val="21"/>
          <w:highlight w:val="none"/>
          <w:lang w:val="en-US"/>
        </w:rPr>
        <w:t>采购</w:t>
      </w:r>
      <w:r>
        <w:rPr>
          <w:rFonts w:hint="eastAsia" w:ascii="宋体" w:hAnsi="宋体" w:cs="宋体"/>
          <w:color w:val="auto"/>
          <w:kern w:val="0"/>
          <w:szCs w:val="21"/>
          <w:highlight w:val="none"/>
        </w:rPr>
        <w:t>人有权要求成交供应商进行赔偿且对存其在缺陷的产品进行拆卸、重新安装并延长质保期限，由此给成交供应商造成的经济损失全部由成交供应商自行承担。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156C0B"/>
    <w:multiLevelType w:val="multilevel"/>
    <w:tmpl w:val="4D156C0B"/>
    <w:lvl w:ilvl="0" w:tentative="0">
      <w:start w:val="1"/>
      <w:numFmt w:val="decimal"/>
      <w:lvlText w:val="%1."/>
      <w:lvlJc w:val="left"/>
      <w:pPr>
        <w:ind w:left="440" w:hanging="440"/>
      </w:pPr>
      <w:rPr>
        <w:rFonts w:hint="default" w:ascii="Times New Roman" w:hAnsi="Times New Roman"/>
        <w:b/>
        <w:i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5YjBlNWU0ZGZjYTMyYTFkMmVlYzc0YzkzZmFjNTUifQ=="/>
  </w:docVars>
  <w:rsids>
    <w:rsidRoot w:val="00000000"/>
    <w:rsid w:val="693439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Cambria" w:hAnsi="Cambria" w:eastAsia="微软雅黑" w:cs="Times New Roman"/>
      <w:kern w:val="20"/>
      <w:sz w:val="21"/>
      <w:lang w:val="zh-CN"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First Indent"/>
    <w:basedOn w:val="1"/>
    <w:qFormat/>
    <w:uiPriority w:val="99"/>
    <w:pPr>
      <w:widowControl w:val="0"/>
      <w:ind w:firstLine="420"/>
      <w:jc w:val="both"/>
    </w:pPr>
    <w:rPr>
      <w:rFonts w:ascii="Times New Roman" w:hAnsi="Times New Roman" w:eastAsia="宋体"/>
      <w:kern w:val="2"/>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2023-07-10T11:53:54Z</dcterms:created>
  <dc:creator>Administrator</dc:creator>
  <cp:lastModifiedBy>微信用户</cp:lastModifiedBy>
  <dcterms:modified xsi:type="dcterms:W3CDTF">2023-07-10T11:54:24Z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DBC1AF6DBFBA4EFCA4B5D9497FD4B45F_12</vt:lpwstr>
  </property>
</Properties>
</file>