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120" w:after="120" w:line="400" w:lineRule="exact"/>
        <w:jc w:val="center"/>
        <w:rPr>
          <w:rFonts w:ascii="黑体" w:hAnsi="黑体" w:eastAsia="黑体"/>
          <w:b w:val="0"/>
          <w:bCs w:val="0"/>
          <w:sz w:val="32"/>
          <w:highlight w:val="none"/>
        </w:rPr>
      </w:pPr>
      <w:r>
        <w:rPr>
          <w:rFonts w:hint="eastAsia" w:ascii="黑体" w:hAnsi="黑体" w:eastAsia="黑体"/>
          <w:b w:val="0"/>
          <w:bCs w:val="0"/>
          <w:sz w:val="32"/>
          <w:highlight w:val="none"/>
        </w:rPr>
        <w:t>技术标准和要求</w:t>
      </w:r>
    </w:p>
    <w:p>
      <w:pPr>
        <w:tabs>
          <w:tab w:val="left" w:pos="900"/>
        </w:tabs>
        <w:spacing w:line="360" w:lineRule="auto"/>
        <w:jc w:val="left"/>
        <w:rPr>
          <w:rFonts w:ascii="宋体" w:hAnsi="宋体"/>
          <w:b/>
          <w:szCs w:val="21"/>
          <w:highlight w:val="none"/>
        </w:rPr>
      </w:pPr>
      <w:r>
        <w:rPr>
          <w:rFonts w:hint="eastAsia" w:ascii="宋体" w:hAnsi="宋体"/>
          <w:b/>
          <w:szCs w:val="21"/>
          <w:highlight w:val="none"/>
        </w:rPr>
        <w:t>A：基坑支护工程技术要求</w:t>
      </w:r>
    </w:p>
    <w:p>
      <w:pPr>
        <w:tabs>
          <w:tab w:val="left" w:pos="900"/>
        </w:tabs>
        <w:spacing w:line="360" w:lineRule="auto"/>
        <w:jc w:val="center"/>
        <w:rPr>
          <w:szCs w:val="21"/>
          <w:highlight w:val="none"/>
        </w:rPr>
      </w:pPr>
      <w:r>
        <w:rPr>
          <w:rFonts w:hint="eastAsia" w:ascii="宋体" w:hAnsi="宋体"/>
          <w:b/>
          <w:szCs w:val="21"/>
          <w:highlight w:val="none"/>
        </w:rPr>
        <w:t>基坑支护设计要求</w:t>
      </w:r>
    </w:p>
    <w:p>
      <w:pPr>
        <w:spacing w:line="360" w:lineRule="auto"/>
        <w:rPr>
          <w:rFonts w:ascii="宋体" w:hAnsi="宋体"/>
          <w:b/>
          <w:szCs w:val="21"/>
          <w:highlight w:val="none"/>
        </w:rPr>
      </w:pPr>
      <w:r>
        <w:rPr>
          <w:rFonts w:hint="eastAsia" w:ascii="宋体" w:hAnsi="宋体"/>
          <w:b/>
          <w:szCs w:val="21"/>
          <w:highlight w:val="none"/>
        </w:rPr>
        <w:t>1、设计依据</w:t>
      </w:r>
      <w:bookmarkStart w:id="30" w:name="_GoBack"/>
      <w:bookmarkEnd w:id="30"/>
    </w:p>
    <w:p>
      <w:pPr>
        <w:spacing w:line="360" w:lineRule="auto"/>
        <w:rPr>
          <w:szCs w:val="21"/>
          <w:highlight w:val="none"/>
        </w:rPr>
      </w:pPr>
      <w:r>
        <w:rPr>
          <w:rFonts w:hint="eastAsia"/>
          <w:szCs w:val="21"/>
          <w:highlight w:val="none"/>
        </w:rPr>
        <w:t>（1）现场平面图及基础施工剖面图</w:t>
      </w:r>
    </w:p>
    <w:p>
      <w:pPr>
        <w:spacing w:line="360" w:lineRule="auto"/>
        <w:rPr>
          <w:szCs w:val="21"/>
          <w:highlight w:val="none"/>
        </w:rPr>
      </w:pPr>
      <w:r>
        <w:rPr>
          <w:rFonts w:hint="eastAsia"/>
          <w:szCs w:val="21"/>
          <w:highlight w:val="none"/>
        </w:rPr>
        <w:t>（2）《岩土工程勘察报告》</w:t>
      </w:r>
      <w:r>
        <w:rPr>
          <w:szCs w:val="21"/>
          <w:highlight w:val="none"/>
        </w:rPr>
        <w:t xml:space="preserve">   </w:t>
      </w:r>
    </w:p>
    <w:p>
      <w:pPr>
        <w:spacing w:line="360" w:lineRule="auto"/>
        <w:rPr>
          <w:szCs w:val="21"/>
          <w:highlight w:val="none"/>
        </w:rPr>
      </w:pPr>
      <w:r>
        <w:rPr>
          <w:rFonts w:hint="eastAsia"/>
          <w:szCs w:val="21"/>
          <w:highlight w:val="none"/>
        </w:rPr>
        <w:t>（3）《建筑基坑支护技术规程》（</w:t>
      </w:r>
      <w:r>
        <w:rPr>
          <w:szCs w:val="21"/>
          <w:highlight w:val="none"/>
        </w:rPr>
        <w:t>JGJ120—</w:t>
      </w:r>
      <w:r>
        <w:rPr>
          <w:rFonts w:hint="eastAsia"/>
          <w:szCs w:val="21"/>
          <w:highlight w:val="none"/>
        </w:rPr>
        <w:t>2012）</w:t>
      </w:r>
    </w:p>
    <w:p>
      <w:pPr>
        <w:spacing w:line="360" w:lineRule="auto"/>
        <w:rPr>
          <w:szCs w:val="21"/>
          <w:highlight w:val="none"/>
        </w:rPr>
      </w:pPr>
      <w:r>
        <w:rPr>
          <w:rFonts w:hint="eastAsia"/>
          <w:szCs w:val="21"/>
          <w:highlight w:val="none"/>
        </w:rPr>
        <w:t>（4）《地基基础设计规程》（</w:t>
      </w:r>
      <w:r>
        <w:rPr>
          <w:szCs w:val="21"/>
          <w:highlight w:val="none"/>
        </w:rPr>
        <w:t>GB50007—20</w:t>
      </w:r>
      <w:r>
        <w:rPr>
          <w:rFonts w:hint="eastAsia"/>
          <w:szCs w:val="21"/>
          <w:highlight w:val="none"/>
        </w:rPr>
        <w:t>11）</w:t>
      </w:r>
    </w:p>
    <w:p>
      <w:pPr>
        <w:spacing w:line="360" w:lineRule="auto"/>
        <w:rPr>
          <w:rFonts w:ascii="宋体" w:hAnsi="宋体"/>
          <w:b/>
          <w:szCs w:val="21"/>
          <w:highlight w:val="none"/>
        </w:rPr>
      </w:pPr>
      <w:r>
        <w:rPr>
          <w:rFonts w:hint="eastAsia" w:ascii="宋体" w:hAnsi="宋体"/>
          <w:b/>
          <w:szCs w:val="21"/>
          <w:highlight w:val="none"/>
        </w:rPr>
        <w:t>2、计算基坑开挖深度</w:t>
      </w:r>
    </w:p>
    <w:p>
      <w:pPr>
        <w:spacing w:line="360" w:lineRule="auto"/>
        <w:rPr>
          <w:rFonts w:ascii="宋体" w:hAnsi="宋体"/>
          <w:bCs/>
          <w:szCs w:val="21"/>
          <w:highlight w:val="none"/>
        </w:rPr>
      </w:pPr>
      <w:r>
        <w:rPr>
          <w:rFonts w:hint="eastAsia" w:ascii="宋体" w:hAnsi="宋体"/>
          <w:bCs/>
          <w:szCs w:val="21"/>
          <w:highlight w:val="none"/>
        </w:rPr>
        <w:t>2.1、：场地自然地面平整后高程详见附件</w:t>
      </w:r>
    </w:p>
    <w:p>
      <w:pPr>
        <w:spacing w:line="360" w:lineRule="auto"/>
        <w:ind w:firstLine="630" w:firstLineChars="300"/>
        <w:rPr>
          <w:rFonts w:ascii="宋体" w:hAnsi="宋体"/>
          <w:bCs/>
          <w:szCs w:val="21"/>
          <w:highlight w:val="none"/>
        </w:rPr>
      </w:pPr>
      <w:r>
        <w:rPr>
          <w:rFonts w:hint="eastAsia" w:ascii="宋体" w:hAnsi="宋体"/>
          <w:bCs/>
          <w:szCs w:val="21"/>
          <w:highlight w:val="none"/>
        </w:rPr>
        <w:t>地库底板底标高高程详见附件</w:t>
      </w:r>
    </w:p>
    <w:p>
      <w:pPr>
        <w:spacing w:line="360" w:lineRule="auto"/>
        <w:ind w:firstLine="630" w:firstLineChars="300"/>
        <w:rPr>
          <w:rFonts w:ascii="宋体" w:hAnsi="宋体"/>
          <w:bCs/>
          <w:szCs w:val="21"/>
          <w:highlight w:val="none"/>
        </w:rPr>
      </w:pPr>
      <w:r>
        <w:rPr>
          <w:rFonts w:hint="eastAsia" w:ascii="宋体" w:hAnsi="宋体"/>
          <w:bCs/>
          <w:szCs w:val="21"/>
          <w:highlight w:val="none"/>
        </w:rPr>
        <w:t>地库基坑开挖深度:6.3-</w:t>
      </w:r>
      <w:r>
        <w:rPr>
          <w:rFonts w:ascii="宋体" w:hAnsi="宋体"/>
          <w:bCs/>
          <w:szCs w:val="21"/>
          <w:highlight w:val="none"/>
        </w:rPr>
        <w:t>1</w:t>
      </w:r>
      <w:r>
        <w:rPr>
          <w:rFonts w:hint="eastAsia" w:ascii="宋体" w:hAnsi="宋体"/>
          <w:bCs/>
          <w:szCs w:val="21"/>
          <w:highlight w:val="none"/>
        </w:rPr>
        <w:t>5.7</w:t>
      </w:r>
      <w:r>
        <w:rPr>
          <w:rFonts w:ascii="宋体" w:hAnsi="宋体"/>
          <w:bCs/>
          <w:szCs w:val="21"/>
          <w:highlight w:val="none"/>
        </w:rPr>
        <w:t>m</w:t>
      </w:r>
    </w:p>
    <w:p>
      <w:pPr>
        <w:spacing w:line="360" w:lineRule="auto"/>
        <w:rPr>
          <w:rFonts w:ascii="宋体" w:hAnsi="宋体"/>
          <w:b/>
          <w:szCs w:val="21"/>
          <w:highlight w:val="none"/>
        </w:rPr>
      </w:pPr>
      <w:r>
        <w:rPr>
          <w:rFonts w:hint="eastAsia" w:ascii="宋体" w:hAnsi="宋体"/>
          <w:b/>
          <w:szCs w:val="21"/>
          <w:highlight w:val="none"/>
        </w:rPr>
        <w:t>3、设计原则</w:t>
      </w:r>
    </w:p>
    <w:p>
      <w:pPr>
        <w:spacing w:line="360" w:lineRule="auto"/>
        <w:rPr>
          <w:rFonts w:ascii="宋体" w:hAnsi="宋体"/>
          <w:szCs w:val="21"/>
          <w:highlight w:val="none"/>
        </w:rPr>
      </w:pPr>
      <w:r>
        <w:rPr>
          <w:rFonts w:hint="eastAsia" w:ascii="宋体" w:hAnsi="宋体"/>
          <w:szCs w:val="21"/>
          <w:highlight w:val="none"/>
        </w:rPr>
        <w:t>（1）满足基坑安全使用功能的要求。</w:t>
      </w:r>
    </w:p>
    <w:p>
      <w:pPr>
        <w:spacing w:line="360" w:lineRule="auto"/>
        <w:rPr>
          <w:rFonts w:ascii="宋体" w:hAnsi="宋体"/>
          <w:szCs w:val="21"/>
          <w:highlight w:val="none"/>
        </w:rPr>
      </w:pPr>
      <w:r>
        <w:rPr>
          <w:rFonts w:hint="eastAsia" w:ascii="宋体" w:hAnsi="宋体"/>
          <w:szCs w:val="21"/>
          <w:highlight w:val="none"/>
        </w:rPr>
        <w:t>（2）可操作性强，切实能指导施工。</w:t>
      </w:r>
    </w:p>
    <w:p>
      <w:pPr>
        <w:spacing w:line="360" w:lineRule="auto"/>
        <w:rPr>
          <w:rFonts w:ascii="宋体" w:hAnsi="宋体"/>
          <w:szCs w:val="21"/>
          <w:highlight w:val="none"/>
        </w:rPr>
      </w:pPr>
      <w:r>
        <w:rPr>
          <w:rFonts w:hint="eastAsia" w:ascii="宋体" w:hAnsi="宋体"/>
          <w:szCs w:val="21"/>
          <w:highlight w:val="none"/>
        </w:rPr>
        <w:t>（3）确保周边环境（地下管线、周边建筑物）的安全。</w:t>
      </w:r>
    </w:p>
    <w:p>
      <w:pPr>
        <w:spacing w:line="360" w:lineRule="auto"/>
        <w:rPr>
          <w:rFonts w:ascii="宋体" w:hAnsi="宋体"/>
          <w:szCs w:val="21"/>
          <w:highlight w:val="none"/>
        </w:rPr>
      </w:pPr>
      <w:r>
        <w:rPr>
          <w:rFonts w:hint="eastAsia" w:ascii="宋体" w:hAnsi="宋体"/>
          <w:szCs w:val="21"/>
          <w:highlight w:val="none"/>
        </w:rPr>
        <w:t>（4）施工速度快，节约工期，降低造价。</w:t>
      </w:r>
    </w:p>
    <w:p>
      <w:pPr>
        <w:spacing w:line="360" w:lineRule="auto"/>
        <w:rPr>
          <w:rFonts w:ascii="宋体" w:hAnsi="宋体"/>
          <w:b/>
          <w:szCs w:val="21"/>
          <w:highlight w:val="none"/>
        </w:rPr>
      </w:pPr>
      <w:r>
        <w:rPr>
          <w:rFonts w:hint="eastAsia" w:ascii="宋体" w:hAnsi="宋体"/>
          <w:b/>
          <w:szCs w:val="21"/>
          <w:highlight w:val="none"/>
        </w:rPr>
        <w:t>4、基坑支护设计方案</w:t>
      </w:r>
    </w:p>
    <w:p>
      <w:pPr>
        <w:spacing w:line="360" w:lineRule="auto"/>
        <w:ind w:firstLine="420" w:firstLineChars="200"/>
        <w:rPr>
          <w:rFonts w:ascii="宋体" w:hAnsi="宋体" w:cs="Arial"/>
          <w:color w:val="000000"/>
          <w:szCs w:val="21"/>
          <w:highlight w:val="none"/>
        </w:rPr>
      </w:pPr>
      <w:r>
        <w:rPr>
          <w:rFonts w:hint="eastAsia" w:ascii="宋体" w:hAnsi="宋体" w:cs="Arial"/>
          <w:color w:val="000000"/>
          <w:szCs w:val="21"/>
          <w:highlight w:val="none"/>
        </w:rPr>
        <w:t>具体位置及施工做法详见基坑支护图纸。</w:t>
      </w:r>
    </w:p>
    <w:p>
      <w:pPr>
        <w:spacing w:line="360" w:lineRule="auto"/>
        <w:ind w:firstLine="420" w:firstLineChars="200"/>
        <w:rPr>
          <w:rFonts w:ascii="宋体" w:hAnsi="宋体" w:cs="Arial"/>
          <w:color w:val="000000"/>
          <w:szCs w:val="21"/>
          <w:highlight w:val="none"/>
        </w:rPr>
      </w:pPr>
      <w:r>
        <w:rPr>
          <w:rFonts w:hint="eastAsia" w:ascii="宋体" w:hAnsi="宋体" w:cs="Arial"/>
          <w:color w:val="000000"/>
          <w:szCs w:val="21"/>
          <w:highlight w:val="none"/>
        </w:rPr>
        <w:t>喷射混凝土面层必须与地面硬覆盖紧密连接，防止面层雨水进入支护体系。</w:t>
      </w:r>
    </w:p>
    <w:p>
      <w:pPr>
        <w:spacing w:line="360" w:lineRule="auto"/>
        <w:rPr>
          <w:szCs w:val="21"/>
          <w:highlight w:val="none"/>
        </w:rPr>
      </w:pPr>
      <w:r>
        <w:rPr>
          <w:rFonts w:hint="eastAsia"/>
          <w:szCs w:val="21"/>
          <w:highlight w:val="none"/>
        </w:rPr>
        <w:t>钻孔灌注桩加锚索支护：</w:t>
      </w:r>
    </w:p>
    <w:p>
      <w:pPr>
        <w:spacing w:line="360" w:lineRule="auto"/>
        <w:rPr>
          <w:rFonts w:ascii="宋体" w:hAnsi="宋体"/>
          <w:szCs w:val="21"/>
          <w:highlight w:val="none"/>
        </w:rPr>
      </w:pPr>
      <w:r>
        <w:rPr>
          <w:rFonts w:ascii="宋体" w:hAnsi="宋体"/>
          <w:szCs w:val="21"/>
          <w:highlight w:val="none"/>
        </w:rPr>
        <w:t>具体节点做法以发包方下发的施工图为主</w:t>
      </w:r>
      <w:r>
        <w:rPr>
          <w:rFonts w:hint="eastAsia" w:ascii="宋体" w:hAnsi="宋体"/>
          <w:szCs w:val="21"/>
          <w:highlight w:val="none"/>
        </w:rPr>
        <w:t>。</w:t>
      </w:r>
    </w:p>
    <w:p>
      <w:pPr>
        <w:spacing w:line="360" w:lineRule="auto"/>
        <w:rPr>
          <w:rFonts w:ascii="宋体" w:hAnsi="宋体"/>
          <w:b/>
          <w:color w:val="000000"/>
          <w:szCs w:val="21"/>
          <w:highlight w:val="none"/>
        </w:rPr>
      </w:pPr>
      <w:r>
        <w:rPr>
          <w:rFonts w:hint="eastAsia" w:ascii="宋体" w:hAnsi="宋体"/>
          <w:b/>
          <w:color w:val="000000"/>
          <w:szCs w:val="21"/>
          <w:highlight w:val="none"/>
        </w:rPr>
        <w:t>5、基坑上及基坑底安全防护措施</w:t>
      </w:r>
    </w:p>
    <w:p>
      <w:pPr>
        <w:tabs>
          <w:tab w:val="left" w:pos="900"/>
        </w:tabs>
        <w:spacing w:line="360" w:lineRule="auto"/>
        <w:ind w:firstLine="560"/>
        <w:jc w:val="left"/>
        <w:rPr>
          <w:rFonts w:ascii="宋体" w:hAnsi="宋体"/>
          <w:color w:val="000000"/>
          <w:szCs w:val="21"/>
          <w:highlight w:val="none"/>
        </w:rPr>
      </w:pPr>
      <w:r>
        <w:rPr>
          <w:rFonts w:hint="eastAsia" w:ascii="宋体" w:hAnsi="宋体"/>
          <w:color w:val="000000"/>
          <w:szCs w:val="21"/>
          <w:highlight w:val="none"/>
        </w:rPr>
        <w:t xml:space="preserve">为保证作业人员安全，防止人员坠落，在基坑顶部设置防护栏杆； </w:t>
      </w:r>
    </w:p>
    <w:p>
      <w:pPr>
        <w:spacing w:line="360" w:lineRule="auto"/>
        <w:jc w:val="center"/>
        <w:rPr>
          <w:b/>
          <w:szCs w:val="21"/>
          <w:highlight w:val="none"/>
        </w:rPr>
      </w:pPr>
      <w:r>
        <w:rPr>
          <w:rFonts w:hint="eastAsia"/>
          <w:b/>
          <w:szCs w:val="21"/>
          <w:highlight w:val="none"/>
        </w:rPr>
        <w:t>基坑支护施工要求</w:t>
      </w:r>
    </w:p>
    <w:p>
      <w:pPr>
        <w:snapToGrid w:val="0"/>
        <w:spacing w:line="360" w:lineRule="auto"/>
        <w:rPr>
          <w:rFonts w:ascii="宋体" w:hAnsi="宋体"/>
          <w:szCs w:val="21"/>
          <w:highlight w:val="none"/>
        </w:rPr>
      </w:pPr>
      <w:r>
        <w:rPr>
          <w:rFonts w:hint="eastAsia" w:ascii="宋体" w:hAnsi="宋体"/>
          <w:szCs w:val="21"/>
          <w:highlight w:val="none"/>
        </w:rPr>
        <w:t>一、基坑支护技术要求</w:t>
      </w:r>
    </w:p>
    <w:p>
      <w:pPr>
        <w:snapToGrid w:val="0"/>
        <w:spacing w:line="360" w:lineRule="auto"/>
        <w:ind w:firstLine="570"/>
        <w:rPr>
          <w:szCs w:val="21"/>
          <w:highlight w:val="none"/>
        </w:rPr>
      </w:pPr>
      <w:r>
        <w:rPr>
          <w:rFonts w:hint="eastAsia"/>
          <w:szCs w:val="21"/>
          <w:highlight w:val="none"/>
        </w:rPr>
        <w:t>1、基坑放坡位置喷锚支护具体施工要求详见基坑支护图纸</w:t>
      </w:r>
    </w:p>
    <w:p>
      <w:pPr>
        <w:snapToGrid w:val="0"/>
        <w:spacing w:line="360" w:lineRule="auto"/>
        <w:ind w:firstLine="570"/>
        <w:rPr>
          <w:szCs w:val="21"/>
          <w:highlight w:val="none"/>
        </w:rPr>
      </w:pPr>
      <w:r>
        <w:rPr>
          <w:rFonts w:hint="eastAsia"/>
          <w:szCs w:val="21"/>
          <w:highlight w:val="none"/>
        </w:rPr>
        <w:t>（</w:t>
      </w:r>
      <w:r>
        <w:rPr>
          <w:szCs w:val="21"/>
          <w:highlight w:val="none"/>
        </w:rPr>
        <w:t>1</w:t>
      </w:r>
      <w:r>
        <w:rPr>
          <w:rFonts w:hint="eastAsia"/>
          <w:szCs w:val="21"/>
          <w:highlight w:val="none"/>
        </w:rPr>
        <w:t>)编钢筋网：钢筋网编结要均匀，最大间距不超过20</w:t>
      </w:r>
      <w:r>
        <w:rPr>
          <w:szCs w:val="21"/>
          <w:highlight w:val="none"/>
        </w:rPr>
        <w:t>cm</w:t>
      </w:r>
      <w:r>
        <w:rPr>
          <w:rFonts w:hint="eastAsia"/>
          <w:szCs w:val="21"/>
          <w:highlight w:val="none"/>
        </w:rPr>
        <w:t>，平均间距不得超过设计要求。上下段钢筋网搭接长度一般不少于</w:t>
      </w:r>
      <w:r>
        <w:rPr>
          <w:szCs w:val="21"/>
          <w:highlight w:val="none"/>
        </w:rPr>
        <w:t>30cm</w:t>
      </w:r>
      <w:r>
        <w:rPr>
          <w:rFonts w:hint="eastAsia"/>
          <w:szCs w:val="21"/>
          <w:highlight w:val="none"/>
        </w:rPr>
        <w:t>，否则搭接处需点焊。</w:t>
      </w:r>
    </w:p>
    <w:p>
      <w:pPr>
        <w:snapToGrid w:val="0"/>
        <w:spacing w:line="360" w:lineRule="auto"/>
        <w:ind w:firstLine="570"/>
        <w:rPr>
          <w:szCs w:val="21"/>
          <w:highlight w:val="none"/>
        </w:rPr>
      </w:pPr>
      <w:r>
        <w:rPr>
          <w:rFonts w:hint="eastAsia"/>
          <w:szCs w:val="21"/>
          <w:highlight w:val="none"/>
        </w:rPr>
        <w:t>（</w:t>
      </w:r>
      <w:r>
        <w:rPr>
          <w:szCs w:val="21"/>
          <w:highlight w:val="none"/>
        </w:rPr>
        <w:t>2</w:t>
      </w:r>
      <w:r>
        <w:rPr>
          <w:rFonts w:hint="eastAsia"/>
          <w:szCs w:val="21"/>
          <w:highlight w:val="none"/>
        </w:rPr>
        <w:t>)喷射砼：按设计配合比配料，喷层厚度应达到设计厚度，局部不得低于设计厚度80</w:t>
      </w:r>
      <w:r>
        <w:rPr>
          <w:szCs w:val="21"/>
          <w:highlight w:val="none"/>
        </w:rPr>
        <w:t>mm</w:t>
      </w:r>
      <w:r>
        <w:rPr>
          <w:rFonts w:hint="eastAsia"/>
          <w:szCs w:val="21"/>
          <w:highlight w:val="none"/>
        </w:rPr>
        <w:t>；喷射砼时，喷头与受喷面要保持垂直，距离保持0.6～1.0</w:t>
      </w:r>
      <w:r>
        <w:rPr>
          <w:szCs w:val="21"/>
          <w:highlight w:val="none"/>
        </w:rPr>
        <w:t>m</w:t>
      </w:r>
      <w:r>
        <w:rPr>
          <w:rFonts w:hint="eastAsia"/>
          <w:szCs w:val="21"/>
          <w:highlight w:val="none"/>
        </w:rPr>
        <w:t>。</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szCs w:val="21"/>
          <w:highlight w:val="none"/>
        </w:rPr>
        <w:t>2、</w:t>
      </w:r>
      <w:r>
        <w:rPr>
          <w:rFonts w:hint="eastAsia" w:ascii="宋体" w:cs="宋体"/>
          <w:kern w:val="0"/>
          <w:szCs w:val="21"/>
          <w:highlight w:val="none"/>
        </w:rPr>
        <w:t>锚索支护施工</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ascii="宋体" w:cs="宋体"/>
          <w:kern w:val="0"/>
          <w:szCs w:val="21"/>
          <w:highlight w:val="none"/>
        </w:rPr>
        <w:t>根据地质条件和基坑几何尺寸，参照已竣工工程，采用工程类</w:t>
      </w:r>
    </w:p>
    <w:p>
      <w:pPr>
        <w:autoSpaceDE w:val="0"/>
        <w:autoSpaceDN w:val="0"/>
        <w:adjustRightInd w:val="0"/>
        <w:spacing w:line="360" w:lineRule="auto"/>
        <w:jc w:val="left"/>
        <w:rPr>
          <w:rFonts w:ascii="宋体" w:cs="宋体"/>
          <w:kern w:val="0"/>
          <w:szCs w:val="21"/>
          <w:highlight w:val="none"/>
        </w:rPr>
      </w:pPr>
      <w:r>
        <w:rPr>
          <w:rFonts w:hint="eastAsia" w:ascii="宋体" w:cs="宋体"/>
          <w:kern w:val="0"/>
          <w:szCs w:val="21"/>
          <w:highlight w:val="none"/>
        </w:rPr>
        <w:t>比法设计，并根据土力学理论进行边坡稳定验算，详细数据见施工</w:t>
      </w:r>
    </w:p>
    <w:p>
      <w:pPr>
        <w:autoSpaceDE w:val="0"/>
        <w:autoSpaceDN w:val="0"/>
        <w:adjustRightInd w:val="0"/>
        <w:spacing w:line="360" w:lineRule="auto"/>
        <w:jc w:val="left"/>
        <w:rPr>
          <w:rFonts w:ascii="宋体" w:cs="宋体"/>
          <w:kern w:val="0"/>
          <w:szCs w:val="21"/>
          <w:highlight w:val="none"/>
        </w:rPr>
      </w:pPr>
      <w:r>
        <w:rPr>
          <w:rFonts w:hint="eastAsia" w:ascii="宋体" w:cs="宋体"/>
          <w:kern w:val="0"/>
          <w:szCs w:val="21"/>
          <w:highlight w:val="none"/>
        </w:rPr>
        <w:t>方案图，该基坑边坡锚索支护参数为：</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cs="Calibri"/>
          <w:kern w:val="0"/>
          <w:szCs w:val="21"/>
          <w:highlight w:val="none"/>
        </w:rPr>
        <w:t>（1）</w:t>
      </w:r>
      <w:r>
        <w:rPr>
          <w:rFonts w:hint="eastAsia" w:ascii="宋体" w:cs="宋体"/>
          <w:kern w:val="0"/>
          <w:szCs w:val="21"/>
          <w:highlight w:val="none"/>
        </w:rPr>
        <w:t>索孔</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ascii="宋体" w:cs="宋体"/>
          <w:kern w:val="0"/>
          <w:szCs w:val="21"/>
          <w:highlight w:val="none"/>
        </w:rPr>
        <w:t>基坑开挖至要求标高后进行索孔定位钻孔前按施工图放线确定</w:t>
      </w:r>
    </w:p>
    <w:p>
      <w:pPr>
        <w:autoSpaceDE w:val="0"/>
        <w:autoSpaceDN w:val="0"/>
        <w:adjustRightInd w:val="0"/>
        <w:spacing w:line="360" w:lineRule="auto"/>
        <w:jc w:val="left"/>
        <w:rPr>
          <w:rFonts w:cs="Calibri"/>
          <w:kern w:val="0"/>
          <w:szCs w:val="21"/>
          <w:highlight w:val="none"/>
        </w:rPr>
      </w:pPr>
      <w:r>
        <w:rPr>
          <w:rFonts w:hint="eastAsia" w:ascii="宋体" w:cs="宋体"/>
          <w:kern w:val="0"/>
          <w:szCs w:val="21"/>
          <w:highlight w:val="none"/>
        </w:rPr>
        <w:t>锚索位置，并做好标记。</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cs="Calibri"/>
          <w:kern w:val="0"/>
          <w:szCs w:val="21"/>
          <w:highlight w:val="none"/>
        </w:rPr>
        <w:t>（2）</w:t>
      </w:r>
      <w:r>
        <w:rPr>
          <w:rFonts w:hint="eastAsia" w:ascii="宋体" w:cs="宋体"/>
          <w:kern w:val="0"/>
          <w:szCs w:val="21"/>
          <w:highlight w:val="none"/>
        </w:rPr>
        <w:t>锚索</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ascii="宋体" w:cs="宋体"/>
          <w:kern w:val="0"/>
          <w:szCs w:val="21"/>
          <w:highlight w:val="none"/>
        </w:rPr>
        <w:t>锚索杆体材料采用高强度低松弛钢绞线，锚索下料长度为：自由段长度</w:t>
      </w:r>
      <w:r>
        <w:rPr>
          <w:rFonts w:cs="Calibri"/>
          <w:kern w:val="0"/>
          <w:szCs w:val="21"/>
          <w:highlight w:val="none"/>
        </w:rPr>
        <w:t>+</w:t>
      </w:r>
      <w:r>
        <w:rPr>
          <w:rFonts w:hint="eastAsia" w:ascii="宋体" w:cs="宋体"/>
          <w:kern w:val="0"/>
          <w:szCs w:val="21"/>
          <w:highlight w:val="none"/>
        </w:rPr>
        <w:t>锚固段长度</w:t>
      </w:r>
      <w:r>
        <w:rPr>
          <w:rFonts w:cs="Calibri"/>
          <w:kern w:val="0"/>
          <w:szCs w:val="21"/>
          <w:highlight w:val="none"/>
        </w:rPr>
        <w:t>+</w:t>
      </w:r>
      <w:r>
        <w:rPr>
          <w:rFonts w:hint="eastAsia" w:ascii="宋体" w:cs="宋体"/>
          <w:kern w:val="0"/>
          <w:szCs w:val="21"/>
          <w:highlight w:val="none"/>
        </w:rPr>
        <w:t>千斤顶工作长度</w:t>
      </w:r>
      <w:r>
        <w:rPr>
          <w:rFonts w:cs="Calibri"/>
          <w:kern w:val="0"/>
          <w:szCs w:val="21"/>
          <w:highlight w:val="none"/>
        </w:rPr>
        <w:t>1.0m</w:t>
      </w:r>
      <w:r>
        <w:rPr>
          <w:rFonts w:hint="eastAsia" w:ascii="宋体" w:cs="宋体"/>
          <w:kern w:val="0"/>
          <w:szCs w:val="21"/>
          <w:highlight w:val="none"/>
        </w:rPr>
        <w:t>。锚索自由段用塑料布或塑料套管包裹。</w:t>
      </w:r>
    </w:p>
    <w:p>
      <w:pPr>
        <w:autoSpaceDE w:val="0"/>
        <w:autoSpaceDN w:val="0"/>
        <w:adjustRightInd w:val="0"/>
        <w:spacing w:line="360" w:lineRule="auto"/>
        <w:ind w:firstLine="420" w:firstLineChars="200"/>
        <w:jc w:val="left"/>
        <w:rPr>
          <w:rFonts w:ascii="宋体" w:cs="宋体"/>
          <w:color w:val="000000"/>
          <w:kern w:val="0"/>
          <w:szCs w:val="21"/>
          <w:highlight w:val="none"/>
        </w:rPr>
      </w:pPr>
      <w:r>
        <w:rPr>
          <w:rFonts w:hint="eastAsia" w:cs="Calibri"/>
          <w:kern w:val="0"/>
          <w:szCs w:val="21"/>
          <w:highlight w:val="none"/>
        </w:rPr>
        <w:t>（3）</w:t>
      </w:r>
      <w:r>
        <w:rPr>
          <w:rFonts w:hint="eastAsia" w:ascii="宋体" w:cs="宋体"/>
          <w:color w:val="000000"/>
          <w:kern w:val="0"/>
          <w:szCs w:val="21"/>
          <w:highlight w:val="none"/>
        </w:rPr>
        <w:t>注浆</w:t>
      </w:r>
    </w:p>
    <w:p>
      <w:pPr>
        <w:autoSpaceDE w:val="0"/>
        <w:autoSpaceDN w:val="0"/>
        <w:adjustRightInd w:val="0"/>
        <w:spacing w:line="360" w:lineRule="auto"/>
        <w:ind w:firstLine="420" w:firstLineChars="200"/>
        <w:jc w:val="left"/>
        <w:rPr>
          <w:rFonts w:ascii="宋体" w:cs="宋体"/>
          <w:color w:val="000000"/>
          <w:kern w:val="0"/>
          <w:szCs w:val="21"/>
          <w:highlight w:val="none"/>
        </w:rPr>
      </w:pPr>
      <w:r>
        <w:rPr>
          <w:rFonts w:hint="eastAsia" w:ascii="宋体" w:cs="宋体"/>
          <w:color w:val="000000"/>
          <w:kern w:val="0"/>
          <w:szCs w:val="21"/>
          <w:highlight w:val="none"/>
        </w:rPr>
        <w:t>采用</w:t>
      </w:r>
      <w:r>
        <w:rPr>
          <w:rFonts w:ascii="宋体" w:cs="宋体"/>
          <w:color w:val="000000"/>
          <w:kern w:val="0"/>
          <w:szCs w:val="21"/>
          <w:highlight w:val="none"/>
        </w:rPr>
        <w:t xml:space="preserve"> </w:t>
      </w:r>
      <w:r>
        <w:rPr>
          <w:rFonts w:cs="Calibri"/>
          <w:color w:val="000000"/>
          <w:kern w:val="0"/>
          <w:szCs w:val="21"/>
          <w:highlight w:val="none"/>
        </w:rPr>
        <w:t xml:space="preserve">42.5 </w:t>
      </w:r>
      <w:r>
        <w:rPr>
          <w:rFonts w:hint="eastAsia" w:ascii="宋体" w:cs="宋体"/>
          <w:color w:val="000000"/>
          <w:kern w:val="0"/>
          <w:szCs w:val="21"/>
          <w:highlight w:val="none"/>
        </w:rPr>
        <w:t>级普通硅酸盐水泥，水灰比</w:t>
      </w:r>
      <w:r>
        <w:rPr>
          <w:rFonts w:cs="Calibri"/>
          <w:color w:val="000000"/>
          <w:kern w:val="0"/>
          <w:szCs w:val="21"/>
          <w:highlight w:val="none"/>
        </w:rPr>
        <w:t>0.55:1</w:t>
      </w:r>
      <w:r>
        <w:rPr>
          <w:rFonts w:hint="eastAsia" w:ascii="宋体" w:cs="宋体"/>
          <w:color w:val="000000"/>
          <w:kern w:val="0"/>
          <w:szCs w:val="21"/>
          <w:highlight w:val="none"/>
        </w:rPr>
        <w:t>，注浆用水中不含影响水泥正常凝结与硬化的有害物质。预应力锚索注浆采用常压注浆工艺，常压注浆泵工作压力不宜小于</w:t>
      </w:r>
      <w:r>
        <w:rPr>
          <w:rFonts w:cs="Calibri"/>
          <w:color w:val="000000"/>
          <w:kern w:val="0"/>
          <w:szCs w:val="21"/>
          <w:highlight w:val="none"/>
        </w:rPr>
        <w:t>0.3MPa</w:t>
      </w:r>
      <w:r>
        <w:rPr>
          <w:rFonts w:hint="eastAsia" w:ascii="宋体" w:cs="宋体"/>
          <w:color w:val="244061"/>
          <w:kern w:val="0"/>
          <w:szCs w:val="21"/>
          <w:highlight w:val="none"/>
        </w:rPr>
        <w:t>。</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cs="Calibri"/>
          <w:color w:val="000000"/>
          <w:kern w:val="0"/>
          <w:szCs w:val="21"/>
          <w:highlight w:val="none"/>
        </w:rPr>
        <w:t>（</w:t>
      </w:r>
      <w:r>
        <w:rPr>
          <w:rFonts w:cs="Calibri"/>
          <w:color w:val="000000"/>
          <w:kern w:val="0"/>
          <w:szCs w:val="21"/>
          <w:highlight w:val="none"/>
        </w:rPr>
        <w:t>4</w:t>
      </w:r>
      <w:r>
        <w:rPr>
          <w:rFonts w:hint="eastAsia" w:cs="Calibri"/>
          <w:color w:val="000000"/>
          <w:kern w:val="0"/>
          <w:szCs w:val="21"/>
          <w:highlight w:val="none"/>
        </w:rPr>
        <w:t>）</w:t>
      </w:r>
      <w:r>
        <w:rPr>
          <w:rFonts w:hint="eastAsia" w:ascii="宋体" w:cs="宋体"/>
          <w:kern w:val="0"/>
          <w:szCs w:val="21"/>
          <w:highlight w:val="none"/>
        </w:rPr>
        <w:t>锚索验收要求</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ascii="宋体" w:cs="宋体"/>
          <w:kern w:val="0"/>
          <w:szCs w:val="21"/>
          <w:highlight w:val="none"/>
        </w:rPr>
        <w:t>锚索施工完成后应进行验收试验，数量取锚索总数的</w:t>
      </w:r>
      <w:r>
        <w:rPr>
          <w:rFonts w:cs="Calibri"/>
          <w:kern w:val="0"/>
          <w:szCs w:val="21"/>
          <w:highlight w:val="none"/>
        </w:rPr>
        <w:t>5%</w:t>
      </w:r>
      <w:r>
        <w:rPr>
          <w:rFonts w:hint="eastAsia" w:ascii="宋体" w:cs="宋体"/>
          <w:kern w:val="0"/>
          <w:szCs w:val="21"/>
          <w:highlight w:val="none"/>
        </w:rPr>
        <w:t>，且不少于</w:t>
      </w:r>
      <w:r>
        <w:rPr>
          <w:rFonts w:cs="Calibri"/>
          <w:kern w:val="0"/>
          <w:szCs w:val="21"/>
          <w:highlight w:val="none"/>
        </w:rPr>
        <w:t xml:space="preserve">3 </w:t>
      </w:r>
      <w:r>
        <w:rPr>
          <w:rFonts w:hint="eastAsia" w:ascii="宋体" w:cs="宋体"/>
          <w:kern w:val="0"/>
          <w:szCs w:val="21"/>
          <w:highlight w:val="none"/>
        </w:rPr>
        <w:t>根。试验荷载截取锚索轴向受拉承载力设计值（</w:t>
      </w:r>
      <w:r>
        <w:rPr>
          <w:rFonts w:cs="Calibri"/>
          <w:kern w:val="0"/>
          <w:szCs w:val="21"/>
          <w:highlight w:val="none"/>
        </w:rPr>
        <w:t>Nu</w:t>
      </w:r>
      <w:r>
        <w:rPr>
          <w:rFonts w:hint="eastAsia" w:ascii="宋体" w:cs="宋体"/>
          <w:kern w:val="0"/>
          <w:szCs w:val="21"/>
          <w:highlight w:val="none"/>
        </w:rPr>
        <w:t>），验收试验中如存在不合格锚索应及时通知设计单位重新核算，采取合理处理措施，确保工程安全。</w:t>
      </w:r>
    </w:p>
    <w:p>
      <w:pPr>
        <w:snapToGrid w:val="0"/>
        <w:spacing w:line="360" w:lineRule="auto"/>
        <w:rPr>
          <w:rFonts w:ascii="宋体" w:hAnsi="宋体"/>
          <w:szCs w:val="21"/>
          <w:highlight w:val="none"/>
        </w:rPr>
      </w:pPr>
      <w:r>
        <w:rPr>
          <w:rFonts w:hint="eastAsia" w:ascii="宋体" w:hAnsi="宋体"/>
          <w:szCs w:val="21"/>
          <w:highlight w:val="none"/>
        </w:rPr>
        <w:t>2、</w:t>
      </w:r>
      <w:r>
        <w:rPr>
          <w:rFonts w:ascii="宋体" w:hAnsi="宋体"/>
          <w:szCs w:val="21"/>
          <w:highlight w:val="none"/>
        </w:rPr>
        <w:t>材料要求</w:t>
      </w:r>
    </w:p>
    <w:p>
      <w:pPr>
        <w:snapToGrid w:val="0"/>
        <w:spacing w:line="360" w:lineRule="auto"/>
        <w:ind w:firstLine="570"/>
        <w:rPr>
          <w:szCs w:val="21"/>
          <w:highlight w:val="none"/>
        </w:rPr>
      </w:pPr>
      <w:r>
        <w:rPr>
          <w:rFonts w:hint="eastAsia" w:ascii="Arial" w:hAnsi="Arial" w:eastAsia="华文细黑" w:cs="Arial"/>
          <w:color w:val="000000"/>
          <w:szCs w:val="21"/>
          <w:highlight w:val="none"/>
        </w:rPr>
        <w:t>（1</w:t>
      </w:r>
      <w:r>
        <w:rPr>
          <w:rFonts w:hint="eastAsia"/>
          <w:szCs w:val="21"/>
          <w:highlight w:val="none"/>
        </w:rPr>
        <w:t>）</w:t>
      </w:r>
      <w:r>
        <w:rPr>
          <w:szCs w:val="21"/>
          <w:highlight w:val="none"/>
        </w:rPr>
        <w:t>所有材料需满足国家相关规范要求</w:t>
      </w:r>
    </w:p>
    <w:p>
      <w:pPr>
        <w:snapToGrid w:val="0"/>
        <w:spacing w:line="360" w:lineRule="auto"/>
        <w:ind w:firstLine="570"/>
        <w:rPr>
          <w:szCs w:val="21"/>
          <w:highlight w:val="none"/>
        </w:rPr>
      </w:pPr>
      <w:r>
        <w:rPr>
          <w:rFonts w:hint="eastAsia"/>
          <w:szCs w:val="21"/>
          <w:highlight w:val="none"/>
        </w:rPr>
        <w:t>（2)</w:t>
      </w:r>
      <w:r>
        <w:rPr>
          <w:szCs w:val="21"/>
          <w:highlight w:val="none"/>
        </w:rPr>
        <w:t>钢筋厂家</w:t>
      </w:r>
      <w:r>
        <w:rPr>
          <w:rFonts w:hint="eastAsia"/>
          <w:szCs w:val="21"/>
          <w:highlight w:val="none"/>
        </w:rPr>
        <w:t>建议</w:t>
      </w:r>
      <w:r>
        <w:rPr>
          <w:szCs w:val="21"/>
          <w:highlight w:val="none"/>
        </w:rPr>
        <w:t>为</w:t>
      </w:r>
      <w:r>
        <w:rPr>
          <w:rFonts w:hint="eastAsia"/>
          <w:szCs w:val="21"/>
          <w:highlight w:val="none"/>
        </w:rPr>
        <w:t>通钢、西林钢铁、本溪北营、鞍钢、建龙、吉林金钢、凌钢或与其同档次品牌。</w:t>
      </w:r>
    </w:p>
    <w:p>
      <w:pPr>
        <w:snapToGrid w:val="0"/>
        <w:spacing w:line="360" w:lineRule="auto"/>
        <w:ind w:firstLine="570"/>
        <w:rPr>
          <w:szCs w:val="21"/>
          <w:highlight w:val="none"/>
        </w:rPr>
      </w:pPr>
      <w:r>
        <w:rPr>
          <w:rFonts w:hint="eastAsia"/>
          <w:szCs w:val="21"/>
          <w:highlight w:val="none"/>
        </w:rPr>
        <w:t>（3)</w:t>
      </w:r>
      <w:r>
        <w:rPr>
          <w:szCs w:val="21"/>
          <w:highlight w:val="none"/>
        </w:rPr>
        <w:t>本工程所有使用材料在进场前均应报送样品及相关合格证书，资料证书至发包方审核，经发包方同意后方可组织材料进场，材料进场需通知监理单位及发包方验收，验收通过后方可作为本工程施工所用材料。</w:t>
      </w:r>
    </w:p>
    <w:p>
      <w:pPr>
        <w:snapToGrid w:val="0"/>
        <w:spacing w:line="360" w:lineRule="auto"/>
        <w:rPr>
          <w:rFonts w:ascii="宋体" w:hAnsi="宋体"/>
          <w:szCs w:val="21"/>
          <w:highlight w:val="none"/>
        </w:rPr>
      </w:pPr>
      <w:r>
        <w:rPr>
          <w:rFonts w:hint="eastAsia" w:ascii="宋体" w:hAnsi="宋体"/>
          <w:szCs w:val="21"/>
          <w:highlight w:val="none"/>
        </w:rPr>
        <w:t>二、特殊情况处理</w:t>
      </w:r>
    </w:p>
    <w:p>
      <w:pPr>
        <w:snapToGrid w:val="0"/>
        <w:spacing w:line="360" w:lineRule="auto"/>
        <w:ind w:firstLine="570"/>
        <w:rPr>
          <w:szCs w:val="21"/>
          <w:highlight w:val="none"/>
        </w:rPr>
      </w:pPr>
      <w:r>
        <w:rPr>
          <w:rFonts w:hint="eastAsia"/>
          <w:szCs w:val="21"/>
          <w:highlight w:val="none"/>
        </w:rPr>
        <w:t>1、若开挖后遇饱和土层（地下管线渗水浸泡），由于水的渗透作用，易造成界面土体局部剥离，</w:t>
      </w:r>
    </w:p>
    <w:p>
      <w:pPr>
        <w:snapToGrid w:val="0"/>
        <w:spacing w:line="360" w:lineRule="auto"/>
        <w:ind w:firstLine="570"/>
        <w:rPr>
          <w:szCs w:val="21"/>
          <w:highlight w:val="none"/>
        </w:rPr>
      </w:pPr>
      <w:r>
        <w:rPr>
          <w:rFonts w:hint="eastAsia"/>
          <w:szCs w:val="21"/>
          <w:highlight w:val="none"/>
        </w:rPr>
        <w:t>2、成孔时遇到不明障碍物或地下管线时，须调整锚索位置和成孔角度，严禁强行穿越不明障碍物或地下管线。</w:t>
      </w:r>
    </w:p>
    <w:p>
      <w:pPr>
        <w:snapToGrid w:val="0"/>
        <w:spacing w:line="360" w:lineRule="auto"/>
        <w:ind w:firstLine="573"/>
        <w:rPr>
          <w:szCs w:val="21"/>
          <w:highlight w:val="none"/>
        </w:rPr>
      </w:pPr>
      <w:r>
        <w:rPr>
          <w:rFonts w:hint="eastAsia"/>
          <w:szCs w:val="21"/>
          <w:highlight w:val="none"/>
        </w:rPr>
        <w:t>3、在具体施工过程中，工作面（喷锚支护边坡下口线距结构外边线距离）不小于</w:t>
      </w:r>
      <w:r>
        <w:rPr>
          <w:szCs w:val="21"/>
          <w:highlight w:val="none"/>
        </w:rPr>
        <w:t>1500</w:t>
      </w:r>
      <w:r>
        <w:rPr>
          <w:rFonts w:hint="eastAsia" w:ascii="宋体" w:hAnsi="宋体"/>
          <w:szCs w:val="21"/>
          <w:highlight w:val="none"/>
        </w:rPr>
        <w:t>㎜</w:t>
      </w:r>
      <w:r>
        <w:rPr>
          <w:rFonts w:hint="eastAsia"/>
          <w:szCs w:val="21"/>
          <w:highlight w:val="none"/>
        </w:rPr>
        <w:t>宽。</w:t>
      </w:r>
    </w:p>
    <w:p>
      <w:pPr>
        <w:snapToGrid w:val="0"/>
        <w:spacing w:line="360" w:lineRule="auto"/>
        <w:ind w:firstLine="573"/>
        <w:rPr>
          <w:szCs w:val="21"/>
          <w:highlight w:val="none"/>
        </w:rPr>
      </w:pPr>
      <w:r>
        <w:rPr>
          <w:rFonts w:hint="eastAsia"/>
          <w:szCs w:val="21"/>
          <w:highlight w:val="none"/>
        </w:rPr>
        <w:t>4、对于基槽边有高压线和地下管线的边坡，在喷锚施工时，可进行相应加强措施来保证边坡的稳定和安全，此处可根据土质情况增大所打入锚杆长度和密度，喷射砼面层内设加强筋，并加设地锚。</w:t>
      </w:r>
    </w:p>
    <w:p>
      <w:pPr>
        <w:snapToGrid w:val="0"/>
        <w:spacing w:line="360" w:lineRule="auto"/>
        <w:ind w:firstLine="573"/>
        <w:rPr>
          <w:szCs w:val="21"/>
          <w:highlight w:val="none"/>
        </w:rPr>
      </w:pPr>
      <w:r>
        <w:rPr>
          <w:rFonts w:hint="eastAsia"/>
          <w:szCs w:val="21"/>
          <w:highlight w:val="none"/>
        </w:rPr>
        <w:t>5、对于面层钢筋网喷护，要求投标单位每道锚杆施工完毕后立即组织机械、材料、人员进行面层喷护，确保后续土方开挖施工正常进行。</w:t>
      </w:r>
    </w:p>
    <w:p>
      <w:pPr>
        <w:snapToGrid w:val="0"/>
        <w:spacing w:line="360" w:lineRule="auto"/>
        <w:rPr>
          <w:rFonts w:ascii="宋体" w:hAnsi="宋体"/>
          <w:szCs w:val="21"/>
          <w:highlight w:val="none"/>
        </w:rPr>
      </w:pPr>
      <w:r>
        <w:rPr>
          <w:rFonts w:hint="eastAsia" w:ascii="宋体" w:hAnsi="宋体"/>
          <w:szCs w:val="21"/>
          <w:highlight w:val="none"/>
        </w:rPr>
        <w:t>三、主要施工机械设备安排</w:t>
      </w:r>
    </w:p>
    <w:p>
      <w:pPr>
        <w:autoSpaceDE w:val="0"/>
        <w:autoSpaceDN w:val="0"/>
        <w:adjustRightInd w:val="0"/>
        <w:spacing w:line="360" w:lineRule="auto"/>
        <w:ind w:firstLine="420" w:firstLineChars="200"/>
        <w:jc w:val="left"/>
        <w:rPr>
          <w:rFonts w:ascii="宋体" w:cs="宋体"/>
          <w:kern w:val="0"/>
          <w:szCs w:val="21"/>
          <w:highlight w:val="none"/>
        </w:rPr>
      </w:pPr>
      <w:r>
        <w:rPr>
          <w:rFonts w:hint="eastAsia" w:ascii="宋体" w:hAnsi="宋体"/>
          <w:szCs w:val="21"/>
          <w:highlight w:val="none"/>
        </w:rPr>
        <w:t>作业人员数量和施工机具数量</w:t>
      </w:r>
      <w:r>
        <w:rPr>
          <w:rFonts w:hint="eastAsia" w:ascii="宋体" w:cs="宋体"/>
          <w:kern w:val="0"/>
          <w:szCs w:val="21"/>
          <w:highlight w:val="none"/>
        </w:rPr>
        <w:t>要保证满足发包方要求的施工工程进度，</w:t>
      </w:r>
      <w:r>
        <w:rPr>
          <w:rFonts w:hint="eastAsia" w:ascii="宋体" w:hAnsi="宋体"/>
          <w:szCs w:val="21"/>
          <w:highlight w:val="none"/>
        </w:rPr>
        <w:t>可根据工程进度和工期要求进行调整。</w:t>
      </w:r>
      <w:r>
        <w:rPr>
          <w:rFonts w:ascii="宋体" w:hAnsi="宋体"/>
          <w:szCs w:val="21"/>
          <w:highlight w:val="none"/>
        </w:rPr>
        <w:t xml:space="preserve"> </w:t>
      </w:r>
    </w:p>
    <w:p>
      <w:pPr>
        <w:spacing w:line="360" w:lineRule="auto"/>
        <w:rPr>
          <w:rFonts w:ascii="宋体" w:hAnsi="宋体"/>
          <w:szCs w:val="21"/>
          <w:highlight w:val="none"/>
        </w:rPr>
      </w:pPr>
      <w:r>
        <w:rPr>
          <w:rFonts w:hint="eastAsia" w:ascii="宋体" w:hAnsi="宋体"/>
          <w:szCs w:val="21"/>
          <w:highlight w:val="none"/>
        </w:rPr>
        <w:t>四、质量保证措施</w:t>
      </w:r>
    </w:p>
    <w:p>
      <w:pPr>
        <w:snapToGrid w:val="0"/>
        <w:spacing w:line="600" w:lineRule="exact"/>
        <w:ind w:firstLine="570"/>
        <w:rPr>
          <w:rFonts w:ascii="宋体" w:hAnsi="宋体"/>
          <w:szCs w:val="21"/>
          <w:highlight w:val="none"/>
        </w:rPr>
      </w:pPr>
      <w:r>
        <w:rPr>
          <w:rFonts w:hint="eastAsia" w:ascii="宋体" w:hAnsi="宋体"/>
          <w:szCs w:val="21"/>
          <w:highlight w:val="none"/>
        </w:rPr>
        <w:t>施工前做好各工序技术交底工作，并认真落实执行情况。建立质量安全保证体系，按照建设部批准的《建筑基坑支护技术规程》及我公司制定的施工岗位责任制执行，明确具体标准要求和作业人员责任，分级负责。</w:t>
      </w:r>
    </w:p>
    <w:p>
      <w:pPr>
        <w:snapToGrid w:val="0"/>
        <w:spacing w:line="360" w:lineRule="auto"/>
        <w:rPr>
          <w:rFonts w:ascii="宋体" w:hAnsi="宋体"/>
          <w:szCs w:val="21"/>
          <w:highlight w:val="none"/>
        </w:rPr>
      </w:pPr>
      <w:r>
        <w:rPr>
          <w:rFonts w:hint="eastAsia" w:ascii="宋体" w:hAnsi="宋体"/>
          <w:szCs w:val="21"/>
          <w:highlight w:val="none"/>
        </w:rPr>
        <w:t>（1)锚索：允许偏差±</w:t>
      </w:r>
      <w:r>
        <w:rPr>
          <w:rFonts w:ascii="宋体" w:hAnsi="宋体"/>
          <w:szCs w:val="21"/>
          <w:highlight w:val="none"/>
        </w:rPr>
        <w:t>5%</w:t>
      </w:r>
      <w:r>
        <w:rPr>
          <w:rFonts w:hint="eastAsia" w:ascii="宋体" w:hAnsi="宋体"/>
          <w:szCs w:val="21"/>
          <w:highlight w:val="none"/>
        </w:rPr>
        <w:t>；</w:t>
      </w:r>
    </w:p>
    <w:p>
      <w:pPr>
        <w:spacing w:line="360" w:lineRule="auto"/>
        <w:rPr>
          <w:rFonts w:ascii="宋体" w:hAnsi="宋体"/>
          <w:szCs w:val="21"/>
          <w:highlight w:val="none"/>
        </w:rPr>
      </w:pPr>
      <w:r>
        <w:rPr>
          <w:rFonts w:hint="eastAsia" w:ascii="宋体" w:hAnsi="宋体"/>
          <w:szCs w:val="21"/>
          <w:highlight w:val="none"/>
        </w:rPr>
        <w:t>（2)锚索：自由端及锚固段长度详见图纸。</w:t>
      </w:r>
    </w:p>
    <w:p>
      <w:pPr>
        <w:spacing w:line="360" w:lineRule="auto"/>
        <w:jc w:val="center"/>
        <w:rPr>
          <w:b/>
          <w:szCs w:val="21"/>
          <w:highlight w:val="none"/>
        </w:rPr>
      </w:pPr>
    </w:p>
    <w:p>
      <w:pPr>
        <w:spacing w:line="360" w:lineRule="auto"/>
        <w:rPr>
          <w:b/>
          <w:szCs w:val="21"/>
          <w:highlight w:val="none"/>
        </w:rPr>
      </w:pPr>
    </w:p>
    <w:p>
      <w:pPr>
        <w:spacing w:line="360" w:lineRule="auto"/>
        <w:ind w:firstLine="632" w:firstLineChars="300"/>
        <w:jc w:val="center"/>
        <w:rPr>
          <w:b/>
          <w:szCs w:val="21"/>
          <w:highlight w:val="none"/>
        </w:rPr>
      </w:pPr>
      <w:r>
        <w:rPr>
          <w:rFonts w:hint="eastAsia"/>
          <w:b/>
          <w:szCs w:val="21"/>
          <w:highlight w:val="none"/>
        </w:rPr>
        <w:t xml:space="preserve">  工程质量</w:t>
      </w:r>
      <w:r>
        <w:rPr>
          <w:b/>
          <w:szCs w:val="21"/>
          <w:highlight w:val="none"/>
        </w:rPr>
        <w:t xml:space="preserve"> </w:t>
      </w:r>
      <w:r>
        <w:rPr>
          <w:rFonts w:hint="eastAsia"/>
          <w:b/>
          <w:szCs w:val="21"/>
          <w:highlight w:val="none"/>
        </w:rPr>
        <w:t>工期保证措施</w:t>
      </w:r>
    </w:p>
    <w:p>
      <w:pPr>
        <w:spacing w:line="360" w:lineRule="auto"/>
        <w:rPr>
          <w:rFonts w:hAnsi="宋体"/>
          <w:szCs w:val="21"/>
          <w:highlight w:val="none"/>
        </w:rPr>
      </w:pPr>
      <w:r>
        <w:rPr>
          <w:rFonts w:hint="eastAsia" w:ascii="宋体" w:hAnsi="宋体"/>
          <w:szCs w:val="21"/>
          <w:highlight w:val="none"/>
        </w:rPr>
        <w:t>1、</w:t>
      </w:r>
      <w:r>
        <w:rPr>
          <w:rFonts w:hint="eastAsia" w:hAnsi="宋体"/>
          <w:szCs w:val="21"/>
          <w:highlight w:val="none"/>
        </w:rPr>
        <w:t>工程质量保证措施：</w:t>
      </w:r>
    </w:p>
    <w:p>
      <w:pPr>
        <w:spacing w:line="360" w:lineRule="auto"/>
        <w:ind w:firstLine="420" w:firstLineChars="200"/>
        <w:rPr>
          <w:rFonts w:hAnsi="宋体"/>
          <w:szCs w:val="21"/>
          <w:highlight w:val="none"/>
        </w:rPr>
      </w:pPr>
      <w:r>
        <w:rPr>
          <w:rFonts w:hint="eastAsia" w:hAnsi="宋体"/>
          <w:szCs w:val="21"/>
          <w:highlight w:val="none"/>
        </w:rPr>
        <w:t>设置专人跟班作业制，由项目经理组织形成统一质量管理体系，提前作好交底，严格按施工组织设计及交底施工，分工明确，责任到人，实施一步一查制，层层验收，严格按质量保证措施撤查。保证施工安全性。</w:t>
      </w:r>
    </w:p>
    <w:p>
      <w:pPr>
        <w:spacing w:line="360" w:lineRule="auto"/>
        <w:rPr>
          <w:rFonts w:hAnsi="宋体"/>
          <w:szCs w:val="21"/>
          <w:highlight w:val="none"/>
        </w:rPr>
      </w:pPr>
      <w:r>
        <w:rPr>
          <w:rFonts w:hint="eastAsia" w:hAnsi="宋体"/>
          <w:szCs w:val="21"/>
          <w:highlight w:val="none"/>
        </w:rPr>
        <w:t>2、工期保证措施：</w:t>
      </w:r>
    </w:p>
    <w:p>
      <w:pPr>
        <w:spacing w:line="360" w:lineRule="auto"/>
        <w:rPr>
          <w:rFonts w:hAnsi="宋体"/>
          <w:szCs w:val="21"/>
          <w:highlight w:val="none"/>
        </w:rPr>
      </w:pPr>
      <w:r>
        <w:rPr>
          <w:rFonts w:hAnsi="宋体"/>
          <w:szCs w:val="21"/>
          <w:highlight w:val="none"/>
        </w:rPr>
        <w:t xml:space="preserve">  </w:t>
      </w:r>
      <w:r>
        <w:rPr>
          <w:rFonts w:hint="eastAsia" w:hAnsi="宋体"/>
          <w:szCs w:val="21"/>
          <w:highlight w:val="none"/>
        </w:rPr>
        <w:t>在施工进场前作好人、财、物准备，进场后保证有连续作业的能力。实施项目经理监督制，统一人员、材料配备，合理安排进度计划，确保工期按时完成。</w:t>
      </w:r>
    </w:p>
    <w:p>
      <w:pPr>
        <w:spacing w:line="360" w:lineRule="auto"/>
        <w:rPr>
          <w:rFonts w:hAnsi="宋体"/>
          <w:szCs w:val="21"/>
          <w:highlight w:val="none"/>
        </w:rPr>
      </w:pPr>
    </w:p>
    <w:p>
      <w:pPr>
        <w:spacing w:line="360" w:lineRule="auto"/>
        <w:jc w:val="center"/>
        <w:rPr>
          <w:b/>
          <w:szCs w:val="21"/>
          <w:highlight w:val="none"/>
          <w:shd w:val="pct10" w:color="auto" w:fill="FFFFFF"/>
        </w:rPr>
      </w:pPr>
      <w:r>
        <w:rPr>
          <w:rFonts w:hint="eastAsia"/>
          <w:b/>
          <w:szCs w:val="21"/>
          <w:highlight w:val="none"/>
        </w:rPr>
        <w:t xml:space="preserve">  保证安全生产</w:t>
      </w:r>
      <w:r>
        <w:rPr>
          <w:b/>
          <w:szCs w:val="21"/>
          <w:highlight w:val="none"/>
        </w:rPr>
        <w:t xml:space="preserve"> </w:t>
      </w:r>
      <w:r>
        <w:rPr>
          <w:rFonts w:hint="eastAsia"/>
          <w:b/>
          <w:szCs w:val="21"/>
          <w:highlight w:val="none"/>
        </w:rPr>
        <w:t>、文明施工措施</w:t>
      </w:r>
    </w:p>
    <w:p>
      <w:pPr>
        <w:spacing w:line="360" w:lineRule="auto"/>
        <w:rPr>
          <w:b/>
          <w:color w:val="000000"/>
          <w:szCs w:val="21"/>
          <w:highlight w:val="none"/>
        </w:rPr>
      </w:pPr>
      <w:r>
        <w:rPr>
          <w:rFonts w:hint="eastAsia"/>
          <w:szCs w:val="21"/>
          <w:highlight w:val="none"/>
        </w:rPr>
        <w:t>1、</w:t>
      </w:r>
      <w:r>
        <w:rPr>
          <w:rFonts w:hint="eastAsia"/>
          <w:b/>
          <w:color w:val="000000"/>
          <w:szCs w:val="21"/>
          <w:highlight w:val="none"/>
        </w:rPr>
        <w:t>职业健康安全目标</w:t>
      </w:r>
    </w:p>
    <w:p>
      <w:pPr>
        <w:spacing w:line="360" w:lineRule="auto"/>
        <w:ind w:firstLine="210" w:firstLineChars="100"/>
        <w:rPr>
          <w:szCs w:val="21"/>
          <w:highlight w:val="none"/>
        </w:rPr>
      </w:pPr>
      <w:r>
        <w:rPr>
          <w:rFonts w:hint="eastAsia"/>
          <w:szCs w:val="21"/>
          <w:highlight w:val="none"/>
        </w:rPr>
        <w:t>绿色环保施工；增强安全意识；</w:t>
      </w:r>
    </w:p>
    <w:p>
      <w:pPr>
        <w:spacing w:line="360" w:lineRule="auto"/>
        <w:ind w:firstLine="210" w:firstLineChars="100"/>
        <w:rPr>
          <w:szCs w:val="21"/>
          <w:highlight w:val="none"/>
        </w:rPr>
      </w:pPr>
      <w:r>
        <w:rPr>
          <w:rFonts w:hint="eastAsia"/>
          <w:szCs w:val="21"/>
          <w:highlight w:val="none"/>
        </w:rPr>
        <w:t>确保安全生产；杜绝恶性、突发事故发生。</w:t>
      </w:r>
    </w:p>
    <w:p>
      <w:pPr>
        <w:spacing w:line="360" w:lineRule="auto"/>
        <w:rPr>
          <w:b/>
          <w:color w:val="000000"/>
          <w:szCs w:val="21"/>
          <w:highlight w:val="none"/>
        </w:rPr>
      </w:pPr>
      <w:r>
        <w:rPr>
          <w:rFonts w:hint="eastAsia"/>
          <w:b/>
          <w:color w:val="000000"/>
          <w:szCs w:val="21"/>
          <w:highlight w:val="none"/>
        </w:rPr>
        <w:t>2、职业健康安全指标</w:t>
      </w:r>
    </w:p>
    <w:p>
      <w:pPr>
        <w:spacing w:line="360" w:lineRule="auto"/>
        <w:rPr>
          <w:b/>
          <w:color w:val="000000"/>
          <w:szCs w:val="21"/>
          <w:highlight w:val="none"/>
        </w:rPr>
      </w:pPr>
      <w:r>
        <w:rPr>
          <w:rFonts w:hint="eastAsia"/>
          <w:szCs w:val="21"/>
          <w:highlight w:val="none"/>
        </w:rPr>
        <w:t>（1）无死亡、重伤事故，轻伤事故率控制在</w:t>
      </w:r>
      <w:r>
        <w:rPr>
          <w:rFonts w:hint="eastAsia" w:ascii="宋体" w:hAnsi="宋体"/>
          <w:szCs w:val="21"/>
          <w:highlight w:val="none"/>
        </w:rPr>
        <w:t>36‰以内并逐年降低；</w:t>
      </w:r>
    </w:p>
    <w:p>
      <w:pPr>
        <w:spacing w:line="360" w:lineRule="auto"/>
        <w:rPr>
          <w:rFonts w:ascii="宋体" w:hAnsi="宋体"/>
          <w:szCs w:val="21"/>
          <w:highlight w:val="none"/>
        </w:rPr>
      </w:pPr>
      <w:r>
        <w:rPr>
          <w:rFonts w:hint="eastAsia" w:ascii="宋体" w:hAnsi="宋体"/>
          <w:szCs w:val="21"/>
          <w:highlight w:val="none"/>
        </w:rPr>
        <w:t>（2）杜绝重大生产安全、防火安全、设备安全、交通安全事故；</w:t>
      </w:r>
    </w:p>
    <w:p>
      <w:pPr>
        <w:spacing w:line="360" w:lineRule="auto"/>
        <w:rPr>
          <w:rFonts w:ascii="宋体" w:hAnsi="宋体"/>
          <w:szCs w:val="21"/>
          <w:highlight w:val="none"/>
        </w:rPr>
      </w:pPr>
      <w:r>
        <w:rPr>
          <w:rFonts w:hint="eastAsia" w:ascii="宋体" w:hAnsi="宋体"/>
          <w:szCs w:val="21"/>
          <w:highlight w:val="none"/>
        </w:rPr>
        <w:t>（3）杜绝刑事及治安案件的发生；</w:t>
      </w:r>
    </w:p>
    <w:p>
      <w:pPr>
        <w:spacing w:line="360" w:lineRule="auto"/>
        <w:rPr>
          <w:rFonts w:ascii="宋体" w:hAnsi="宋体"/>
          <w:szCs w:val="21"/>
          <w:highlight w:val="none"/>
        </w:rPr>
      </w:pPr>
      <w:r>
        <w:rPr>
          <w:rFonts w:hint="eastAsia" w:ascii="宋体" w:hAnsi="宋体"/>
          <w:szCs w:val="21"/>
          <w:highlight w:val="none"/>
        </w:rPr>
        <w:t>（4）做好项目安全培训，达到项目安全管理人员、特种作业人员、从业人员安全培训率和持证上岗率为100％；</w:t>
      </w:r>
    </w:p>
    <w:p>
      <w:pPr>
        <w:tabs>
          <w:tab w:val="left" w:pos="4830"/>
        </w:tabs>
        <w:spacing w:line="360" w:lineRule="auto"/>
        <w:rPr>
          <w:szCs w:val="21"/>
          <w:highlight w:val="none"/>
        </w:rPr>
      </w:pPr>
      <w:r>
        <w:rPr>
          <w:rFonts w:hint="eastAsia" w:ascii="宋体" w:hAnsi="宋体"/>
          <w:szCs w:val="21"/>
          <w:highlight w:val="none"/>
        </w:rPr>
        <w:t>（5）</w:t>
      </w:r>
      <w:r>
        <w:rPr>
          <w:rFonts w:hint="eastAsia"/>
          <w:szCs w:val="21"/>
          <w:highlight w:val="none"/>
        </w:rPr>
        <w:t>进场施工作业人员三级教育率</w:t>
      </w:r>
      <w:r>
        <w:rPr>
          <w:rFonts w:hint="eastAsia" w:ascii="宋体" w:hAnsi="宋体"/>
          <w:szCs w:val="21"/>
          <w:highlight w:val="none"/>
        </w:rPr>
        <w:t>100％</w:t>
      </w:r>
      <w:r>
        <w:rPr>
          <w:rFonts w:hint="eastAsia"/>
          <w:szCs w:val="21"/>
          <w:highlight w:val="none"/>
        </w:rPr>
        <w:t>；</w:t>
      </w:r>
    </w:p>
    <w:p>
      <w:pPr>
        <w:spacing w:line="360" w:lineRule="auto"/>
        <w:rPr>
          <w:rFonts w:ascii="宋体" w:hAnsi="宋体"/>
          <w:szCs w:val="21"/>
          <w:highlight w:val="none"/>
        </w:rPr>
      </w:pPr>
      <w:r>
        <w:rPr>
          <w:rFonts w:hint="eastAsia" w:ascii="宋体" w:hAnsi="宋体"/>
          <w:szCs w:val="21"/>
          <w:highlight w:val="none"/>
        </w:rPr>
        <w:t>（6）劳动防护用品正确使用率、合格使用率为100％；</w:t>
      </w:r>
    </w:p>
    <w:p>
      <w:pPr>
        <w:spacing w:line="360" w:lineRule="auto"/>
        <w:ind w:left="57" w:leftChars="27"/>
        <w:rPr>
          <w:rFonts w:ascii="宋体" w:hAnsi="宋体"/>
          <w:szCs w:val="21"/>
          <w:highlight w:val="none"/>
        </w:rPr>
      </w:pPr>
      <w:r>
        <w:rPr>
          <w:rFonts w:hint="eastAsia" w:ascii="宋体" w:hAnsi="宋体"/>
          <w:szCs w:val="21"/>
          <w:highlight w:val="none"/>
        </w:rPr>
        <w:t>（7）项目重要危险源辨识控制率100％（注：文明施工安全达标合格率、优良率、办理意外伤害保险率待定）；</w:t>
      </w:r>
    </w:p>
    <w:p>
      <w:pPr>
        <w:spacing w:line="360" w:lineRule="auto"/>
        <w:rPr>
          <w:rFonts w:ascii="宋体" w:hAnsi="宋体"/>
          <w:szCs w:val="21"/>
          <w:highlight w:val="none"/>
        </w:rPr>
      </w:pPr>
      <w:r>
        <w:rPr>
          <w:rFonts w:hint="eastAsia" w:ascii="宋体" w:hAnsi="宋体"/>
          <w:szCs w:val="21"/>
          <w:highlight w:val="none"/>
        </w:rPr>
        <w:t>（8）季节性（冬、雨、风、暑期）安全防护率100％；</w:t>
      </w:r>
    </w:p>
    <w:p>
      <w:pPr>
        <w:spacing w:line="360" w:lineRule="auto"/>
        <w:rPr>
          <w:rFonts w:ascii="宋体" w:hAnsi="宋体"/>
          <w:szCs w:val="21"/>
          <w:highlight w:val="none"/>
        </w:rPr>
      </w:pPr>
      <w:r>
        <w:rPr>
          <w:rFonts w:hint="eastAsia" w:ascii="宋体" w:hAnsi="宋体"/>
          <w:szCs w:val="21"/>
          <w:highlight w:val="none"/>
        </w:rPr>
        <w:t>（9）制定项目各种安全应急预案率100％；</w:t>
      </w:r>
    </w:p>
    <w:p>
      <w:pPr>
        <w:spacing w:line="360" w:lineRule="auto"/>
        <w:rPr>
          <w:szCs w:val="21"/>
          <w:highlight w:val="none"/>
        </w:rPr>
      </w:pPr>
      <w:r>
        <w:rPr>
          <w:rFonts w:hint="eastAsia" w:ascii="宋体" w:hAnsi="宋体"/>
          <w:szCs w:val="21"/>
          <w:highlight w:val="none"/>
        </w:rPr>
        <w:t>（10）</w:t>
      </w:r>
      <w:r>
        <w:rPr>
          <w:rFonts w:hint="eastAsia"/>
          <w:szCs w:val="21"/>
          <w:highlight w:val="none"/>
        </w:rPr>
        <w:t>杜绝因环境因素导致的职业病。</w:t>
      </w:r>
    </w:p>
    <w:p>
      <w:pPr>
        <w:spacing w:line="360" w:lineRule="auto"/>
        <w:rPr>
          <w:rFonts w:ascii="宋体" w:hAnsi="宋体"/>
          <w:szCs w:val="21"/>
          <w:highlight w:val="none"/>
        </w:rPr>
      </w:pPr>
      <w:r>
        <w:rPr>
          <w:rFonts w:hint="eastAsia"/>
          <w:b/>
          <w:color w:val="000000"/>
          <w:szCs w:val="21"/>
          <w:highlight w:val="none"/>
        </w:rPr>
        <w:t>3、确定本项目重要危险源</w:t>
      </w:r>
    </w:p>
    <w:p>
      <w:pPr>
        <w:numPr>
          <w:ilvl w:val="0"/>
          <w:numId w:val="1"/>
        </w:numPr>
        <w:spacing w:line="360" w:lineRule="auto"/>
        <w:rPr>
          <w:szCs w:val="21"/>
          <w:highlight w:val="none"/>
        </w:rPr>
      </w:pPr>
      <w:r>
        <w:rPr>
          <w:rFonts w:hint="eastAsia"/>
          <w:szCs w:val="21"/>
          <w:highlight w:val="none"/>
        </w:rPr>
        <w:t>基坑周边防护；</w:t>
      </w:r>
    </w:p>
    <w:p>
      <w:pPr>
        <w:numPr>
          <w:ilvl w:val="0"/>
          <w:numId w:val="1"/>
        </w:numPr>
        <w:spacing w:line="360" w:lineRule="auto"/>
        <w:rPr>
          <w:szCs w:val="21"/>
          <w:highlight w:val="none"/>
        </w:rPr>
      </w:pPr>
      <w:r>
        <w:rPr>
          <w:rFonts w:hint="eastAsia"/>
          <w:szCs w:val="21"/>
          <w:highlight w:val="none"/>
        </w:rPr>
        <w:t>排水管线渗漏对基坑安全影响；</w:t>
      </w:r>
    </w:p>
    <w:p>
      <w:pPr>
        <w:numPr>
          <w:ilvl w:val="0"/>
          <w:numId w:val="1"/>
        </w:numPr>
        <w:spacing w:line="360" w:lineRule="auto"/>
        <w:rPr>
          <w:szCs w:val="21"/>
          <w:highlight w:val="none"/>
        </w:rPr>
      </w:pPr>
      <w:r>
        <w:rPr>
          <w:rFonts w:hint="eastAsia"/>
          <w:szCs w:val="21"/>
          <w:highlight w:val="none"/>
        </w:rPr>
        <w:t>工艺过程的危险点；</w:t>
      </w:r>
    </w:p>
    <w:p>
      <w:pPr>
        <w:numPr>
          <w:ilvl w:val="0"/>
          <w:numId w:val="1"/>
        </w:numPr>
        <w:spacing w:line="360" w:lineRule="auto"/>
        <w:rPr>
          <w:szCs w:val="21"/>
          <w:highlight w:val="none"/>
        </w:rPr>
      </w:pPr>
      <w:r>
        <w:rPr>
          <w:rFonts w:hint="eastAsia"/>
          <w:szCs w:val="21"/>
          <w:highlight w:val="none"/>
        </w:rPr>
        <w:t>临时用电的使用特性；</w:t>
      </w:r>
    </w:p>
    <w:p>
      <w:pPr>
        <w:numPr>
          <w:ilvl w:val="0"/>
          <w:numId w:val="1"/>
        </w:numPr>
        <w:spacing w:line="360" w:lineRule="auto"/>
        <w:rPr>
          <w:szCs w:val="21"/>
          <w:highlight w:val="none"/>
        </w:rPr>
      </w:pPr>
      <w:r>
        <w:rPr>
          <w:rFonts w:hint="eastAsia"/>
          <w:szCs w:val="21"/>
          <w:highlight w:val="none"/>
        </w:rPr>
        <w:t>现场地下及周边环境。</w:t>
      </w:r>
    </w:p>
    <w:p>
      <w:pPr>
        <w:spacing w:line="360" w:lineRule="auto"/>
        <w:rPr>
          <w:b/>
          <w:color w:val="000000"/>
          <w:szCs w:val="21"/>
          <w:highlight w:val="none"/>
        </w:rPr>
      </w:pPr>
      <w:r>
        <w:rPr>
          <w:rFonts w:hint="eastAsia"/>
          <w:b/>
          <w:color w:val="000000"/>
          <w:szCs w:val="21"/>
          <w:highlight w:val="none"/>
        </w:rPr>
        <w:t>4、重要危险源控制措施</w:t>
      </w:r>
    </w:p>
    <w:p>
      <w:pPr>
        <w:autoSpaceDE w:val="0"/>
        <w:autoSpaceDN w:val="0"/>
        <w:adjustRightInd w:val="0"/>
        <w:spacing w:line="360" w:lineRule="auto"/>
        <w:jc w:val="left"/>
        <w:rPr>
          <w:bCs/>
          <w:color w:val="000000"/>
          <w:szCs w:val="21"/>
          <w:highlight w:val="none"/>
        </w:rPr>
      </w:pPr>
      <w:r>
        <w:rPr>
          <w:rFonts w:hint="eastAsia"/>
          <w:bCs/>
          <w:color w:val="000000"/>
          <w:szCs w:val="21"/>
          <w:highlight w:val="none"/>
        </w:rPr>
        <w:t>（1）、基坑周边防护：设专人检查，督促总包单位加强四口五临边防护措施，不合格处立即处理整改；防患于未然。</w:t>
      </w:r>
    </w:p>
    <w:p>
      <w:pPr>
        <w:autoSpaceDE w:val="0"/>
        <w:autoSpaceDN w:val="0"/>
        <w:adjustRightInd w:val="0"/>
        <w:spacing w:line="360" w:lineRule="auto"/>
        <w:jc w:val="left"/>
        <w:rPr>
          <w:bCs/>
          <w:color w:val="000000"/>
          <w:szCs w:val="21"/>
          <w:highlight w:val="none"/>
        </w:rPr>
      </w:pPr>
      <w:r>
        <w:rPr>
          <w:rFonts w:hint="eastAsia"/>
          <w:bCs/>
          <w:color w:val="000000"/>
          <w:szCs w:val="21"/>
          <w:highlight w:val="none"/>
        </w:rPr>
        <w:t>（2）基坑开挖后一经发现基坑侧壁有渗漏点出现，立即通知建设单位彻底查找漏水水源，采取措施补漏；如有必要，立即对基坑进行局部回填。</w:t>
      </w:r>
    </w:p>
    <w:p>
      <w:pPr>
        <w:autoSpaceDE w:val="0"/>
        <w:autoSpaceDN w:val="0"/>
        <w:adjustRightInd w:val="0"/>
        <w:spacing w:line="360" w:lineRule="auto"/>
        <w:jc w:val="left"/>
        <w:rPr>
          <w:bCs/>
          <w:color w:val="000000"/>
          <w:szCs w:val="21"/>
          <w:highlight w:val="none"/>
        </w:rPr>
      </w:pPr>
      <w:r>
        <w:rPr>
          <w:rFonts w:hint="eastAsia"/>
          <w:bCs/>
          <w:color w:val="000000"/>
          <w:szCs w:val="21"/>
          <w:highlight w:val="none"/>
        </w:rPr>
        <w:t>（3）施工过程严格按要求施工，安全员旁站责任制度。</w:t>
      </w:r>
    </w:p>
    <w:p>
      <w:pPr>
        <w:autoSpaceDE w:val="0"/>
        <w:autoSpaceDN w:val="0"/>
        <w:adjustRightInd w:val="0"/>
        <w:spacing w:line="360" w:lineRule="auto"/>
        <w:jc w:val="left"/>
        <w:rPr>
          <w:b/>
          <w:color w:val="000000"/>
          <w:kern w:val="0"/>
          <w:szCs w:val="21"/>
          <w:highlight w:val="none"/>
        </w:rPr>
      </w:pPr>
      <w:r>
        <w:rPr>
          <w:rFonts w:hint="eastAsia"/>
          <w:b/>
          <w:color w:val="000000"/>
          <w:szCs w:val="21"/>
          <w:highlight w:val="none"/>
        </w:rPr>
        <w:t xml:space="preserve">5、项目安全管理  </w:t>
      </w:r>
    </w:p>
    <w:p>
      <w:pPr>
        <w:autoSpaceDE w:val="0"/>
        <w:autoSpaceDN w:val="0"/>
        <w:adjustRightInd w:val="0"/>
        <w:spacing w:line="360" w:lineRule="auto"/>
        <w:jc w:val="left"/>
        <w:rPr>
          <w:color w:val="000000"/>
          <w:kern w:val="0"/>
          <w:szCs w:val="21"/>
          <w:highlight w:val="none"/>
        </w:rPr>
      </w:pPr>
      <w:r>
        <w:rPr>
          <w:rFonts w:hint="eastAsia" w:ascii="宋体" w:hAnsi="宋体"/>
          <w:szCs w:val="21"/>
          <w:highlight w:val="none"/>
        </w:rPr>
        <w:t>（1）</w:t>
      </w:r>
      <w:r>
        <w:rPr>
          <w:rFonts w:hint="eastAsia"/>
          <w:color w:val="000000"/>
          <w:kern w:val="0"/>
          <w:szCs w:val="21"/>
          <w:highlight w:val="none"/>
        </w:rPr>
        <w:t>建立健全安各项全生产责任制管理，落实安全生产责任制，做到有岗有责，分工明确，从制度上完善项目的安全管理；</w:t>
      </w:r>
    </w:p>
    <w:p>
      <w:pPr>
        <w:autoSpaceDE w:val="0"/>
        <w:autoSpaceDN w:val="0"/>
        <w:adjustRightInd w:val="0"/>
        <w:spacing w:line="360" w:lineRule="auto"/>
        <w:jc w:val="left"/>
        <w:rPr>
          <w:color w:val="000000"/>
          <w:kern w:val="0"/>
          <w:szCs w:val="21"/>
          <w:highlight w:val="none"/>
        </w:rPr>
      </w:pPr>
      <w:r>
        <w:rPr>
          <w:rFonts w:hint="eastAsia" w:ascii="宋体" w:hAnsi="宋体"/>
          <w:szCs w:val="21"/>
          <w:highlight w:val="none"/>
        </w:rPr>
        <w:t>（2）</w:t>
      </w:r>
      <w:r>
        <w:rPr>
          <w:rFonts w:hint="eastAsia"/>
          <w:color w:val="000000"/>
          <w:kern w:val="0"/>
          <w:szCs w:val="21"/>
          <w:highlight w:val="none"/>
        </w:rPr>
        <w:t>定期和随时对现场安全状况进行检查，发现问题和隐患及时采取措施消除；</w:t>
      </w:r>
    </w:p>
    <w:p>
      <w:pPr>
        <w:autoSpaceDE w:val="0"/>
        <w:autoSpaceDN w:val="0"/>
        <w:adjustRightInd w:val="0"/>
        <w:spacing w:line="360" w:lineRule="auto"/>
        <w:jc w:val="left"/>
        <w:rPr>
          <w:color w:val="000000"/>
          <w:kern w:val="0"/>
          <w:szCs w:val="21"/>
          <w:highlight w:val="none"/>
        </w:rPr>
      </w:pPr>
      <w:r>
        <w:rPr>
          <w:rFonts w:hint="eastAsia" w:ascii="宋体" w:hAnsi="宋体"/>
          <w:szCs w:val="21"/>
          <w:highlight w:val="none"/>
        </w:rPr>
        <w:t>（3）</w:t>
      </w:r>
      <w:r>
        <w:rPr>
          <w:rFonts w:hint="eastAsia"/>
          <w:color w:val="000000"/>
          <w:kern w:val="0"/>
          <w:szCs w:val="21"/>
          <w:highlight w:val="none"/>
        </w:rPr>
        <w:t>对有关部门到现场检查出的问题和隐患，提出的整改要求要及时彻底整改；</w:t>
      </w:r>
    </w:p>
    <w:p>
      <w:pPr>
        <w:autoSpaceDE w:val="0"/>
        <w:autoSpaceDN w:val="0"/>
        <w:adjustRightInd w:val="0"/>
        <w:spacing w:line="360" w:lineRule="auto"/>
        <w:jc w:val="left"/>
        <w:rPr>
          <w:b/>
          <w:color w:val="000000"/>
          <w:kern w:val="0"/>
          <w:szCs w:val="21"/>
          <w:highlight w:val="none"/>
        </w:rPr>
      </w:pPr>
      <w:r>
        <w:rPr>
          <w:rFonts w:hint="eastAsia" w:ascii="宋体" w:hAnsi="宋体"/>
          <w:szCs w:val="21"/>
          <w:highlight w:val="none"/>
        </w:rPr>
        <w:t>（4）</w:t>
      </w:r>
      <w:r>
        <w:rPr>
          <w:rFonts w:hint="eastAsia"/>
          <w:color w:val="000000"/>
          <w:kern w:val="0"/>
          <w:szCs w:val="21"/>
          <w:highlight w:val="none"/>
        </w:rPr>
        <w:t>认真做好工人安全教育和安全交底，制止工人违章作业，严肃处理违章作业有关人员；</w:t>
      </w:r>
    </w:p>
    <w:p>
      <w:pPr>
        <w:autoSpaceDE w:val="0"/>
        <w:autoSpaceDN w:val="0"/>
        <w:adjustRightInd w:val="0"/>
        <w:spacing w:line="360" w:lineRule="auto"/>
        <w:jc w:val="left"/>
        <w:rPr>
          <w:color w:val="000000"/>
          <w:kern w:val="0"/>
          <w:szCs w:val="21"/>
          <w:highlight w:val="none"/>
        </w:rPr>
      </w:pPr>
      <w:r>
        <w:rPr>
          <w:rFonts w:hint="eastAsia" w:ascii="宋体" w:hAnsi="宋体"/>
          <w:szCs w:val="21"/>
          <w:highlight w:val="none"/>
        </w:rPr>
        <w:t>（5）</w:t>
      </w:r>
      <w:r>
        <w:rPr>
          <w:rFonts w:hint="eastAsia"/>
          <w:color w:val="000000"/>
          <w:kern w:val="0"/>
          <w:szCs w:val="21"/>
          <w:highlight w:val="none"/>
        </w:rPr>
        <w:t>定期召开班前安全会，讨论如何保证作业中的安全问题，教育工人遵章守纪，并作为班前活动记录；</w:t>
      </w:r>
    </w:p>
    <w:p>
      <w:pPr>
        <w:autoSpaceDE w:val="0"/>
        <w:autoSpaceDN w:val="0"/>
        <w:adjustRightInd w:val="0"/>
        <w:spacing w:line="360" w:lineRule="auto"/>
        <w:jc w:val="left"/>
        <w:rPr>
          <w:color w:val="000000"/>
          <w:kern w:val="0"/>
          <w:szCs w:val="21"/>
          <w:highlight w:val="none"/>
        </w:rPr>
      </w:pPr>
      <w:r>
        <w:rPr>
          <w:rFonts w:hint="eastAsia" w:ascii="宋体" w:hAnsi="宋体"/>
          <w:szCs w:val="21"/>
          <w:highlight w:val="none"/>
        </w:rPr>
        <w:t>（6）</w:t>
      </w:r>
      <w:r>
        <w:rPr>
          <w:rFonts w:hint="eastAsia"/>
          <w:color w:val="000000"/>
          <w:kern w:val="0"/>
          <w:szCs w:val="21"/>
          <w:highlight w:val="none"/>
        </w:rPr>
        <w:t>时常检查作业环境，发现不安全因素及时汇报及时解决；</w:t>
      </w:r>
    </w:p>
    <w:p>
      <w:pPr>
        <w:autoSpaceDE w:val="0"/>
        <w:autoSpaceDN w:val="0"/>
        <w:adjustRightInd w:val="0"/>
        <w:spacing w:line="360" w:lineRule="auto"/>
        <w:jc w:val="left"/>
        <w:rPr>
          <w:color w:val="000000"/>
          <w:kern w:val="0"/>
          <w:szCs w:val="21"/>
          <w:highlight w:val="none"/>
        </w:rPr>
      </w:pPr>
      <w:r>
        <w:rPr>
          <w:rFonts w:hint="eastAsia" w:ascii="宋体" w:hAnsi="宋体"/>
          <w:szCs w:val="21"/>
          <w:highlight w:val="none"/>
        </w:rPr>
        <w:t>（7）</w:t>
      </w:r>
      <w:r>
        <w:rPr>
          <w:rFonts w:hint="eastAsia"/>
          <w:color w:val="000000"/>
          <w:kern w:val="0"/>
          <w:szCs w:val="21"/>
          <w:highlight w:val="none"/>
        </w:rPr>
        <w:t>作业时经常督促作业人员正确使用防护用品，进入施工现场戴好安全帽，高处作业系好安全带；</w:t>
      </w:r>
    </w:p>
    <w:p>
      <w:pPr>
        <w:autoSpaceDE w:val="0"/>
        <w:autoSpaceDN w:val="0"/>
        <w:adjustRightInd w:val="0"/>
        <w:spacing w:line="360" w:lineRule="auto"/>
        <w:jc w:val="left"/>
        <w:rPr>
          <w:color w:val="000000"/>
          <w:kern w:val="0"/>
          <w:szCs w:val="21"/>
          <w:highlight w:val="none"/>
        </w:rPr>
      </w:pPr>
      <w:r>
        <w:rPr>
          <w:rFonts w:hint="eastAsia"/>
          <w:szCs w:val="21"/>
          <w:highlight w:val="none"/>
        </w:rPr>
        <w:t>（8）在施工中，遇有动力设备、高压线路、地下管道、压力容器、易燃易爆品、有毒有害物体等情况，需要特殊防护时按设计要求采取可靠安全防护措施，确保施工安全。</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（9）施工区、生活区按规定配备灭火器材，杜绝火灾事故的发生；</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（10）明火做业严格执行《动火证制度》，保证有人监护施工，避免发生火灾；</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（11）夜间施工照明充足，所有施工人员工作时要精力集中，听从指挥，特别是司机与指挥人员要密切配合，信号不明应立即停机，待明确信号再继续施工</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（12）严格落实</w:t>
      </w:r>
      <w:r>
        <w:rPr>
          <w:rFonts w:hint="eastAsia" w:ascii="宋体" w:hAnsi="宋体"/>
          <w:szCs w:val="21"/>
          <w:highlight w:val="none"/>
        </w:rPr>
        <w:t>季节性（冬、雨、风、暑期）安全防护，避免安全事故的发生。</w:t>
      </w:r>
    </w:p>
    <w:p>
      <w:pPr>
        <w:spacing w:line="360" w:lineRule="auto"/>
        <w:rPr>
          <w:color w:val="000000"/>
          <w:kern w:val="0"/>
          <w:szCs w:val="21"/>
          <w:highlight w:val="none"/>
        </w:rPr>
      </w:pPr>
      <w:r>
        <w:rPr>
          <w:rFonts w:hint="eastAsia"/>
          <w:color w:val="000000"/>
          <w:kern w:val="0"/>
          <w:szCs w:val="21"/>
          <w:highlight w:val="none"/>
        </w:rPr>
        <w:t>（13）根据项目工程特点建立《安全事故应急预案》，确保突发事件的及时处理；</w:t>
      </w:r>
    </w:p>
    <w:p>
      <w:pPr>
        <w:spacing w:line="360" w:lineRule="auto"/>
        <w:rPr>
          <w:color w:val="000000"/>
          <w:kern w:val="0"/>
          <w:szCs w:val="21"/>
          <w:highlight w:val="none"/>
        </w:rPr>
      </w:pPr>
      <w:r>
        <w:rPr>
          <w:rFonts w:hint="eastAsia"/>
          <w:color w:val="000000"/>
          <w:kern w:val="0"/>
          <w:szCs w:val="21"/>
          <w:highlight w:val="none"/>
        </w:rPr>
        <w:t>（14）加强项目《安全事故应急预案》知晓教育，使项目从业人员知晓项目发生安全事故的报告程序、人员分工和救援过程，最大限度的控制减少事故中人员伤亡和财产损失。</w:t>
      </w:r>
    </w:p>
    <w:p>
      <w:pPr>
        <w:autoSpaceDE w:val="0"/>
        <w:autoSpaceDN w:val="0"/>
        <w:adjustRightInd w:val="0"/>
        <w:spacing w:line="360" w:lineRule="auto"/>
        <w:jc w:val="left"/>
        <w:rPr>
          <w:b/>
          <w:color w:val="000000"/>
          <w:kern w:val="0"/>
          <w:szCs w:val="21"/>
          <w:highlight w:val="none"/>
        </w:rPr>
      </w:pPr>
      <w:r>
        <w:rPr>
          <w:rFonts w:hint="eastAsia"/>
          <w:b/>
          <w:color w:val="000000"/>
          <w:kern w:val="0"/>
          <w:szCs w:val="21"/>
          <w:highlight w:val="none"/>
        </w:rPr>
        <w:t>6、临时用电管理</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（1）临时用电执行《施工现场临时用电安全技术规范》JGJ46—2005标准；</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（2）工作前作业人员要对作业环境周边的电线、用电设备及漏电保护器进行检查，发现问题及时处理；</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（3）电器设备的使用部位应有灭火器材；</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（4）维护电工应对临时用电情况经常进行检查，发现问题及时进行整改并做好记录；</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（5）现场生产设备实行三项五线制，落实一机一箱一漏一保护，电闸箱全部上锁，专人负责定期检查维护，避免设备、电闸箱、电缆线漏电伤人。</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（6）本项目临电</w:t>
      </w:r>
      <w:r>
        <w:rPr>
          <w:color w:val="000000"/>
          <w:kern w:val="0"/>
          <w:szCs w:val="21"/>
          <w:highlight w:val="none"/>
        </w:rPr>
        <w:t>具备通电条件</w:t>
      </w:r>
      <w:r>
        <w:rPr>
          <w:rFonts w:hint="eastAsia"/>
          <w:color w:val="000000"/>
          <w:kern w:val="0"/>
          <w:szCs w:val="21"/>
          <w:highlight w:val="none"/>
        </w:rPr>
        <w:t>之前（以现场进度为准），</w:t>
      </w:r>
      <w:r>
        <w:rPr>
          <w:color w:val="000000"/>
          <w:kern w:val="0"/>
          <w:szCs w:val="21"/>
          <w:highlight w:val="none"/>
        </w:rPr>
        <w:t>需要投标单位在临电开通之前自行解决</w:t>
      </w:r>
      <w:r>
        <w:rPr>
          <w:rFonts w:hint="eastAsia"/>
          <w:color w:val="000000"/>
          <w:kern w:val="0"/>
          <w:szCs w:val="21"/>
          <w:highlight w:val="none"/>
        </w:rPr>
        <w:t>。</w:t>
      </w:r>
    </w:p>
    <w:p>
      <w:pPr>
        <w:autoSpaceDE w:val="0"/>
        <w:autoSpaceDN w:val="0"/>
        <w:adjustRightInd w:val="0"/>
        <w:spacing w:line="360" w:lineRule="auto"/>
        <w:jc w:val="left"/>
        <w:rPr>
          <w:b/>
          <w:color w:val="000000"/>
          <w:kern w:val="0"/>
          <w:szCs w:val="21"/>
          <w:highlight w:val="none"/>
        </w:rPr>
      </w:pPr>
      <w:r>
        <w:rPr>
          <w:rFonts w:hint="eastAsia"/>
          <w:b/>
          <w:color w:val="000000"/>
          <w:kern w:val="0"/>
          <w:szCs w:val="21"/>
          <w:highlight w:val="none"/>
        </w:rPr>
        <w:t>7、设备安全管理</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（1）设备必须按出厂说明书规定的技术性能、承载力和使用条件正确合理使用；</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（2）设备使用前编制运输、按拆方案，待公司审批后方可设用；</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（3）设备上的安全防护装置及监测、信号、报警装置完好、齐全、灵敏；</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（4）设备安装牢固、平稳、运转正常；</w:t>
      </w:r>
    </w:p>
    <w:p>
      <w:pPr>
        <w:autoSpaceDE w:val="0"/>
        <w:autoSpaceDN w:val="0"/>
        <w:adjustRightInd w:val="0"/>
        <w:spacing w:line="360" w:lineRule="auto"/>
        <w:jc w:val="left"/>
        <w:rPr>
          <w:szCs w:val="21"/>
          <w:highlight w:val="none"/>
        </w:rPr>
      </w:pPr>
      <w:r>
        <w:rPr>
          <w:rFonts w:hint="eastAsia" w:ascii="宋体" w:hAnsi="宋体"/>
          <w:szCs w:val="21"/>
          <w:highlight w:val="none"/>
        </w:rPr>
        <w:t>（5）</w:t>
      </w:r>
      <w:r>
        <w:rPr>
          <w:rFonts w:hint="eastAsia"/>
          <w:szCs w:val="21"/>
          <w:highlight w:val="none"/>
        </w:rPr>
        <w:t>设备送电前必须检查电源极性、电压值，防止电源极性接反或电源电压不正常造成设备损坏。</w:t>
      </w:r>
    </w:p>
    <w:p>
      <w:pPr>
        <w:autoSpaceDE w:val="0"/>
        <w:autoSpaceDN w:val="0"/>
        <w:adjustRightInd w:val="0"/>
        <w:spacing w:line="360" w:lineRule="auto"/>
        <w:jc w:val="left"/>
        <w:rPr>
          <w:b/>
          <w:color w:val="000000"/>
          <w:kern w:val="0"/>
          <w:szCs w:val="21"/>
          <w:highlight w:val="none"/>
        </w:rPr>
      </w:pPr>
      <w:r>
        <w:rPr>
          <w:rFonts w:hint="eastAsia"/>
          <w:b/>
          <w:color w:val="000000"/>
          <w:kern w:val="0"/>
          <w:szCs w:val="21"/>
          <w:highlight w:val="none"/>
        </w:rPr>
        <w:t>8、文明施工管理</w:t>
      </w:r>
    </w:p>
    <w:p>
      <w:pPr>
        <w:autoSpaceDE w:val="0"/>
        <w:autoSpaceDN w:val="0"/>
        <w:adjustRightInd w:val="0"/>
        <w:spacing w:line="360" w:lineRule="auto"/>
        <w:jc w:val="left"/>
        <w:rPr>
          <w:color w:val="000000"/>
          <w:kern w:val="0"/>
          <w:szCs w:val="21"/>
          <w:highlight w:val="none"/>
        </w:rPr>
      </w:pPr>
      <w:r>
        <w:rPr>
          <w:rFonts w:hint="eastAsia"/>
          <w:szCs w:val="21"/>
          <w:highlight w:val="none"/>
        </w:rPr>
        <w:t>（</w:t>
      </w:r>
      <w:r>
        <w:rPr>
          <w:szCs w:val="21"/>
          <w:highlight w:val="none"/>
        </w:rPr>
        <w:t>1</w:t>
      </w:r>
      <w:r>
        <w:rPr>
          <w:rFonts w:hint="eastAsia"/>
          <w:szCs w:val="21"/>
          <w:highlight w:val="none"/>
        </w:rPr>
        <w:t>）按施工平面图布置暂设摆放材料机具，</w:t>
      </w:r>
      <w:r>
        <w:rPr>
          <w:rFonts w:hint="eastAsia"/>
          <w:color w:val="000000"/>
          <w:kern w:val="0"/>
          <w:szCs w:val="21"/>
          <w:highlight w:val="none"/>
        </w:rPr>
        <w:t>机具材料摆放整齐，标识清晰；</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w:t>
      </w:r>
      <w:r>
        <w:rPr>
          <w:color w:val="000000"/>
          <w:kern w:val="0"/>
          <w:szCs w:val="21"/>
          <w:highlight w:val="none"/>
        </w:rPr>
        <w:t>2</w:t>
      </w:r>
      <w:r>
        <w:rPr>
          <w:rFonts w:hint="eastAsia"/>
          <w:color w:val="000000"/>
          <w:kern w:val="0"/>
          <w:szCs w:val="21"/>
          <w:highlight w:val="none"/>
        </w:rPr>
        <w:t>）正确使用合格的劳动防护用品，防护到位确保安全；</w:t>
      </w:r>
    </w:p>
    <w:p>
      <w:pPr>
        <w:autoSpaceDE w:val="0"/>
        <w:autoSpaceDN w:val="0"/>
        <w:adjustRightInd w:val="0"/>
        <w:spacing w:line="360" w:lineRule="auto"/>
        <w:jc w:val="left"/>
        <w:rPr>
          <w:color w:val="000000"/>
          <w:kern w:val="0"/>
          <w:szCs w:val="21"/>
          <w:highlight w:val="none"/>
        </w:rPr>
      </w:pPr>
      <w:r>
        <w:rPr>
          <w:rFonts w:hint="eastAsia"/>
          <w:color w:val="000000"/>
          <w:kern w:val="0"/>
          <w:szCs w:val="21"/>
          <w:highlight w:val="none"/>
        </w:rPr>
        <w:t>（</w:t>
      </w:r>
      <w:r>
        <w:rPr>
          <w:color w:val="000000"/>
          <w:kern w:val="0"/>
          <w:szCs w:val="21"/>
          <w:highlight w:val="none"/>
        </w:rPr>
        <w:t>3</w:t>
      </w:r>
      <w:r>
        <w:rPr>
          <w:rFonts w:hint="eastAsia"/>
          <w:color w:val="000000"/>
          <w:kern w:val="0"/>
          <w:szCs w:val="21"/>
          <w:highlight w:val="none"/>
        </w:rPr>
        <w:t>）灭火器材配置合理、明显、易拿、有效；</w:t>
      </w:r>
    </w:p>
    <w:p>
      <w:pPr>
        <w:autoSpaceDE w:val="0"/>
        <w:autoSpaceDN w:val="0"/>
        <w:adjustRightInd w:val="0"/>
        <w:spacing w:line="360" w:lineRule="auto"/>
        <w:jc w:val="left"/>
        <w:rPr>
          <w:szCs w:val="21"/>
          <w:highlight w:val="none"/>
        </w:rPr>
      </w:pPr>
      <w:r>
        <w:rPr>
          <w:rFonts w:hint="eastAsia"/>
          <w:color w:val="000000"/>
          <w:kern w:val="0"/>
          <w:szCs w:val="21"/>
          <w:highlight w:val="none"/>
        </w:rPr>
        <w:t>（</w:t>
      </w:r>
      <w:r>
        <w:rPr>
          <w:szCs w:val="21"/>
          <w:highlight w:val="none"/>
        </w:rPr>
        <w:t>4</w:t>
      </w:r>
      <w:r>
        <w:rPr>
          <w:rFonts w:hint="eastAsia"/>
          <w:szCs w:val="21"/>
          <w:highlight w:val="none"/>
        </w:rPr>
        <w:t>）现场的安全设施、安全标语未经项目安全组织机构及监理工程师批准，不得随意拆移损坏；</w:t>
      </w:r>
    </w:p>
    <w:p>
      <w:pPr>
        <w:spacing w:line="360" w:lineRule="auto"/>
        <w:jc w:val="center"/>
        <w:rPr>
          <w:b/>
          <w:szCs w:val="21"/>
          <w:highlight w:val="none"/>
          <w:shd w:val="pct10" w:color="auto" w:fill="FFFFFF"/>
        </w:rPr>
      </w:pPr>
      <w:r>
        <w:rPr>
          <w:rFonts w:hint="eastAsia"/>
          <w:b/>
          <w:szCs w:val="21"/>
          <w:highlight w:val="none"/>
        </w:rPr>
        <w:t xml:space="preserve">  工程内容及风险提示</w:t>
      </w:r>
    </w:p>
    <w:p>
      <w:pPr>
        <w:spacing w:line="360" w:lineRule="auto"/>
        <w:ind w:firstLine="315" w:firstLineChars="150"/>
        <w:jc w:val="left"/>
        <w:rPr>
          <w:szCs w:val="21"/>
          <w:highlight w:val="none"/>
        </w:rPr>
      </w:pPr>
      <w:r>
        <w:rPr>
          <w:szCs w:val="21"/>
          <w:highlight w:val="none"/>
        </w:rPr>
        <w:t>1</w:t>
      </w:r>
      <w:r>
        <w:rPr>
          <w:rFonts w:hint="eastAsia"/>
          <w:szCs w:val="21"/>
          <w:highlight w:val="none"/>
        </w:rPr>
        <w:t>、项目周边存在居民小区，在基坑支护施工过程中要采取相关的技术措施，避免对周边居民楼产生影响（如噪音、震动、扰民等），进而发生投诉事件。相关费用考虑到投标报价内。</w:t>
      </w:r>
    </w:p>
    <w:p>
      <w:pPr>
        <w:spacing w:line="360" w:lineRule="auto"/>
        <w:ind w:firstLine="315" w:firstLineChars="150"/>
        <w:jc w:val="left"/>
        <w:rPr>
          <w:szCs w:val="21"/>
          <w:highlight w:val="none"/>
        </w:rPr>
      </w:pPr>
      <w:r>
        <w:rPr>
          <w:szCs w:val="21"/>
          <w:highlight w:val="none"/>
        </w:rPr>
        <w:t>2</w:t>
      </w:r>
      <w:r>
        <w:rPr>
          <w:rFonts w:hint="eastAsia"/>
          <w:szCs w:val="21"/>
          <w:highlight w:val="none"/>
        </w:rPr>
        <w:t>、基坑支护工程与土方开挖工程进行合理穿插，土方开挖完成后具备基坑支护工作面条件需基坑支护单位第一时间组织人力、物力进行基坑支护施工。</w:t>
      </w:r>
    </w:p>
    <w:p>
      <w:pPr>
        <w:spacing w:line="360" w:lineRule="auto"/>
        <w:ind w:firstLine="315" w:firstLineChars="150"/>
        <w:jc w:val="left"/>
        <w:rPr>
          <w:szCs w:val="21"/>
          <w:highlight w:val="none"/>
        </w:rPr>
      </w:pPr>
      <w:r>
        <w:rPr>
          <w:szCs w:val="21"/>
          <w:highlight w:val="none"/>
        </w:rPr>
        <w:t>3</w:t>
      </w:r>
      <w:r>
        <w:rPr>
          <w:rFonts w:hint="eastAsia"/>
          <w:szCs w:val="21"/>
          <w:highlight w:val="none"/>
        </w:rPr>
        <w:t>、投标单位进场后立即组织施工人员确定混凝土桩支护位置及放坡位置，并沿基坑上口线全部撒灰线进行明确。</w:t>
      </w:r>
    </w:p>
    <w:p>
      <w:pPr>
        <w:spacing w:line="360" w:lineRule="auto"/>
        <w:ind w:firstLine="420" w:firstLineChars="200"/>
        <w:jc w:val="left"/>
        <w:rPr>
          <w:szCs w:val="21"/>
          <w:highlight w:val="none"/>
        </w:rPr>
      </w:pPr>
      <w:r>
        <w:rPr>
          <w:szCs w:val="21"/>
          <w:highlight w:val="none"/>
        </w:rPr>
        <w:t>4</w:t>
      </w:r>
      <w:r>
        <w:rPr>
          <w:rFonts w:hint="eastAsia"/>
          <w:szCs w:val="21"/>
          <w:highlight w:val="none"/>
        </w:rPr>
        <w:t>、投标单位进场前现场踏勘并严格查阅勘察图纸，</w:t>
      </w:r>
      <w:r>
        <w:rPr>
          <w:szCs w:val="21"/>
          <w:highlight w:val="none"/>
        </w:rPr>
        <w:t>对于存在管线</w:t>
      </w:r>
      <w:r>
        <w:rPr>
          <w:rFonts w:hint="eastAsia"/>
          <w:szCs w:val="21"/>
          <w:highlight w:val="none"/>
        </w:rPr>
        <w:t>、</w:t>
      </w:r>
      <w:r>
        <w:rPr>
          <w:szCs w:val="21"/>
          <w:highlight w:val="none"/>
        </w:rPr>
        <w:t>电缆等部位的</w:t>
      </w:r>
      <w:r>
        <w:rPr>
          <w:rFonts w:hint="eastAsia"/>
          <w:szCs w:val="21"/>
          <w:highlight w:val="none"/>
        </w:rPr>
        <w:t>施工</w:t>
      </w:r>
      <w:r>
        <w:rPr>
          <w:szCs w:val="21"/>
          <w:highlight w:val="none"/>
        </w:rPr>
        <w:t>需每隔</w:t>
      </w:r>
      <w:r>
        <w:rPr>
          <w:rFonts w:hint="eastAsia"/>
          <w:szCs w:val="21"/>
          <w:highlight w:val="none"/>
        </w:rPr>
        <w:t>十米做人工探坑，确定管线等的位置及埋深，支护施工过程避免对地下原有管线、电缆、光缆等造成破坏，相关费用考虑在投标报价内。</w:t>
      </w:r>
    </w:p>
    <w:p>
      <w:pPr>
        <w:spacing w:line="360" w:lineRule="auto"/>
        <w:ind w:firstLine="315" w:firstLineChars="150"/>
        <w:jc w:val="left"/>
        <w:rPr>
          <w:szCs w:val="21"/>
          <w:highlight w:val="none"/>
        </w:rPr>
      </w:pPr>
      <w:r>
        <w:rPr>
          <w:szCs w:val="21"/>
          <w:highlight w:val="none"/>
        </w:rPr>
        <w:t>7</w:t>
      </w:r>
      <w:r>
        <w:rPr>
          <w:rFonts w:hint="eastAsia"/>
          <w:szCs w:val="21"/>
          <w:highlight w:val="none"/>
        </w:rPr>
        <w:t>、本项目临时施工用水</w:t>
      </w:r>
      <w:r>
        <w:rPr>
          <w:szCs w:val="21"/>
          <w:highlight w:val="none"/>
        </w:rPr>
        <w:t>开通之前需投标方自行解决</w:t>
      </w:r>
      <w:r>
        <w:rPr>
          <w:rFonts w:hint="eastAsia"/>
          <w:szCs w:val="21"/>
          <w:highlight w:val="none"/>
        </w:rPr>
        <w:t>。</w:t>
      </w:r>
    </w:p>
    <w:p>
      <w:pPr>
        <w:spacing w:line="360" w:lineRule="auto"/>
        <w:ind w:firstLine="315" w:firstLineChars="150"/>
        <w:jc w:val="left"/>
        <w:rPr>
          <w:szCs w:val="21"/>
          <w:highlight w:val="none"/>
        </w:rPr>
      </w:pPr>
      <w:r>
        <w:rPr>
          <w:szCs w:val="21"/>
          <w:highlight w:val="none"/>
        </w:rPr>
        <w:t>8</w:t>
      </w:r>
      <w:r>
        <w:rPr>
          <w:rFonts w:hint="eastAsia"/>
          <w:szCs w:val="21"/>
          <w:highlight w:val="none"/>
        </w:rPr>
        <w:t>、需要投标方在投标阶段根据施工图纸及现场实际踏勘情况制定合理施工方案，保证进场后正常施工，不得以场地受限为由拖延工期，或向我司进行索赔，相关费用考虑在投标报价内。</w:t>
      </w:r>
    </w:p>
    <w:p>
      <w:pPr>
        <w:spacing w:line="360" w:lineRule="auto"/>
        <w:ind w:firstLine="315" w:firstLineChars="150"/>
        <w:jc w:val="left"/>
        <w:rPr>
          <w:szCs w:val="21"/>
          <w:highlight w:val="none"/>
        </w:rPr>
      </w:pPr>
      <w:r>
        <w:rPr>
          <w:szCs w:val="21"/>
          <w:highlight w:val="none"/>
        </w:rPr>
        <w:t>9</w:t>
      </w:r>
      <w:r>
        <w:rPr>
          <w:rFonts w:hint="eastAsia"/>
          <w:szCs w:val="21"/>
          <w:highlight w:val="none"/>
        </w:rPr>
        <w:t>、投标单位需要配合发包方现场整体工作安排，无条件二次及多次倒运、加工及作业场地，保证后续单位正常施工，相关费用考虑在投标报价内。</w:t>
      </w:r>
    </w:p>
    <w:p>
      <w:pPr>
        <w:spacing w:line="360" w:lineRule="auto"/>
        <w:ind w:firstLine="315" w:firstLineChars="150"/>
        <w:jc w:val="left"/>
        <w:rPr>
          <w:szCs w:val="21"/>
          <w:highlight w:val="none"/>
        </w:rPr>
      </w:pPr>
      <w:r>
        <w:rPr>
          <w:rFonts w:hint="eastAsia"/>
          <w:szCs w:val="21"/>
          <w:highlight w:val="none"/>
        </w:rPr>
        <w:t>1</w:t>
      </w:r>
      <w:r>
        <w:rPr>
          <w:szCs w:val="21"/>
          <w:highlight w:val="none"/>
        </w:rPr>
        <w:t>0</w:t>
      </w:r>
      <w:r>
        <w:rPr>
          <w:rFonts w:hint="eastAsia"/>
          <w:szCs w:val="21"/>
          <w:highlight w:val="none"/>
        </w:rPr>
        <w:t>、</w:t>
      </w:r>
      <w:r>
        <w:rPr>
          <w:szCs w:val="21"/>
          <w:highlight w:val="none"/>
        </w:rPr>
        <w:t>需要投标单位组织专家论证会</w:t>
      </w:r>
      <w:r>
        <w:rPr>
          <w:rFonts w:hint="eastAsia"/>
          <w:szCs w:val="21"/>
          <w:highlight w:val="none"/>
        </w:rPr>
        <w:t>，</w:t>
      </w:r>
      <w:r>
        <w:rPr>
          <w:szCs w:val="21"/>
          <w:highlight w:val="none"/>
        </w:rPr>
        <w:t>相关费用考虑在投标报价内</w:t>
      </w:r>
      <w:r>
        <w:rPr>
          <w:rFonts w:hint="eastAsia"/>
          <w:szCs w:val="21"/>
          <w:highlight w:val="none"/>
        </w:rPr>
        <w:t>。</w:t>
      </w:r>
    </w:p>
    <w:p>
      <w:pPr>
        <w:pStyle w:val="11"/>
        <w:spacing w:line="360" w:lineRule="auto"/>
        <w:ind w:firstLine="0" w:firstLineChars="0"/>
        <w:rPr>
          <w:rFonts w:ascii="宋体" w:hAnsi="宋体" w:cs="宋体"/>
          <w:szCs w:val="21"/>
          <w:highlight w:val="none"/>
        </w:rPr>
      </w:pPr>
    </w:p>
    <w:p>
      <w:pPr>
        <w:pStyle w:val="7"/>
        <w:tabs>
          <w:tab w:val="left" w:pos="1260"/>
        </w:tabs>
        <w:ind w:right="210"/>
        <w:rPr>
          <w:rFonts w:ascii="宋体" w:hAnsi="宋体"/>
          <w:szCs w:val="21"/>
          <w:highlight w:val="none"/>
        </w:rPr>
      </w:pPr>
      <w:bookmarkStart w:id="0" w:name="_Toc333176156"/>
      <w:bookmarkStart w:id="1" w:name="_Toc348956805"/>
      <w:bookmarkStart w:id="2" w:name="_Toc333175852"/>
      <w:bookmarkStart w:id="3" w:name="_Toc414880452"/>
      <w:bookmarkStart w:id="4" w:name="_Toc332981152"/>
      <w:bookmarkStart w:id="5" w:name="_Toc348863190"/>
      <w:bookmarkStart w:id="6" w:name="_Toc332878936"/>
      <w:bookmarkStart w:id="7" w:name="_Toc348887011"/>
      <w:r>
        <w:rPr>
          <w:rFonts w:hint="eastAsia" w:ascii="宋体" w:hAnsi="宋体"/>
          <w:szCs w:val="21"/>
          <w:highlight w:val="none"/>
        </w:rPr>
        <w:t>B：土方工程技术要求</w:t>
      </w:r>
    </w:p>
    <w:p>
      <w:pPr>
        <w:pStyle w:val="7"/>
        <w:tabs>
          <w:tab w:val="left" w:pos="1260"/>
        </w:tabs>
        <w:ind w:right="210"/>
        <w:rPr>
          <w:rFonts w:ascii="宋体" w:hAnsi="宋体" w:cs="宋体"/>
          <w:color w:val="000000"/>
          <w:szCs w:val="21"/>
          <w:highlight w:val="none"/>
        </w:rPr>
      </w:pPr>
      <w:r>
        <w:rPr>
          <w:rFonts w:hint="eastAsia" w:ascii="宋体" w:hAnsi="宋体" w:cs="宋体"/>
          <w:color w:val="000000"/>
          <w:szCs w:val="21"/>
          <w:highlight w:val="none"/>
        </w:rPr>
        <w:t>1、土方工程范围及工程内容</w:t>
      </w:r>
      <w:bookmarkEnd w:id="0"/>
      <w:bookmarkEnd w:id="1"/>
      <w:bookmarkEnd w:id="2"/>
      <w:bookmarkEnd w:id="3"/>
      <w:bookmarkEnd w:id="4"/>
      <w:bookmarkEnd w:id="5"/>
      <w:bookmarkEnd w:id="6"/>
      <w:bookmarkEnd w:id="7"/>
    </w:p>
    <w:p>
      <w:pPr>
        <w:pStyle w:val="8"/>
        <w:tabs>
          <w:tab w:val="left" w:pos="1980"/>
        </w:tabs>
        <w:rPr>
          <w:rFonts w:ascii="宋体" w:hAnsi="宋体" w:cs="宋体"/>
          <w:color w:val="000000"/>
          <w:szCs w:val="21"/>
          <w:highlight w:val="none"/>
        </w:rPr>
      </w:pPr>
      <w:bookmarkStart w:id="8" w:name="_Toc414880453"/>
      <w:bookmarkStart w:id="9" w:name="_Toc348956806"/>
      <w:r>
        <w:rPr>
          <w:rFonts w:hint="eastAsia" w:ascii="宋体" w:hAnsi="宋体" w:cs="宋体"/>
          <w:color w:val="000000"/>
          <w:szCs w:val="21"/>
          <w:highlight w:val="none"/>
        </w:rPr>
        <w:t>1.1、工程范围</w:t>
      </w:r>
      <w:bookmarkEnd w:id="8"/>
      <w:bookmarkEnd w:id="9"/>
    </w:p>
    <w:p>
      <w:pPr>
        <w:numPr>
          <w:ilvl w:val="2"/>
          <w:numId w:val="2"/>
        </w:numPr>
        <w:spacing w:line="360" w:lineRule="auto"/>
        <w:rPr>
          <w:rFonts w:ascii="宋体" w:hAnsi="宋体" w:cs="宋体"/>
          <w:color w:val="000000"/>
          <w:szCs w:val="21"/>
          <w:highlight w:val="none"/>
        </w:rPr>
      </w:pPr>
      <w:bookmarkStart w:id="10" w:name="_Toc332981149"/>
      <w:bookmarkStart w:id="11" w:name="_Toc333176153"/>
      <w:bookmarkStart w:id="12" w:name="_Toc333175849"/>
      <w:bookmarkStart w:id="13" w:name="_Toc332878933"/>
      <w:r>
        <w:rPr>
          <w:rFonts w:hint="eastAsia" w:ascii="宋体" w:hAnsi="宋体" w:cs="宋体"/>
          <w:color w:val="000000"/>
          <w:szCs w:val="21"/>
          <w:highlight w:val="none"/>
        </w:rPr>
        <w:t>红线内施工范围：土方、建筑垃圾、生活垃圾、废弃建筑、硬化路面、部分围墙、挡土墙、废弃管线及管井、障碍物清除及外排，场地平整至设计标高，具体标高以建设单位提供设计图纸及地勘报告为准。</w:t>
      </w:r>
    </w:p>
    <w:p>
      <w:pPr>
        <w:numPr>
          <w:ilvl w:val="2"/>
          <w:numId w:val="2"/>
        </w:numPr>
        <w:spacing w:line="360" w:lineRule="auto"/>
        <w:rPr>
          <w:rFonts w:ascii="宋体" w:hAnsi="宋体" w:cs="宋体"/>
          <w:color w:val="000000"/>
          <w:szCs w:val="21"/>
          <w:highlight w:val="none"/>
        </w:rPr>
      </w:pPr>
      <w:r>
        <w:rPr>
          <w:rFonts w:hint="eastAsia" w:ascii="宋体" w:hAnsi="宋体" w:cs="宋体"/>
          <w:color w:val="000000"/>
          <w:szCs w:val="21"/>
          <w:highlight w:val="none"/>
        </w:rPr>
        <w:t>红线内地块红线内土方开挖及外运。</w:t>
      </w:r>
    </w:p>
    <w:bookmarkEnd w:id="10"/>
    <w:bookmarkEnd w:id="11"/>
    <w:bookmarkEnd w:id="12"/>
    <w:bookmarkEnd w:id="13"/>
    <w:p>
      <w:pPr>
        <w:pStyle w:val="8"/>
        <w:tabs>
          <w:tab w:val="left" w:pos="1980"/>
        </w:tabs>
        <w:rPr>
          <w:rFonts w:ascii="宋体" w:hAnsi="宋体" w:cs="宋体"/>
          <w:szCs w:val="21"/>
          <w:highlight w:val="none"/>
        </w:rPr>
      </w:pPr>
      <w:bookmarkStart w:id="14" w:name="_Toc414880454"/>
      <w:bookmarkStart w:id="15" w:name="_Toc348956807"/>
      <w:r>
        <w:rPr>
          <w:rFonts w:hint="eastAsia" w:ascii="宋体" w:hAnsi="宋体" w:cs="宋体"/>
          <w:szCs w:val="21"/>
          <w:highlight w:val="none"/>
        </w:rPr>
        <w:t>1.2、工程内容</w:t>
      </w:r>
      <w:bookmarkEnd w:id="14"/>
      <w:bookmarkEnd w:id="15"/>
    </w:p>
    <w:p>
      <w:pPr>
        <w:spacing w:line="360" w:lineRule="auto"/>
        <w:ind w:left="-59" w:leftChars="-28" w:firstLine="367" w:firstLineChars="175"/>
        <w:rPr>
          <w:rFonts w:ascii="宋体" w:hAnsi="宋体" w:cs="宋体"/>
          <w:color w:val="000000"/>
          <w:szCs w:val="21"/>
          <w:highlight w:val="none"/>
        </w:rPr>
      </w:pPr>
      <w:bookmarkStart w:id="16" w:name="_Toc332878937"/>
      <w:bookmarkStart w:id="17" w:name="_Toc332981153"/>
      <w:bookmarkStart w:id="18" w:name="_Toc333176157"/>
      <w:bookmarkStart w:id="19" w:name="_Toc333175853"/>
      <w:r>
        <w:rPr>
          <w:rFonts w:hint="eastAsia" w:ascii="宋体" w:hAnsi="宋体" w:cs="宋体"/>
          <w:color w:val="000000"/>
          <w:szCs w:val="21"/>
          <w:highlight w:val="none"/>
        </w:rPr>
        <w:t>中标单位必须严格执行国家及哈尔滨市现行颁布的相关规范，并按以下（但不限于）技术要求执行，必须在施工方案及施工中体现。</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1.2.1 编制依据</w:t>
      </w:r>
    </w:p>
    <w:p>
      <w:pPr>
        <w:numPr>
          <w:ilvl w:val="0"/>
          <w:numId w:val="3"/>
        </w:numPr>
        <w:spacing w:line="360" w:lineRule="auto"/>
        <w:rPr>
          <w:rFonts w:ascii="宋体" w:hAnsi="宋体" w:cs="宋体"/>
          <w:color w:val="000000"/>
          <w:szCs w:val="21"/>
          <w:highlight w:val="none"/>
        </w:rPr>
      </w:pPr>
      <w:r>
        <w:rPr>
          <w:rFonts w:hint="eastAsia" w:ascii="宋体" w:hAnsi="宋体" w:cs="宋体"/>
          <w:color w:val="000000"/>
          <w:szCs w:val="21"/>
          <w:highlight w:val="none"/>
        </w:rPr>
        <w:t>建筑基坑支护技术规范（JGJ120-2012）</w:t>
      </w:r>
    </w:p>
    <w:p>
      <w:pPr>
        <w:numPr>
          <w:ilvl w:val="0"/>
          <w:numId w:val="3"/>
        </w:numPr>
        <w:spacing w:line="360" w:lineRule="auto"/>
        <w:rPr>
          <w:rFonts w:ascii="宋体" w:hAnsi="宋体" w:cs="宋体"/>
          <w:color w:val="000000"/>
          <w:szCs w:val="21"/>
          <w:highlight w:val="none"/>
        </w:rPr>
      </w:pPr>
      <w:r>
        <w:rPr>
          <w:rFonts w:hint="eastAsia" w:ascii="宋体" w:hAnsi="宋体" w:cs="宋体"/>
          <w:color w:val="000000"/>
          <w:szCs w:val="21"/>
          <w:highlight w:val="none"/>
        </w:rPr>
        <w:t>建筑地基处理技术规范（JGJ79-2012）</w:t>
      </w:r>
    </w:p>
    <w:p>
      <w:pPr>
        <w:numPr>
          <w:ilvl w:val="0"/>
          <w:numId w:val="3"/>
        </w:numPr>
        <w:spacing w:line="360" w:lineRule="auto"/>
        <w:rPr>
          <w:rFonts w:ascii="宋体" w:hAnsi="宋体" w:cs="宋体"/>
          <w:color w:val="000000"/>
          <w:szCs w:val="21"/>
          <w:highlight w:val="none"/>
        </w:rPr>
      </w:pPr>
      <w:r>
        <w:rPr>
          <w:rFonts w:hint="eastAsia" w:ascii="宋体" w:hAnsi="宋体" w:cs="宋体"/>
          <w:color w:val="000000"/>
          <w:szCs w:val="21"/>
          <w:highlight w:val="none"/>
        </w:rPr>
        <w:t>建筑桩基技术规范（JGJ94-2008）</w:t>
      </w:r>
    </w:p>
    <w:p>
      <w:pPr>
        <w:numPr>
          <w:ilvl w:val="0"/>
          <w:numId w:val="3"/>
        </w:numPr>
        <w:spacing w:line="360" w:lineRule="auto"/>
        <w:rPr>
          <w:rFonts w:ascii="宋体" w:hAnsi="宋体" w:cs="宋体"/>
          <w:color w:val="000000"/>
          <w:szCs w:val="21"/>
          <w:highlight w:val="none"/>
        </w:rPr>
      </w:pPr>
      <w:r>
        <w:rPr>
          <w:rFonts w:hint="eastAsia" w:ascii="宋体" w:hAnsi="宋体" w:cs="宋体"/>
          <w:color w:val="000000"/>
          <w:szCs w:val="21"/>
          <w:highlight w:val="none"/>
        </w:rPr>
        <w:t>建筑地基基础设计规范（GB50007-20011）</w:t>
      </w:r>
    </w:p>
    <w:p>
      <w:pPr>
        <w:numPr>
          <w:ilvl w:val="0"/>
          <w:numId w:val="3"/>
        </w:numPr>
        <w:spacing w:line="360" w:lineRule="auto"/>
        <w:rPr>
          <w:rFonts w:ascii="宋体" w:hAnsi="宋体" w:cs="宋体"/>
          <w:color w:val="000000"/>
          <w:szCs w:val="21"/>
          <w:highlight w:val="none"/>
        </w:rPr>
      </w:pPr>
      <w:r>
        <w:rPr>
          <w:rFonts w:hint="eastAsia" w:ascii="宋体" w:hAnsi="宋体" w:cs="宋体"/>
          <w:color w:val="000000"/>
          <w:szCs w:val="21"/>
          <w:highlight w:val="none"/>
        </w:rPr>
        <w:t>岩土工程验收和质量评定标准（YT9091-98）</w:t>
      </w:r>
    </w:p>
    <w:p>
      <w:pPr>
        <w:numPr>
          <w:ilvl w:val="0"/>
          <w:numId w:val="3"/>
        </w:numPr>
        <w:spacing w:line="360" w:lineRule="auto"/>
        <w:rPr>
          <w:rFonts w:ascii="宋体" w:hAnsi="宋体" w:cs="宋体"/>
          <w:color w:val="000000"/>
          <w:szCs w:val="21"/>
          <w:highlight w:val="none"/>
        </w:rPr>
      </w:pPr>
      <w:r>
        <w:rPr>
          <w:rFonts w:hint="eastAsia" w:ascii="宋体" w:hAnsi="宋体" w:cs="宋体"/>
          <w:color w:val="000000"/>
          <w:szCs w:val="21"/>
          <w:highlight w:val="none"/>
        </w:rPr>
        <w:t>土层锚杆设计及施工规范（CECS22：90）</w:t>
      </w:r>
    </w:p>
    <w:p>
      <w:pPr>
        <w:numPr>
          <w:ilvl w:val="0"/>
          <w:numId w:val="3"/>
        </w:numPr>
        <w:tabs>
          <w:tab w:val="left" w:pos="1134"/>
          <w:tab w:val="clear" w:pos="1260"/>
        </w:tabs>
        <w:spacing w:line="360" w:lineRule="auto"/>
        <w:rPr>
          <w:rFonts w:ascii="宋体" w:hAnsi="宋体" w:cs="宋体"/>
          <w:color w:val="000000"/>
          <w:szCs w:val="21"/>
          <w:highlight w:val="none"/>
        </w:rPr>
      </w:pPr>
      <w:r>
        <w:rPr>
          <w:rFonts w:hint="eastAsia" w:ascii="宋体" w:hAnsi="宋体" w:cs="宋体"/>
          <w:color w:val="000000"/>
          <w:szCs w:val="21"/>
          <w:highlight w:val="none"/>
        </w:rPr>
        <w:t>其他有关国家和地方施工及验收规范</w:t>
      </w:r>
    </w:p>
    <w:p>
      <w:pPr>
        <w:numPr>
          <w:ilvl w:val="0"/>
          <w:numId w:val="3"/>
        </w:numPr>
        <w:tabs>
          <w:tab w:val="left" w:pos="1134"/>
          <w:tab w:val="clear" w:pos="1260"/>
        </w:tabs>
        <w:spacing w:line="360" w:lineRule="auto"/>
        <w:rPr>
          <w:rFonts w:ascii="宋体" w:hAnsi="宋体" w:cs="宋体"/>
          <w:szCs w:val="21"/>
          <w:highlight w:val="none"/>
        </w:rPr>
      </w:pPr>
      <w:r>
        <w:rPr>
          <w:rFonts w:hint="eastAsia" w:ascii="宋体" w:hAnsi="宋体" w:cs="宋体"/>
          <w:bCs/>
          <w:szCs w:val="21"/>
          <w:highlight w:val="none"/>
        </w:rPr>
        <w:t>哈尔滨工业大学教学综合实验楼（西区）项目</w:t>
      </w:r>
      <w:r>
        <w:rPr>
          <w:rFonts w:hint="eastAsia" w:ascii="宋体" w:hAnsi="宋体" w:cs="宋体"/>
          <w:szCs w:val="21"/>
          <w:highlight w:val="none"/>
        </w:rPr>
        <w:t>地质勘察报告</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1.2.2 施工技术要求</w:t>
      </w:r>
    </w:p>
    <w:p>
      <w:pPr>
        <w:numPr>
          <w:ilvl w:val="1"/>
          <w:numId w:val="4"/>
        </w:numPr>
        <w:spacing w:line="360" w:lineRule="auto"/>
        <w:rPr>
          <w:rFonts w:ascii="宋体" w:hAnsi="宋体" w:cs="宋体"/>
          <w:color w:val="000000"/>
          <w:szCs w:val="21"/>
          <w:highlight w:val="none"/>
        </w:rPr>
      </w:pPr>
      <w:r>
        <w:rPr>
          <w:rFonts w:hint="eastAsia" w:ascii="宋体" w:hAnsi="宋体" w:cs="宋体"/>
          <w:color w:val="000000"/>
          <w:szCs w:val="21"/>
          <w:highlight w:val="none"/>
        </w:rPr>
        <w:t>按设计要求，红线内土方开挖至设计标高，具体标高以建设单位提供的设计图纸为准，严禁超挖、少挖；</w:t>
      </w:r>
    </w:p>
    <w:p>
      <w:pPr>
        <w:numPr>
          <w:ilvl w:val="1"/>
          <w:numId w:val="4"/>
        </w:numPr>
        <w:spacing w:line="360" w:lineRule="auto"/>
        <w:rPr>
          <w:rFonts w:ascii="宋体" w:hAnsi="宋体" w:cs="宋体"/>
          <w:color w:val="000000"/>
          <w:szCs w:val="21"/>
          <w:highlight w:val="none"/>
        </w:rPr>
      </w:pPr>
      <w:r>
        <w:rPr>
          <w:rFonts w:hint="eastAsia" w:ascii="宋体" w:hAnsi="宋体" w:cs="宋体"/>
          <w:color w:val="000000"/>
          <w:szCs w:val="21"/>
          <w:highlight w:val="none"/>
        </w:rPr>
        <w:t>外运土方必须排到正规土场内；</w:t>
      </w:r>
    </w:p>
    <w:p>
      <w:pPr>
        <w:numPr>
          <w:ilvl w:val="1"/>
          <w:numId w:val="4"/>
        </w:numPr>
        <w:spacing w:line="360" w:lineRule="auto"/>
        <w:rPr>
          <w:rFonts w:ascii="宋体" w:hAnsi="宋体" w:cs="宋体"/>
          <w:color w:val="000000"/>
          <w:szCs w:val="21"/>
          <w:highlight w:val="none"/>
        </w:rPr>
      </w:pPr>
      <w:r>
        <w:rPr>
          <w:rFonts w:hint="eastAsia" w:ascii="宋体" w:hAnsi="宋体" w:cs="宋体"/>
          <w:bCs/>
          <w:color w:val="000000"/>
          <w:szCs w:val="21"/>
          <w:highlight w:val="none"/>
        </w:rPr>
        <w:t>开挖土方原则上全部由中标单位自主转卖；</w:t>
      </w:r>
    </w:p>
    <w:p>
      <w:pPr>
        <w:numPr>
          <w:ilvl w:val="1"/>
          <w:numId w:val="4"/>
        </w:numPr>
        <w:spacing w:line="360" w:lineRule="auto"/>
        <w:rPr>
          <w:rFonts w:ascii="宋体" w:hAnsi="宋体" w:cs="宋体"/>
          <w:szCs w:val="21"/>
          <w:highlight w:val="none"/>
        </w:rPr>
      </w:pPr>
      <w:r>
        <w:rPr>
          <w:rFonts w:hint="eastAsia" w:ascii="宋体" w:hAnsi="宋体" w:cs="宋体"/>
          <w:bCs/>
          <w:color w:val="000000"/>
          <w:szCs w:val="21"/>
          <w:highlight w:val="none"/>
        </w:rPr>
        <w:t>中标单位</w:t>
      </w:r>
      <w:r>
        <w:rPr>
          <w:rFonts w:hint="eastAsia" w:ascii="宋体" w:hAnsi="宋体" w:cs="宋体"/>
          <w:bCs/>
          <w:szCs w:val="21"/>
          <w:highlight w:val="none"/>
        </w:rPr>
        <w:t>应充分考虑天气、季节等因素，工期不予调整；因雨季导致开挖难度增加，施工降效等一切困难，需中标单位自行考虑，在价格上不予调整；</w:t>
      </w:r>
    </w:p>
    <w:p>
      <w:pPr>
        <w:numPr>
          <w:ilvl w:val="1"/>
          <w:numId w:val="4"/>
        </w:numPr>
        <w:spacing w:line="360" w:lineRule="auto"/>
        <w:rPr>
          <w:rFonts w:ascii="宋体" w:hAnsi="宋体" w:cs="宋体"/>
          <w:szCs w:val="21"/>
          <w:highlight w:val="none"/>
        </w:rPr>
      </w:pPr>
      <w:r>
        <w:rPr>
          <w:rFonts w:hint="eastAsia" w:ascii="宋体" w:hAnsi="宋体" w:cs="宋体"/>
          <w:bCs/>
          <w:szCs w:val="21"/>
          <w:highlight w:val="none"/>
        </w:rPr>
        <w:t xml:space="preserve">中标单位需详细审核地探报告； </w:t>
      </w:r>
    </w:p>
    <w:p>
      <w:pPr>
        <w:numPr>
          <w:ilvl w:val="1"/>
          <w:numId w:val="4"/>
        </w:numPr>
        <w:spacing w:line="360" w:lineRule="auto"/>
        <w:rPr>
          <w:rFonts w:ascii="宋体" w:hAnsi="宋体" w:cs="宋体"/>
          <w:color w:val="000000"/>
          <w:szCs w:val="21"/>
          <w:highlight w:val="none"/>
        </w:rPr>
      </w:pPr>
      <w:r>
        <w:rPr>
          <w:rFonts w:hint="eastAsia" w:ascii="宋体" w:hAnsi="宋体" w:cs="宋体"/>
          <w:bCs/>
          <w:color w:val="000000"/>
          <w:szCs w:val="21"/>
          <w:highlight w:val="none"/>
        </w:rPr>
        <w:t>建设单位不会就运距、季节天气发生费用及工期的增加，中标单位应在报价中考虑；</w:t>
      </w:r>
    </w:p>
    <w:p>
      <w:pPr>
        <w:numPr>
          <w:ilvl w:val="1"/>
          <w:numId w:val="4"/>
        </w:numPr>
        <w:spacing w:line="360" w:lineRule="auto"/>
        <w:rPr>
          <w:rFonts w:ascii="宋体" w:hAnsi="宋体" w:cs="宋体"/>
          <w:szCs w:val="21"/>
          <w:highlight w:val="none"/>
        </w:rPr>
      </w:pPr>
      <w:r>
        <w:rPr>
          <w:rFonts w:hint="eastAsia" w:ascii="宋体" w:hAnsi="宋体" w:cs="宋体"/>
          <w:szCs w:val="21"/>
          <w:highlight w:val="none"/>
        </w:rPr>
        <w:t>建设单位会提供总平图一份、城市坐标控制点，中标单位需自行引测至场内。</w:t>
      </w:r>
    </w:p>
    <w:p>
      <w:pPr>
        <w:numPr>
          <w:ilvl w:val="1"/>
          <w:numId w:val="4"/>
        </w:numPr>
        <w:spacing w:line="360" w:lineRule="auto"/>
        <w:rPr>
          <w:rFonts w:ascii="宋体" w:hAnsi="宋体" w:cs="宋体"/>
          <w:color w:val="000000"/>
          <w:szCs w:val="21"/>
          <w:highlight w:val="none"/>
        </w:rPr>
      </w:pPr>
      <w:r>
        <w:rPr>
          <w:rFonts w:hint="eastAsia" w:ascii="宋体" w:hAnsi="宋体" w:cs="宋体"/>
          <w:color w:val="000000"/>
          <w:szCs w:val="21"/>
          <w:highlight w:val="none"/>
        </w:rPr>
        <w:t>建设单位会将坐标控制点、标高水准点及有关资料移交给中标单位，中标单位需妥善保管，并在建设单位监督下移交给后续施工单位；</w:t>
      </w:r>
    </w:p>
    <w:p>
      <w:pPr>
        <w:numPr>
          <w:ilvl w:val="1"/>
          <w:numId w:val="4"/>
        </w:numPr>
        <w:spacing w:line="360" w:lineRule="auto"/>
        <w:rPr>
          <w:rFonts w:ascii="宋体" w:hAnsi="宋体" w:cs="宋体"/>
          <w:color w:val="000000"/>
          <w:szCs w:val="21"/>
          <w:highlight w:val="none"/>
        </w:rPr>
      </w:pPr>
      <w:r>
        <w:rPr>
          <w:rFonts w:hint="eastAsia" w:ascii="宋体" w:hAnsi="宋体" w:cs="宋体"/>
          <w:color w:val="000000"/>
          <w:szCs w:val="21"/>
          <w:highlight w:val="none"/>
        </w:rPr>
        <w:t>土方开挖及场地平整施工中，如出现流沙、淤泥等不良情况，需立即上报建设单位，并配合建设单位的地基处理工作；</w:t>
      </w:r>
    </w:p>
    <w:p>
      <w:pPr>
        <w:numPr>
          <w:ilvl w:val="1"/>
          <w:numId w:val="4"/>
        </w:numPr>
        <w:spacing w:line="360" w:lineRule="auto"/>
        <w:rPr>
          <w:rFonts w:ascii="宋体" w:hAnsi="宋体" w:cs="宋体"/>
          <w:color w:val="000000"/>
          <w:szCs w:val="21"/>
          <w:highlight w:val="none"/>
        </w:rPr>
      </w:pPr>
      <w:r>
        <w:rPr>
          <w:rFonts w:hint="eastAsia" w:ascii="宋体" w:hAnsi="宋体" w:cs="宋体"/>
          <w:bCs/>
          <w:color w:val="000000"/>
          <w:szCs w:val="21"/>
          <w:highlight w:val="none"/>
        </w:rPr>
        <w:t>中标单位需按要求提供《场地平整施工方案》，经建设单位审核通过后方可施工；</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1.2.3注意事项</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中标单位需现场查勘，并测量现状土标高，开工前提供实测百格网，在投标时，报价视为认可并知晓目前土方标高，并经建设单位确认后方可施工，建设单位不接受后期因土方原状土与清单矛盾导致的变更。</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中标单位投标前自行进行场地踏勘，评估统计施工图范围内地上及地下部分所有存在的障碍物，地上及地下障碍物的清除及协调工作均由中标单位负责。</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 xml:space="preserve">第一阶段场地平整工程及第二阶段土方开挖工程施工前需中标单位自行办理建筑垃圾排放许可证。中标单位需考虑在不具备任何有效证件的情况下自行办理建筑垃圾排放许可证，所有费用均考虑到投标报价内。中标单位不得以任何理由推诿。 </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中标单位负责现场相关环保手续办理,不得因环保等问题导致现场进度滞后，相关一切费用考虑到投标报价中。若未能按环保部门及建设单位要求办理，建设单位将从合同款项中扣除一切办理相关手续及证件所涉及到的费用。</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中标单位进场后需进行</w:t>
      </w:r>
      <w:r>
        <w:rPr>
          <w:rFonts w:hint="eastAsia" w:ascii="宋体" w:hAnsi="宋体" w:cs="宋体"/>
          <w:bCs/>
          <w:szCs w:val="21"/>
          <w:highlight w:val="none"/>
        </w:rPr>
        <w:t>本项目</w:t>
      </w:r>
      <w:r>
        <w:rPr>
          <w:rFonts w:hint="eastAsia" w:ascii="宋体" w:hAnsi="宋体" w:cs="宋体"/>
          <w:szCs w:val="21"/>
          <w:highlight w:val="none"/>
        </w:rPr>
        <w:t>红线的放线施工，并每隔十米设置至少1米高红旗标识，直至土方工程全部施工完成。</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本工程测量放线工作由中标单位负责，测量放线结果需经监理、建设单位复核，复核合格后方可开挖，但建设单位及监理的复核不能减轻中标单位的责任，因测量放线错误导致开挖范围错误、返工等责任由投标单位承担，给建设单位造成的损失由投标单位进行赔偿。</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边坡护坡的土形修整由中标单位负责。</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岩土工程往往包含难以估计的复杂因素，岩土构成及土质条件与勘察报告也可能存在一定的误差，土方开挖前的设计方案只能是一种基于已有资料总的估计，实际施工中必须坚持动态设计的原则，对于实际情况发生变化而确需变更设计的部位，应及时做出设计变更，以保证边坡安全。</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负责挖土期间现场的安全文明施工工作，杜绝扬尘及遗撒。按照有关城管、环保、交警等部门规定作业，如按政府相关部门安装摄像头、施工出入口路面硬化，洗车池等。严禁将土带到马路上，如被城管、环保、交警等部门进行罚款或公共场合给予通报，每次扣除违约金5000元。排土期间造成一切对建设单位的罚款或停工，由投标单位负责，并接受建设单位每次5000元违约金的处罚。主要车辆出入口须按建设单位现场要求将主要出入口钢板覆盖至市政路面。</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中标单位应充分了解现场，做好测量放线工作，在平整场地及开挖外运时应有测量人员测量标高，施工完成后做好场地标高的测量工作，并完成竣工图。</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中标单位需采取措施避免工程施工对地下管线、临近建筑物及市政设施造成破坏；如破坏需在建设单位要求的时间内修复完成，否则建设单位将另行安排其他单位修复，产生的一切费用由中标单位承担。</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严格遵守有关环境保护法律、法规，遵守政府主管部门对施工场地及周边交通、施工污染、噪音等安全文明生产的有关管理规定。</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土方外排需对市政道路做好成品保护，由于土方外排致使道路损坏的由中标单位负责。</w:t>
      </w:r>
    </w:p>
    <w:p>
      <w:pPr>
        <w:pStyle w:val="12"/>
        <w:numPr>
          <w:ilvl w:val="0"/>
          <w:numId w:val="5"/>
        </w:numPr>
        <w:rPr>
          <w:rFonts w:ascii="宋体" w:hAnsi="宋体" w:cs="宋体"/>
          <w:color w:val="000000"/>
          <w:szCs w:val="21"/>
          <w:highlight w:val="none"/>
        </w:rPr>
      </w:pPr>
      <w:r>
        <w:rPr>
          <w:rFonts w:hint="eastAsia" w:ascii="宋体" w:hAnsi="宋体" w:cs="宋体"/>
          <w:color w:val="000000"/>
          <w:szCs w:val="21"/>
          <w:highlight w:val="none"/>
        </w:rPr>
        <w:t>对现场临时水电线路采取保护措施，并经建设单位和监理认可。如发生破坏需在建设单位要求的时间内修复完成，否则建设单位将另行安排其他单位修复，产生的一切费用由中标单位承担。</w:t>
      </w:r>
    </w:p>
    <w:p>
      <w:pPr>
        <w:pStyle w:val="12"/>
        <w:numPr>
          <w:ilvl w:val="0"/>
          <w:numId w:val="5"/>
        </w:numPr>
        <w:rPr>
          <w:rFonts w:ascii="宋体" w:hAnsi="宋体" w:cs="宋体"/>
          <w:szCs w:val="21"/>
          <w:highlight w:val="none"/>
        </w:rPr>
      </w:pPr>
      <w:r>
        <w:rPr>
          <w:rFonts w:hint="eastAsia" w:ascii="宋体" w:hAnsi="宋体" w:cs="宋体"/>
          <w:szCs w:val="21"/>
          <w:highlight w:val="none"/>
        </w:rPr>
        <w:t>现场的排土需要的场内、外的运输道路及场区出入口由中标单位负责，需采取必要的措施，保证运输道路畅通适用，及现场施工的便利。场区出入口需设置车辆清理人员及设备，且出入口做法需满足政府部门的相关要求。以上产生的费用请在报价中充分考虑，例如围墙开口、市政道路开口的费用等。</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施工区域附近存在住宅区。中标单位需合理安排作业时间及防尘措施，如需夜间施工，需事先报环保部门审批。不得影响居民正常生活，不得因此给建设单位带来负面影响。出现扰民情况，造成居民群诉、政府罚款等负面影响，对中标单位处5000元/次违约金，并且相关问题解决由中标单位负责，一切费用由中标单位承担。</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与桩基、总包移交阶段及质保期阶段，需无偿配合桩基单位进度及总包进度，完成场地平整、移交，如因中标单位原因，导致桩基单位及总包无法开展正常施工，相关责任由中标单位承担。</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场地内或场地四周的市政、通信管线等，中标单位必须妥善做好保护措施，由于中标单位的疏忽造成的一切损失，由中标单位负责。</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由于中标单位的责任，造成超挖的，需由中标单位组织专家论证，出具换填方案，并按方案完成换填，一切费用由中标单位承担。</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建设单位不提供现场住宿及办公室，中标单位需自行考虑；</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由于本项目紧邻周边小区，土方施工过程中会造成扰民，若出现扰民情况需由中标单位负责协调解决，相关费用考虑到投标报价内。</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在本工程施工期间，若出现非本工程相关人员或政府相关部门人员等影响现场施工的情况，全部由中标单位负责，并考虑到投标报价内。</w:t>
      </w:r>
    </w:p>
    <w:p>
      <w:pPr>
        <w:numPr>
          <w:ilvl w:val="0"/>
          <w:numId w:val="5"/>
        </w:numPr>
        <w:spacing w:line="360" w:lineRule="auto"/>
        <w:rPr>
          <w:rFonts w:ascii="宋体" w:hAnsi="宋体" w:cs="宋体"/>
          <w:color w:val="000000"/>
          <w:szCs w:val="21"/>
          <w:highlight w:val="none"/>
        </w:rPr>
      </w:pPr>
      <w:r>
        <w:rPr>
          <w:rFonts w:hint="eastAsia" w:ascii="宋体" w:hAnsi="宋体" w:cs="宋体"/>
          <w:color w:val="000000"/>
          <w:szCs w:val="21"/>
          <w:highlight w:val="none"/>
        </w:rPr>
        <w:t>本项目土方工程施工期间不提供临水及临电，相关费用考虑在投标报价内。</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在进行第二阶段土方开挖之前，需要中标单位用石灰线沿基坑上口线明确开挖上口线范围，并且沿上口线每隔10米牢固设置不低于1米高的红旗。相关费用考虑到投标报价内。</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土方开挖施工过程中如遇暴雨天气或现场道路泥泞等情况，需要中标单位采用铺垫钢板或者砖渣等方式自行修建临时道路，相关费用考虑到投标报价内。</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本项目土方开挖完成后需预留坡道，坡道的预留及修整由中标单位负责，具体坡道位置及大小需根据现场需求及建设单位要求进行预留，相关费用考虑到投标报价内。</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中标单位在现场施工期间需注意对临时电设备的保护，如因场平及开挖施工造成临电的损坏或停电，所造成的的一切损失全部由中标单位承担，相关费用考虑到投标报价内。</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本项目土方工程严禁中标单位将工程进行转包，如果一经发现，建设单位有权终止本合同。</w:t>
      </w:r>
    </w:p>
    <w:p>
      <w:pPr>
        <w:numPr>
          <w:ilvl w:val="0"/>
          <w:numId w:val="5"/>
        </w:numPr>
        <w:spacing w:line="360" w:lineRule="auto"/>
        <w:rPr>
          <w:rFonts w:ascii="宋体" w:hAnsi="宋体" w:cs="宋体"/>
          <w:szCs w:val="21"/>
          <w:highlight w:val="none"/>
        </w:rPr>
      </w:pPr>
      <w:r>
        <w:rPr>
          <w:rFonts w:hint="eastAsia" w:ascii="宋体" w:hAnsi="宋体" w:cs="宋体"/>
          <w:szCs w:val="21"/>
          <w:highlight w:val="none"/>
        </w:rPr>
        <w:t>中标单位需自行踏勘现场，确定地上及地下障碍物情况，如施工过程中发现障碍物及管线等，需中标单位上报建设单位确定处理方案后再进行施工，相关费用考虑在投标报价内。</w:t>
      </w:r>
    </w:p>
    <w:p>
      <w:pPr>
        <w:pStyle w:val="7"/>
        <w:tabs>
          <w:tab w:val="left" w:pos="1260"/>
        </w:tabs>
        <w:ind w:right="210"/>
        <w:rPr>
          <w:rFonts w:ascii="宋体" w:hAnsi="宋体" w:cs="宋体"/>
          <w:color w:val="000000"/>
          <w:szCs w:val="21"/>
          <w:highlight w:val="none"/>
        </w:rPr>
      </w:pPr>
      <w:bookmarkStart w:id="20" w:name="_Toc414880455"/>
      <w:r>
        <w:rPr>
          <w:rFonts w:hint="eastAsia" w:ascii="宋体" w:hAnsi="宋体" w:cs="宋体"/>
          <w:color w:val="000000"/>
          <w:szCs w:val="21"/>
          <w:highlight w:val="none"/>
        </w:rPr>
        <w:t>2、总承包工程范围</w:t>
      </w:r>
      <w:bookmarkEnd w:id="20"/>
    </w:p>
    <w:p>
      <w:pPr>
        <w:widowControl/>
        <w:tabs>
          <w:tab w:val="left" w:pos="-2552"/>
          <w:tab w:val="left" w:pos="-1559"/>
          <w:tab w:val="left" w:pos="2040"/>
        </w:tabs>
        <w:spacing w:line="360" w:lineRule="auto"/>
        <w:ind w:right="105" w:rightChars="50"/>
        <w:textAlignment w:val="bottom"/>
        <w:rPr>
          <w:rFonts w:ascii="宋体" w:hAnsi="宋体" w:cs="宋体"/>
          <w:color w:val="000000"/>
          <w:szCs w:val="21"/>
          <w:highlight w:val="none"/>
        </w:rPr>
      </w:pPr>
      <w:r>
        <w:rPr>
          <w:rFonts w:hint="eastAsia" w:ascii="宋体" w:hAnsi="宋体" w:cs="宋体"/>
          <w:color w:val="000000"/>
          <w:szCs w:val="21"/>
          <w:highlight w:val="none"/>
        </w:rPr>
        <w:t>无此项</w:t>
      </w:r>
    </w:p>
    <w:p>
      <w:pPr>
        <w:pStyle w:val="7"/>
        <w:tabs>
          <w:tab w:val="left" w:pos="1260"/>
        </w:tabs>
        <w:ind w:right="210"/>
        <w:rPr>
          <w:rFonts w:ascii="宋体" w:hAnsi="宋体" w:cs="宋体"/>
          <w:color w:val="000000"/>
          <w:szCs w:val="21"/>
          <w:highlight w:val="none"/>
        </w:rPr>
      </w:pPr>
      <w:bookmarkStart w:id="21" w:name="_Toc348887012"/>
      <w:bookmarkStart w:id="22" w:name="_Toc348863191"/>
      <w:bookmarkStart w:id="23" w:name="_Toc348956808"/>
      <w:bookmarkStart w:id="24" w:name="_Toc414880456"/>
      <w:r>
        <w:rPr>
          <w:rFonts w:hint="eastAsia" w:ascii="宋体" w:hAnsi="宋体" w:cs="宋体"/>
          <w:color w:val="000000"/>
          <w:szCs w:val="21"/>
          <w:highlight w:val="none"/>
        </w:rPr>
        <w:t>3、工程界面</w:t>
      </w:r>
      <w:bookmarkEnd w:id="16"/>
      <w:bookmarkEnd w:id="17"/>
      <w:bookmarkEnd w:id="18"/>
      <w:bookmarkEnd w:id="19"/>
      <w:bookmarkEnd w:id="21"/>
      <w:bookmarkEnd w:id="22"/>
      <w:bookmarkEnd w:id="23"/>
      <w:r>
        <w:rPr>
          <w:rFonts w:hint="eastAsia" w:ascii="宋体" w:hAnsi="宋体" w:cs="宋体"/>
          <w:color w:val="000000"/>
          <w:szCs w:val="21"/>
          <w:highlight w:val="none"/>
        </w:rPr>
        <w:t>划分</w:t>
      </w:r>
      <w:bookmarkEnd w:id="24"/>
    </w:p>
    <w:p>
      <w:pPr>
        <w:spacing w:line="360" w:lineRule="auto"/>
        <w:rPr>
          <w:rFonts w:ascii="宋体" w:hAnsi="宋体" w:cs="宋体"/>
          <w:color w:val="000000"/>
          <w:szCs w:val="21"/>
          <w:highlight w:val="none"/>
        </w:rPr>
      </w:pPr>
      <w:r>
        <w:rPr>
          <w:rFonts w:hint="eastAsia" w:ascii="宋体" w:hAnsi="宋体" w:cs="宋体"/>
          <w:color w:val="000000"/>
          <w:szCs w:val="21"/>
          <w:highlight w:val="none"/>
        </w:rPr>
        <w:t>本工程涉及总承包、桩基施工单位界面交接，工作界面提供与后期移交需签字确认，工程付款需提供移交单作为付款凭证。</w:t>
      </w:r>
    </w:p>
    <w:p>
      <w:pPr>
        <w:spacing w:line="360" w:lineRule="auto"/>
        <w:rPr>
          <w:rFonts w:ascii="宋体" w:hAnsi="宋体" w:cs="宋体"/>
          <w:color w:val="000000"/>
          <w:szCs w:val="21"/>
          <w:highlight w:val="none"/>
        </w:rPr>
      </w:pPr>
      <w:bookmarkStart w:id="25" w:name="_Toc348863192"/>
      <w:bookmarkStart w:id="26" w:name="_Toc294712610"/>
      <w:bookmarkStart w:id="27" w:name="_Toc333176158"/>
      <w:bookmarkStart w:id="28" w:name="_Toc332981154"/>
      <w:bookmarkStart w:id="29" w:name="_Toc333175854"/>
      <w:r>
        <w:rPr>
          <w:rFonts w:hint="eastAsia" w:ascii="宋体" w:hAnsi="宋体" w:cs="宋体"/>
          <w:color w:val="000000"/>
          <w:szCs w:val="21"/>
          <w:highlight w:val="none"/>
        </w:rPr>
        <w:t>与桩基单位、总包单位的工程界面</w:t>
      </w:r>
      <w:bookmarkEnd w:id="25"/>
      <w:bookmarkEnd w:id="26"/>
      <w:bookmarkEnd w:id="27"/>
      <w:bookmarkEnd w:id="28"/>
      <w:bookmarkEnd w:id="29"/>
      <w:r>
        <w:rPr>
          <w:rFonts w:hint="eastAsia" w:ascii="宋体" w:hAnsi="宋体" w:cs="宋体"/>
          <w:color w:val="000000"/>
          <w:szCs w:val="21"/>
          <w:highlight w:val="none"/>
        </w:rPr>
        <w:t>：</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1、土方单位进行放线及复核工作，并做好移交记录。施工测量及放线工作由土方单位自行负责；</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2、土方开挖进度能够满足总包主体施工进度要求；</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3、现场实行总承包管理制度，现场安全、文明施工符合甲方、及总包管理要求；</w:t>
      </w:r>
    </w:p>
    <w:p>
      <w:pPr>
        <w:spacing w:line="360" w:lineRule="auto"/>
        <w:rPr>
          <w:rFonts w:ascii="宋体" w:hAnsi="宋体" w:cs="宋体"/>
          <w:color w:val="000000"/>
          <w:szCs w:val="21"/>
          <w:highlight w:val="none"/>
        </w:rPr>
      </w:pPr>
      <w:r>
        <w:rPr>
          <w:rFonts w:hint="eastAsia" w:ascii="宋体" w:hAnsi="宋体" w:cs="宋体"/>
          <w:color w:val="000000"/>
          <w:szCs w:val="21"/>
          <w:highlight w:val="none"/>
        </w:rPr>
        <w:t>5、作业面移交桩基单位、总包前，需专项对全园区标高（含施工道路标高）进行测绘移交，以避免后期施工道路标高失控，造成桩基单位、总包单位二次索要外运费用；</w:t>
      </w:r>
    </w:p>
    <w:p>
      <w:pPr>
        <w:pStyle w:val="11"/>
        <w:spacing w:line="360" w:lineRule="auto"/>
        <w:ind w:firstLine="0" w:firstLineChars="0"/>
        <w:rPr>
          <w:rFonts w:ascii="宋体" w:hAnsi="宋体" w:cs="宋体"/>
          <w:highlight w:val="none"/>
        </w:rPr>
      </w:pPr>
      <w:r>
        <w:rPr>
          <w:rFonts w:hint="eastAsia" w:ascii="宋体" w:hAnsi="宋体" w:cs="宋体"/>
          <w:color w:val="000000"/>
          <w:szCs w:val="21"/>
          <w:highlight w:val="none"/>
        </w:rPr>
        <w:t>6、作业面移交桩基单位、总包单位前，承包商需安排专人看护现场，相关费用考虑到综合报价中。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4"/>
      <w:numFmt w:val="bullet"/>
      <w:lvlText w:val="●"/>
      <w:lvlJc w:val="left"/>
      <w:pPr>
        <w:tabs>
          <w:tab w:val="left" w:pos="1200"/>
        </w:tabs>
        <w:ind w:left="1200" w:hanging="360"/>
      </w:pPr>
      <w:rPr>
        <w:rFonts w:hint="eastAsia" w:ascii="宋体" w:hAnsi="宋体" w:eastAsia="宋体" w:cs="Times New Roman"/>
      </w:rPr>
    </w:lvl>
    <w:lvl w:ilvl="1" w:tentative="0">
      <w:start w:val="1"/>
      <w:numFmt w:val="bullet"/>
      <w:lvlText w:val=""/>
      <w:lvlJc w:val="left"/>
      <w:pPr>
        <w:tabs>
          <w:tab w:val="left" w:pos="1680"/>
        </w:tabs>
        <w:ind w:left="1680" w:hanging="420"/>
      </w:pPr>
      <w:rPr>
        <w:rFonts w:hint="default" w:ascii="Wingdings" w:hAnsi="Wingdings"/>
      </w:rPr>
    </w:lvl>
    <w:lvl w:ilvl="2" w:tentative="0">
      <w:start w:val="1"/>
      <w:numFmt w:val="bullet"/>
      <w:lvlText w:val=""/>
      <w:lvlJc w:val="left"/>
      <w:pPr>
        <w:tabs>
          <w:tab w:val="left" w:pos="2100"/>
        </w:tabs>
        <w:ind w:left="2100" w:hanging="420"/>
      </w:pPr>
      <w:rPr>
        <w:rFonts w:hint="default" w:ascii="Wingdings" w:hAnsi="Wingdings"/>
      </w:rPr>
    </w:lvl>
    <w:lvl w:ilvl="3" w:tentative="0">
      <w:start w:val="1"/>
      <w:numFmt w:val="bullet"/>
      <w:lvlText w:val=""/>
      <w:lvlJc w:val="left"/>
      <w:pPr>
        <w:tabs>
          <w:tab w:val="left" w:pos="2520"/>
        </w:tabs>
        <w:ind w:left="2520" w:hanging="420"/>
      </w:pPr>
      <w:rPr>
        <w:rFonts w:hint="default" w:ascii="Wingdings" w:hAnsi="Wingdings"/>
      </w:rPr>
    </w:lvl>
    <w:lvl w:ilvl="4" w:tentative="0">
      <w:start w:val="1"/>
      <w:numFmt w:val="bullet"/>
      <w:lvlText w:val=""/>
      <w:lvlJc w:val="left"/>
      <w:pPr>
        <w:tabs>
          <w:tab w:val="left" w:pos="2940"/>
        </w:tabs>
        <w:ind w:left="2940" w:hanging="420"/>
      </w:pPr>
      <w:rPr>
        <w:rFonts w:hint="default" w:ascii="Wingdings" w:hAnsi="Wingdings"/>
      </w:rPr>
    </w:lvl>
    <w:lvl w:ilvl="5" w:tentative="0">
      <w:start w:val="1"/>
      <w:numFmt w:val="bullet"/>
      <w:lvlText w:val=""/>
      <w:lvlJc w:val="left"/>
      <w:pPr>
        <w:tabs>
          <w:tab w:val="left" w:pos="3360"/>
        </w:tabs>
        <w:ind w:left="3360" w:hanging="420"/>
      </w:pPr>
      <w:rPr>
        <w:rFonts w:hint="default" w:ascii="Wingdings" w:hAnsi="Wingdings"/>
      </w:rPr>
    </w:lvl>
    <w:lvl w:ilvl="6" w:tentative="0">
      <w:start w:val="1"/>
      <w:numFmt w:val="bullet"/>
      <w:lvlText w:val=""/>
      <w:lvlJc w:val="left"/>
      <w:pPr>
        <w:tabs>
          <w:tab w:val="left" w:pos="3780"/>
        </w:tabs>
        <w:ind w:left="3780" w:hanging="420"/>
      </w:pPr>
      <w:rPr>
        <w:rFonts w:hint="default" w:ascii="Wingdings" w:hAnsi="Wingdings"/>
      </w:rPr>
    </w:lvl>
    <w:lvl w:ilvl="7" w:tentative="0">
      <w:start w:val="1"/>
      <w:numFmt w:val="bullet"/>
      <w:lvlText w:val=""/>
      <w:lvlJc w:val="left"/>
      <w:pPr>
        <w:tabs>
          <w:tab w:val="left" w:pos="4200"/>
        </w:tabs>
        <w:ind w:left="4200" w:hanging="420"/>
      </w:pPr>
      <w:rPr>
        <w:rFonts w:hint="default" w:ascii="Wingdings" w:hAnsi="Wingdings"/>
      </w:rPr>
    </w:lvl>
    <w:lvl w:ilvl="8" w:tentative="0">
      <w:start w:val="1"/>
      <w:numFmt w:val="bullet"/>
      <w:lvlText w:val=""/>
      <w:lvlJc w:val="left"/>
      <w:pPr>
        <w:tabs>
          <w:tab w:val="left" w:pos="4620"/>
        </w:tabs>
        <w:ind w:left="4620" w:hanging="420"/>
      </w:pPr>
      <w:rPr>
        <w:rFonts w:hint="default" w:ascii="Wingdings" w:hAnsi="Wingdings"/>
      </w:rPr>
    </w:lvl>
  </w:abstractNum>
  <w:abstractNum w:abstractNumId="1">
    <w:nsid w:val="66DD73BC"/>
    <w:multiLevelType w:val="multilevel"/>
    <w:tmpl w:val="66DD73BC"/>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rPr>
        <w:b w:val="0"/>
      </w:rPr>
    </w:lvl>
    <w:lvl w:ilvl="2" w:tentative="0">
      <w:start w:val="1"/>
      <w:numFmt w:val="decimal"/>
      <w:lvlText w:val="%1.%2.%3."/>
      <w:lvlJc w:val="left"/>
      <w:pPr>
        <w:tabs>
          <w:tab w:val="left" w:pos="709"/>
        </w:tabs>
        <w:ind w:left="709" w:hanging="709"/>
      </w:pPr>
      <w:rPr>
        <w:b w:val="0"/>
      </w:r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
    <w:nsid w:val="6E8B2387"/>
    <w:multiLevelType w:val="multilevel"/>
    <w:tmpl w:val="6E8B2387"/>
    <w:lvl w:ilvl="0" w:tentative="0">
      <w:start w:val="1"/>
      <w:numFmt w:val="decimal"/>
      <w:lvlText w:val="%1）"/>
      <w:lvlJc w:val="left"/>
      <w:pPr>
        <w:tabs>
          <w:tab w:val="left" w:pos="1260"/>
        </w:tabs>
        <w:ind w:left="1260" w:hanging="420"/>
      </w:pPr>
      <w:rPr>
        <w:rFonts w:ascii="华文细黑" w:hAnsi="华文细黑" w:eastAsia="华文细黑" w:cs="Times New Roman"/>
      </w:rPr>
    </w:lvl>
    <w:lvl w:ilvl="1" w:tentative="0">
      <w:start w:val="1"/>
      <w:numFmt w:val="decimal"/>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820"/>
        </w:tabs>
        <w:ind w:left="2820" w:hanging="720"/>
      </w:pPr>
      <w:rPr>
        <w:rFonts w:hint="default"/>
        <w:b/>
      </w:r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3">
    <w:nsid w:val="6F7C2B26"/>
    <w:multiLevelType w:val="multilevel"/>
    <w:tmpl w:val="6F7C2B2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7BA36282"/>
    <w:multiLevelType w:val="multilevel"/>
    <w:tmpl w:val="7BA36282"/>
    <w:lvl w:ilvl="0" w:tentative="0">
      <w:start w:val="1"/>
      <w:numFmt w:val="decimal"/>
      <w:lvlText w:val="%1)"/>
      <w:lvlJc w:val="left"/>
      <w:pPr>
        <w:ind w:left="420" w:hanging="420"/>
      </w:p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Y2JmZjE2Njk0NjllYzZhNDg3OTE3YzRlOWJlMDcifQ=="/>
  </w:docVars>
  <w:rsids>
    <w:rsidRoot w:val="00000000"/>
    <w:rsid w:val="749B0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qFormat/>
    <w:uiPriority w:val="0"/>
    <w:pPr>
      <w:keepNext/>
      <w:keepLines/>
      <w:spacing w:before="340" w:after="330" w:line="578" w:lineRule="auto"/>
      <w:outlineLvl w:val="0"/>
    </w:pPr>
    <w:rPr>
      <w:b/>
      <w:bCs/>
      <w:kern w:val="44"/>
      <w:sz w:val="44"/>
      <w:szCs w:val="44"/>
    </w:rPr>
  </w:style>
  <w:style w:type="paragraph" w:styleId="7">
    <w:name w:val="heading 3"/>
    <w:basedOn w:val="1"/>
    <w:next w:val="1"/>
    <w:qFormat/>
    <w:uiPriority w:val="0"/>
    <w:pPr>
      <w:keepNext/>
      <w:keepLines/>
      <w:spacing w:before="260" w:after="260" w:line="416" w:lineRule="auto"/>
      <w:outlineLvl w:val="2"/>
    </w:pPr>
    <w:rPr>
      <w:b/>
      <w:bCs/>
      <w:sz w:val="32"/>
      <w:szCs w:val="32"/>
    </w:rPr>
  </w:style>
  <w:style w:type="paragraph" w:styleId="8">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next w:val="5"/>
    <w:qFormat/>
    <w:uiPriority w:val="0"/>
    <w:pPr>
      <w:spacing w:after="120"/>
    </w:pPr>
  </w:style>
  <w:style w:type="paragraph" w:styleId="5">
    <w:name w:val="Date"/>
    <w:basedOn w:val="1"/>
    <w:next w:val="1"/>
    <w:qFormat/>
    <w:uiPriority w:val="0"/>
    <w:rPr>
      <w:sz w:val="24"/>
      <w:szCs w:val="20"/>
    </w:rPr>
  </w:style>
  <w:style w:type="paragraph" w:customStyle="1" w:styleId="11">
    <w:name w:val="列出段落1"/>
    <w:basedOn w:val="1"/>
    <w:qFormat/>
    <w:uiPriority w:val="0"/>
    <w:pPr>
      <w:ind w:firstLine="420" w:firstLineChars="200"/>
    </w:pPr>
  </w:style>
  <w:style w:type="paragraph" w:customStyle="1" w:styleId="12">
    <w:name w:val="列表段落1"/>
    <w:basedOn w:val="1"/>
    <w:qFormat/>
    <w:uiPriority w:val="34"/>
    <w:pPr>
      <w:spacing w:line="360" w:lineRule="auto"/>
      <w:ind w:firstLine="420"/>
    </w:pPr>
    <w:rPr>
      <w:rFonts w:ascii="Calibri" w:hAnsi="Calibri"/>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2023-08-21T08:16:19Z</dcterms:created>
  <dc:creator>dell</dc:creator>
  <cp:lastModifiedBy>沉ྂ梦ྂ昂ྂ志ྂ</cp:lastModifiedBy>
  <dcterms:modified xsi:type="dcterms:W3CDTF">2023-08-21T08:16:28Z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F20B33CFF9A34F2BA901079328DE5792_12</vt:lpwstr>
  </property>
</Properties>
</file>