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240" w:lineRule="auto"/>
        <w:jc w:val="center"/>
        <w:rPr>
          <w:rFonts w:hint="eastAsia" w:ascii="宋体" w:hAnsi="宋体" w:eastAsia="宋体" w:cs="宋体"/>
          <w:bCs/>
          <w:szCs w:val="32"/>
          <w:highlight w:val="none"/>
        </w:rPr>
      </w:pPr>
      <w:r>
        <w:rPr>
          <w:rFonts w:hint="eastAsia" w:ascii="宋体" w:hAnsi="宋体" w:eastAsia="宋体" w:cs="宋体"/>
          <w:bCs/>
          <w:szCs w:val="32"/>
          <w:highlight w:val="none"/>
        </w:rPr>
        <w:t>校内磋商邀请书</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cs="宋体"/>
          <w:sz w:val="24"/>
          <w:szCs w:val="24"/>
          <w:highlight w:val="none"/>
        </w:rPr>
      </w:pPr>
      <w:bookmarkStart w:id="0" w:name="_Toc313893526"/>
      <w:bookmarkStart w:id="1" w:name="_Toc317775175"/>
      <w:r>
        <w:rPr>
          <w:rFonts w:hint="eastAsia" w:ascii="宋体" w:hAnsi="宋体" w:cs="宋体"/>
          <w:bCs/>
          <w:sz w:val="24"/>
          <w:szCs w:val="24"/>
          <w:highlight w:val="none"/>
        </w:rPr>
        <w:t>现就吉林大学化学学院唐敖庆楼3-5楼会议室改造项目</w:t>
      </w:r>
      <w:r>
        <w:rPr>
          <w:rFonts w:hint="eastAsia" w:ascii="宋体" w:hAnsi="宋体" w:cs="宋体"/>
          <w:sz w:val="24"/>
          <w:szCs w:val="24"/>
          <w:highlight w:val="none"/>
        </w:rPr>
        <w:t>进行校内磋商采购。欢迎有资格的供应商前来参加磋商。</w:t>
      </w:r>
      <w:bookmarkStart w:id="28" w:name="_GoBack"/>
      <w:bookmarkEnd w:id="28"/>
    </w:p>
    <w:p>
      <w:pPr>
        <w:pStyle w:val="4"/>
        <w:spacing w:before="0" w:after="0" w:line="480" w:lineRule="exact"/>
        <w:rPr>
          <w:rFonts w:hint="eastAsia" w:ascii="宋体" w:hAnsi="宋体" w:cs="宋体"/>
          <w:sz w:val="24"/>
          <w:szCs w:val="24"/>
          <w:highlight w:val="none"/>
        </w:rPr>
      </w:pPr>
      <w:bookmarkStart w:id="2" w:name="_Toc11332"/>
      <w:bookmarkStart w:id="3" w:name="_Toc25090"/>
      <w:bookmarkStart w:id="4" w:name="_Toc11748"/>
      <w:bookmarkStart w:id="5" w:name="_Toc22205"/>
      <w:bookmarkStart w:id="6" w:name="_Toc7679"/>
      <w:r>
        <w:rPr>
          <w:rFonts w:hint="eastAsia" w:ascii="宋体" w:hAnsi="宋体" w:cs="宋体"/>
          <w:sz w:val="24"/>
          <w:szCs w:val="24"/>
          <w:highlight w:val="none"/>
        </w:rPr>
        <w:t>一、磋商内容</w:t>
      </w:r>
      <w:bookmarkEnd w:id="0"/>
      <w:bookmarkEnd w:id="1"/>
      <w:bookmarkEnd w:id="2"/>
      <w:bookmarkEnd w:id="3"/>
      <w:bookmarkEnd w:id="4"/>
      <w:bookmarkEnd w:id="5"/>
      <w:bookmarkEnd w:id="6"/>
    </w:p>
    <w:tbl>
      <w:tblPr>
        <w:tblStyle w:val="5"/>
        <w:tblW w:w="96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1"/>
        <w:gridCol w:w="4093"/>
        <w:gridCol w:w="1559"/>
        <w:gridCol w:w="2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571" w:type="dxa"/>
            <w:tcBorders>
              <w:top w:val="single" w:color="auto" w:sz="4" w:space="0"/>
              <w:left w:val="single" w:color="auto" w:sz="4" w:space="0"/>
              <w:right w:val="single" w:color="auto" w:sz="4" w:space="0"/>
            </w:tcBorders>
            <w:noWrap w:val="0"/>
            <w:vAlign w:val="center"/>
          </w:tcPr>
          <w:p>
            <w:pPr>
              <w:widowControl/>
              <w:spacing w:line="360" w:lineRule="exact"/>
              <w:jc w:val="center"/>
              <w:rPr>
                <w:rFonts w:hint="eastAsia" w:ascii="宋体" w:hAnsi="宋体" w:cs="宋体"/>
                <w:bCs/>
                <w:kern w:val="0"/>
                <w:sz w:val="24"/>
                <w:szCs w:val="24"/>
                <w:highlight w:val="none"/>
              </w:rPr>
            </w:pPr>
            <w:r>
              <w:rPr>
                <w:rFonts w:hint="eastAsia" w:ascii="宋体" w:hAnsi="宋体" w:cs="宋体"/>
                <w:bCs/>
                <w:kern w:val="0"/>
                <w:sz w:val="24"/>
                <w:szCs w:val="24"/>
                <w:highlight w:val="none"/>
              </w:rPr>
              <w:t>采购内容</w:t>
            </w:r>
          </w:p>
        </w:tc>
        <w:tc>
          <w:tcPr>
            <w:tcW w:w="4093" w:type="dxa"/>
            <w:tcBorders>
              <w:top w:val="single" w:color="auto" w:sz="4" w:space="0"/>
              <w:left w:val="single" w:color="auto" w:sz="4" w:space="0"/>
              <w:right w:val="single" w:color="auto" w:sz="4" w:space="0"/>
            </w:tcBorders>
            <w:noWrap w:val="0"/>
            <w:vAlign w:val="center"/>
          </w:tcPr>
          <w:p>
            <w:pPr>
              <w:widowControl/>
              <w:spacing w:line="360" w:lineRule="exact"/>
              <w:jc w:val="center"/>
              <w:rPr>
                <w:rFonts w:hint="eastAsia" w:ascii="宋体" w:hAnsi="宋体" w:cs="宋体"/>
                <w:bCs/>
                <w:kern w:val="0"/>
                <w:sz w:val="24"/>
                <w:szCs w:val="24"/>
                <w:highlight w:val="none"/>
              </w:rPr>
            </w:pPr>
            <w:r>
              <w:rPr>
                <w:rFonts w:hint="eastAsia" w:ascii="宋体" w:hAnsi="宋体" w:cs="宋体"/>
                <w:bCs/>
                <w:kern w:val="0"/>
                <w:sz w:val="24"/>
                <w:szCs w:val="24"/>
                <w:highlight w:val="none"/>
              </w:rPr>
              <w:t>工程概况</w:t>
            </w:r>
          </w:p>
        </w:tc>
        <w:tc>
          <w:tcPr>
            <w:tcW w:w="1559" w:type="dxa"/>
            <w:tcBorders>
              <w:top w:val="single" w:color="auto" w:sz="4" w:space="0"/>
              <w:left w:val="single" w:color="auto" w:sz="4" w:space="0"/>
              <w:right w:val="single" w:color="auto" w:sz="4" w:space="0"/>
            </w:tcBorders>
            <w:noWrap w:val="0"/>
            <w:vAlign w:val="center"/>
          </w:tcPr>
          <w:p>
            <w:pPr>
              <w:widowControl/>
              <w:spacing w:line="360" w:lineRule="exact"/>
              <w:jc w:val="center"/>
              <w:rPr>
                <w:rFonts w:hint="eastAsia" w:ascii="宋体" w:hAnsi="宋体" w:cs="宋体"/>
                <w:bCs/>
                <w:kern w:val="0"/>
                <w:sz w:val="24"/>
                <w:szCs w:val="24"/>
                <w:highlight w:val="none"/>
              </w:rPr>
            </w:pPr>
            <w:r>
              <w:rPr>
                <w:rFonts w:hint="eastAsia" w:ascii="宋体" w:hAnsi="宋体" w:cs="宋体"/>
                <w:bCs/>
                <w:kern w:val="0"/>
                <w:sz w:val="24"/>
                <w:szCs w:val="24"/>
                <w:highlight w:val="none"/>
              </w:rPr>
              <w:t>工期</w:t>
            </w:r>
          </w:p>
        </w:tc>
        <w:tc>
          <w:tcPr>
            <w:tcW w:w="2458" w:type="dxa"/>
            <w:tcBorders>
              <w:top w:val="single" w:color="auto" w:sz="4" w:space="0"/>
              <w:left w:val="single" w:color="auto" w:sz="4" w:space="0"/>
              <w:right w:val="single" w:color="auto" w:sz="4" w:space="0"/>
            </w:tcBorders>
            <w:noWrap w:val="0"/>
            <w:vAlign w:val="center"/>
          </w:tcPr>
          <w:p>
            <w:pPr>
              <w:widowControl/>
              <w:spacing w:line="360" w:lineRule="exact"/>
              <w:jc w:val="center"/>
              <w:rPr>
                <w:rFonts w:hint="eastAsia" w:ascii="宋体" w:hAnsi="宋体" w:cs="宋体"/>
                <w:bCs/>
                <w:kern w:val="0"/>
                <w:sz w:val="24"/>
                <w:szCs w:val="24"/>
                <w:highlight w:val="none"/>
              </w:rPr>
            </w:pPr>
            <w:r>
              <w:rPr>
                <w:rFonts w:hint="eastAsia" w:ascii="宋体" w:hAnsi="宋体" w:cs="宋体"/>
                <w:bCs/>
                <w:kern w:val="0"/>
                <w:sz w:val="24"/>
                <w:szCs w:val="24"/>
                <w:highlight w:val="none"/>
              </w:rPr>
              <w:t>最高磋商限价</w:t>
            </w:r>
          </w:p>
          <w:p>
            <w:pPr>
              <w:spacing w:line="360" w:lineRule="exact"/>
              <w:jc w:val="center"/>
              <w:rPr>
                <w:rFonts w:hint="eastAsia" w:ascii="宋体" w:hAnsi="宋体" w:cs="宋体"/>
                <w:bCs/>
                <w:kern w:val="0"/>
                <w:sz w:val="24"/>
                <w:szCs w:val="24"/>
                <w:highlight w:val="none"/>
              </w:rPr>
            </w:pPr>
            <w:r>
              <w:rPr>
                <w:rFonts w:hint="eastAsia" w:ascii="宋体" w:hAnsi="宋体" w:cs="宋体"/>
                <w:bCs/>
                <w:kern w:val="0"/>
                <w:sz w:val="24"/>
                <w:szCs w:val="24"/>
                <w:highlight w:val="no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157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Cs/>
                <w:sz w:val="24"/>
                <w:szCs w:val="24"/>
                <w:highlight w:val="none"/>
              </w:rPr>
            </w:pPr>
            <w:bookmarkStart w:id="7" w:name="_Hlk344477914"/>
            <w:r>
              <w:rPr>
                <w:rFonts w:hint="eastAsia" w:ascii="宋体" w:hAnsi="宋体" w:cs="宋体"/>
                <w:bCs/>
                <w:sz w:val="24"/>
                <w:szCs w:val="24"/>
                <w:highlight w:val="none"/>
              </w:rPr>
              <w:t>吉林大学化学学院唐敖庆楼3-5楼会议室改造项目</w:t>
            </w:r>
          </w:p>
        </w:tc>
        <w:tc>
          <w:tcPr>
            <w:tcW w:w="409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sz w:val="24"/>
                <w:szCs w:val="24"/>
                <w:highlight w:val="none"/>
              </w:rPr>
            </w:pPr>
            <w:r>
              <w:rPr>
                <w:rFonts w:hint="eastAsia" w:ascii="宋体" w:hAnsi="宋体"/>
                <w:sz w:val="24"/>
                <w:szCs w:val="24"/>
                <w:highlight w:val="none"/>
              </w:rPr>
              <w:t>吉林大学</w:t>
            </w:r>
            <w:r>
              <w:rPr>
                <w:rFonts w:hint="eastAsia" w:ascii="宋体" w:hAnsi="宋体" w:cs="宋体"/>
                <w:bCs/>
                <w:sz w:val="24"/>
                <w:szCs w:val="24"/>
                <w:highlight w:val="none"/>
              </w:rPr>
              <w:t>唐敖庆楼</w:t>
            </w:r>
            <w:r>
              <w:rPr>
                <w:rFonts w:hint="eastAsia" w:ascii="宋体" w:hAnsi="宋体"/>
                <w:sz w:val="24"/>
                <w:szCs w:val="24"/>
                <w:highlight w:val="none"/>
                <w:lang w:eastAsia="zh-Hans"/>
              </w:rPr>
              <w:t>三</w:t>
            </w:r>
            <w:r>
              <w:rPr>
                <w:rFonts w:ascii="宋体" w:hAnsi="宋体"/>
                <w:sz w:val="24"/>
                <w:szCs w:val="24"/>
                <w:highlight w:val="none"/>
                <w:lang w:eastAsia="zh-Hans"/>
              </w:rPr>
              <w:t>、</w:t>
            </w:r>
            <w:r>
              <w:rPr>
                <w:rFonts w:hint="eastAsia" w:ascii="宋体" w:hAnsi="宋体"/>
                <w:sz w:val="24"/>
                <w:szCs w:val="24"/>
                <w:highlight w:val="none"/>
                <w:lang w:eastAsia="zh-Hans"/>
              </w:rPr>
              <w:t>四</w:t>
            </w:r>
            <w:r>
              <w:rPr>
                <w:rFonts w:ascii="宋体" w:hAnsi="宋体"/>
                <w:sz w:val="24"/>
                <w:szCs w:val="24"/>
                <w:highlight w:val="none"/>
                <w:lang w:eastAsia="zh-Hans"/>
              </w:rPr>
              <w:t>、</w:t>
            </w:r>
            <w:r>
              <w:rPr>
                <w:rFonts w:hint="eastAsia" w:ascii="宋体" w:hAnsi="宋体"/>
                <w:sz w:val="24"/>
                <w:szCs w:val="24"/>
                <w:highlight w:val="none"/>
                <w:lang w:eastAsia="zh-Hans"/>
              </w:rPr>
              <w:t>五</w:t>
            </w:r>
            <w:r>
              <w:rPr>
                <w:rFonts w:hint="eastAsia" w:ascii="宋体" w:hAnsi="宋体"/>
                <w:sz w:val="24"/>
                <w:szCs w:val="24"/>
                <w:highlight w:val="none"/>
              </w:rPr>
              <w:t>层会议室：拆除部分地面，</w:t>
            </w:r>
            <w:r>
              <w:rPr>
                <w:rFonts w:hint="eastAsia" w:ascii="宋体" w:hAnsi="宋体"/>
                <w:sz w:val="24"/>
                <w:szCs w:val="24"/>
                <w:highlight w:val="none"/>
                <w:lang w:eastAsia="zh-Hans"/>
              </w:rPr>
              <w:t>并</w:t>
            </w:r>
            <w:r>
              <w:rPr>
                <w:rFonts w:hint="eastAsia" w:ascii="宋体" w:hAnsi="宋体"/>
                <w:sz w:val="24"/>
                <w:szCs w:val="24"/>
                <w:highlight w:val="none"/>
              </w:rPr>
              <w:t>重新铺设，新建天花吊顶及墙面装饰、金属踢脚，新增射灯和线条灯，新增会议用全套设备。座椅搬运、拆除及恢复（详见设计图纸）。</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sz w:val="24"/>
                <w:szCs w:val="24"/>
                <w:highlight w:val="none"/>
              </w:rPr>
            </w:pPr>
            <w:r>
              <w:rPr>
                <w:rFonts w:ascii="宋体" w:hAnsi="宋体"/>
                <w:sz w:val="24"/>
                <w:highlight w:val="none"/>
              </w:rPr>
              <w:t>2024</w:t>
            </w:r>
            <w:r>
              <w:rPr>
                <w:rFonts w:hint="eastAsia" w:ascii="宋体" w:hAnsi="宋体"/>
                <w:sz w:val="24"/>
                <w:highlight w:val="none"/>
              </w:rPr>
              <w:t>年</w:t>
            </w:r>
            <w:r>
              <w:rPr>
                <w:rFonts w:ascii="宋体" w:hAnsi="宋体"/>
                <w:sz w:val="24"/>
                <w:highlight w:val="none"/>
              </w:rPr>
              <w:t>1</w:t>
            </w:r>
            <w:r>
              <w:rPr>
                <w:rFonts w:hint="eastAsia" w:ascii="宋体" w:hAnsi="宋体"/>
                <w:sz w:val="24"/>
                <w:highlight w:val="none"/>
              </w:rPr>
              <w:t>月</w:t>
            </w:r>
            <w:r>
              <w:rPr>
                <w:rFonts w:ascii="宋体" w:hAnsi="宋体"/>
                <w:sz w:val="24"/>
                <w:highlight w:val="none"/>
              </w:rPr>
              <w:t>29</w:t>
            </w:r>
            <w:r>
              <w:rPr>
                <w:rFonts w:hint="eastAsia" w:ascii="宋体" w:hAnsi="宋体"/>
                <w:sz w:val="24"/>
                <w:highlight w:val="none"/>
              </w:rPr>
              <w:t>日—</w:t>
            </w:r>
            <w:r>
              <w:rPr>
                <w:rFonts w:ascii="宋体" w:hAnsi="宋体"/>
                <w:sz w:val="24"/>
                <w:highlight w:val="none"/>
              </w:rPr>
              <w:t>2024</w:t>
            </w:r>
            <w:r>
              <w:rPr>
                <w:rFonts w:hint="eastAsia" w:ascii="宋体" w:hAnsi="宋体"/>
                <w:sz w:val="24"/>
                <w:highlight w:val="none"/>
              </w:rPr>
              <w:t>年</w:t>
            </w:r>
            <w:r>
              <w:rPr>
                <w:rFonts w:ascii="宋体" w:hAnsi="宋体"/>
                <w:sz w:val="24"/>
                <w:highlight w:val="none"/>
              </w:rPr>
              <w:t>3</w:t>
            </w:r>
            <w:r>
              <w:rPr>
                <w:rFonts w:hint="eastAsia" w:ascii="宋体" w:hAnsi="宋体"/>
                <w:sz w:val="24"/>
                <w:highlight w:val="none"/>
              </w:rPr>
              <w:t>月</w:t>
            </w:r>
            <w:r>
              <w:rPr>
                <w:rFonts w:ascii="宋体" w:hAnsi="宋体"/>
                <w:sz w:val="24"/>
                <w:highlight w:val="none"/>
              </w:rPr>
              <w:t>22</w:t>
            </w:r>
            <w:r>
              <w:rPr>
                <w:rFonts w:hint="eastAsia" w:ascii="宋体" w:hAnsi="宋体"/>
                <w:sz w:val="24"/>
                <w:highlight w:val="none"/>
              </w:rPr>
              <w:t>日</w:t>
            </w:r>
          </w:p>
        </w:tc>
        <w:tc>
          <w:tcPr>
            <w:tcW w:w="245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sz w:val="24"/>
                <w:szCs w:val="24"/>
                <w:highlight w:val="none"/>
              </w:rPr>
            </w:pPr>
            <w:r>
              <w:rPr>
                <w:rFonts w:hint="eastAsia" w:ascii="宋体" w:hAnsi="宋体"/>
                <w:sz w:val="24"/>
                <w:szCs w:val="24"/>
                <w:highlight w:val="none"/>
              </w:rPr>
              <w:t>人民币</w:t>
            </w:r>
            <w:r>
              <w:rPr>
                <w:rFonts w:ascii="宋体" w:hAnsi="宋体"/>
                <w:sz w:val="24"/>
                <w:szCs w:val="24"/>
                <w:highlight w:val="none"/>
              </w:rPr>
              <w:t>835，299</w:t>
            </w:r>
            <w:r>
              <w:rPr>
                <w:rFonts w:hint="eastAsia" w:ascii="宋体" w:hAnsi="宋体"/>
                <w:sz w:val="24"/>
                <w:szCs w:val="24"/>
                <w:highlight w:val="none"/>
                <w:lang w:eastAsia="zh-Hans"/>
              </w:rPr>
              <w:t>.</w:t>
            </w:r>
            <w:r>
              <w:rPr>
                <w:rFonts w:ascii="宋体" w:hAnsi="宋体"/>
                <w:sz w:val="24"/>
                <w:szCs w:val="24"/>
                <w:highlight w:val="none"/>
                <w:lang w:eastAsia="zh-Hans"/>
              </w:rPr>
              <w:t>00</w:t>
            </w:r>
            <w:r>
              <w:rPr>
                <w:rFonts w:hint="eastAsia" w:ascii="宋体" w:hAnsi="宋体"/>
                <w:sz w:val="24"/>
                <w:highlight w:val="none"/>
              </w:rPr>
              <w:t>元</w:t>
            </w:r>
            <w:r>
              <w:rPr>
                <w:rFonts w:hint="eastAsia" w:ascii="宋体" w:hAnsi="宋体"/>
                <w:sz w:val="24"/>
                <w:szCs w:val="24"/>
                <w:highlight w:val="none"/>
              </w:rPr>
              <w:t>，</w:t>
            </w:r>
            <w:r>
              <w:rPr>
                <w:rFonts w:hint="eastAsia" w:ascii="宋体" w:hAnsi="宋体"/>
                <w:sz w:val="24"/>
                <w:szCs w:val="24"/>
                <w:highlight w:val="none"/>
                <w:lang w:eastAsia="zh-Hans"/>
              </w:rPr>
              <w:t>其中</w:t>
            </w:r>
            <w:r>
              <w:rPr>
                <w:rFonts w:hint="eastAsia" w:ascii="宋体" w:hAnsi="宋体"/>
                <w:sz w:val="24"/>
                <w:highlight w:val="none"/>
              </w:rPr>
              <w:t>暂列金为</w:t>
            </w:r>
            <w:r>
              <w:rPr>
                <w:rFonts w:ascii="宋体" w:hAnsi="宋体"/>
                <w:sz w:val="24"/>
                <w:highlight w:val="none"/>
              </w:rPr>
              <w:t>50000</w:t>
            </w:r>
            <w:r>
              <w:rPr>
                <w:rFonts w:hint="eastAsia" w:ascii="宋体" w:hAnsi="宋体"/>
                <w:sz w:val="24"/>
                <w:highlight w:val="none"/>
              </w:rPr>
              <w:t>元（不含</w:t>
            </w:r>
            <w:r>
              <w:rPr>
                <w:rFonts w:hint="eastAsia" w:ascii="宋体" w:hAnsi="宋体"/>
                <w:sz w:val="24"/>
                <w:szCs w:val="24"/>
                <w:highlight w:val="none"/>
              </w:rPr>
              <w:t>税</w:t>
            </w:r>
            <w:r>
              <w:rPr>
                <w:rFonts w:hint="eastAsia" w:ascii="宋体" w:hAnsi="宋体"/>
                <w:sz w:val="24"/>
                <w:szCs w:val="24"/>
                <w:highlight w:val="none"/>
                <w:lang w:val="en-US" w:eastAsia="zh-CN"/>
              </w:rPr>
              <w:t>)</w:t>
            </w:r>
            <w:r>
              <w:rPr>
                <w:rFonts w:hint="eastAsia" w:ascii="宋体" w:hAnsi="宋体"/>
                <w:sz w:val="24"/>
                <w:szCs w:val="24"/>
                <w:highlight w:val="none"/>
              </w:rPr>
              <w:t>。</w:t>
            </w:r>
          </w:p>
        </w:tc>
      </w:tr>
      <w:bookmarkEnd w:id="7"/>
    </w:tbl>
    <w:p>
      <w:pPr>
        <w:pStyle w:val="4"/>
        <w:spacing w:before="0" w:after="0" w:line="480" w:lineRule="exact"/>
        <w:rPr>
          <w:rFonts w:hint="eastAsia" w:ascii="宋体" w:hAnsi="宋体" w:cs="宋体"/>
          <w:sz w:val="24"/>
          <w:szCs w:val="24"/>
          <w:highlight w:val="none"/>
        </w:rPr>
      </w:pPr>
      <w:bookmarkStart w:id="8" w:name="_Toc32036"/>
      <w:bookmarkStart w:id="9" w:name="_Toc2217"/>
      <w:bookmarkStart w:id="10" w:name="_Toc3993"/>
      <w:bookmarkStart w:id="11" w:name="_Toc12393"/>
      <w:bookmarkStart w:id="12" w:name="_Toc4922"/>
      <w:bookmarkStart w:id="13" w:name="_Toc317775178"/>
      <w:bookmarkStart w:id="14" w:name="_Toc373860293"/>
      <w:r>
        <w:rPr>
          <w:rFonts w:hint="eastAsia" w:ascii="宋体" w:hAnsi="宋体" w:cs="宋体"/>
          <w:sz w:val="24"/>
          <w:szCs w:val="24"/>
          <w:highlight w:val="none"/>
        </w:rPr>
        <w:t>二、资金来源</w:t>
      </w:r>
      <w:bookmarkEnd w:id="8"/>
      <w:bookmarkEnd w:id="9"/>
      <w:bookmarkEnd w:id="10"/>
      <w:bookmarkEnd w:id="11"/>
      <w:bookmarkEnd w:id="12"/>
    </w:p>
    <w:p>
      <w:pPr>
        <w:spacing w:line="480" w:lineRule="exact"/>
        <w:ind w:firstLine="480" w:firstLineChars="200"/>
        <w:rPr>
          <w:rFonts w:hint="eastAsia" w:ascii="宋体" w:hAnsi="宋体" w:cs="宋体"/>
          <w:sz w:val="24"/>
          <w:szCs w:val="24"/>
          <w:highlight w:val="none"/>
        </w:rPr>
      </w:pPr>
      <w:r>
        <w:rPr>
          <w:rFonts w:hint="eastAsia" w:ascii="宋体" w:hAnsi="宋体" w:cs="宋体"/>
          <w:sz w:val="24"/>
          <w:szCs w:val="24"/>
          <w:highlight w:val="none"/>
        </w:rPr>
        <w:t>采购人专项经费，资金已到位。</w:t>
      </w:r>
    </w:p>
    <w:p>
      <w:pPr>
        <w:pStyle w:val="4"/>
        <w:spacing w:before="0" w:after="0" w:line="480" w:lineRule="exact"/>
        <w:rPr>
          <w:rFonts w:hint="eastAsia" w:ascii="宋体" w:hAnsi="宋体" w:cs="宋体"/>
          <w:sz w:val="24"/>
          <w:szCs w:val="24"/>
          <w:highlight w:val="none"/>
        </w:rPr>
      </w:pPr>
      <w:bookmarkStart w:id="15" w:name="_Toc13561"/>
      <w:bookmarkStart w:id="16" w:name="_Toc13557"/>
      <w:bookmarkStart w:id="17" w:name="_Toc21881"/>
      <w:bookmarkStart w:id="18" w:name="_Toc32089"/>
      <w:bookmarkStart w:id="19" w:name="_Toc26309"/>
      <w:r>
        <w:rPr>
          <w:rFonts w:hint="eastAsia" w:ascii="宋体" w:hAnsi="宋体" w:cs="宋体"/>
          <w:sz w:val="24"/>
          <w:szCs w:val="24"/>
          <w:highlight w:val="none"/>
        </w:rPr>
        <w:t>三、供应商的资格条件</w:t>
      </w:r>
      <w:bookmarkEnd w:id="15"/>
      <w:bookmarkEnd w:id="16"/>
      <w:bookmarkEnd w:id="17"/>
      <w:bookmarkEnd w:id="18"/>
      <w:bookmarkEnd w:id="19"/>
    </w:p>
    <w:p>
      <w:pPr>
        <w:spacing w:line="360" w:lineRule="auto"/>
        <w:ind w:firstLine="559" w:firstLineChars="233"/>
        <w:rPr>
          <w:rFonts w:ascii="宋体" w:hAnsi="宋体" w:cs="宋体"/>
          <w:sz w:val="24"/>
          <w:szCs w:val="24"/>
          <w:highlight w:val="none"/>
        </w:rPr>
      </w:pPr>
      <w:r>
        <w:rPr>
          <w:rFonts w:hint="eastAsia" w:ascii="宋体" w:hAnsi="宋体" w:cs="宋体"/>
          <w:sz w:val="24"/>
          <w:szCs w:val="24"/>
          <w:highlight w:val="none"/>
        </w:rPr>
        <w:t>1．供应商是指向采购人提供货物、工程或者服务的法人、其他组织或者自然人。合格的供应商应符合政府采购法第二十二条规定的基本条件。</w:t>
      </w:r>
      <w:r>
        <w:rPr>
          <w:rFonts w:hint="eastAsia" w:ascii="宋体" w:hAnsi="宋体" w:cs="宋体"/>
          <w:b/>
          <w:bCs/>
          <w:sz w:val="24"/>
          <w:szCs w:val="24"/>
          <w:highlight w:val="none"/>
          <w:lang w:val="zh-CN"/>
        </w:rPr>
        <w:t>本项目专门面向中小企业采购。</w:t>
      </w:r>
      <w:r>
        <w:rPr>
          <w:rFonts w:hint="eastAsia" w:ascii="宋体" w:hAnsi="宋体" w:cs="宋体"/>
          <w:sz w:val="24"/>
          <w:highlight w:val="none"/>
        </w:rPr>
        <w:t>采购标的所属行业：建筑业。</w:t>
      </w:r>
    </w:p>
    <w:p>
      <w:pPr>
        <w:spacing w:line="360" w:lineRule="auto"/>
        <w:ind w:firstLine="559" w:firstLineChars="233"/>
        <w:rPr>
          <w:rFonts w:hint="eastAsia" w:ascii="宋体" w:hAnsi="宋体" w:cs="宋体"/>
          <w:sz w:val="24"/>
          <w:szCs w:val="24"/>
          <w:highlight w:val="none"/>
        </w:rPr>
      </w:pPr>
      <w:r>
        <w:rPr>
          <w:rFonts w:hint="eastAsia" w:ascii="宋体" w:hAnsi="宋体" w:cs="宋体"/>
          <w:sz w:val="24"/>
          <w:szCs w:val="24"/>
          <w:highlight w:val="none"/>
        </w:rPr>
        <w:t>1）具有独立承担民事责任的能力；</w:t>
      </w:r>
    </w:p>
    <w:p>
      <w:pPr>
        <w:spacing w:line="360" w:lineRule="auto"/>
        <w:ind w:firstLine="559" w:firstLineChars="233"/>
        <w:rPr>
          <w:rFonts w:hint="eastAsia" w:ascii="宋体" w:hAnsi="宋体" w:cs="宋体"/>
          <w:sz w:val="24"/>
          <w:szCs w:val="24"/>
          <w:highlight w:val="none"/>
        </w:rPr>
      </w:pPr>
      <w:r>
        <w:rPr>
          <w:rFonts w:hint="eastAsia" w:ascii="宋体" w:hAnsi="宋体" w:cs="宋体"/>
          <w:sz w:val="24"/>
          <w:szCs w:val="24"/>
          <w:highlight w:val="none"/>
        </w:rPr>
        <w:t>2）具有良好的商业信誉和健全的财务会计制度；</w:t>
      </w:r>
    </w:p>
    <w:p>
      <w:pPr>
        <w:spacing w:line="360" w:lineRule="auto"/>
        <w:ind w:firstLine="559" w:firstLineChars="233"/>
        <w:rPr>
          <w:rFonts w:hint="eastAsia" w:ascii="宋体" w:hAnsi="宋体" w:cs="宋体"/>
          <w:sz w:val="24"/>
          <w:szCs w:val="24"/>
          <w:highlight w:val="none"/>
        </w:rPr>
      </w:pPr>
      <w:r>
        <w:rPr>
          <w:rFonts w:hint="eastAsia" w:ascii="宋体" w:hAnsi="宋体" w:cs="宋体"/>
          <w:sz w:val="24"/>
          <w:szCs w:val="24"/>
          <w:highlight w:val="none"/>
        </w:rPr>
        <w:t>3）具有履行合同所必需的设备和专业技术能力；</w:t>
      </w:r>
    </w:p>
    <w:p>
      <w:pPr>
        <w:spacing w:line="360" w:lineRule="auto"/>
        <w:ind w:firstLine="559" w:firstLineChars="233"/>
        <w:rPr>
          <w:rFonts w:hint="eastAsia" w:ascii="宋体" w:hAnsi="宋体" w:cs="宋体"/>
          <w:sz w:val="24"/>
          <w:szCs w:val="24"/>
          <w:highlight w:val="none"/>
        </w:rPr>
      </w:pPr>
      <w:r>
        <w:rPr>
          <w:rFonts w:hint="eastAsia" w:ascii="宋体" w:hAnsi="宋体" w:cs="宋体"/>
          <w:sz w:val="24"/>
          <w:szCs w:val="24"/>
          <w:highlight w:val="none"/>
        </w:rPr>
        <w:t>4）有依法缴纳税收和社会保障资金的良好记录；</w:t>
      </w:r>
    </w:p>
    <w:p>
      <w:pPr>
        <w:spacing w:line="360" w:lineRule="auto"/>
        <w:ind w:firstLine="559" w:firstLineChars="233"/>
        <w:rPr>
          <w:rFonts w:hint="eastAsia" w:ascii="宋体" w:hAnsi="宋体" w:cs="宋体"/>
          <w:sz w:val="24"/>
          <w:szCs w:val="24"/>
          <w:highlight w:val="none"/>
        </w:rPr>
      </w:pPr>
      <w:r>
        <w:rPr>
          <w:rFonts w:hint="eastAsia" w:ascii="宋体" w:hAnsi="宋体" w:cs="宋体"/>
          <w:sz w:val="24"/>
          <w:szCs w:val="24"/>
          <w:highlight w:val="none"/>
        </w:rPr>
        <w:t>5）参加政府采购活动前三年内，在经营活动中没有重大违法记录；</w:t>
      </w:r>
    </w:p>
    <w:p>
      <w:pPr>
        <w:spacing w:line="360" w:lineRule="auto"/>
        <w:ind w:firstLine="559" w:firstLineChars="233"/>
        <w:rPr>
          <w:rFonts w:hint="eastAsia" w:ascii="宋体" w:hAnsi="宋体" w:cs="宋体"/>
          <w:sz w:val="24"/>
          <w:szCs w:val="24"/>
          <w:highlight w:val="none"/>
        </w:rPr>
      </w:pPr>
      <w:r>
        <w:rPr>
          <w:rFonts w:hint="eastAsia" w:ascii="宋体" w:hAnsi="宋体" w:cs="宋体"/>
          <w:sz w:val="24"/>
          <w:szCs w:val="24"/>
          <w:highlight w:val="none"/>
        </w:rPr>
        <w:t>6）法律、行政法规规定的其他条件。</w:t>
      </w:r>
    </w:p>
    <w:p>
      <w:pPr>
        <w:spacing w:line="360" w:lineRule="auto"/>
        <w:ind w:firstLine="559" w:firstLineChars="233"/>
        <w:rPr>
          <w:rFonts w:hint="eastAsia" w:ascii="宋体" w:hAnsi="宋体" w:cs="宋体"/>
          <w:sz w:val="24"/>
          <w:szCs w:val="24"/>
          <w:highlight w:val="none"/>
        </w:rPr>
      </w:pPr>
      <w:r>
        <w:rPr>
          <w:rFonts w:hint="eastAsia" w:ascii="宋体" w:hAnsi="宋体" w:cs="宋体"/>
          <w:sz w:val="24"/>
          <w:szCs w:val="24"/>
          <w:highlight w:val="none"/>
        </w:rPr>
        <w:t>2．供应商具有有效的营业执照，具备建设行政主管部门核发的建筑工程施工总承包三级及以上资质，并具备有效的安全生产许可证的法人或其他组织。</w:t>
      </w:r>
    </w:p>
    <w:p>
      <w:pPr>
        <w:spacing w:line="360" w:lineRule="auto"/>
        <w:ind w:firstLine="559" w:firstLineChars="233"/>
        <w:rPr>
          <w:rFonts w:hint="eastAsia" w:ascii="宋体" w:hAnsi="宋体" w:cs="宋体"/>
          <w:sz w:val="24"/>
          <w:szCs w:val="24"/>
          <w:highlight w:val="none"/>
        </w:rPr>
      </w:pPr>
      <w:r>
        <w:rPr>
          <w:rFonts w:hint="eastAsia" w:ascii="宋体" w:hAnsi="宋体" w:cs="宋体"/>
          <w:sz w:val="24"/>
          <w:szCs w:val="24"/>
          <w:highlight w:val="none"/>
        </w:rPr>
        <w:t>3．供应商拟派的项目经理须具备建筑工程专业二级及以上注册建造师（项目经理）证、安全生产考核合格证书，拟派出的项目经理应无在建工程，还应出具由项目经理本人签字并加盖公章的无在建证明。应附所在单位近半年及以上社保证明（社保证明要求自购买文件月份前半年及以上，提供社保局网站打印件，并且在社保局网站可查询到社保信息），否则磋商无效。</w:t>
      </w:r>
    </w:p>
    <w:p>
      <w:pPr>
        <w:spacing w:line="360" w:lineRule="auto"/>
        <w:ind w:firstLine="559" w:firstLineChars="233"/>
        <w:rPr>
          <w:rFonts w:hint="eastAsia" w:ascii="宋体" w:hAnsi="宋体" w:cs="宋体"/>
          <w:sz w:val="24"/>
          <w:szCs w:val="24"/>
          <w:highlight w:val="none"/>
        </w:rPr>
      </w:pPr>
      <w:r>
        <w:rPr>
          <w:rFonts w:hint="eastAsia" w:ascii="宋体" w:hAnsi="宋体" w:cs="宋体"/>
          <w:sz w:val="24"/>
          <w:szCs w:val="24"/>
          <w:highlight w:val="none"/>
        </w:rPr>
        <w:t>4.</w:t>
      </w:r>
      <w:r>
        <w:rPr>
          <w:rFonts w:hint="eastAsia" w:ascii="宋体" w:hAnsi="宋体" w:cs="宋体"/>
          <w:b/>
          <w:sz w:val="24"/>
          <w:szCs w:val="24"/>
          <w:highlight w:val="none"/>
        </w:rPr>
        <w:t xml:space="preserve"> </w:t>
      </w:r>
      <w:r>
        <w:rPr>
          <w:rFonts w:hint="eastAsia" w:ascii="宋体" w:hAnsi="宋体" w:cs="宋体"/>
          <w:sz w:val="24"/>
          <w:szCs w:val="24"/>
          <w:highlight w:val="none"/>
        </w:rPr>
        <w:t>项目管理机构人员要求应满足强制性标准人员要求：技术负责人1人，需具有相关专业中级及以上技术职称证；施工员1人、安全员1人、质量员1人、材料员1人等人员需具有职称证或岗位证；提供所有项目管理机构人员的近半年及以上缴社会保险凭证（缴社会保险凭证要求自购买文件月份前半年及以上）。</w:t>
      </w:r>
    </w:p>
    <w:p>
      <w:pPr>
        <w:spacing w:line="360" w:lineRule="auto"/>
        <w:ind w:firstLine="559" w:firstLineChars="233"/>
        <w:rPr>
          <w:rFonts w:hint="eastAsia" w:ascii="宋体" w:hAnsi="宋体" w:cs="宋体"/>
          <w:sz w:val="24"/>
          <w:szCs w:val="24"/>
          <w:highlight w:val="none"/>
        </w:rPr>
      </w:pPr>
      <w:r>
        <w:rPr>
          <w:rFonts w:hint="eastAsia" w:ascii="宋体" w:hAnsi="宋体" w:cs="宋体"/>
          <w:sz w:val="24"/>
          <w:szCs w:val="24"/>
          <w:highlight w:val="none"/>
        </w:rPr>
        <w:t>5.近三年（2020年、2021年、2022年）经会计事务所审计的财务审计报告，企业财务状况良好、资金运转正常、无亏损（成立不足三年的企业需提供自成立之日起至2022年的财务审计报告，成立不足一年的企业需提供本年度基本开户银行出具的资信证明）。</w:t>
      </w:r>
    </w:p>
    <w:p>
      <w:pPr>
        <w:spacing w:line="360" w:lineRule="auto"/>
        <w:ind w:firstLine="559" w:firstLineChars="233"/>
        <w:rPr>
          <w:rFonts w:hint="eastAsia" w:ascii="宋体" w:hAnsi="宋体" w:cs="宋体"/>
          <w:sz w:val="24"/>
          <w:szCs w:val="24"/>
          <w:highlight w:val="none"/>
        </w:rPr>
      </w:pPr>
      <w:r>
        <w:rPr>
          <w:rFonts w:hint="eastAsia" w:ascii="宋体" w:hAnsi="宋体" w:cs="宋体"/>
          <w:sz w:val="24"/>
          <w:szCs w:val="24"/>
          <w:highlight w:val="none"/>
        </w:rPr>
        <w:t>6.近三年（202</w:t>
      </w:r>
      <w:r>
        <w:rPr>
          <w:rFonts w:hint="eastAsia" w:ascii="宋体" w:hAnsi="宋体" w:cs="宋体"/>
          <w:sz w:val="24"/>
          <w:szCs w:val="24"/>
          <w:highlight w:val="none"/>
          <w:lang w:val="en-US" w:eastAsia="zh-CN"/>
        </w:rPr>
        <w:t>0</w:t>
      </w:r>
      <w:r>
        <w:rPr>
          <w:rFonts w:hint="eastAsia" w:ascii="宋体" w:hAnsi="宋体" w:cs="宋体"/>
          <w:sz w:val="24"/>
          <w:szCs w:val="24"/>
          <w:highlight w:val="none"/>
        </w:rPr>
        <w:t>年-至今）完成的、合同标的与本工程项目投资规模相当的同类工程业绩1项及以上（业绩的合同标的额应为本项目投资额以上的）。业绩证明文件（</w:t>
      </w:r>
      <w:r>
        <w:rPr>
          <w:rFonts w:hint="eastAsia" w:ascii="宋体" w:hAnsi="宋体" w:cs="宋体"/>
          <w:b/>
          <w:bCs/>
          <w:sz w:val="24"/>
          <w:szCs w:val="24"/>
          <w:highlight w:val="none"/>
        </w:rPr>
        <w:t>施工合同原件及施工项目公示网页打印件，并提供详细国家级或省级或市级真实有效网址，业绩网页网址在U盘中用另一个word文档文件单独体现</w:t>
      </w:r>
      <w:r>
        <w:rPr>
          <w:rFonts w:hint="eastAsia" w:ascii="宋体" w:hAnsi="宋体" w:cs="宋体"/>
          <w:sz w:val="24"/>
          <w:szCs w:val="24"/>
          <w:highlight w:val="none"/>
        </w:rPr>
        <w:t>）。取得最低等级资质证书不足一年的建筑业企业，可不提供同类工程业绩。</w:t>
      </w:r>
    </w:p>
    <w:p>
      <w:pPr>
        <w:spacing w:line="360" w:lineRule="auto"/>
        <w:ind w:firstLine="559" w:firstLineChars="233"/>
        <w:rPr>
          <w:rFonts w:hint="eastAsia" w:ascii="宋体" w:hAnsi="宋体" w:cs="宋体"/>
          <w:sz w:val="24"/>
          <w:szCs w:val="24"/>
          <w:highlight w:val="none"/>
        </w:rPr>
      </w:pPr>
      <w:r>
        <w:rPr>
          <w:rFonts w:hint="eastAsia" w:ascii="宋体" w:hAnsi="宋体" w:cs="宋体"/>
          <w:sz w:val="24"/>
          <w:szCs w:val="24"/>
          <w:highlight w:val="none"/>
        </w:rPr>
        <w:t>7.不接受联合体参与本次磋商。</w:t>
      </w:r>
    </w:p>
    <w:p>
      <w:pPr>
        <w:spacing w:line="360" w:lineRule="auto"/>
        <w:ind w:firstLine="559" w:firstLineChars="233"/>
        <w:rPr>
          <w:rFonts w:hint="eastAsia" w:ascii="宋体" w:hAnsi="宋体" w:cs="宋体"/>
          <w:sz w:val="24"/>
          <w:szCs w:val="24"/>
          <w:highlight w:val="none"/>
        </w:rPr>
      </w:pPr>
      <w:r>
        <w:rPr>
          <w:rFonts w:hint="eastAsia" w:ascii="宋体" w:hAnsi="宋体" w:cs="宋体"/>
          <w:sz w:val="24"/>
          <w:szCs w:val="24"/>
          <w:highlight w:val="none"/>
        </w:rPr>
        <w:t xml:space="preserve">8.外省入吉企业在我省承揽工程须按照吉林省相关文件要求办理企业信息登记，并在吉林省建筑市场监管与诚信信息管理平台上公布后方可参与投标。 </w:t>
      </w:r>
    </w:p>
    <w:p>
      <w:pPr>
        <w:spacing w:line="360" w:lineRule="auto"/>
        <w:ind w:firstLine="559" w:firstLineChars="233"/>
        <w:rPr>
          <w:rFonts w:hint="eastAsia" w:ascii="宋体" w:hAnsi="宋体" w:cs="宋体"/>
          <w:sz w:val="24"/>
          <w:szCs w:val="24"/>
          <w:highlight w:val="none"/>
        </w:rPr>
      </w:pPr>
      <w:r>
        <w:rPr>
          <w:rFonts w:hint="eastAsia" w:ascii="宋体" w:hAnsi="宋体" w:cs="宋体"/>
          <w:sz w:val="24"/>
          <w:szCs w:val="24"/>
          <w:highlight w:val="none"/>
        </w:rPr>
        <w:t xml:space="preserve">9.拒绝列入政府不良行为记录期间的企业参与本项目竞争性磋商。 </w:t>
      </w:r>
    </w:p>
    <w:p>
      <w:pPr>
        <w:spacing w:line="360" w:lineRule="auto"/>
        <w:ind w:firstLine="559" w:firstLineChars="233"/>
        <w:rPr>
          <w:rFonts w:hint="eastAsia" w:ascii="宋体" w:hAnsi="宋体" w:cs="宋体"/>
          <w:sz w:val="24"/>
          <w:szCs w:val="24"/>
          <w:highlight w:val="none"/>
        </w:rPr>
      </w:pPr>
      <w:r>
        <w:rPr>
          <w:rFonts w:hint="eastAsia" w:ascii="宋体" w:hAnsi="宋体" w:cs="宋体"/>
          <w:sz w:val="24"/>
          <w:szCs w:val="24"/>
          <w:highlight w:val="none"/>
        </w:rPr>
        <w:t>10.在近三年内供应商的法定代表人、拟委任的项目负责人无行贿犯罪行为。</w:t>
      </w:r>
    </w:p>
    <w:p>
      <w:pPr>
        <w:spacing w:line="360" w:lineRule="auto"/>
        <w:ind w:firstLine="559" w:firstLineChars="233"/>
        <w:rPr>
          <w:rFonts w:hint="eastAsia" w:ascii="宋体" w:hAnsi="宋体" w:cs="宋体"/>
          <w:sz w:val="24"/>
          <w:szCs w:val="24"/>
          <w:highlight w:val="none"/>
        </w:rPr>
      </w:pPr>
      <w:r>
        <w:rPr>
          <w:rFonts w:hint="eastAsia" w:ascii="宋体" w:hAnsi="宋体" w:cs="宋体"/>
          <w:sz w:val="24"/>
          <w:szCs w:val="24"/>
          <w:highlight w:val="none"/>
        </w:rPr>
        <w:t>11.供应商未被在“信用中国”网站（www.creditchina.gov.cn）或各级信用信息共享平台中列入失信被执行人名单，提供“信用中国”官网全部截图。</w:t>
      </w:r>
    </w:p>
    <w:p>
      <w:pPr>
        <w:spacing w:line="360" w:lineRule="auto"/>
        <w:ind w:firstLine="559" w:firstLineChars="233"/>
        <w:rPr>
          <w:rFonts w:hint="eastAsia" w:ascii="宋体" w:hAnsi="宋体" w:cs="宋体"/>
          <w:sz w:val="24"/>
          <w:szCs w:val="24"/>
          <w:highlight w:val="none"/>
        </w:rPr>
      </w:pPr>
      <w:r>
        <w:rPr>
          <w:rFonts w:hint="eastAsia" w:ascii="宋体" w:hAnsi="宋体" w:cs="宋体"/>
          <w:sz w:val="24"/>
          <w:szCs w:val="24"/>
          <w:highlight w:val="none"/>
        </w:rPr>
        <w:t>12.供应商拟派出的授权委托人在本工程磋商活动的每一个环节被授权人必须出示身份证原件，且每个供应商仅能派出一人作为本项目的被授权人，整个磋商过程不得随意更换被授权人。</w:t>
      </w:r>
    </w:p>
    <w:p>
      <w:pPr>
        <w:spacing w:line="360" w:lineRule="auto"/>
        <w:ind w:firstLine="559" w:firstLineChars="233"/>
        <w:rPr>
          <w:rFonts w:hint="eastAsia" w:ascii="宋体" w:hAnsi="宋体" w:cs="宋体"/>
          <w:sz w:val="24"/>
          <w:szCs w:val="24"/>
          <w:highlight w:val="none"/>
        </w:rPr>
      </w:pPr>
      <w:r>
        <w:rPr>
          <w:rFonts w:hint="eastAsia" w:ascii="宋体" w:hAnsi="宋体" w:cs="宋体"/>
          <w:sz w:val="24"/>
          <w:szCs w:val="24"/>
          <w:highlight w:val="none"/>
        </w:rPr>
        <w:t>13.供应商拟派出的授权委托人需提供所在单位近半年及以上社保证明，（社保证明要求自购买文件月份前半年及以上，提供社保局网站打印件，并且在社保局网站可查询到社保信息）。</w:t>
      </w:r>
    </w:p>
    <w:bookmarkEnd w:id="13"/>
    <w:bookmarkEnd w:id="14"/>
    <w:p>
      <w:pPr>
        <w:spacing w:line="360" w:lineRule="auto"/>
        <w:rPr>
          <w:rFonts w:hint="eastAsia" w:ascii="宋体" w:hAnsi="宋体" w:cs="宋体"/>
          <w:b/>
          <w:bCs/>
          <w:sz w:val="24"/>
          <w:szCs w:val="24"/>
          <w:highlight w:val="none"/>
        </w:rPr>
      </w:pPr>
      <w:bookmarkStart w:id="20" w:name="_Toc32273"/>
      <w:r>
        <w:rPr>
          <w:rFonts w:hint="eastAsia" w:ascii="宋体" w:hAnsi="宋体" w:cs="宋体"/>
          <w:b/>
          <w:bCs/>
          <w:sz w:val="24"/>
          <w:szCs w:val="24"/>
          <w:highlight w:val="none"/>
        </w:rPr>
        <w:t>四、报名及磋商文件发售事项</w:t>
      </w:r>
      <w:bookmarkEnd w:id="20"/>
    </w:p>
    <w:p>
      <w:pPr>
        <w:spacing w:line="360" w:lineRule="auto"/>
        <w:ind w:firstLine="480" w:firstLineChars="200"/>
        <w:rPr>
          <w:rFonts w:hint="eastAsia" w:ascii="宋体" w:hAnsi="宋体" w:cs="宋体"/>
          <w:sz w:val="24"/>
          <w:szCs w:val="24"/>
          <w:highlight w:val="none"/>
        </w:rPr>
      </w:pPr>
      <w:bookmarkStart w:id="21" w:name="_Toc7818"/>
      <w:r>
        <w:rPr>
          <w:rFonts w:hint="eastAsia" w:ascii="宋体" w:hAnsi="宋体" w:cs="宋体"/>
          <w:sz w:val="24"/>
          <w:szCs w:val="24"/>
          <w:highlight w:val="none"/>
        </w:rPr>
        <w:t>时间：2024年1月</w:t>
      </w:r>
      <w:r>
        <w:rPr>
          <w:rFonts w:hint="eastAsia" w:ascii="宋体" w:hAnsi="宋体" w:cs="宋体"/>
          <w:sz w:val="24"/>
          <w:szCs w:val="24"/>
          <w:highlight w:val="none"/>
          <w:lang w:val="en-US" w:eastAsia="zh-CN"/>
        </w:rPr>
        <w:t>12</w:t>
      </w:r>
      <w:r>
        <w:rPr>
          <w:rFonts w:hint="eastAsia" w:ascii="宋体" w:hAnsi="宋体" w:cs="宋体"/>
          <w:sz w:val="24"/>
          <w:szCs w:val="24"/>
          <w:highlight w:val="none"/>
        </w:rPr>
        <w:t>日至2024年1月</w:t>
      </w:r>
      <w:r>
        <w:rPr>
          <w:rFonts w:hint="eastAsia" w:ascii="宋体" w:hAnsi="宋体" w:cs="宋体"/>
          <w:sz w:val="24"/>
          <w:szCs w:val="24"/>
          <w:highlight w:val="none"/>
          <w:lang w:val="en-US" w:eastAsia="zh-CN"/>
        </w:rPr>
        <w:t>18</w:t>
      </w:r>
      <w:r>
        <w:rPr>
          <w:rFonts w:hint="eastAsia" w:ascii="宋体" w:hAnsi="宋体" w:cs="宋体"/>
          <w:sz w:val="24"/>
          <w:szCs w:val="24"/>
          <w:highlight w:val="none"/>
        </w:rPr>
        <w:t>日，每天上午9:00至11:00，下午13:30至16:00（北京时间，法定节假日除外）</w:t>
      </w:r>
    </w:p>
    <w:p>
      <w:pPr>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rPr>
        <w:t>地点：中招联合招标采购平台（http://www.365trade.com.cn）</w:t>
      </w:r>
    </w:p>
    <w:p>
      <w:pPr>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rPr>
        <w:t>方式：（一）本公告将发布在中招联合招标采购平台（http://www.365trade.com.cn），有意向的投标人在中招联合招标采购平台（http://www.365trade.com.cn）进行注册，线上报名。</w:t>
      </w:r>
    </w:p>
    <w:p>
      <w:pPr>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rPr>
        <w:t>（二）发售时间：2024年1月</w:t>
      </w:r>
      <w:r>
        <w:rPr>
          <w:rFonts w:hint="eastAsia" w:ascii="宋体" w:hAnsi="宋体" w:cs="宋体"/>
          <w:sz w:val="24"/>
          <w:szCs w:val="24"/>
          <w:highlight w:val="none"/>
          <w:lang w:val="en-US" w:eastAsia="zh-CN"/>
        </w:rPr>
        <w:t>12</w:t>
      </w:r>
      <w:r>
        <w:rPr>
          <w:rFonts w:hint="eastAsia" w:ascii="宋体" w:hAnsi="宋体" w:cs="宋体"/>
          <w:sz w:val="24"/>
          <w:szCs w:val="24"/>
          <w:highlight w:val="none"/>
        </w:rPr>
        <w:t>日至2024年1月</w:t>
      </w:r>
      <w:r>
        <w:rPr>
          <w:rFonts w:hint="eastAsia" w:ascii="宋体" w:hAnsi="宋体" w:cs="宋体"/>
          <w:sz w:val="24"/>
          <w:szCs w:val="24"/>
          <w:highlight w:val="none"/>
          <w:lang w:val="en-US" w:eastAsia="zh-CN"/>
        </w:rPr>
        <w:t>18</w:t>
      </w:r>
      <w:r>
        <w:rPr>
          <w:rFonts w:hint="eastAsia" w:ascii="宋体" w:hAnsi="宋体" w:cs="宋体"/>
          <w:sz w:val="24"/>
          <w:szCs w:val="24"/>
          <w:highlight w:val="none"/>
        </w:rPr>
        <w:t>日（9:00-11:00、13:30-16:00）(北京时间节假日除外，下同)，有意向的投标人在中招联合招标采购平台（http://www.365trade.com.cn）”完成注册后，通过互联网登录“电子交易平台”，完成购标申请。在“购标申请”时，需上传“（1）企业营业执照副本；（2）企业资质证明、有效的</w:t>
      </w:r>
      <w:r>
        <w:rPr>
          <w:rFonts w:hint="eastAsia" w:ascii="宋体" w:hAnsi="宋体" w:cs="宋体"/>
          <w:sz w:val="24"/>
          <w:szCs w:val="24"/>
          <w:highlight w:val="none"/>
          <w:lang w:val="zh-CN"/>
        </w:rPr>
        <w:t>安全生产许可证；</w:t>
      </w:r>
      <w:r>
        <w:rPr>
          <w:rFonts w:hint="eastAsia" w:ascii="宋体" w:hAnsi="宋体" w:cs="宋体"/>
          <w:sz w:val="24"/>
          <w:szCs w:val="24"/>
          <w:highlight w:val="none"/>
        </w:rPr>
        <w:t>（3）企业法定代表人授权委托书；（4）被授权人身份证。以上材料彩色扫描件上传，否则购买操作无法完成。</w:t>
      </w:r>
    </w:p>
    <w:p>
      <w:pPr>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rPr>
        <w:t>（三）竞争性磋商文件售价人民币300元/套，售后不退。</w:t>
      </w:r>
    </w:p>
    <w:p>
      <w:pPr>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rPr>
        <w:t>付款信息：</w:t>
      </w:r>
    </w:p>
    <w:p>
      <w:pPr>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rPr>
        <w:t>收款人全称：中恒一信项目管理咨询有限公司；</w:t>
      </w:r>
    </w:p>
    <w:p>
      <w:pPr>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rPr>
        <w:t>开户银行：中国工商银行股份有限公司 长春自由大路支行；</w:t>
      </w:r>
    </w:p>
    <w:p>
      <w:pPr>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rPr>
        <w:t>账    号：4200 2214 0920 0125 594；</w:t>
      </w:r>
    </w:p>
    <w:p>
      <w:pPr>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rPr>
        <w:t>竞争性磋商文件发票由“中恒一信项目管理咨询有限公司”出具。</w:t>
      </w:r>
    </w:p>
    <w:p>
      <w:pPr>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rPr>
        <w:t>（四）平台服务费400元/套，售后不退。平台下载文件服务费由“中招联合信息股份有限公司”出具增值税电子普通发票，可登录平台自行下载。</w:t>
      </w:r>
    </w:p>
    <w:p>
      <w:pPr>
        <w:spacing w:line="360" w:lineRule="auto"/>
        <w:rPr>
          <w:rFonts w:hint="eastAsia" w:ascii="宋体" w:hAnsi="宋体" w:cs="宋体"/>
          <w:b/>
          <w:bCs/>
          <w:sz w:val="24"/>
          <w:szCs w:val="24"/>
          <w:highlight w:val="none"/>
        </w:rPr>
      </w:pPr>
      <w:r>
        <w:rPr>
          <w:rFonts w:hint="eastAsia" w:ascii="宋体" w:hAnsi="宋体" w:cs="宋体"/>
          <w:b/>
          <w:bCs/>
          <w:sz w:val="24"/>
          <w:szCs w:val="24"/>
          <w:highlight w:val="none"/>
        </w:rPr>
        <w:t>五、响应文件递交时间和地点</w:t>
      </w:r>
      <w:bookmarkEnd w:id="21"/>
    </w:p>
    <w:p>
      <w:pPr>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rPr>
        <w:t>（一）时间：2024年1月</w:t>
      </w:r>
      <w:r>
        <w:rPr>
          <w:rFonts w:hint="eastAsia" w:ascii="宋体" w:hAnsi="宋体" w:cs="宋体"/>
          <w:sz w:val="24"/>
          <w:szCs w:val="24"/>
          <w:highlight w:val="none"/>
          <w:lang w:val="en-US" w:eastAsia="zh-CN"/>
        </w:rPr>
        <w:t>24</w:t>
      </w:r>
      <w:r>
        <w:rPr>
          <w:rFonts w:hint="eastAsia" w:ascii="宋体" w:hAnsi="宋体" w:cs="宋体"/>
          <w:sz w:val="24"/>
          <w:szCs w:val="24"/>
          <w:highlight w:val="none"/>
        </w:rPr>
        <w:t>日8:3</w:t>
      </w:r>
      <w:r>
        <w:rPr>
          <w:rFonts w:ascii="宋体" w:hAnsi="宋体" w:cs="宋体"/>
          <w:sz w:val="24"/>
          <w:szCs w:val="24"/>
          <w:highlight w:val="none"/>
        </w:rPr>
        <w:t>0</w:t>
      </w:r>
      <w:r>
        <w:rPr>
          <w:rFonts w:hint="eastAsia" w:ascii="宋体" w:hAnsi="宋体" w:cs="宋体"/>
          <w:sz w:val="24"/>
          <w:szCs w:val="24"/>
          <w:highlight w:val="none"/>
        </w:rPr>
        <w:t xml:space="preserve"> 时至9:0</w:t>
      </w:r>
      <w:r>
        <w:rPr>
          <w:rFonts w:ascii="宋体" w:hAnsi="宋体" w:cs="宋体"/>
          <w:sz w:val="24"/>
          <w:szCs w:val="24"/>
          <w:highlight w:val="none"/>
        </w:rPr>
        <w:t>0</w:t>
      </w:r>
      <w:r>
        <w:rPr>
          <w:rFonts w:hint="eastAsia" w:ascii="宋体" w:hAnsi="宋体" w:cs="宋体"/>
          <w:sz w:val="24"/>
          <w:szCs w:val="24"/>
          <w:highlight w:val="none"/>
        </w:rPr>
        <w:t>时。</w:t>
      </w:r>
    </w:p>
    <w:p>
      <w:pPr>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rPr>
        <w:t>（二）地点：吉林大学招标与采购管理中心。吉林省长春市前进大街2699号吉林大学中心校区商贸楼（北门外）四楼（致远街与前卫路交汇，315路公交调度站旁）。</w:t>
      </w:r>
    </w:p>
    <w:p>
      <w:pPr>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rPr>
        <w:t>（三）方式：投标人应在投标截止时间前将投标文件电子版上传至中招联合招标采购平台，投标文件纸质版送达至吉林大学招标与采购管理中心413会议室（递交纸质版文件人员可以不是被授权人，被授权人应参加开标会议），否则投标无效。投标人</w:t>
      </w:r>
      <w:r>
        <w:rPr>
          <w:rFonts w:hint="eastAsia" w:ascii="宋体" w:hAnsi="宋体" w:cs="宋体"/>
          <w:sz w:val="24"/>
          <w:szCs w:val="24"/>
          <w:highlight w:val="none"/>
          <w:lang w:val="zh-CN"/>
        </w:rPr>
        <w:t>在线参加远程</w:t>
      </w:r>
      <w:r>
        <w:rPr>
          <w:rFonts w:hint="eastAsia" w:ascii="宋体" w:hAnsi="宋体" w:cs="宋体"/>
          <w:sz w:val="24"/>
          <w:szCs w:val="24"/>
          <w:highlight w:val="none"/>
        </w:rPr>
        <w:t>开标</w:t>
      </w:r>
      <w:r>
        <w:rPr>
          <w:rFonts w:hint="eastAsia" w:ascii="宋体" w:hAnsi="宋体" w:cs="宋体"/>
          <w:sz w:val="24"/>
          <w:szCs w:val="24"/>
          <w:highlight w:val="none"/>
          <w:lang w:val="zh-CN"/>
        </w:rPr>
        <w:t>，如无故离开远程</w:t>
      </w:r>
      <w:r>
        <w:rPr>
          <w:rFonts w:hint="eastAsia" w:ascii="宋体" w:hAnsi="宋体" w:cs="宋体"/>
          <w:sz w:val="24"/>
          <w:szCs w:val="24"/>
          <w:highlight w:val="none"/>
        </w:rPr>
        <w:t>开标</w:t>
      </w:r>
      <w:r>
        <w:rPr>
          <w:rFonts w:hint="eastAsia" w:ascii="宋体" w:hAnsi="宋体" w:cs="宋体"/>
          <w:sz w:val="24"/>
          <w:szCs w:val="24"/>
          <w:highlight w:val="none"/>
          <w:lang w:val="zh-CN"/>
        </w:rPr>
        <w:t>会议室，后果自负。腾讯会议号：947-104-015</w:t>
      </w:r>
      <w:r>
        <w:rPr>
          <w:rFonts w:hint="eastAsia" w:ascii="宋体" w:hAnsi="宋体" w:cs="宋体"/>
          <w:sz w:val="24"/>
          <w:szCs w:val="24"/>
          <w:highlight w:val="none"/>
        </w:rPr>
        <w:t xml:space="preserve">。   </w:t>
      </w:r>
    </w:p>
    <w:p>
      <w:pPr>
        <w:spacing w:line="360" w:lineRule="auto"/>
        <w:rPr>
          <w:rFonts w:hint="eastAsia" w:ascii="宋体" w:hAnsi="宋体" w:cs="宋体"/>
          <w:b/>
          <w:bCs/>
          <w:sz w:val="24"/>
          <w:szCs w:val="24"/>
          <w:highlight w:val="none"/>
        </w:rPr>
      </w:pPr>
      <w:bookmarkStart w:id="22" w:name="_Toc10776"/>
      <w:r>
        <w:rPr>
          <w:rFonts w:hint="eastAsia" w:ascii="宋体" w:hAnsi="宋体" w:cs="宋体"/>
          <w:b/>
          <w:bCs/>
          <w:sz w:val="24"/>
          <w:szCs w:val="24"/>
          <w:highlight w:val="none"/>
        </w:rPr>
        <w:t>六、磋商时间和地点</w:t>
      </w:r>
      <w:bookmarkEnd w:id="22"/>
    </w:p>
    <w:p>
      <w:pPr>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rPr>
        <w:t>（一）时间：2024年1月</w:t>
      </w:r>
      <w:r>
        <w:rPr>
          <w:rFonts w:hint="eastAsia" w:ascii="宋体" w:hAnsi="宋体" w:cs="宋体"/>
          <w:sz w:val="24"/>
          <w:szCs w:val="24"/>
          <w:highlight w:val="none"/>
          <w:lang w:val="en-US" w:eastAsia="zh-CN"/>
        </w:rPr>
        <w:t>24</w:t>
      </w:r>
      <w:r>
        <w:rPr>
          <w:rFonts w:hint="eastAsia" w:ascii="宋体" w:hAnsi="宋体" w:cs="宋体"/>
          <w:sz w:val="24"/>
          <w:szCs w:val="24"/>
          <w:highlight w:val="none"/>
        </w:rPr>
        <w:t>日9:0</w:t>
      </w:r>
      <w:r>
        <w:rPr>
          <w:rFonts w:ascii="宋体" w:hAnsi="宋体" w:cs="宋体"/>
          <w:sz w:val="24"/>
          <w:szCs w:val="24"/>
          <w:highlight w:val="none"/>
        </w:rPr>
        <w:t>0</w:t>
      </w:r>
      <w:r>
        <w:rPr>
          <w:rFonts w:hint="eastAsia" w:ascii="宋体" w:hAnsi="宋体" w:cs="宋体"/>
          <w:sz w:val="24"/>
          <w:szCs w:val="24"/>
          <w:highlight w:val="none"/>
        </w:rPr>
        <w:t>时。</w:t>
      </w:r>
    </w:p>
    <w:p>
      <w:pPr>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rPr>
        <w:t>（二）地点：同提交响应文件地点。</w:t>
      </w:r>
    </w:p>
    <w:p>
      <w:pPr>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rPr>
        <w:t xml:space="preserve">（三）届时请供应商的法定代表人或其授权的代表人出席会议（视频会议）。 </w:t>
      </w:r>
    </w:p>
    <w:p>
      <w:pPr>
        <w:spacing w:line="360" w:lineRule="auto"/>
        <w:rPr>
          <w:rFonts w:hint="eastAsia" w:ascii="宋体" w:hAnsi="宋体" w:cs="宋体"/>
          <w:b/>
          <w:bCs/>
          <w:sz w:val="24"/>
          <w:szCs w:val="24"/>
          <w:highlight w:val="none"/>
        </w:rPr>
      </w:pPr>
      <w:bookmarkStart w:id="23" w:name="_Toc26416"/>
      <w:r>
        <w:rPr>
          <w:rFonts w:hint="eastAsia" w:ascii="宋体" w:hAnsi="宋体" w:cs="宋体"/>
          <w:b/>
          <w:bCs/>
          <w:sz w:val="24"/>
          <w:szCs w:val="24"/>
          <w:highlight w:val="none"/>
        </w:rPr>
        <w:t>七、其它有关规定</w:t>
      </w:r>
      <w:bookmarkEnd w:id="23"/>
    </w:p>
    <w:p>
      <w:pPr>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rPr>
        <w:t>1．法定代表人为同一个人的两个及两个以上法人，母公司、全资子公司及其控股公司，都不得在同一分包的货物采购中同时参与磋商，否则均为无效磋商。</w:t>
      </w:r>
    </w:p>
    <w:p>
      <w:pPr>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rPr>
        <w:t>2．为采购项目提供整体设计、规范编制或者项目管理、监理、检测等服务的供应商，不得再参加本项目的采购活动，否则均为无效响应。</w:t>
      </w:r>
    </w:p>
    <w:p>
      <w:pPr>
        <w:spacing w:line="360" w:lineRule="auto"/>
        <w:ind w:firstLine="480" w:firstLineChars="200"/>
        <w:rPr>
          <w:rFonts w:hint="eastAsia" w:ascii="宋体" w:hAnsi="宋体" w:cs="宋体"/>
          <w:sz w:val="24"/>
          <w:szCs w:val="24"/>
          <w:highlight w:val="none"/>
        </w:rPr>
      </w:pPr>
      <w:r>
        <w:rPr>
          <w:rFonts w:ascii="宋体" w:hAnsi="宋体" w:cs="宋体"/>
          <w:sz w:val="24"/>
          <w:szCs w:val="24"/>
          <w:highlight w:val="none"/>
        </w:rPr>
        <w:t>3</w:t>
      </w:r>
      <w:r>
        <w:rPr>
          <w:rFonts w:hint="eastAsia" w:ascii="宋体" w:hAnsi="宋体" w:cs="宋体"/>
          <w:sz w:val="24"/>
          <w:szCs w:val="24"/>
          <w:highlight w:val="none"/>
        </w:rPr>
        <w:t>．超过响应文件截止时间递交的响应文件，恕不接收。</w:t>
      </w:r>
    </w:p>
    <w:p>
      <w:pPr>
        <w:spacing w:line="360" w:lineRule="auto"/>
        <w:ind w:firstLine="480" w:firstLineChars="200"/>
        <w:rPr>
          <w:rFonts w:hint="eastAsia" w:ascii="宋体" w:hAnsi="宋体" w:cs="宋体"/>
          <w:sz w:val="24"/>
          <w:szCs w:val="24"/>
          <w:highlight w:val="none"/>
        </w:rPr>
      </w:pPr>
      <w:r>
        <w:rPr>
          <w:rFonts w:ascii="宋体" w:hAnsi="宋体" w:cs="宋体"/>
          <w:sz w:val="24"/>
          <w:szCs w:val="24"/>
          <w:highlight w:val="none"/>
        </w:rPr>
        <w:t>4</w:t>
      </w:r>
      <w:r>
        <w:rPr>
          <w:rFonts w:hint="eastAsia" w:ascii="宋体" w:hAnsi="宋体" w:cs="宋体"/>
          <w:sz w:val="24"/>
          <w:szCs w:val="24"/>
          <w:highlight w:val="none"/>
        </w:rPr>
        <w:t>．磋商费用：无论磋商结果如何，供应商参与本项目磋商的所有费用均应由供应商自行承担。</w:t>
      </w:r>
    </w:p>
    <w:p>
      <w:pPr>
        <w:spacing w:line="360" w:lineRule="auto"/>
        <w:ind w:firstLine="480" w:firstLineChars="200"/>
        <w:rPr>
          <w:rFonts w:hint="eastAsia" w:ascii="宋体" w:hAnsi="宋体" w:cs="宋体"/>
          <w:sz w:val="24"/>
          <w:szCs w:val="24"/>
          <w:highlight w:val="none"/>
        </w:rPr>
      </w:pPr>
      <w:r>
        <w:rPr>
          <w:rFonts w:ascii="宋体" w:hAnsi="宋体" w:cs="宋体"/>
          <w:sz w:val="24"/>
          <w:szCs w:val="24"/>
          <w:highlight w:val="none"/>
        </w:rPr>
        <w:t>5</w:t>
      </w:r>
      <w:r>
        <w:rPr>
          <w:rFonts w:hint="eastAsia" w:ascii="宋体" w:hAnsi="宋体" w:cs="宋体"/>
          <w:sz w:val="24"/>
          <w:szCs w:val="24"/>
          <w:highlight w:val="none"/>
        </w:rPr>
        <w:t xml:space="preserve">. 供应商递交的响应性文件不予退还。 </w:t>
      </w:r>
    </w:p>
    <w:p>
      <w:pPr>
        <w:spacing w:line="360" w:lineRule="auto"/>
        <w:rPr>
          <w:rFonts w:hint="eastAsia" w:ascii="宋体" w:hAnsi="宋体" w:cs="宋体"/>
          <w:b/>
          <w:bCs/>
          <w:sz w:val="24"/>
          <w:szCs w:val="24"/>
          <w:highlight w:val="none"/>
        </w:rPr>
      </w:pPr>
      <w:r>
        <w:rPr>
          <w:rFonts w:hint="eastAsia" w:ascii="宋体" w:hAnsi="宋体" w:cs="宋体"/>
          <w:b/>
          <w:bCs/>
          <w:sz w:val="24"/>
          <w:szCs w:val="24"/>
          <w:highlight w:val="none"/>
        </w:rPr>
        <w:t>八、采购人信息</w:t>
      </w:r>
    </w:p>
    <w:p>
      <w:pPr>
        <w:spacing w:line="360" w:lineRule="auto"/>
        <w:ind w:firstLine="480" w:firstLineChars="200"/>
        <w:rPr>
          <w:rFonts w:hint="eastAsia" w:ascii="宋体" w:hAnsi="宋体" w:cs="宋体"/>
          <w:sz w:val="24"/>
          <w:szCs w:val="24"/>
          <w:highlight w:val="none"/>
        </w:rPr>
      </w:pPr>
      <w:bookmarkStart w:id="24" w:name="_Toc28359021"/>
      <w:bookmarkStart w:id="25" w:name="_Toc35393639"/>
      <w:bookmarkStart w:id="26" w:name="_Toc28359098"/>
      <w:bookmarkStart w:id="27" w:name="_Toc35393808"/>
      <w:r>
        <w:rPr>
          <w:rFonts w:hint="eastAsia" w:ascii="宋体" w:hAnsi="宋体" w:cs="宋体"/>
          <w:sz w:val="24"/>
          <w:szCs w:val="24"/>
          <w:highlight w:val="none"/>
        </w:rPr>
        <w:t>1.采购人信息</w:t>
      </w:r>
    </w:p>
    <w:p>
      <w:pPr>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rPr>
        <w:t>名称：吉林大学</w:t>
      </w:r>
    </w:p>
    <w:p>
      <w:pPr>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rPr>
        <w:t>地址：吉林省长春市前进大街2699号吉林大学中心校区商贸楼四楼</w:t>
      </w:r>
    </w:p>
    <w:p>
      <w:pPr>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rPr>
        <w:t>联系方式：孙老师 0431-85167313</w:t>
      </w:r>
    </w:p>
    <w:p>
      <w:pPr>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rPr>
        <w:t>2.采购代理机构信息</w:t>
      </w:r>
    </w:p>
    <w:p>
      <w:pPr>
        <w:spacing w:line="360" w:lineRule="auto"/>
        <w:ind w:firstLine="480" w:firstLineChars="200"/>
        <w:rPr>
          <w:rFonts w:hint="eastAsia" w:ascii="宋体" w:hAnsi="宋体" w:cs="宋体"/>
          <w:sz w:val="24"/>
          <w:szCs w:val="24"/>
          <w:highlight w:val="none"/>
          <w:lang w:val="zh-CN"/>
        </w:rPr>
      </w:pPr>
      <w:r>
        <w:rPr>
          <w:rFonts w:hint="eastAsia" w:ascii="宋体" w:hAnsi="宋体" w:cs="宋体"/>
          <w:sz w:val="24"/>
          <w:szCs w:val="24"/>
          <w:highlight w:val="none"/>
        </w:rPr>
        <w:t>名称</w:t>
      </w:r>
      <w:r>
        <w:rPr>
          <w:rFonts w:hint="eastAsia" w:ascii="宋体" w:hAnsi="宋体" w:cs="宋体"/>
          <w:sz w:val="24"/>
          <w:szCs w:val="24"/>
          <w:highlight w:val="none"/>
          <w:lang w:val="zh-CN"/>
        </w:rPr>
        <w:t xml:space="preserve">：中恒一信项目管理咨询有限公司 </w:t>
      </w:r>
    </w:p>
    <w:p>
      <w:pPr>
        <w:spacing w:line="360" w:lineRule="auto"/>
        <w:ind w:firstLine="480" w:firstLineChars="200"/>
        <w:rPr>
          <w:rFonts w:hint="eastAsia" w:ascii="宋体" w:hAnsi="宋体" w:cs="宋体"/>
          <w:sz w:val="24"/>
          <w:szCs w:val="24"/>
          <w:highlight w:val="none"/>
          <w:lang w:val="zh-CN"/>
        </w:rPr>
      </w:pPr>
      <w:r>
        <w:rPr>
          <w:rFonts w:hint="eastAsia" w:ascii="宋体" w:hAnsi="宋体" w:cs="宋体"/>
          <w:sz w:val="24"/>
          <w:szCs w:val="24"/>
          <w:highlight w:val="none"/>
          <w:lang w:val="zh-CN"/>
        </w:rPr>
        <w:t>地址：长春市南关区锦湖大路6822号保合大厦12楼</w:t>
      </w:r>
    </w:p>
    <w:p>
      <w:pPr>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rPr>
        <w:t>联系方式：金明姬 0431-85670001-8033</w:t>
      </w:r>
    </w:p>
    <w:p>
      <w:pPr>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rPr>
        <w:t>3.项目联系方式</w:t>
      </w:r>
      <w:bookmarkEnd w:id="24"/>
      <w:bookmarkEnd w:id="25"/>
      <w:bookmarkEnd w:id="26"/>
      <w:bookmarkEnd w:id="27"/>
    </w:p>
    <w:p>
      <w:pPr>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rPr>
        <w:t>项目联系人：金明姬</w:t>
      </w:r>
    </w:p>
    <w:p>
      <w:pPr>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rPr>
        <w:t>联系电话：0431-85670001-8033</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k5YWUwYWYwNWYwOTczMDhkZGZkMzlhYTllM2QyZmMifQ=="/>
  </w:docVars>
  <w:rsids>
    <w:rsidRoot w:val="00000000"/>
    <w:rsid w:val="3A086E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lang w:val="en-US" w:eastAsia="zh-CN" w:bidi="ar-SA"/>
    </w:rPr>
  </w:style>
  <w:style w:type="paragraph" w:styleId="3">
    <w:name w:val="heading 2"/>
    <w:basedOn w:val="1"/>
    <w:next w:val="1"/>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qFormat/>
    <w:uiPriority w:val="0"/>
    <w:pPr>
      <w:keepNext/>
      <w:keepLines/>
      <w:spacing w:before="260" w:beforeLines="0" w:beforeAutospacing="0" w:after="260" w:afterLines="0" w:afterAutospacing="0" w:line="413" w:lineRule="auto"/>
      <w:outlineLvl w:val="2"/>
    </w:pPr>
    <w:rPr>
      <w:b/>
      <w:sz w:val="32"/>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2"/>
    <w:basedOn w:val="1"/>
    <w:qFormat/>
    <w:uiPriority w:val="0"/>
    <w:pPr>
      <w:adjustRightInd w:val="0"/>
      <w:snapToGrid w:val="0"/>
      <w:spacing w:after="120" w:afterLines="0" w:afterAutospacing="0" w:line="480" w:lineRule="auto"/>
    </w:pPr>
    <w:rPr>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2024-01-11T07:29:15Z</dcterms:created>
  <dc:creator>Administrator</dc:creator>
  <cp:lastModifiedBy>曹东</cp:lastModifiedBy>
  <dcterms:modified xsi:type="dcterms:W3CDTF">2024-01-11T07:29:36Z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982899B5C96C4E57AA997E43BDAA24C9_12</vt:lpwstr>
  </property>
</Properties>
</file>