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outlineLvl w:val="0"/>
        <w:rPr>
          <w:rFonts w:ascii="黑体" w:eastAsia="黑体"/>
          <w:sz w:val="44"/>
          <w:szCs w:val="22"/>
          <w:highlight w:val="none"/>
        </w:rPr>
      </w:pPr>
      <w:r>
        <w:rPr>
          <w:rFonts w:hint="eastAsia" w:ascii="黑体" w:eastAsia="黑体"/>
          <w:sz w:val="44"/>
          <w:szCs w:val="22"/>
          <w:highlight w:val="none"/>
        </w:rPr>
        <w:t>采购（服务）需求</w:t>
      </w:r>
    </w:p>
    <w:p>
      <w:pPr>
        <w:pStyle w:val="6"/>
        <w:numPr>
          <w:ilvl w:val="0"/>
          <w:numId w:val="1"/>
        </w:numPr>
        <w:spacing w:line="360" w:lineRule="auto"/>
        <w:rPr>
          <w:rFonts w:hint="eastAsia" w:ascii="宋体" w:hAnsi="宋体" w:cs="宋体"/>
          <w:b/>
          <w:bCs w:val="0"/>
          <w:sz w:val="28"/>
          <w:szCs w:val="28"/>
          <w:highlight w:val="none"/>
          <w:lang w:eastAsia="zh-CN"/>
        </w:rPr>
      </w:pPr>
      <w:r>
        <w:rPr>
          <w:rFonts w:hint="eastAsia" w:ascii="宋体" w:hAnsi="宋体" w:cs="宋体"/>
          <w:b/>
          <w:bCs w:val="0"/>
          <w:sz w:val="28"/>
          <w:szCs w:val="28"/>
          <w:highlight w:val="none"/>
          <w:lang w:eastAsia="zh-CN"/>
        </w:rPr>
        <w:t>招标内容</w:t>
      </w:r>
    </w:p>
    <w:p>
      <w:pPr>
        <w:pStyle w:val="6"/>
        <w:numPr>
          <w:ilvl w:val="0"/>
          <w:numId w:val="0"/>
        </w:numPr>
        <w:spacing w:line="360" w:lineRule="auto"/>
        <w:ind w:firstLine="480" w:firstLineChars="200"/>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哈尔滨工业大学一校区主楼前广场等地块绿化项目树木、草坪的采购、运输、栽植及养护管理等。</w:t>
      </w:r>
    </w:p>
    <w:p>
      <w:pPr>
        <w:pStyle w:val="6"/>
        <w:numPr>
          <w:ilvl w:val="0"/>
          <w:numId w:val="0"/>
        </w:numPr>
        <w:spacing w:line="360" w:lineRule="auto"/>
        <w:rPr>
          <w:rFonts w:hint="eastAsia" w:ascii="宋体" w:hAnsi="宋体" w:eastAsia="宋体" w:cs="宋体"/>
          <w:b/>
          <w:bCs w:val="0"/>
          <w:sz w:val="28"/>
          <w:szCs w:val="28"/>
          <w:highlight w:val="none"/>
        </w:rPr>
      </w:pPr>
      <w:r>
        <w:rPr>
          <w:rFonts w:hint="eastAsia" w:ascii="宋体" w:hAnsi="宋体" w:cs="宋体"/>
          <w:b/>
          <w:bCs w:val="0"/>
          <w:sz w:val="28"/>
          <w:szCs w:val="28"/>
          <w:highlight w:val="none"/>
          <w:lang w:eastAsia="zh-CN"/>
        </w:rPr>
        <w:t>★二、技术指标要求</w:t>
      </w:r>
    </w:p>
    <w:tbl>
      <w:tblPr>
        <w:tblStyle w:val="4"/>
        <w:tblW w:w="10431" w:type="dxa"/>
        <w:tblInd w:w="-479" w:type="dxa"/>
        <w:tblLayout w:type="fixed"/>
        <w:tblCellMar>
          <w:top w:w="0" w:type="dxa"/>
          <w:left w:w="0" w:type="dxa"/>
          <w:bottom w:w="0" w:type="dxa"/>
          <w:right w:w="0" w:type="dxa"/>
        </w:tblCellMar>
      </w:tblPr>
      <w:tblGrid>
        <w:gridCol w:w="589"/>
        <w:gridCol w:w="992"/>
        <w:gridCol w:w="6092"/>
        <w:gridCol w:w="577"/>
        <w:gridCol w:w="658"/>
        <w:gridCol w:w="761"/>
        <w:gridCol w:w="762"/>
      </w:tblGrid>
      <w:tr>
        <w:tblPrEx>
          <w:tblCellMar>
            <w:top w:w="0" w:type="dxa"/>
            <w:left w:w="0" w:type="dxa"/>
            <w:bottom w:w="0" w:type="dxa"/>
            <w:right w:w="0" w:type="dxa"/>
          </w:tblCellMar>
        </w:tblPrEx>
        <w:trPr>
          <w:trHeight w:val="477" w:hRule="atLeast"/>
        </w:trPr>
        <w:tc>
          <w:tcPr>
            <w:tcW w:w="589"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b/>
                <w:sz w:val="24"/>
                <w:szCs w:val="24"/>
                <w:highlight w:val="none"/>
              </w:rPr>
            </w:pPr>
            <w:r>
              <w:rPr>
                <w:rFonts w:hint="eastAsia" w:ascii="宋体" w:hAnsi="宋体" w:eastAsia="宋体" w:cs="宋体"/>
                <w:b/>
                <w:sz w:val="24"/>
                <w:szCs w:val="24"/>
                <w:highlight w:val="none"/>
                <w:lang w:bidi="ar"/>
              </w:rPr>
              <w:t>序号</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b/>
                <w:sz w:val="24"/>
                <w:szCs w:val="24"/>
                <w:highlight w:val="none"/>
              </w:rPr>
            </w:pPr>
            <w:r>
              <w:rPr>
                <w:rFonts w:hint="eastAsia" w:ascii="宋体" w:hAnsi="宋体" w:eastAsia="宋体" w:cs="宋体"/>
                <w:b/>
                <w:sz w:val="24"/>
                <w:szCs w:val="24"/>
                <w:highlight w:val="none"/>
                <w:lang w:bidi="ar"/>
              </w:rPr>
              <w:t>名称</w:t>
            </w:r>
          </w:p>
        </w:tc>
        <w:tc>
          <w:tcPr>
            <w:tcW w:w="6092"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b/>
                <w:sz w:val="24"/>
                <w:szCs w:val="24"/>
                <w:highlight w:val="none"/>
              </w:rPr>
            </w:pPr>
            <w:r>
              <w:rPr>
                <w:rFonts w:hint="eastAsia" w:ascii="宋体" w:hAnsi="宋体" w:eastAsia="宋体" w:cs="宋体"/>
                <w:b/>
                <w:sz w:val="24"/>
                <w:szCs w:val="24"/>
                <w:highlight w:val="none"/>
                <w:lang w:bidi="ar"/>
              </w:rPr>
              <w:t>技术参数</w:t>
            </w:r>
          </w:p>
        </w:tc>
        <w:tc>
          <w:tcPr>
            <w:tcW w:w="577"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b/>
                <w:sz w:val="24"/>
                <w:szCs w:val="24"/>
                <w:highlight w:val="none"/>
              </w:rPr>
            </w:pPr>
            <w:r>
              <w:rPr>
                <w:rFonts w:hint="eastAsia" w:ascii="宋体" w:hAnsi="宋体" w:eastAsia="宋体" w:cs="宋体"/>
                <w:b/>
                <w:sz w:val="24"/>
                <w:szCs w:val="24"/>
                <w:highlight w:val="none"/>
                <w:lang w:bidi="ar"/>
              </w:rPr>
              <w:t>单位</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b/>
                <w:sz w:val="24"/>
                <w:szCs w:val="24"/>
                <w:highlight w:val="none"/>
              </w:rPr>
            </w:pPr>
            <w:r>
              <w:rPr>
                <w:rFonts w:hint="eastAsia" w:ascii="宋体" w:hAnsi="宋体" w:eastAsia="宋体" w:cs="宋体"/>
                <w:b/>
                <w:sz w:val="24"/>
                <w:szCs w:val="24"/>
                <w:highlight w:val="none"/>
                <w:lang w:bidi="ar"/>
              </w:rPr>
              <w:t>数量</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b/>
                <w:sz w:val="24"/>
                <w:szCs w:val="24"/>
                <w:highlight w:val="none"/>
              </w:rPr>
            </w:pPr>
            <w:r>
              <w:rPr>
                <w:rFonts w:hint="eastAsia" w:ascii="宋体" w:hAnsi="宋体" w:eastAsia="宋体" w:cs="宋体"/>
                <w:b/>
                <w:sz w:val="24"/>
                <w:szCs w:val="24"/>
                <w:highlight w:val="none"/>
                <w:lang w:bidi="ar"/>
              </w:rPr>
              <w:t>单价（元）</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小计（元）</w:t>
            </w:r>
          </w:p>
        </w:tc>
      </w:tr>
      <w:tr>
        <w:tblPrEx>
          <w:tblCellMar>
            <w:top w:w="0" w:type="dxa"/>
            <w:left w:w="0" w:type="dxa"/>
            <w:bottom w:w="0" w:type="dxa"/>
            <w:right w:w="0" w:type="dxa"/>
          </w:tblCellMar>
        </w:tblPrEx>
        <w:trPr>
          <w:trHeight w:val="334" w:hRule="atLeast"/>
        </w:trPr>
        <w:tc>
          <w:tcPr>
            <w:tcW w:w="589" w:type="dxa"/>
            <w:vMerge w:val="continue"/>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rPr>
                <w:rFonts w:hint="eastAsia" w:ascii="宋体" w:hAnsi="宋体" w:eastAsia="宋体" w:cs="宋体"/>
                <w:b/>
                <w:sz w:val="24"/>
                <w:szCs w:val="24"/>
                <w:highlight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rPr>
                <w:rFonts w:hint="eastAsia" w:ascii="宋体" w:hAnsi="宋体" w:eastAsia="宋体" w:cs="宋体"/>
                <w:b/>
                <w:sz w:val="24"/>
                <w:szCs w:val="24"/>
                <w:highlight w:val="none"/>
              </w:rPr>
            </w:pPr>
          </w:p>
        </w:tc>
        <w:tc>
          <w:tcPr>
            <w:tcW w:w="6092" w:type="dxa"/>
            <w:vMerge w:val="continue"/>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rPr>
                <w:rFonts w:hint="eastAsia" w:ascii="宋体" w:hAnsi="宋体" w:eastAsia="宋体" w:cs="宋体"/>
                <w:b/>
                <w:sz w:val="24"/>
                <w:szCs w:val="24"/>
                <w:highlight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rPr>
                <w:rFonts w:hint="eastAsia" w:ascii="宋体" w:hAnsi="宋体" w:eastAsia="宋体" w:cs="宋体"/>
                <w:b/>
                <w:sz w:val="24"/>
                <w:szCs w:val="24"/>
                <w:highlight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rPr>
                <w:rFonts w:hint="eastAsia" w:ascii="宋体" w:hAnsi="宋体" w:eastAsia="宋体" w:cs="宋体"/>
                <w:b/>
                <w:sz w:val="24"/>
                <w:szCs w:val="24"/>
                <w:highlight w:val="none"/>
              </w:rPr>
            </w:pPr>
          </w:p>
        </w:tc>
        <w:tc>
          <w:tcPr>
            <w:tcW w:w="761" w:type="dxa"/>
            <w:vMerge w:val="continue"/>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rPr>
                <w:rFonts w:hint="eastAsia" w:ascii="宋体" w:hAnsi="宋体" w:eastAsia="宋体" w:cs="宋体"/>
                <w:b/>
                <w:sz w:val="24"/>
                <w:szCs w:val="24"/>
                <w:highlight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rPr>
                <w:rFonts w:hint="eastAsia" w:ascii="宋体" w:hAnsi="宋体" w:eastAsia="宋体" w:cs="宋体"/>
                <w:b/>
                <w:sz w:val="24"/>
                <w:szCs w:val="24"/>
                <w:highlight w:val="none"/>
              </w:rPr>
            </w:pPr>
          </w:p>
        </w:tc>
      </w:tr>
      <w:tr>
        <w:tblPrEx>
          <w:tblCellMar>
            <w:top w:w="0" w:type="dxa"/>
            <w:left w:w="0" w:type="dxa"/>
            <w:bottom w:w="0" w:type="dxa"/>
            <w:right w:w="0" w:type="dxa"/>
          </w:tblCellMar>
        </w:tblPrEx>
        <w:trPr>
          <w:trHeight w:val="1528" w:hRule="atLeast"/>
        </w:trPr>
        <w:tc>
          <w:tcPr>
            <w:tcW w:w="589"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lang w:bidi="ar"/>
              </w:rPr>
              <w:t>1</w:t>
            </w:r>
          </w:p>
        </w:tc>
        <w:tc>
          <w:tcPr>
            <w:tcW w:w="99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黑皮油松</w:t>
            </w:r>
          </w:p>
        </w:tc>
        <w:tc>
          <w:tcPr>
            <w:tcW w:w="609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采购规格：胸径：15</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rPr>
              <w:t>20cm ；株高≥10m；冠幅≥3.5m；分支点&lt;2.0m；</w:t>
            </w:r>
            <w:r>
              <w:rPr>
                <w:rFonts w:hint="eastAsia" w:ascii="宋体" w:hAnsi="宋体" w:eastAsia="宋体" w:cs="宋体"/>
                <w:snapToGrid w:val="0"/>
                <w:sz w:val="24"/>
                <w:szCs w:val="24"/>
                <w:highlight w:val="none"/>
                <w:lang w:bidi="ar"/>
              </w:rPr>
              <w:t>苗木为圃地苗，</w:t>
            </w:r>
            <w:r>
              <w:rPr>
                <w:rFonts w:hint="eastAsia" w:ascii="宋体" w:hAnsi="宋体" w:eastAsia="宋体" w:cs="宋体"/>
                <w:sz w:val="24"/>
                <w:szCs w:val="24"/>
                <w:highlight w:val="none"/>
                <w:lang w:bidi="ar"/>
              </w:rPr>
              <w:t>树皮光滑无开裂，主干清晰、树冠饱满无折枝，无病虫害。</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起挖方式：带土球起挖，保持土球直径为胸径8-10倍，土球完好，大树土球还应视情况适当加大，应尽量包住树木主根系。</w:t>
            </w:r>
          </w:p>
        </w:tc>
        <w:tc>
          <w:tcPr>
            <w:tcW w:w="577"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株</w:t>
            </w:r>
          </w:p>
        </w:tc>
        <w:tc>
          <w:tcPr>
            <w:tcW w:w="658"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w:t>
            </w:r>
          </w:p>
        </w:tc>
        <w:tc>
          <w:tcPr>
            <w:tcW w:w="761"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sz w:val="24"/>
                <w:szCs w:val="24"/>
                <w:highlight w:val="none"/>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1528" w:hRule="atLeast"/>
        </w:trPr>
        <w:tc>
          <w:tcPr>
            <w:tcW w:w="589"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2</w:t>
            </w:r>
          </w:p>
        </w:tc>
        <w:tc>
          <w:tcPr>
            <w:tcW w:w="99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稠李</w:t>
            </w:r>
          </w:p>
        </w:tc>
        <w:tc>
          <w:tcPr>
            <w:tcW w:w="609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pStyle w:val="3"/>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采购规格：胸径：40~50cm ；全冠圃地苗，树冠饱满、无缺枝少叶，基部无秃裸，分支点&lt;4.0m；</w:t>
            </w:r>
            <w:r>
              <w:rPr>
                <w:rFonts w:hint="eastAsia" w:ascii="宋体" w:hAnsi="宋体" w:eastAsia="宋体" w:cs="宋体"/>
                <w:sz w:val="24"/>
                <w:szCs w:val="24"/>
                <w:highlight w:val="none"/>
                <w:lang w:bidi="ar"/>
              </w:rPr>
              <w:t>树皮光滑无开裂，主干清晰、树冠饱满无折枝，无病虫害。</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起挖方式：带土球起挖，保持土球直径为胸径8-10倍，土球完好，大树土球还应视情况适当加大，应尽量包住树木主根系。</w:t>
            </w:r>
          </w:p>
        </w:tc>
        <w:tc>
          <w:tcPr>
            <w:tcW w:w="577"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株</w:t>
            </w:r>
          </w:p>
        </w:tc>
        <w:tc>
          <w:tcPr>
            <w:tcW w:w="658"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761"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sz w:val="24"/>
                <w:szCs w:val="24"/>
                <w:highlight w:val="none"/>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sz w:val="24"/>
                <w:szCs w:val="24"/>
                <w:highlight w:val="none"/>
              </w:rPr>
            </w:pPr>
          </w:p>
        </w:tc>
      </w:tr>
      <w:tr>
        <w:tblPrEx>
          <w:tblCellMar>
            <w:top w:w="0" w:type="dxa"/>
            <w:left w:w="0" w:type="dxa"/>
            <w:bottom w:w="0" w:type="dxa"/>
            <w:right w:w="0" w:type="dxa"/>
          </w:tblCellMar>
        </w:tblPrEx>
        <w:trPr>
          <w:trHeight w:val="1661" w:hRule="atLeast"/>
        </w:trPr>
        <w:tc>
          <w:tcPr>
            <w:tcW w:w="589"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3</w:t>
            </w:r>
          </w:p>
        </w:tc>
        <w:tc>
          <w:tcPr>
            <w:tcW w:w="99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紫丁香</w:t>
            </w:r>
          </w:p>
        </w:tc>
        <w:tc>
          <w:tcPr>
            <w:tcW w:w="609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采购规格：株高≥3.0m、冠幅≥2.5m、枝条数不少于40个；移植苗木</w:t>
            </w:r>
            <w:r>
              <w:rPr>
                <w:rFonts w:hint="eastAsia" w:ascii="宋体" w:hAnsi="宋体" w:eastAsia="宋体" w:cs="宋体"/>
                <w:snapToGrid w:val="0"/>
                <w:sz w:val="24"/>
                <w:szCs w:val="24"/>
                <w:highlight w:val="none"/>
                <w:lang w:bidi="ar"/>
              </w:rPr>
              <w:t>土球直径</w:t>
            </w:r>
            <w:r>
              <w:rPr>
                <w:rFonts w:hint="eastAsia" w:ascii="宋体" w:hAnsi="宋体" w:eastAsia="宋体" w:cs="宋体"/>
                <w:sz w:val="24"/>
                <w:szCs w:val="24"/>
                <w:highlight w:val="none"/>
                <w:lang w:bidi="ar"/>
              </w:rPr>
              <w:t>≥0.8米、土厚度不小于直径的4/5</w:t>
            </w:r>
            <w:r>
              <w:rPr>
                <w:rFonts w:hint="eastAsia" w:ascii="宋体" w:hAnsi="宋体" w:eastAsia="宋体" w:cs="宋体"/>
                <w:snapToGrid w:val="0"/>
                <w:sz w:val="24"/>
                <w:szCs w:val="24"/>
                <w:highlight w:val="none"/>
                <w:lang w:bidi="ar"/>
              </w:rPr>
              <w:t>，</w:t>
            </w:r>
            <w:r>
              <w:rPr>
                <w:rFonts w:hint="eastAsia" w:ascii="宋体" w:hAnsi="宋体" w:eastAsia="宋体" w:cs="宋体"/>
                <w:sz w:val="24"/>
                <w:szCs w:val="24"/>
                <w:highlight w:val="none"/>
                <w:lang w:bidi="ar"/>
              </w:rPr>
              <w:t>大树土球还应视情况适当加大，应尽量包住树木主根系</w:t>
            </w:r>
            <w:r>
              <w:rPr>
                <w:rFonts w:hint="eastAsia" w:ascii="宋体" w:hAnsi="宋体" w:cs="宋体"/>
                <w:sz w:val="24"/>
                <w:szCs w:val="24"/>
                <w:highlight w:val="none"/>
                <w:lang w:eastAsia="zh-CN" w:bidi="ar"/>
              </w:rPr>
              <w:t>，</w:t>
            </w:r>
            <w:r>
              <w:rPr>
                <w:rFonts w:hint="eastAsia" w:ascii="宋体" w:hAnsi="宋体" w:eastAsia="宋体" w:cs="宋体"/>
                <w:snapToGrid w:val="0"/>
                <w:sz w:val="24"/>
                <w:szCs w:val="24"/>
                <w:highlight w:val="none"/>
                <w:lang w:bidi="ar"/>
              </w:rPr>
              <w:t>土球完好；苗木为圃地苗，</w:t>
            </w:r>
            <w:r>
              <w:rPr>
                <w:rFonts w:hint="eastAsia" w:ascii="宋体" w:hAnsi="宋体" w:eastAsia="宋体" w:cs="宋体"/>
                <w:sz w:val="24"/>
                <w:szCs w:val="24"/>
                <w:highlight w:val="none"/>
                <w:lang w:bidi="ar"/>
              </w:rPr>
              <w:t>枝条饱满无破损，无折枝，无病虫害。</w:t>
            </w:r>
          </w:p>
        </w:tc>
        <w:tc>
          <w:tcPr>
            <w:tcW w:w="577"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株</w:t>
            </w:r>
          </w:p>
        </w:tc>
        <w:tc>
          <w:tcPr>
            <w:tcW w:w="658"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339</w:t>
            </w:r>
          </w:p>
        </w:tc>
        <w:tc>
          <w:tcPr>
            <w:tcW w:w="761"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p>
        </w:tc>
      </w:tr>
      <w:tr>
        <w:tblPrEx>
          <w:tblCellMar>
            <w:top w:w="0" w:type="dxa"/>
            <w:left w:w="0" w:type="dxa"/>
            <w:bottom w:w="0" w:type="dxa"/>
            <w:right w:w="0" w:type="dxa"/>
          </w:tblCellMar>
        </w:tblPrEx>
        <w:trPr>
          <w:trHeight w:val="1465" w:hRule="atLeast"/>
        </w:trPr>
        <w:tc>
          <w:tcPr>
            <w:tcW w:w="589" w:type="dxa"/>
            <w:vMerge w:val="restart"/>
            <w:tcBorders>
              <w:top w:val="single" w:color="000000" w:sz="4" w:space="0"/>
              <w:left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4</w:t>
            </w:r>
          </w:p>
        </w:tc>
        <w:tc>
          <w:tcPr>
            <w:tcW w:w="992" w:type="dxa"/>
            <w:vMerge w:val="restart"/>
            <w:tcBorders>
              <w:top w:val="single" w:color="000000" w:sz="4" w:space="0"/>
              <w:left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sz w:val="24"/>
                <w:szCs w:val="24"/>
                <w:highlight w:val="none"/>
                <w:lang w:bidi="ar"/>
              </w:rPr>
            </w:pPr>
            <w:r>
              <w:rPr>
                <w:rFonts w:hint="eastAsia" w:ascii="宋体" w:hAnsi="宋体" w:eastAsia="宋体" w:cs="宋体"/>
                <w:sz w:val="24"/>
                <w:szCs w:val="24"/>
                <w:highlight w:val="none"/>
                <w:lang w:bidi="ar"/>
              </w:rPr>
              <w:t>草坪</w:t>
            </w:r>
          </w:p>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（铺种及整理）</w:t>
            </w:r>
          </w:p>
        </w:tc>
        <w:tc>
          <w:tcPr>
            <w:tcW w:w="609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pStyle w:val="3"/>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草坪种类：早熟禾（美国优异草【品种，非好坏标准】）；</w:t>
            </w:r>
          </w:p>
          <w:p>
            <w:pPr>
              <w:pStyle w:val="3"/>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起挖前需修剪，修剪后长度12~15cm，草皮厚度不低于2cm；</w:t>
            </w:r>
          </w:p>
          <w:p>
            <w:pPr>
              <w:pStyle w:val="3"/>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草地边缘应易于辨识，低于路缘石不少于5cm;</w:t>
            </w:r>
          </w:p>
          <w:p>
            <w:pPr>
              <w:pStyle w:val="3"/>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草坪铺种前，应翻土（深度不低于20cm）、并平整场地，做到场地内无土块、无杂物，如场地有坡度，应顺应场地坡度进行平整；</w:t>
            </w:r>
          </w:p>
          <w:p>
            <w:pPr>
              <w:pStyle w:val="3"/>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草皮运输进场后，不允许过夜压车，当天运当天铺种；</w:t>
            </w:r>
          </w:p>
          <w:p>
            <w:pPr>
              <w:pStyle w:val="3"/>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各块草坪应做到无缝拼接，不允许互相搭接；</w:t>
            </w:r>
          </w:p>
          <w:p>
            <w:pPr>
              <w:pStyle w:val="3"/>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草坪密度不低于95%，目测看不到裸露地面，无病虫害（</w:t>
            </w:r>
            <w:r>
              <w:rPr>
                <w:rFonts w:hint="eastAsia" w:ascii="宋体" w:hAnsi="宋体" w:cs="宋体"/>
                <w:sz w:val="24"/>
                <w:szCs w:val="24"/>
                <w:highlight w:val="none"/>
                <w:lang w:eastAsia="zh-CN"/>
              </w:rPr>
              <w:t>成交供应商签订合同前需</w:t>
            </w:r>
            <w:r>
              <w:rPr>
                <w:rFonts w:hint="eastAsia" w:ascii="宋体" w:hAnsi="宋体" w:eastAsia="宋体" w:cs="宋体"/>
                <w:sz w:val="24"/>
                <w:szCs w:val="24"/>
                <w:highlight w:val="none"/>
              </w:rPr>
              <w:t>提供检疫报告）；</w:t>
            </w:r>
          </w:p>
          <w:p>
            <w:pPr>
              <w:pStyle w:val="3"/>
              <w:spacing w:line="360" w:lineRule="auto"/>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rPr>
              <w:t>草坪浇水后土壤压实，保持草坪平整，无空隙、无空鼓；</w:t>
            </w:r>
          </w:p>
        </w:tc>
        <w:tc>
          <w:tcPr>
            <w:tcW w:w="577" w:type="dxa"/>
            <w:vMerge w:val="restart"/>
            <w:tcBorders>
              <w:top w:val="single" w:color="000000" w:sz="4" w:space="0"/>
              <w:left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m</w:t>
            </w:r>
            <w:r>
              <w:rPr>
                <w:rFonts w:hint="eastAsia" w:ascii="宋体" w:hAnsi="宋体" w:eastAsia="宋体" w:cs="宋体"/>
                <w:sz w:val="24"/>
                <w:szCs w:val="24"/>
                <w:highlight w:val="none"/>
                <w:vertAlign w:val="superscript"/>
                <w:lang w:bidi="ar"/>
              </w:rPr>
              <w:t>2</w:t>
            </w:r>
          </w:p>
        </w:tc>
        <w:tc>
          <w:tcPr>
            <w:tcW w:w="658" w:type="dxa"/>
            <w:vMerge w:val="restart"/>
            <w:tcBorders>
              <w:top w:val="single" w:color="000000" w:sz="4" w:space="0"/>
              <w:left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3485</w:t>
            </w:r>
          </w:p>
        </w:tc>
        <w:tc>
          <w:tcPr>
            <w:tcW w:w="761"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p>
        </w:tc>
      </w:tr>
      <w:tr>
        <w:tblPrEx>
          <w:tblCellMar>
            <w:top w:w="0" w:type="dxa"/>
            <w:left w:w="0" w:type="dxa"/>
            <w:bottom w:w="0" w:type="dxa"/>
            <w:right w:w="0" w:type="dxa"/>
          </w:tblCellMar>
        </w:tblPrEx>
        <w:trPr>
          <w:trHeight w:val="1465" w:hRule="atLeast"/>
        </w:trPr>
        <w:tc>
          <w:tcPr>
            <w:tcW w:w="589" w:type="dxa"/>
            <w:vMerge w:val="continue"/>
            <w:tcBorders>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sz w:val="24"/>
                <w:szCs w:val="24"/>
                <w:highlight w:val="none"/>
                <w:lang w:bidi="ar"/>
              </w:rPr>
            </w:pPr>
          </w:p>
        </w:tc>
        <w:tc>
          <w:tcPr>
            <w:tcW w:w="992" w:type="dxa"/>
            <w:vMerge w:val="continue"/>
            <w:tcBorders>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sz w:val="24"/>
                <w:szCs w:val="24"/>
                <w:highlight w:val="none"/>
                <w:lang w:bidi="ar"/>
              </w:rPr>
            </w:pPr>
          </w:p>
        </w:tc>
        <w:tc>
          <w:tcPr>
            <w:tcW w:w="609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textAlignment w:val="center"/>
              <w:rPr>
                <w:rFonts w:hint="eastAsia" w:ascii="宋体" w:hAnsi="宋体" w:eastAsia="宋体" w:cs="宋体"/>
                <w:sz w:val="24"/>
                <w:szCs w:val="24"/>
                <w:highlight w:val="none"/>
                <w:lang w:val="en-US" w:eastAsia="zh-CN" w:bidi="ar"/>
              </w:rPr>
            </w:pPr>
            <w:r>
              <w:rPr>
                <w:rFonts w:hint="eastAsia" w:ascii="宋体" w:hAnsi="宋体" w:eastAsia="宋体" w:cs="宋体"/>
                <w:sz w:val="24"/>
                <w:szCs w:val="24"/>
                <w:highlight w:val="none"/>
                <w:lang w:val="en-US" w:eastAsia="zh-CN" w:bidi="ar"/>
              </w:rPr>
              <w:t>整理范围：30cm高差以内平整绿化地面至设计坡度要求，同时清除碎石及杂草杂物；</w:t>
            </w:r>
          </w:p>
          <w:p>
            <w:pPr>
              <w:spacing w:line="400" w:lineRule="exact"/>
              <w:rPr>
                <w:rFonts w:hint="eastAsia" w:ascii="宋体" w:hAnsi="宋体" w:eastAsia="宋体" w:cs="宋体"/>
                <w:sz w:val="24"/>
                <w:szCs w:val="24"/>
                <w:highlight w:val="none"/>
                <w:lang w:val="en-US" w:eastAsia="zh-CN" w:bidi="ar"/>
              </w:rPr>
            </w:pPr>
            <w:r>
              <w:rPr>
                <w:rFonts w:hint="eastAsia" w:ascii="宋体" w:hAnsi="宋体" w:eastAsia="宋体" w:cs="宋体"/>
                <w:sz w:val="24"/>
                <w:szCs w:val="24"/>
                <w:highlight w:val="none"/>
                <w:lang w:val="en-US" w:eastAsia="zh-CN" w:bidi="ar"/>
              </w:rPr>
              <w:t>找平找坡要求：绿地地形根据竖向控制要求整理，所有靠近路边、路牙线50~100cm宽以内的绿地或花池地面应低于路边、路牙或花池5cm，并在作地面处理时应将地面水引至集水口，绿地地形处理除满足景观要求外，还应考虑将地面水最终集水至市政管网排走。草坪铺装需更换种植土，厚度不少于15CM，土层内无明显结块，满足草坪土壤生长环境。</w:t>
            </w:r>
          </w:p>
          <w:p>
            <w:pPr>
              <w:pStyle w:val="3"/>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bidi="ar"/>
              </w:rPr>
              <w:t>质保期内，投标人负责免费定期养护草坪，包括浇水、剪草、施肥、用药等，确保成活。</w:t>
            </w:r>
          </w:p>
        </w:tc>
        <w:tc>
          <w:tcPr>
            <w:tcW w:w="577" w:type="dxa"/>
            <w:vMerge w:val="continue"/>
            <w:tcBorders>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sz w:val="24"/>
                <w:szCs w:val="24"/>
                <w:highlight w:val="none"/>
                <w:lang w:bidi="ar"/>
              </w:rPr>
            </w:pPr>
          </w:p>
        </w:tc>
        <w:tc>
          <w:tcPr>
            <w:tcW w:w="658" w:type="dxa"/>
            <w:vMerge w:val="continue"/>
            <w:tcBorders>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sz w:val="24"/>
                <w:szCs w:val="24"/>
                <w:highlight w:val="none"/>
                <w:lang w:bidi="ar"/>
              </w:rPr>
            </w:pPr>
          </w:p>
        </w:tc>
        <w:tc>
          <w:tcPr>
            <w:tcW w:w="761"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p>
        </w:tc>
      </w:tr>
      <w:tr>
        <w:tblPrEx>
          <w:tblCellMar>
            <w:top w:w="0" w:type="dxa"/>
            <w:left w:w="0" w:type="dxa"/>
            <w:bottom w:w="0" w:type="dxa"/>
            <w:right w:w="0" w:type="dxa"/>
          </w:tblCellMar>
        </w:tblPrEx>
        <w:trPr>
          <w:trHeight w:val="1417" w:hRule="atLeast"/>
        </w:trPr>
        <w:tc>
          <w:tcPr>
            <w:tcW w:w="589"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5</w:t>
            </w:r>
          </w:p>
        </w:tc>
        <w:tc>
          <w:tcPr>
            <w:tcW w:w="99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粉花绣线菊</w:t>
            </w:r>
          </w:p>
        </w:tc>
        <w:tc>
          <w:tcPr>
            <w:tcW w:w="609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pStyle w:val="3"/>
              <w:spacing w:line="360" w:lineRule="auto"/>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采购规格：株高≥1.5m、冠幅≥1.5m、枝条数不少于15个；移植苗木</w:t>
            </w:r>
            <w:r>
              <w:rPr>
                <w:rFonts w:hint="eastAsia" w:ascii="宋体" w:hAnsi="宋体" w:eastAsia="宋体" w:cs="宋体"/>
                <w:snapToGrid w:val="0"/>
                <w:sz w:val="24"/>
                <w:szCs w:val="24"/>
                <w:highlight w:val="none"/>
                <w:lang w:bidi="ar"/>
              </w:rPr>
              <w:t>土球直径</w:t>
            </w:r>
            <w:r>
              <w:rPr>
                <w:rFonts w:hint="eastAsia" w:ascii="宋体" w:hAnsi="宋体" w:eastAsia="宋体" w:cs="宋体"/>
                <w:sz w:val="24"/>
                <w:szCs w:val="24"/>
                <w:highlight w:val="none"/>
                <w:lang w:bidi="ar"/>
              </w:rPr>
              <w:t>≥0.6米、土厚度不小于直径的4/5</w:t>
            </w:r>
            <w:r>
              <w:rPr>
                <w:rFonts w:hint="eastAsia" w:ascii="宋体" w:hAnsi="宋体" w:eastAsia="宋体" w:cs="宋体"/>
                <w:snapToGrid w:val="0"/>
                <w:sz w:val="24"/>
                <w:szCs w:val="24"/>
                <w:highlight w:val="none"/>
                <w:lang w:bidi="ar"/>
              </w:rPr>
              <w:t>，</w:t>
            </w:r>
            <w:r>
              <w:rPr>
                <w:rFonts w:hint="eastAsia" w:ascii="宋体" w:hAnsi="宋体" w:eastAsia="宋体" w:cs="宋体"/>
                <w:sz w:val="24"/>
                <w:szCs w:val="24"/>
                <w:highlight w:val="none"/>
                <w:lang w:bidi="ar"/>
              </w:rPr>
              <w:t>大树土球还应视情况适当加大，应尽量包住树木主根系</w:t>
            </w:r>
            <w:r>
              <w:rPr>
                <w:rFonts w:hint="eastAsia" w:ascii="宋体" w:hAnsi="宋体" w:cs="宋体"/>
                <w:sz w:val="24"/>
                <w:szCs w:val="24"/>
                <w:highlight w:val="none"/>
                <w:lang w:eastAsia="zh-CN" w:bidi="ar"/>
              </w:rPr>
              <w:t>，</w:t>
            </w:r>
            <w:r>
              <w:rPr>
                <w:rFonts w:hint="eastAsia" w:ascii="宋体" w:hAnsi="宋体" w:eastAsia="宋体" w:cs="宋体"/>
                <w:snapToGrid w:val="0"/>
                <w:sz w:val="24"/>
                <w:szCs w:val="24"/>
                <w:highlight w:val="none"/>
                <w:lang w:bidi="ar"/>
              </w:rPr>
              <w:t>土球完好；苗木为圃地苗，</w:t>
            </w:r>
            <w:r>
              <w:rPr>
                <w:rFonts w:hint="eastAsia" w:ascii="宋体" w:hAnsi="宋体" w:eastAsia="宋体" w:cs="宋体"/>
                <w:sz w:val="24"/>
                <w:szCs w:val="24"/>
                <w:highlight w:val="none"/>
                <w:lang w:bidi="ar"/>
              </w:rPr>
              <w:t>枝条饱满无破损，无折枝，无病虫害。</w:t>
            </w:r>
          </w:p>
        </w:tc>
        <w:tc>
          <w:tcPr>
            <w:tcW w:w="577"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株</w:t>
            </w:r>
          </w:p>
        </w:tc>
        <w:tc>
          <w:tcPr>
            <w:tcW w:w="658"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6</w:t>
            </w:r>
          </w:p>
        </w:tc>
        <w:tc>
          <w:tcPr>
            <w:tcW w:w="761"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p>
        </w:tc>
      </w:tr>
      <w:tr>
        <w:tblPrEx>
          <w:tblCellMar>
            <w:top w:w="0" w:type="dxa"/>
            <w:left w:w="0" w:type="dxa"/>
            <w:bottom w:w="0" w:type="dxa"/>
            <w:right w:w="0" w:type="dxa"/>
          </w:tblCellMar>
        </w:tblPrEx>
        <w:trPr>
          <w:trHeight w:val="1225" w:hRule="atLeast"/>
        </w:trPr>
        <w:tc>
          <w:tcPr>
            <w:tcW w:w="589"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6</w:t>
            </w:r>
          </w:p>
        </w:tc>
        <w:tc>
          <w:tcPr>
            <w:tcW w:w="99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文冠果</w:t>
            </w:r>
          </w:p>
        </w:tc>
        <w:tc>
          <w:tcPr>
            <w:tcW w:w="609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pStyle w:val="3"/>
              <w:spacing w:line="360" w:lineRule="auto"/>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采购规格：株高≥2.5m、冠幅≥2.5m、枝条数不少于15个；移植苗木</w:t>
            </w:r>
            <w:r>
              <w:rPr>
                <w:rFonts w:hint="eastAsia" w:ascii="宋体" w:hAnsi="宋体" w:eastAsia="宋体" w:cs="宋体"/>
                <w:snapToGrid w:val="0"/>
                <w:sz w:val="24"/>
                <w:szCs w:val="24"/>
                <w:highlight w:val="none"/>
                <w:lang w:bidi="ar"/>
              </w:rPr>
              <w:t>土球直径</w:t>
            </w:r>
            <w:r>
              <w:rPr>
                <w:rFonts w:hint="eastAsia" w:ascii="宋体" w:hAnsi="宋体" w:eastAsia="宋体" w:cs="宋体"/>
                <w:sz w:val="24"/>
                <w:szCs w:val="24"/>
                <w:highlight w:val="none"/>
                <w:lang w:bidi="ar"/>
              </w:rPr>
              <w:t>≥0.7米、土厚度不小于直径的4/5</w:t>
            </w:r>
            <w:r>
              <w:rPr>
                <w:rFonts w:hint="eastAsia" w:ascii="宋体" w:hAnsi="宋体" w:eastAsia="宋体" w:cs="宋体"/>
                <w:snapToGrid w:val="0"/>
                <w:sz w:val="24"/>
                <w:szCs w:val="24"/>
                <w:highlight w:val="none"/>
                <w:lang w:bidi="ar"/>
              </w:rPr>
              <w:t>，</w:t>
            </w:r>
            <w:r>
              <w:rPr>
                <w:rFonts w:hint="eastAsia" w:ascii="宋体" w:hAnsi="宋体" w:eastAsia="宋体" w:cs="宋体"/>
                <w:sz w:val="24"/>
                <w:szCs w:val="24"/>
                <w:highlight w:val="none"/>
                <w:lang w:bidi="ar"/>
              </w:rPr>
              <w:t>大树土球还应视情况适当加大，应尽量包住树木主根系，</w:t>
            </w:r>
            <w:r>
              <w:rPr>
                <w:rFonts w:hint="eastAsia" w:ascii="宋体" w:hAnsi="宋体" w:eastAsia="宋体" w:cs="宋体"/>
                <w:snapToGrid w:val="0"/>
                <w:sz w:val="24"/>
                <w:szCs w:val="24"/>
                <w:highlight w:val="none"/>
                <w:lang w:bidi="ar"/>
              </w:rPr>
              <w:t>土球完好；苗木为圃地苗，</w:t>
            </w:r>
            <w:r>
              <w:rPr>
                <w:rFonts w:hint="eastAsia" w:ascii="宋体" w:hAnsi="宋体" w:eastAsia="宋体" w:cs="宋体"/>
                <w:sz w:val="24"/>
                <w:szCs w:val="24"/>
                <w:highlight w:val="none"/>
                <w:lang w:bidi="ar"/>
              </w:rPr>
              <w:t>枝条饱满无破损，无折枝，无病虫害。</w:t>
            </w:r>
          </w:p>
        </w:tc>
        <w:tc>
          <w:tcPr>
            <w:tcW w:w="577"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株</w:t>
            </w:r>
          </w:p>
        </w:tc>
        <w:tc>
          <w:tcPr>
            <w:tcW w:w="658"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14</w:t>
            </w:r>
          </w:p>
        </w:tc>
        <w:tc>
          <w:tcPr>
            <w:tcW w:w="761"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p>
        </w:tc>
      </w:tr>
      <w:tr>
        <w:tblPrEx>
          <w:tblCellMar>
            <w:top w:w="0" w:type="dxa"/>
            <w:left w:w="0" w:type="dxa"/>
            <w:bottom w:w="0" w:type="dxa"/>
            <w:right w:w="0" w:type="dxa"/>
          </w:tblCellMar>
        </w:tblPrEx>
        <w:trPr>
          <w:trHeight w:val="90" w:hRule="atLeast"/>
        </w:trPr>
        <w:tc>
          <w:tcPr>
            <w:tcW w:w="589"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7</w:t>
            </w:r>
          </w:p>
        </w:tc>
        <w:tc>
          <w:tcPr>
            <w:tcW w:w="99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花楸</w:t>
            </w:r>
          </w:p>
        </w:tc>
        <w:tc>
          <w:tcPr>
            <w:tcW w:w="609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pStyle w:val="3"/>
              <w:spacing w:line="360" w:lineRule="auto"/>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采购规格：</w:t>
            </w:r>
            <w:r>
              <w:rPr>
                <w:rFonts w:hint="eastAsia" w:ascii="宋体" w:hAnsi="宋体" w:eastAsia="宋体" w:cs="宋体"/>
                <w:snapToGrid w:val="0"/>
                <w:sz w:val="24"/>
                <w:szCs w:val="24"/>
                <w:highlight w:val="none"/>
                <w:lang w:bidi="ar"/>
              </w:rPr>
              <w:t>胸径</w:t>
            </w:r>
            <w:r>
              <w:rPr>
                <w:rFonts w:hint="eastAsia" w:ascii="宋体" w:hAnsi="宋体" w:eastAsia="宋体" w:cs="宋体"/>
                <w:sz w:val="24"/>
                <w:szCs w:val="24"/>
                <w:highlight w:val="none"/>
                <w:lang w:bidi="ar"/>
              </w:rPr>
              <w:t xml:space="preserve">6-7cm </w:t>
            </w:r>
            <w:r>
              <w:rPr>
                <w:rFonts w:hint="eastAsia" w:ascii="宋体" w:hAnsi="宋体" w:eastAsia="宋体" w:cs="宋体"/>
                <w:snapToGrid w:val="0"/>
                <w:sz w:val="24"/>
                <w:szCs w:val="24"/>
                <w:highlight w:val="none"/>
                <w:lang w:bidi="ar"/>
              </w:rPr>
              <w:t>、株高</w:t>
            </w:r>
            <w:r>
              <w:rPr>
                <w:rFonts w:hint="eastAsia" w:ascii="宋体" w:hAnsi="宋体" w:eastAsia="宋体" w:cs="宋体"/>
                <w:sz w:val="24"/>
                <w:szCs w:val="24"/>
                <w:highlight w:val="none"/>
                <w:lang w:bidi="ar"/>
              </w:rPr>
              <w:t>≥4.5米</w:t>
            </w:r>
            <w:r>
              <w:rPr>
                <w:rFonts w:hint="eastAsia" w:ascii="宋体" w:hAnsi="宋体" w:eastAsia="宋体" w:cs="宋体"/>
                <w:snapToGrid w:val="0"/>
                <w:sz w:val="24"/>
                <w:szCs w:val="24"/>
                <w:highlight w:val="none"/>
                <w:lang w:bidi="ar"/>
              </w:rPr>
              <w:t>、冠幅</w:t>
            </w:r>
            <w:r>
              <w:rPr>
                <w:rFonts w:hint="eastAsia" w:ascii="宋体" w:hAnsi="宋体" w:eastAsia="宋体" w:cs="宋体"/>
                <w:sz w:val="24"/>
                <w:szCs w:val="24"/>
                <w:highlight w:val="none"/>
                <w:lang w:bidi="ar"/>
              </w:rPr>
              <w:t>≥3米、分支点1.2-1.5米；移植苗木</w:t>
            </w:r>
            <w:r>
              <w:rPr>
                <w:rFonts w:hint="eastAsia" w:ascii="宋体" w:hAnsi="宋体" w:eastAsia="宋体" w:cs="宋体"/>
                <w:snapToGrid w:val="0"/>
                <w:sz w:val="24"/>
                <w:szCs w:val="24"/>
                <w:highlight w:val="none"/>
                <w:lang w:bidi="ar"/>
              </w:rPr>
              <w:t>土球直径</w:t>
            </w:r>
            <w:r>
              <w:rPr>
                <w:rFonts w:hint="eastAsia" w:ascii="宋体" w:hAnsi="宋体" w:eastAsia="宋体" w:cs="宋体"/>
                <w:sz w:val="24"/>
                <w:szCs w:val="24"/>
                <w:highlight w:val="none"/>
                <w:lang w:bidi="ar"/>
              </w:rPr>
              <w:t>≥0.6米</w:t>
            </w:r>
            <w:r>
              <w:rPr>
                <w:rFonts w:hint="eastAsia" w:ascii="宋体" w:hAnsi="宋体" w:eastAsia="宋体" w:cs="宋体"/>
                <w:snapToGrid w:val="0"/>
                <w:sz w:val="24"/>
                <w:szCs w:val="24"/>
                <w:highlight w:val="none"/>
                <w:lang w:bidi="ar"/>
              </w:rPr>
              <w:t>，</w:t>
            </w:r>
            <w:r>
              <w:rPr>
                <w:rFonts w:hint="eastAsia" w:ascii="宋体" w:hAnsi="宋体" w:eastAsia="宋体" w:cs="宋体"/>
                <w:sz w:val="24"/>
                <w:szCs w:val="24"/>
                <w:highlight w:val="none"/>
                <w:lang w:bidi="ar"/>
              </w:rPr>
              <w:t>土厚度不小于直径的4/5，</w:t>
            </w:r>
            <w:r>
              <w:rPr>
                <w:rFonts w:hint="eastAsia" w:ascii="宋体" w:hAnsi="宋体" w:eastAsia="宋体" w:cs="宋体"/>
                <w:snapToGrid w:val="0"/>
                <w:sz w:val="24"/>
                <w:szCs w:val="24"/>
                <w:highlight w:val="none"/>
                <w:lang w:bidi="ar"/>
              </w:rPr>
              <w:t>土球完好。苗木为圃地苗，</w:t>
            </w:r>
            <w:r>
              <w:rPr>
                <w:rFonts w:hint="eastAsia" w:ascii="宋体" w:hAnsi="宋体" w:eastAsia="宋体" w:cs="宋体"/>
                <w:sz w:val="24"/>
                <w:szCs w:val="24"/>
                <w:highlight w:val="none"/>
                <w:lang w:bidi="ar"/>
              </w:rPr>
              <w:t>树皮光滑无开裂，主干清晰、树冠饱满无折枝，无病虫害。</w:t>
            </w:r>
          </w:p>
        </w:tc>
        <w:tc>
          <w:tcPr>
            <w:tcW w:w="577"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株</w:t>
            </w:r>
          </w:p>
        </w:tc>
        <w:tc>
          <w:tcPr>
            <w:tcW w:w="658"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3</w:t>
            </w:r>
          </w:p>
        </w:tc>
        <w:tc>
          <w:tcPr>
            <w:tcW w:w="761"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p>
        </w:tc>
      </w:tr>
      <w:tr>
        <w:tblPrEx>
          <w:tblCellMar>
            <w:top w:w="0" w:type="dxa"/>
            <w:left w:w="0" w:type="dxa"/>
            <w:bottom w:w="0" w:type="dxa"/>
            <w:right w:w="0" w:type="dxa"/>
          </w:tblCellMar>
        </w:tblPrEx>
        <w:trPr>
          <w:trHeight w:val="498" w:hRule="atLeast"/>
        </w:trPr>
        <w:tc>
          <w:tcPr>
            <w:tcW w:w="589"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8</w:t>
            </w:r>
          </w:p>
        </w:tc>
        <w:tc>
          <w:tcPr>
            <w:tcW w:w="99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榆叶梅</w:t>
            </w:r>
          </w:p>
        </w:tc>
        <w:tc>
          <w:tcPr>
            <w:tcW w:w="609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pStyle w:val="3"/>
              <w:spacing w:line="360" w:lineRule="auto"/>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采购规格：株高≥2.5m、冠幅≥2.5m、枝条数不少于30个；移植苗木</w:t>
            </w:r>
            <w:r>
              <w:rPr>
                <w:rFonts w:hint="eastAsia" w:ascii="宋体" w:hAnsi="宋体" w:eastAsia="宋体" w:cs="宋体"/>
                <w:snapToGrid w:val="0"/>
                <w:sz w:val="24"/>
                <w:szCs w:val="24"/>
                <w:highlight w:val="none"/>
                <w:lang w:bidi="ar"/>
              </w:rPr>
              <w:t>土球直径</w:t>
            </w:r>
            <w:r>
              <w:rPr>
                <w:rFonts w:hint="eastAsia" w:ascii="宋体" w:hAnsi="宋体" w:eastAsia="宋体" w:cs="宋体"/>
                <w:sz w:val="24"/>
                <w:szCs w:val="24"/>
                <w:highlight w:val="none"/>
                <w:lang w:bidi="ar"/>
              </w:rPr>
              <w:t>≥0.7米、土厚度不小于直径的4/5</w:t>
            </w:r>
            <w:r>
              <w:rPr>
                <w:rFonts w:hint="eastAsia" w:ascii="宋体" w:hAnsi="宋体" w:eastAsia="宋体" w:cs="宋体"/>
                <w:snapToGrid w:val="0"/>
                <w:sz w:val="24"/>
                <w:szCs w:val="24"/>
                <w:highlight w:val="none"/>
                <w:lang w:bidi="ar"/>
              </w:rPr>
              <w:t>，</w:t>
            </w:r>
            <w:r>
              <w:rPr>
                <w:rFonts w:hint="eastAsia" w:ascii="宋体" w:hAnsi="宋体" w:eastAsia="宋体" w:cs="宋体"/>
                <w:sz w:val="24"/>
                <w:szCs w:val="24"/>
                <w:highlight w:val="none"/>
                <w:lang w:bidi="ar"/>
              </w:rPr>
              <w:t>大树土球还应视情况适当加大，应尽量包住树木主根系，</w:t>
            </w:r>
            <w:r>
              <w:rPr>
                <w:rFonts w:hint="eastAsia" w:ascii="宋体" w:hAnsi="宋体" w:eastAsia="宋体" w:cs="宋体"/>
                <w:snapToGrid w:val="0"/>
                <w:sz w:val="24"/>
                <w:szCs w:val="24"/>
                <w:highlight w:val="none"/>
                <w:lang w:bidi="ar"/>
              </w:rPr>
              <w:t>土球完好；苗木为圃地苗，</w:t>
            </w:r>
            <w:r>
              <w:rPr>
                <w:rFonts w:hint="eastAsia" w:ascii="宋体" w:hAnsi="宋体" w:eastAsia="宋体" w:cs="宋体"/>
                <w:sz w:val="24"/>
                <w:szCs w:val="24"/>
                <w:highlight w:val="none"/>
                <w:lang w:bidi="ar"/>
              </w:rPr>
              <w:t>枝条饱满无破损，无折枝，无病虫害。</w:t>
            </w:r>
          </w:p>
        </w:tc>
        <w:tc>
          <w:tcPr>
            <w:tcW w:w="577"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株</w:t>
            </w:r>
          </w:p>
        </w:tc>
        <w:tc>
          <w:tcPr>
            <w:tcW w:w="658"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3</w:t>
            </w:r>
          </w:p>
        </w:tc>
        <w:tc>
          <w:tcPr>
            <w:tcW w:w="761"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p>
        </w:tc>
      </w:tr>
      <w:tr>
        <w:tblPrEx>
          <w:tblCellMar>
            <w:top w:w="0" w:type="dxa"/>
            <w:left w:w="0" w:type="dxa"/>
            <w:bottom w:w="0" w:type="dxa"/>
            <w:right w:w="0" w:type="dxa"/>
          </w:tblCellMar>
        </w:tblPrEx>
        <w:trPr>
          <w:trHeight w:val="980" w:hRule="atLeast"/>
        </w:trPr>
        <w:tc>
          <w:tcPr>
            <w:tcW w:w="589"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9</w:t>
            </w:r>
          </w:p>
        </w:tc>
        <w:tc>
          <w:tcPr>
            <w:tcW w:w="99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红丁香</w:t>
            </w:r>
          </w:p>
        </w:tc>
        <w:tc>
          <w:tcPr>
            <w:tcW w:w="609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采购规格：株高≥3.0m、冠幅≥2.5m、枝条数不少于40个；移植苗木</w:t>
            </w:r>
            <w:r>
              <w:rPr>
                <w:rFonts w:hint="eastAsia" w:ascii="宋体" w:hAnsi="宋体" w:eastAsia="宋体" w:cs="宋体"/>
                <w:snapToGrid w:val="0"/>
                <w:sz w:val="24"/>
                <w:szCs w:val="24"/>
                <w:highlight w:val="none"/>
                <w:lang w:bidi="ar"/>
              </w:rPr>
              <w:t>土球直径</w:t>
            </w:r>
            <w:r>
              <w:rPr>
                <w:rFonts w:hint="eastAsia" w:ascii="宋体" w:hAnsi="宋体" w:eastAsia="宋体" w:cs="宋体"/>
                <w:sz w:val="24"/>
                <w:szCs w:val="24"/>
                <w:highlight w:val="none"/>
                <w:lang w:bidi="ar"/>
              </w:rPr>
              <w:t>≥0.8米、土厚度不小于直径的4/5</w:t>
            </w:r>
            <w:r>
              <w:rPr>
                <w:rFonts w:hint="eastAsia" w:ascii="宋体" w:hAnsi="宋体" w:eastAsia="宋体" w:cs="宋体"/>
                <w:snapToGrid w:val="0"/>
                <w:sz w:val="24"/>
                <w:szCs w:val="24"/>
                <w:highlight w:val="none"/>
                <w:lang w:bidi="ar"/>
              </w:rPr>
              <w:t>，</w:t>
            </w:r>
            <w:r>
              <w:rPr>
                <w:rFonts w:hint="eastAsia" w:ascii="宋体" w:hAnsi="宋体" w:eastAsia="宋体" w:cs="宋体"/>
                <w:sz w:val="24"/>
                <w:szCs w:val="24"/>
                <w:highlight w:val="none"/>
                <w:lang w:bidi="ar"/>
              </w:rPr>
              <w:t>大树土球还应视情况适当加大，应尽量包住树木主根系，</w:t>
            </w:r>
            <w:r>
              <w:rPr>
                <w:rFonts w:hint="eastAsia" w:ascii="宋体" w:hAnsi="宋体" w:eastAsia="宋体" w:cs="宋体"/>
                <w:snapToGrid w:val="0"/>
                <w:sz w:val="24"/>
                <w:szCs w:val="24"/>
                <w:highlight w:val="none"/>
                <w:lang w:bidi="ar"/>
              </w:rPr>
              <w:t>土球完好；苗木为圃地苗，</w:t>
            </w:r>
            <w:r>
              <w:rPr>
                <w:rFonts w:hint="eastAsia" w:ascii="宋体" w:hAnsi="宋体" w:eastAsia="宋体" w:cs="宋体"/>
                <w:sz w:val="24"/>
                <w:szCs w:val="24"/>
                <w:highlight w:val="none"/>
                <w:lang w:bidi="ar"/>
              </w:rPr>
              <w:t>枝条饱满无破损，无折枝，无病虫害。</w:t>
            </w:r>
          </w:p>
        </w:tc>
        <w:tc>
          <w:tcPr>
            <w:tcW w:w="577"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株</w:t>
            </w:r>
          </w:p>
        </w:tc>
        <w:tc>
          <w:tcPr>
            <w:tcW w:w="658"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43</w:t>
            </w:r>
          </w:p>
        </w:tc>
        <w:tc>
          <w:tcPr>
            <w:tcW w:w="761"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p>
        </w:tc>
      </w:tr>
      <w:tr>
        <w:tblPrEx>
          <w:tblCellMar>
            <w:top w:w="0" w:type="dxa"/>
            <w:left w:w="0" w:type="dxa"/>
            <w:bottom w:w="0" w:type="dxa"/>
            <w:right w:w="0" w:type="dxa"/>
          </w:tblCellMar>
        </w:tblPrEx>
        <w:trPr>
          <w:trHeight w:val="90" w:hRule="atLeast"/>
        </w:trPr>
        <w:tc>
          <w:tcPr>
            <w:tcW w:w="589"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10</w:t>
            </w:r>
          </w:p>
        </w:tc>
        <w:tc>
          <w:tcPr>
            <w:tcW w:w="99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白丁香</w:t>
            </w:r>
          </w:p>
        </w:tc>
        <w:tc>
          <w:tcPr>
            <w:tcW w:w="609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采购规格：株高≥3.0m、冠幅≥2.5m、枝条数不少于40个；移植苗木</w:t>
            </w:r>
            <w:r>
              <w:rPr>
                <w:rFonts w:hint="eastAsia" w:ascii="宋体" w:hAnsi="宋体" w:eastAsia="宋体" w:cs="宋体"/>
                <w:snapToGrid w:val="0"/>
                <w:sz w:val="24"/>
                <w:szCs w:val="24"/>
                <w:highlight w:val="none"/>
                <w:lang w:bidi="ar"/>
              </w:rPr>
              <w:t>土球直径</w:t>
            </w:r>
            <w:r>
              <w:rPr>
                <w:rFonts w:hint="eastAsia" w:ascii="宋体" w:hAnsi="宋体" w:eastAsia="宋体" w:cs="宋体"/>
                <w:sz w:val="24"/>
                <w:szCs w:val="24"/>
                <w:highlight w:val="none"/>
                <w:lang w:bidi="ar"/>
              </w:rPr>
              <w:t>≥0.8米、土厚度不小于直径的4/5</w:t>
            </w:r>
            <w:r>
              <w:rPr>
                <w:rFonts w:hint="eastAsia" w:ascii="宋体" w:hAnsi="宋体" w:eastAsia="宋体" w:cs="宋体"/>
                <w:snapToGrid w:val="0"/>
                <w:sz w:val="24"/>
                <w:szCs w:val="24"/>
                <w:highlight w:val="none"/>
                <w:lang w:bidi="ar"/>
              </w:rPr>
              <w:t>，</w:t>
            </w:r>
            <w:r>
              <w:rPr>
                <w:rFonts w:hint="eastAsia" w:ascii="宋体" w:hAnsi="宋体" w:eastAsia="宋体" w:cs="宋体"/>
                <w:i w:val="0"/>
                <w:iCs w:val="0"/>
                <w:sz w:val="24"/>
                <w:szCs w:val="24"/>
                <w:highlight w:val="none"/>
                <w:lang w:bidi="ar"/>
              </w:rPr>
              <w:t>大树土球还应视情况适当加大，应尽量包住树木主根系</w:t>
            </w:r>
            <w:r>
              <w:rPr>
                <w:rFonts w:hint="eastAsia" w:ascii="宋体" w:hAnsi="宋体" w:eastAsia="宋体" w:cs="宋体"/>
                <w:sz w:val="24"/>
                <w:szCs w:val="24"/>
                <w:highlight w:val="none"/>
                <w:lang w:bidi="ar"/>
              </w:rPr>
              <w:t>，</w:t>
            </w:r>
            <w:r>
              <w:rPr>
                <w:rFonts w:hint="eastAsia" w:ascii="宋体" w:hAnsi="宋体" w:eastAsia="宋体" w:cs="宋体"/>
                <w:snapToGrid w:val="0"/>
                <w:sz w:val="24"/>
                <w:szCs w:val="24"/>
                <w:highlight w:val="none"/>
                <w:lang w:bidi="ar"/>
              </w:rPr>
              <w:t>土球完好；苗木为圃地苗，</w:t>
            </w:r>
            <w:r>
              <w:rPr>
                <w:rFonts w:hint="eastAsia" w:ascii="宋体" w:hAnsi="宋体" w:eastAsia="宋体" w:cs="宋体"/>
                <w:sz w:val="24"/>
                <w:szCs w:val="24"/>
                <w:highlight w:val="none"/>
                <w:lang w:bidi="ar"/>
              </w:rPr>
              <w:t>枝条饱满无破损，无折枝，无病虫害。</w:t>
            </w:r>
          </w:p>
        </w:tc>
        <w:tc>
          <w:tcPr>
            <w:tcW w:w="577"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株</w:t>
            </w:r>
          </w:p>
        </w:tc>
        <w:tc>
          <w:tcPr>
            <w:tcW w:w="658"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r>
              <w:rPr>
                <w:rFonts w:hint="eastAsia" w:ascii="宋体" w:hAnsi="宋体" w:eastAsia="宋体" w:cs="宋体"/>
                <w:sz w:val="24"/>
                <w:szCs w:val="24"/>
                <w:highlight w:val="none"/>
                <w:lang w:bidi="ar"/>
              </w:rPr>
              <w:t>41</w:t>
            </w:r>
          </w:p>
        </w:tc>
        <w:tc>
          <w:tcPr>
            <w:tcW w:w="761"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p>
        </w:tc>
        <w:tc>
          <w:tcPr>
            <w:tcW w:w="762" w:type="dxa"/>
            <w:tcBorders>
              <w:top w:val="single" w:color="000000" w:sz="4" w:space="0"/>
              <w:left w:val="single" w:color="000000" w:sz="4" w:space="0"/>
              <w:bottom w:val="single" w:color="000000" w:sz="4" w:space="0"/>
              <w:right w:val="single" w:color="000000" w:sz="4" w:space="0"/>
            </w:tcBorders>
            <w:shd w:val="clear" w:color="FFFFFF" w:fill="FFFFFF"/>
            <w:noWrap w:val="0"/>
            <w:tcMar>
              <w:top w:w="12" w:type="dxa"/>
              <w:left w:w="12" w:type="dxa"/>
              <w:right w:w="12" w:type="dxa"/>
            </w:tcMar>
            <w:vAlign w:val="center"/>
          </w:tcPr>
          <w:p>
            <w:pPr>
              <w:spacing w:line="360" w:lineRule="auto"/>
              <w:jc w:val="center"/>
              <w:textAlignment w:val="center"/>
              <w:rPr>
                <w:rFonts w:hint="eastAsia" w:ascii="宋体" w:hAnsi="宋体" w:eastAsia="宋体" w:cs="宋体"/>
                <w:kern w:val="0"/>
                <w:sz w:val="24"/>
                <w:szCs w:val="24"/>
                <w:highlight w:val="none"/>
                <w:lang w:bidi="ar"/>
              </w:rPr>
            </w:pPr>
          </w:p>
        </w:tc>
      </w:tr>
    </w:tbl>
    <w:p>
      <w:pPr>
        <w:spacing w:line="360" w:lineRule="auto"/>
        <w:ind w:firstLine="420"/>
        <w:jc w:val="left"/>
        <w:rPr>
          <w:rFonts w:hint="eastAsia" w:cs="宋体"/>
          <w:b/>
          <w:bCs/>
          <w:szCs w:val="21"/>
          <w:highlight w:val="none"/>
        </w:rPr>
      </w:pPr>
      <w:r>
        <w:rPr>
          <w:rFonts w:hint="eastAsia" w:ascii="宋体" w:hAnsi="宋体" w:eastAsia="宋体" w:cs="宋体"/>
          <w:b/>
          <w:bCs/>
          <w:sz w:val="24"/>
          <w:szCs w:val="24"/>
          <w:highlight w:val="none"/>
        </w:rPr>
        <w:t>注：丁香种植规格，不得低于已于正心路、法院街种植的样板路段</w:t>
      </w:r>
      <w:r>
        <w:rPr>
          <w:rFonts w:hint="eastAsia" w:ascii="宋体" w:hAnsi="宋体" w:cs="宋体"/>
          <w:b/>
          <w:bCs/>
          <w:sz w:val="24"/>
          <w:szCs w:val="24"/>
          <w:highlight w:val="none"/>
          <w:lang w:eastAsia="zh-CN"/>
        </w:rPr>
        <w:t>（现场踏勘会踏勘样板路段）</w:t>
      </w:r>
      <w:r>
        <w:rPr>
          <w:rFonts w:hint="eastAsia" w:ascii="宋体" w:hAnsi="宋体" w:eastAsia="宋体" w:cs="宋体"/>
          <w:b/>
          <w:bCs/>
          <w:sz w:val="24"/>
          <w:szCs w:val="24"/>
          <w:highlight w:val="none"/>
        </w:rPr>
        <w:t>。另外，校园内情况复杂，供应商实地踏勘时应充分了解校园内交通、学校活动、噪声等各种不利因素，请供应商报价时充分考虑上述不利因素而产生的各项附加费用，以上情况均被视为包含在本次苗木报价中。</w:t>
      </w:r>
      <w:r>
        <w:rPr>
          <w:rFonts w:hint="eastAsia" w:ascii="宋体" w:hAnsi="宋体" w:cs="宋体"/>
          <w:b/>
          <w:bCs/>
          <w:sz w:val="24"/>
          <w:szCs w:val="24"/>
          <w:highlight w:val="none"/>
          <w:lang w:eastAsia="zh-CN"/>
        </w:rPr>
        <w:t>本项目不设置单价控制价，但总投标报价不得超过本项目预算金额。</w:t>
      </w:r>
    </w:p>
    <w:p>
      <w:pPr>
        <w:pStyle w:val="6"/>
        <w:numPr>
          <w:ilvl w:val="0"/>
          <w:numId w:val="0"/>
        </w:numPr>
        <w:spacing w:line="360" w:lineRule="auto"/>
        <w:rPr>
          <w:rFonts w:hint="eastAsia" w:ascii="宋体" w:hAnsi="宋体" w:eastAsia="宋体" w:cs="宋体"/>
          <w:b/>
          <w:bCs w:val="0"/>
          <w:sz w:val="28"/>
          <w:szCs w:val="28"/>
          <w:highlight w:val="none"/>
          <w:lang w:eastAsia="zh-CN"/>
        </w:rPr>
      </w:pPr>
      <w:r>
        <w:rPr>
          <w:rFonts w:hint="eastAsia" w:ascii="宋体" w:hAnsi="宋体" w:cs="宋体"/>
          <w:b/>
          <w:bCs w:val="0"/>
          <w:sz w:val="28"/>
          <w:szCs w:val="28"/>
          <w:highlight w:val="none"/>
          <w:lang w:eastAsia="zh-CN"/>
        </w:rPr>
        <w:t>三、</w:t>
      </w:r>
      <w:r>
        <w:rPr>
          <w:rFonts w:hint="eastAsia" w:ascii="宋体" w:hAnsi="宋体" w:eastAsia="宋体" w:cs="宋体"/>
          <w:b/>
          <w:bCs w:val="0"/>
          <w:sz w:val="28"/>
          <w:szCs w:val="28"/>
          <w:highlight w:val="none"/>
          <w:lang w:eastAsia="zh-CN"/>
        </w:rPr>
        <w:t>报价具体要求</w:t>
      </w:r>
    </w:p>
    <w:p>
      <w:pPr>
        <w:numPr>
          <w:ilvl w:val="0"/>
          <w:numId w:val="2"/>
        </w:num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本项目为交钥匙项目，报价需包括投标人为完成招标范围内工作应承担的一切成本包含：运输、栽植、换土、乔木支架固定、养护管理、未成活树木及草坪补植、税金等费用和支出以及投标人的合理利润。投标人报价中应包含但不限于如下费用：所有货物和随机附带的设计、制造、检测、采购、包装、增值税销项税额、运输、保险和技术服务（包括技术资料、图纸的提供）以及有关培训、验收、质保期保障等的全部费用；本次采购不再另行追加预算，如有超出部分金额供应商自行承担。</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措施项目费（货物的运输、栽植及养护管理等）：货物进场、栽植及养护管理等技术措施由投标人依据招标人指定位置现场踏勘后自行确定，相关费用需包含在投标报价中，本项目在结算时措施项目费不予调整。</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投标人踏勘现场时应充分了解了栽植条件和周围环境，充分考虑了栽植位置局部调整，种植区域土方搬运，场地平整，建筑垃圾、残土外运等因素，并已在其投标报价时就此给予了充分的考虑。投标人因上述因素导致的成本增加或供货期延长而提出的供货期或费用索赔申请将会被拒绝。</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投标人需充分考虑政府行为的交通管制和停工要求，以及停电、停水、二次搬运、场地可能不足、成品保护等所需措施的一切费用和供货日期，并已考虑了各种可能影响供货日期的因素并采取合理措施保证栽植的正常进行，由此所增加的费用视为已包含在投标报价中。投标人在履行合同期间，造成周边道路、绿化等设施的损坏，须原样恢复，其费用应在报价中综合考虑。</w:t>
      </w:r>
    </w:p>
    <w:p>
      <w:pPr>
        <w:spacing w:line="360" w:lineRule="auto"/>
        <w:ind w:left="426"/>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本项目合同价款中已包含安装工程用水用电的相关费用。</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val="en-US" w:eastAsia="zh-CN"/>
        </w:rPr>
        <w:t>.本项目质保期为</w:t>
      </w:r>
      <w:r>
        <w:rPr>
          <w:rFonts w:hint="eastAsia" w:ascii="宋体" w:hAnsi="宋体" w:eastAsia="宋体" w:cs="宋体"/>
          <w:kern w:val="0"/>
          <w:sz w:val="24"/>
          <w:szCs w:val="24"/>
          <w:highlight w:val="none"/>
          <w:lang w:val="en-US" w:eastAsia="zh-CN" w:bidi="ar-SA"/>
        </w:rPr>
        <w:t>2年，质保内容包含：两年的养护管理（包括浇水、摘除孽芽、整形修剪、施肥、病虫害防治等），对未成活树木、草坪要及时进行补种，保证成活，补种费用不再追加。投标单位按要求提供树种，不能擅自更改品种、规格；采购树木除特殊品种要求外，其余均需取材本地苗圃，以此保证移植成活。投标单位负责树木、草坪栽植及后期的养护管理，栽植树木、草坪需要换土，乔木需要支架固定支撑。涉及苗木采购、栽植及养护管理，均需根据哈尔滨市、哈尔滨工业大学现行绿化工程施工及养护标准执行。</w:t>
      </w:r>
    </w:p>
    <w:p>
      <w:pPr>
        <w:pStyle w:val="6"/>
        <w:widowControl w:val="0"/>
        <w:numPr>
          <w:ilvl w:val="0"/>
          <w:numId w:val="0"/>
        </w:numPr>
        <w:spacing w:line="360" w:lineRule="auto"/>
        <w:ind w:leftChars="0"/>
        <w:jc w:val="both"/>
        <w:rPr>
          <w:rFonts w:hint="eastAsia" w:ascii="宋体" w:hAnsi="宋体" w:cs="宋体"/>
          <w:b/>
          <w:bCs w:val="0"/>
          <w:sz w:val="28"/>
          <w:szCs w:val="28"/>
          <w:highlight w:val="none"/>
          <w:lang w:eastAsia="zh-CN"/>
        </w:rPr>
      </w:pPr>
      <w:r>
        <w:rPr>
          <w:rFonts w:hint="eastAsia" w:ascii="宋体" w:hAnsi="宋体" w:cs="宋体"/>
          <w:b/>
          <w:bCs w:val="0"/>
          <w:sz w:val="28"/>
          <w:szCs w:val="28"/>
          <w:highlight w:val="none"/>
          <w:lang w:eastAsia="zh-CN"/>
        </w:rPr>
        <w:t>四、其他要求</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1.付款方式：</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1.1预付款</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本项目无预付款。</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1.2交货款</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中标人按合同约定交付全部树木并栽植完毕后，招标人向中标人支付合同价格的70%。</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1.3验收款</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中标人完成树木、草坪栽植，次年5月份，经招标人验收合格并接收后，招标人向中标人支付合同价格的25%。</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1.4结清款</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质保期届满两年后且无任何质量与其他问题后一次无息付清，向中标人支付合同价格的5%，在质保期届满前，如果因中标人原因出现质量问题，中标人按质量保证期相关要求消除质量问题后，结清款返还器自消除质量问题之日起重新计算。</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2.履约保证金</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中标人签订合同前需交纳5%的履约保证金，中标人完成树木供货、栽植，经招标人验收合格后返还给投标人。</w:t>
      </w:r>
    </w:p>
    <w:p>
      <w:pPr>
        <w:pStyle w:val="7"/>
        <w:spacing w:line="400" w:lineRule="exact"/>
        <w:rPr>
          <w:rFonts w:hint="eastAsia" w:cs="宋体"/>
          <w:szCs w:val="21"/>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val="en-US" w:eastAsia="zh-CN" w:bidi="ar-SA"/>
        </w:rPr>
        <w:t>.供应商应按照给定格式提供</w:t>
      </w:r>
      <w:r>
        <w:rPr>
          <w:rFonts w:hint="eastAsia" w:ascii="宋体" w:hAnsi="宋体" w:eastAsia="宋体" w:cs="宋体"/>
          <w:b/>
          <w:bCs/>
          <w:sz w:val="24"/>
          <w:szCs w:val="24"/>
          <w:highlight w:val="none"/>
          <w:lang w:val="en-US" w:eastAsia="zh-CN" w:bidi="ar-SA"/>
        </w:rPr>
        <w:t>《投标人诚信承诺书》</w:t>
      </w:r>
      <w:r>
        <w:rPr>
          <w:rFonts w:hint="eastAsia" w:ascii="宋体" w:hAnsi="宋体" w:eastAsia="宋体" w:cs="宋体"/>
          <w:sz w:val="24"/>
          <w:szCs w:val="24"/>
          <w:highlight w:val="none"/>
          <w:lang w:val="en-US" w:eastAsia="zh-CN" w:bidi="ar-SA"/>
        </w:rPr>
        <w:t>，招标人在招标全过程如发现并核实投标人有造假影响招、投标活动，将扣罚投标保证金，并列入哈尔滨工业大学货物类采购招标限制名单，从列入起计：36个月内，将限制参加哈尔滨工业大学货物类采购招投标活动。</w:t>
      </w:r>
    </w:p>
    <w:p>
      <w:pPr>
        <w:pStyle w:val="7"/>
        <w:spacing w:line="400" w:lineRule="exact"/>
        <w:rPr>
          <w:rFonts w:hint="eastAsia" w:ascii="宋体" w:hAnsi="宋体" w:cs="宋体"/>
          <w:sz w:val="24"/>
          <w:szCs w:val="24"/>
          <w:highlight w:val="none"/>
        </w:rPr>
      </w:pPr>
      <w:r>
        <w:rPr>
          <w:rFonts w:hint="eastAsia" w:ascii="宋体" w:hAnsi="宋体" w:cs="宋体"/>
          <w:sz w:val="24"/>
          <w:szCs w:val="24"/>
          <w:highlight w:val="none"/>
          <w:lang w:val="en-US" w:eastAsia="zh-CN"/>
        </w:rPr>
        <w:t>4.</w:t>
      </w:r>
      <w:r>
        <w:rPr>
          <w:rFonts w:hint="eastAsia" w:ascii="宋体" w:hAnsi="宋体" w:cs="宋体"/>
          <w:sz w:val="24"/>
          <w:szCs w:val="24"/>
          <w:highlight w:val="none"/>
        </w:rPr>
        <w:t>本项目实施地点为哈工大校园内，存在诸多不确定因素，具体树木、草坪栽植时间由采购人确认，中标人须无条件服从采购人安排，采购人视中标人对此情况已充分了解，如有不服从安排，合同立即终止，扣留履约保证金，采购人将依次选择预中标候选第二为中标人，第二名无法按要求履约，将选择第三名为中标人。</w:t>
      </w:r>
    </w:p>
    <w:p>
      <w:pPr>
        <w:pStyle w:val="7"/>
        <w:spacing w:line="400" w:lineRule="exact"/>
        <w:rPr>
          <w:rFonts w:hint="eastAsia" w:ascii="宋体" w:hAnsi="宋体" w:cs="宋体"/>
          <w:sz w:val="24"/>
          <w:szCs w:val="24"/>
          <w:highlight w:val="none"/>
          <w:lang w:val="en-US" w:eastAsia="zh-CN"/>
        </w:rPr>
      </w:pPr>
    </w:p>
    <w:p>
      <w:pPr>
        <w:pStyle w:val="7"/>
        <w:spacing w:line="400" w:lineRule="exact"/>
        <w:ind w:left="0" w:leftChars="0" w:firstLine="0" w:firstLineChars="0"/>
        <w:rPr>
          <w:rFonts w:hint="eastAsia" w:ascii="宋体" w:hAnsi="宋体" w:cs="宋体"/>
          <w:sz w:val="24"/>
          <w:szCs w:val="24"/>
          <w:highlight w:val="none"/>
          <w:lang w:val="en-US" w:eastAsia="zh-CN"/>
        </w:rPr>
      </w:pPr>
    </w:p>
    <w:p>
      <w:pPr>
        <w:pStyle w:val="7"/>
        <w:spacing w:line="400" w:lineRule="exact"/>
        <w:ind w:left="0" w:leftChars="0" w:firstLine="0" w:firstLineChars="0"/>
        <w:rPr>
          <w:rFonts w:hint="eastAsia" w:ascii="宋体" w:hAnsi="宋体" w:cs="宋体"/>
          <w:sz w:val="24"/>
          <w:szCs w:val="24"/>
          <w:highlight w:val="none"/>
          <w:lang w:val="en-US" w:eastAsia="zh-CN"/>
        </w:rPr>
      </w:pPr>
    </w:p>
    <w:p>
      <w:r>
        <w:rPr>
          <w:rFonts w:hint="eastAsia" w:ascii="宋体" w:hAnsi="宋体" w:cs="宋体"/>
          <w:i/>
          <w:iCs/>
          <w:sz w:val="24"/>
          <w:szCs w:val="24"/>
          <w:highlight w:val="none"/>
          <w:lang w:val="en-US" w:eastAsia="zh-CN"/>
        </w:rPr>
        <w:t>注：</w:t>
      </w:r>
      <w:r>
        <w:rPr>
          <w:rFonts w:hint="default" w:ascii="宋体" w:hAnsi="宋体" w:cs="宋体"/>
          <w:i/>
          <w:iCs/>
          <w:sz w:val="24"/>
          <w:szCs w:val="24"/>
          <w:highlight w:val="none"/>
          <w:lang w:val="en-US" w:eastAsia="zh-CN"/>
        </w:rPr>
        <w:t>★项为重要技术指标，不满足即废标</w:t>
      </w:r>
      <w:r>
        <w:rPr>
          <w:rFonts w:hint="eastAsia" w:ascii="宋体" w:hAnsi="宋体" w:cs="宋体"/>
          <w:i/>
          <w:iCs/>
          <w:sz w:val="24"/>
          <w:szCs w:val="24"/>
          <w:highlight w:val="none"/>
          <w:lang w:val="en-US"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9BEA71"/>
    <w:multiLevelType w:val="singleLevel"/>
    <w:tmpl w:val="BB9BEA71"/>
    <w:lvl w:ilvl="0" w:tentative="0">
      <w:start w:val="1"/>
      <w:numFmt w:val="decimal"/>
      <w:lvlText w:val="%1."/>
      <w:lvlJc w:val="left"/>
      <w:pPr>
        <w:tabs>
          <w:tab w:val="left" w:pos="312"/>
        </w:tabs>
      </w:pPr>
    </w:lvl>
  </w:abstractNum>
  <w:abstractNum w:abstractNumId="1">
    <w:nsid w:val="5070FE3E"/>
    <w:multiLevelType w:val="singleLevel"/>
    <w:tmpl w:val="5070FE3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yODFmM2YxOTcwNDY5ZjAxNTMyMjk0NTUyNTQ1MzkifQ=="/>
  </w:docVars>
  <w:rsids>
    <w:rsidRoot w:val="62BA4746"/>
    <w:rsid w:val="00D524DC"/>
    <w:rsid w:val="00EC6E88"/>
    <w:rsid w:val="0D887EB2"/>
    <w:rsid w:val="13CD07FB"/>
    <w:rsid w:val="1762764B"/>
    <w:rsid w:val="1AF552AB"/>
    <w:rsid w:val="1B843120"/>
    <w:rsid w:val="1C457687"/>
    <w:rsid w:val="1FD91BFA"/>
    <w:rsid w:val="216B6851"/>
    <w:rsid w:val="239E3F04"/>
    <w:rsid w:val="254605AA"/>
    <w:rsid w:val="25BF61A2"/>
    <w:rsid w:val="29D21898"/>
    <w:rsid w:val="3D5E5026"/>
    <w:rsid w:val="3E5B54CA"/>
    <w:rsid w:val="40C171A2"/>
    <w:rsid w:val="425E307C"/>
    <w:rsid w:val="4B0729AD"/>
    <w:rsid w:val="50746C8C"/>
    <w:rsid w:val="52EB5815"/>
    <w:rsid w:val="552C3279"/>
    <w:rsid w:val="555879AD"/>
    <w:rsid w:val="57776E35"/>
    <w:rsid w:val="58680ED3"/>
    <w:rsid w:val="5A037026"/>
    <w:rsid w:val="5AD94151"/>
    <w:rsid w:val="5B902DE3"/>
    <w:rsid w:val="61630159"/>
    <w:rsid w:val="61FB43AB"/>
    <w:rsid w:val="62BA4746"/>
    <w:rsid w:val="658808C7"/>
    <w:rsid w:val="661600AC"/>
    <w:rsid w:val="6DB72A07"/>
    <w:rsid w:val="6F026178"/>
    <w:rsid w:val="73662D46"/>
    <w:rsid w:val="737C2E35"/>
    <w:rsid w:val="76D73BEC"/>
    <w:rsid w:val="7AA42D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sz w:val="21"/>
      <w:lang w:val="en-US" w:eastAsia="zh-CN" w:bidi="ar-SA"/>
    </w:rPr>
  </w:style>
  <w:style w:type="paragraph" w:styleId="2">
    <w:name w:val="heading 2"/>
    <w:basedOn w:val="1"/>
    <w:next w:val="1"/>
    <w:qFormat/>
    <w:uiPriority w:val="9"/>
    <w:pPr>
      <w:keepNext/>
      <w:keepLines/>
      <w:outlineLvl w:val="1"/>
    </w:pPr>
    <w:rPr>
      <w:rFonts w:ascii="Arial" w:hAnsi="Arial" w:eastAsia="黑体"/>
      <w:bCs/>
      <w:sz w:val="28"/>
      <w:szCs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customStyle="1" w:styleId="6">
    <w:name w:val="样式 10 磅3111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
    <w:name w:val="列出段落1"/>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2024-03-12T07:56:00Z</dcterms:created>
  <dc:creator></dc:creator>
  <cp:lastModifiedBy></cp:lastModifiedBy>
  <dcterms:modified xsi:type="dcterms:W3CDTF">2024-03-12T07:57:15Z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171511EBBA724CEB9CDB491EDD9EBD0C_11</vt:lpwstr>
  </property>
</Properties>
</file>