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jc w:val="left"/>
        <w:rPr>
          <w:rFonts w:ascii="宋体" w:hAnsi="宋体"/>
          <w:sz w:val="24"/>
          <w:szCs w:val="24"/>
        </w:rPr>
      </w:pPr>
      <w:bookmarkStart w:id="0" w:name="_Toc4051"/>
      <w:bookmarkStart w:id="1" w:name="_Toc5573"/>
      <w:bookmarkStart w:id="2" w:name="_Toc10144"/>
      <w:r>
        <w:rPr>
          <w:rFonts w:hint="eastAsia" w:ascii="宋体" w:hAnsi="宋体"/>
          <w:sz w:val="24"/>
          <w:szCs w:val="24"/>
        </w:rPr>
        <w:t>一、服务范围及工作内容</w:t>
      </w:r>
      <w:bookmarkEnd w:id="0"/>
      <w:bookmarkEnd w:id="1"/>
      <w:bookmarkEnd w:id="2"/>
    </w:p>
    <w:p>
      <w:pPr>
        <w:spacing w:line="360" w:lineRule="auto"/>
        <w:ind w:firstLine="480"/>
        <w:rPr>
          <w:sz w:val="24"/>
        </w:rPr>
      </w:pPr>
      <w:r>
        <w:rPr>
          <w:rFonts w:hint="eastAsia"/>
          <w:sz w:val="24"/>
        </w:rPr>
        <w:t>根据委托人要求，完成哈尔滨工业大学中俄联合校园B</w:t>
      </w:r>
      <w:r>
        <w:rPr>
          <w:sz w:val="24"/>
        </w:rPr>
        <w:t>01</w:t>
      </w:r>
      <w:r>
        <w:rPr>
          <w:rFonts w:hint="eastAsia"/>
          <w:sz w:val="24"/>
        </w:rPr>
        <w:t>地块综合服务楼项目从初步设计批复文件下达之日起到工程竣工验收（通过上级主管部门验收）期间，在招标采购、施工管理、结算审核等方面所有涉及的造价咨询服务工作，具体工作内容及要求如下：</w:t>
      </w:r>
    </w:p>
    <w:p>
      <w:pPr>
        <w:pStyle w:val="8"/>
        <w:spacing w:line="360" w:lineRule="auto"/>
        <w:ind w:firstLine="0" w:firstLineChars="0"/>
        <w:rPr>
          <w:rFonts w:ascii="宋体" w:hAnsi="宋体"/>
          <w:b/>
          <w:bCs/>
          <w:sz w:val="24"/>
          <w:szCs w:val="24"/>
        </w:rPr>
      </w:pPr>
      <w:bookmarkStart w:id="3" w:name="_Toc419045060"/>
      <w:bookmarkStart w:id="4" w:name="_Toc422322473"/>
      <w:bookmarkStart w:id="5" w:name="9"/>
      <w:r>
        <w:rPr>
          <w:rFonts w:ascii="宋体" w:hAnsi="宋体"/>
          <w:b/>
          <w:bCs/>
          <w:sz w:val="24"/>
          <w:szCs w:val="24"/>
        </w:rPr>
        <w:t>1.</w:t>
      </w:r>
      <w:r>
        <w:rPr>
          <w:rFonts w:hint="eastAsia" w:ascii="宋体" w:hAnsi="宋体"/>
          <w:b/>
          <w:bCs/>
          <w:sz w:val="24"/>
          <w:szCs w:val="24"/>
        </w:rPr>
        <w:t>总包招标阶段工程造价咨询服务工作要求：</w:t>
      </w:r>
    </w:p>
    <w:p>
      <w:pPr>
        <w:pStyle w:val="8"/>
        <w:spacing w:line="360" w:lineRule="auto"/>
        <w:ind w:firstLineChars="0"/>
        <w:rPr>
          <w:rFonts w:ascii="宋体" w:hAnsi="宋体"/>
          <w:sz w:val="24"/>
          <w:szCs w:val="24"/>
        </w:rPr>
      </w:pPr>
      <w:r>
        <w:rPr>
          <w:rFonts w:hint="eastAsia" w:ascii="宋体" w:hAnsi="宋体"/>
          <w:sz w:val="24"/>
          <w:szCs w:val="24"/>
        </w:rPr>
        <w:t>项目初步设计批复下达后，要求咨询人依据委托人提供的设计图纸及相关要求，按照国家、地方现行有效的计量计价规范、定额标准、计费办法、价格指标、市场信息等，编制工程总承包招标控制价及工程量清单文件（含暂估价工程），配合学校审计部门完成二次审计程序，并出具最终完整的造价成果文件（包括纸质版及电子版），协助委托人编制招标文件，并在招标过程完成相关技术答疑、文件澄清、资料汇总等相关工作。</w:t>
      </w:r>
    </w:p>
    <w:p>
      <w:pPr>
        <w:pStyle w:val="8"/>
        <w:spacing w:line="360" w:lineRule="auto"/>
        <w:ind w:firstLine="0" w:firstLineChars="0"/>
        <w:rPr>
          <w:rFonts w:ascii="宋体" w:hAnsi="宋体"/>
          <w:b/>
          <w:bCs/>
          <w:sz w:val="24"/>
          <w:szCs w:val="24"/>
        </w:rPr>
      </w:pPr>
      <w:r>
        <w:rPr>
          <w:rFonts w:ascii="宋体" w:hAnsi="宋体"/>
          <w:b/>
          <w:bCs/>
          <w:sz w:val="24"/>
          <w:szCs w:val="24"/>
        </w:rPr>
        <w:t>2.</w:t>
      </w:r>
      <w:r>
        <w:rPr>
          <w:rFonts w:hint="eastAsia" w:ascii="宋体" w:hAnsi="宋体"/>
          <w:b/>
          <w:bCs/>
          <w:sz w:val="24"/>
          <w:szCs w:val="24"/>
        </w:rPr>
        <w:t>施工过程阶段工程造价咨询服务工作要求：</w:t>
      </w:r>
    </w:p>
    <w:p>
      <w:pPr>
        <w:tabs>
          <w:tab w:val="left" w:pos="360"/>
        </w:tabs>
        <w:spacing w:line="360" w:lineRule="auto"/>
        <w:rPr>
          <w:rFonts w:cs="Arial"/>
          <w:color w:val="000000"/>
          <w:sz w:val="24"/>
        </w:rPr>
      </w:pPr>
      <w:r>
        <w:rPr>
          <w:rFonts w:hint="eastAsia"/>
          <w:sz w:val="24"/>
        </w:rPr>
        <w:t>（1）对总包单位提交的月进度报告进行现场评估，对已完成的工程量进行审核，在规定的时间内出具月结审核报告，向委托人提供付款建议并按委托人要求编制及签署付款粮单。并根据甲方需要，按合同约定对甲方分包单位的付款节点进度进行评估，给出合理化意见。</w:t>
      </w:r>
    </w:p>
    <w:p>
      <w:pPr>
        <w:pStyle w:val="8"/>
        <w:spacing w:line="360" w:lineRule="auto"/>
        <w:ind w:firstLine="0" w:firstLineChars="0"/>
        <w:rPr>
          <w:rFonts w:cs="Arial"/>
          <w:color w:val="000000"/>
          <w:sz w:val="24"/>
        </w:rPr>
      </w:pPr>
      <w:r>
        <w:rPr>
          <w:rFonts w:hint="eastAsia" w:cs="Arial"/>
          <w:color w:val="000000"/>
          <w:sz w:val="24"/>
        </w:rPr>
        <w:t>（2）施工过程中配合委托人完成暂估价专业工程、室外工程及其他相关零星工程的招标采购工作，其中采购预算达到学校公开采购限额标准（人民币3</w:t>
      </w:r>
      <w:r>
        <w:rPr>
          <w:rFonts w:cs="Arial"/>
          <w:color w:val="000000"/>
          <w:sz w:val="24"/>
        </w:rPr>
        <w:t>0</w:t>
      </w:r>
      <w:r>
        <w:rPr>
          <w:rFonts w:hint="eastAsia" w:cs="Arial"/>
          <w:color w:val="000000"/>
          <w:sz w:val="24"/>
        </w:rPr>
        <w:t>万元及以上）的工程项目，按委托人要求完成相关控制价及工程量清单编制工作，</w:t>
      </w:r>
      <w:r>
        <w:rPr>
          <w:rFonts w:hint="eastAsia" w:ascii="宋体" w:hAnsi="宋体"/>
          <w:sz w:val="24"/>
          <w:szCs w:val="24"/>
        </w:rPr>
        <w:t>配合学校审计部门完成二次审计程序，并出具最终完整的造价成果文件（包括纸质版及电子版），协助委托人编制采购文件，并在采购过程中完成相关技术答疑、文件澄清、资料汇总等相关工作，</w:t>
      </w:r>
      <w:r>
        <w:rPr>
          <w:rFonts w:hint="eastAsia" w:cs="Arial"/>
          <w:color w:val="000000"/>
          <w:sz w:val="24"/>
        </w:rPr>
        <w:t>对施工过程中发生的零星施工合同（3</w:t>
      </w:r>
      <w:r>
        <w:rPr>
          <w:rFonts w:cs="Arial"/>
          <w:color w:val="000000"/>
          <w:sz w:val="24"/>
        </w:rPr>
        <w:t>0</w:t>
      </w:r>
      <w:r>
        <w:rPr>
          <w:rFonts w:hint="eastAsia" w:cs="Arial"/>
          <w:color w:val="000000"/>
          <w:sz w:val="24"/>
        </w:rPr>
        <w:t>万以下）按委托人需要完成预算文件的编制或审核工作，并协助委托人制定合同相关内容；</w:t>
      </w:r>
    </w:p>
    <w:p>
      <w:pPr>
        <w:tabs>
          <w:tab w:val="left" w:pos="360"/>
          <w:tab w:val="left" w:pos="660"/>
          <w:tab w:val="left" w:pos="1140"/>
        </w:tabs>
        <w:spacing w:line="360" w:lineRule="auto"/>
        <w:rPr>
          <w:rFonts w:cs="Arial"/>
          <w:color w:val="000000"/>
          <w:sz w:val="24"/>
        </w:rPr>
      </w:pPr>
      <w:r>
        <w:rPr>
          <w:rFonts w:hint="eastAsia" w:cs="Arial"/>
          <w:color w:val="000000"/>
          <w:sz w:val="24"/>
        </w:rPr>
        <w:t>（3）按委托人需要，在施工过程中对设计变更、现场签证等进行造价评估测算，协助委托人进行审核决策；</w:t>
      </w:r>
    </w:p>
    <w:p>
      <w:pPr>
        <w:tabs>
          <w:tab w:val="left" w:pos="360"/>
        </w:tabs>
        <w:spacing w:line="360" w:lineRule="auto"/>
        <w:rPr>
          <w:rFonts w:cs="Arial"/>
          <w:color w:val="000000"/>
          <w:sz w:val="24"/>
        </w:rPr>
      </w:pPr>
      <w:r>
        <w:rPr>
          <w:rFonts w:hint="eastAsia" w:cs="Arial"/>
          <w:color w:val="000000"/>
          <w:sz w:val="24"/>
        </w:rPr>
        <w:t>（</w:t>
      </w:r>
      <w:r>
        <w:rPr>
          <w:rFonts w:cs="Arial"/>
          <w:color w:val="000000"/>
          <w:sz w:val="24"/>
        </w:rPr>
        <w:t>4</w:t>
      </w:r>
      <w:r>
        <w:rPr>
          <w:rFonts w:hint="eastAsia" w:cs="Arial"/>
          <w:color w:val="000000"/>
          <w:sz w:val="24"/>
        </w:rPr>
        <w:t>）对施工过程中的形象进度、合同签署、结算审核、工程付款等情况进行汇总整理，编制季度工程造价分析报告，提供各项造价指标分析数据电子版，协助委托人对工程造价进行成本控制；</w:t>
      </w:r>
    </w:p>
    <w:p>
      <w:pPr>
        <w:pStyle w:val="8"/>
        <w:spacing w:line="360" w:lineRule="auto"/>
        <w:ind w:firstLine="0" w:firstLineChars="0"/>
        <w:rPr>
          <w:rFonts w:ascii="宋体" w:hAnsi="宋体"/>
          <w:b/>
          <w:bCs/>
          <w:sz w:val="24"/>
          <w:szCs w:val="24"/>
        </w:rPr>
      </w:pPr>
      <w:r>
        <w:rPr>
          <w:rFonts w:ascii="宋体" w:hAnsi="宋体"/>
          <w:b/>
          <w:bCs/>
          <w:sz w:val="24"/>
          <w:szCs w:val="24"/>
        </w:rPr>
        <w:t>3.</w:t>
      </w:r>
      <w:r>
        <w:rPr>
          <w:rFonts w:hint="eastAsia" w:ascii="宋体" w:hAnsi="宋体"/>
          <w:b/>
          <w:bCs/>
          <w:sz w:val="24"/>
          <w:szCs w:val="24"/>
        </w:rPr>
        <w:t>竣工结算阶段工程造价咨询服务工作要求：</w:t>
      </w:r>
    </w:p>
    <w:p>
      <w:pPr>
        <w:pStyle w:val="8"/>
        <w:spacing w:line="360" w:lineRule="auto"/>
        <w:ind w:firstLine="480"/>
        <w:rPr>
          <w:rFonts w:ascii="宋体" w:hAnsi="宋体"/>
          <w:sz w:val="24"/>
          <w:szCs w:val="24"/>
        </w:rPr>
      </w:pPr>
      <w:r>
        <w:rPr>
          <w:rFonts w:hint="eastAsia" w:ascii="宋体" w:hAnsi="宋体"/>
          <w:sz w:val="24"/>
          <w:szCs w:val="24"/>
        </w:rPr>
        <w:t>依据委托人提供的招投标文件、施工合同、竣工图纸、签证变更、工程结算书等相关资料，按照合同约定的结算办法及现场实际情况，汇总整理并审核工程所有竣工结算文件，配合学校审计部门完成二次审计程序，并出具最终完整的造价成果文件，协助委托人完成竣工付款、工程索赔、造价纠纷鉴定、国家验收等相关工作。</w:t>
      </w:r>
    </w:p>
    <w:p>
      <w:pPr>
        <w:pStyle w:val="8"/>
        <w:spacing w:line="360" w:lineRule="auto"/>
        <w:ind w:firstLine="0" w:firstLineChars="0"/>
        <w:rPr>
          <w:rFonts w:ascii="宋体" w:hAnsi="宋体"/>
          <w:b/>
          <w:bCs/>
          <w:sz w:val="24"/>
          <w:szCs w:val="24"/>
        </w:rPr>
      </w:pPr>
      <w:r>
        <w:rPr>
          <w:rFonts w:hint="eastAsia" w:ascii="宋体" w:hAnsi="宋体"/>
          <w:b/>
          <w:bCs/>
          <w:sz w:val="24"/>
          <w:szCs w:val="24"/>
        </w:rPr>
        <w:t>4</w:t>
      </w:r>
      <w:r>
        <w:rPr>
          <w:rFonts w:ascii="宋体" w:hAnsi="宋体"/>
          <w:b/>
          <w:bCs/>
          <w:sz w:val="24"/>
          <w:szCs w:val="24"/>
        </w:rPr>
        <w:t>.</w:t>
      </w:r>
      <w:r>
        <w:rPr>
          <w:rFonts w:hint="eastAsia" w:ascii="宋体" w:hAnsi="宋体"/>
          <w:b/>
          <w:bCs/>
          <w:sz w:val="24"/>
          <w:szCs w:val="24"/>
        </w:rPr>
        <w:t>其他工作内容及要求：</w:t>
      </w:r>
    </w:p>
    <w:p>
      <w:pPr>
        <w:pStyle w:val="8"/>
        <w:spacing w:line="360" w:lineRule="auto"/>
        <w:ind w:firstLine="0" w:firstLineChars="0"/>
        <w:rPr>
          <w:rFonts w:ascii="宋体" w:hAnsi="宋体"/>
          <w:sz w:val="24"/>
          <w:szCs w:val="24"/>
        </w:rPr>
      </w:pPr>
      <w:r>
        <w:rPr>
          <w:rFonts w:hint="eastAsia" w:ascii="宋体" w:hAnsi="宋体"/>
          <w:sz w:val="24"/>
          <w:szCs w:val="24"/>
        </w:rPr>
        <w:t>除以上工作内容外，咨询人的服务范围还包括（但不限于）以下内容：</w:t>
      </w:r>
    </w:p>
    <w:p>
      <w:pPr>
        <w:pStyle w:val="8"/>
        <w:numPr>
          <w:ilvl w:val="0"/>
          <w:numId w:val="1"/>
        </w:numPr>
        <w:spacing w:line="360" w:lineRule="auto"/>
        <w:ind w:firstLineChars="0"/>
        <w:rPr>
          <w:rFonts w:ascii="宋体" w:hAnsi="宋体"/>
          <w:sz w:val="24"/>
          <w:szCs w:val="24"/>
        </w:rPr>
      </w:pPr>
      <w:r>
        <w:rPr>
          <w:rFonts w:hint="eastAsia" w:ascii="宋体" w:hAnsi="宋体"/>
          <w:sz w:val="24"/>
          <w:szCs w:val="24"/>
        </w:rPr>
        <w:t>对承包人提出的经济索赔进行鉴定评估并向委托人提供合理化建议；</w:t>
      </w:r>
    </w:p>
    <w:p>
      <w:pPr>
        <w:pStyle w:val="8"/>
        <w:numPr>
          <w:ilvl w:val="0"/>
          <w:numId w:val="1"/>
        </w:numPr>
        <w:spacing w:line="360" w:lineRule="auto"/>
        <w:ind w:firstLineChars="0"/>
        <w:rPr>
          <w:rFonts w:ascii="宋体" w:hAnsi="宋体"/>
          <w:sz w:val="24"/>
          <w:szCs w:val="24"/>
        </w:rPr>
      </w:pPr>
      <w:r>
        <w:rPr>
          <w:rFonts w:hint="eastAsia" w:ascii="宋体" w:hAnsi="宋体"/>
          <w:sz w:val="24"/>
          <w:szCs w:val="24"/>
        </w:rPr>
        <w:t>配合委托人就工程造价纠纷引起的仲裁、诉讼等法务问题进行材料汇总、证据收集等工作；</w:t>
      </w:r>
    </w:p>
    <w:p>
      <w:pPr>
        <w:pStyle w:val="8"/>
        <w:numPr>
          <w:ilvl w:val="0"/>
          <w:numId w:val="1"/>
        </w:numPr>
        <w:spacing w:line="360" w:lineRule="auto"/>
        <w:ind w:firstLineChars="0"/>
        <w:rPr>
          <w:rFonts w:ascii="宋体" w:hAnsi="宋体"/>
          <w:sz w:val="24"/>
          <w:szCs w:val="24"/>
        </w:rPr>
      </w:pPr>
      <w:r>
        <w:rPr>
          <w:rFonts w:hint="eastAsia" w:ascii="宋体" w:hAnsi="宋体"/>
          <w:sz w:val="24"/>
          <w:szCs w:val="24"/>
        </w:rPr>
        <w:t>协助委托人制定造价成本优化方案，按照委托人有关要求提供各种材料设备的合理性价格并给出相应依据；</w:t>
      </w:r>
    </w:p>
    <w:p>
      <w:pPr>
        <w:pStyle w:val="8"/>
        <w:numPr>
          <w:ilvl w:val="0"/>
          <w:numId w:val="1"/>
        </w:numPr>
        <w:spacing w:line="360" w:lineRule="auto"/>
        <w:ind w:firstLineChars="0"/>
        <w:rPr>
          <w:rFonts w:ascii="宋体" w:hAnsi="宋体"/>
          <w:sz w:val="24"/>
          <w:szCs w:val="24"/>
        </w:rPr>
      </w:pPr>
      <w:r>
        <w:rPr>
          <w:rFonts w:ascii="宋体" w:hAnsi="宋体"/>
          <w:sz w:val="24"/>
          <w:szCs w:val="24"/>
        </w:rPr>
        <w:t>向</w:t>
      </w:r>
      <w:r>
        <w:rPr>
          <w:rFonts w:hint="eastAsia" w:ascii="宋体" w:hAnsi="宋体"/>
          <w:sz w:val="24"/>
          <w:szCs w:val="24"/>
        </w:rPr>
        <w:t>委托人</w:t>
      </w:r>
      <w:r>
        <w:rPr>
          <w:rFonts w:ascii="宋体" w:hAnsi="宋体"/>
          <w:sz w:val="24"/>
          <w:szCs w:val="24"/>
        </w:rPr>
        <w:t>提供</w:t>
      </w:r>
      <w:r>
        <w:rPr>
          <w:rFonts w:hint="eastAsia" w:ascii="宋体" w:hAnsi="宋体"/>
          <w:sz w:val="24"/>
          <w:szCs w:val="24"/>
        </w:rPr>
        <w:t>行业相关最新的法律法规、管理办法、计价依据等材料，并在招标文件、施工合同、补充协议等文件编制过程中协助委托人制定适宜于项目采用的工程审计办法及其他相关造价规定；</w:t>
      </w:r>
    </w:p>
    <w:p>
      <w:pPr>
        <w:pStyle w:val="8"/>
        <w:numPr>
          <w:ilvl w:val="0"/>
          <w:numId w:val="1"/>
        </w:numPr>
        <w:spacing w:line="360" w:lineRule="auto"/>
        <w:ind w:firstLineChars="0"/>
        <w:rPr>
          <w:rFonts w:ascii="宋体" w:hAnsi="宋体"/>
          <w:sz w:val="24"/>
          <w:szCs w:val="24"/>
        </w:rPr>
      </w:pPr>
      <w:r>
        <w:rPr>
          <w:rFonts w:hint="eastAsia" w:ascii="宋体" w:hAnsi="宋体"/>
          <w:sz w:val="24"/>
          <w:szCs w:val="24"/>
        </w:rPr>
        <w:t>依据委托人提供的施工预算、技术图纸等资料，结合现场实际情况及委托人相关要求，为委托人提供包括（但不限于）预算编制或审核、现场踏勘与测量、施工过程跟踪、人材机询价、设计方案优化比选、造价指标分析与控制等服务内容，协助委托人在项目施工管理过程中完成合同签订、价款调整等相关工作。</w:t>
      </w:r>
    </w:p>
    <w:p>
      <w:pPr>
        <w:pStyle w:val="5"/>
        <w:spacing w:before="0" w:after="0" w:line="360" w:lineRule="auto"/>
        <w:jc w:val="left"/>
        <w:rPr>
          <w:rFonts w:ascii="宋体" w:hAnsi="宋体"/>
          <w:sz w:val="24"/>
          <w:szCs w:val="24"/>
        </w:rPr>
      </w:pPr>
      <w:bookmarkStart w:id="6" w:name="_Toc25963"/>
      <w:bookmarkStart w:id="7" w:name="_Toc17617"/>
      <w:bookmarkStart w:id="8" w:name="_Toc8621"/>
      <w:r>
        <w:rPr>
          <w:rFonts w:hint="eastAsia" w:ascii="宋体" w:hAnsi="宋体"/>
          <w:sz w:val="24"/>
          <w:szCs w:val="24"/>
        </w:rPr>
        <w:t>三、造价咨询服务成果周期</w:t>
      </w:r>
      <w:bookmarkEnd w:id="3"/>
      <w:bookmarkEnd w:id="4"/>
      <w:r>
        <w:rPr>
          <w:rFonts w:hint="eastAsia" w:ascii="宋体" w:hAnsi="宋体"/>
          <w:sz w:val="24"/>
          <w:szCs w:val="24"/>
        </w:rPr>
        <w:t>要求</w:t>
      </w:r>
      <w:bookmarkEnd w:id="6"/>
      <w:bookmarkEnd w:id="7"/>
      <w:bookmarkEnd w:id="8"/>
    </w:p>
    <w:p>
      <w:pPr>
        <w:spacing w:line="360" w:lineRule="auto"/>
        <w:ind w:firstLine="480" w:firstLineChars="200"/>
        <w:rPr>
          <w:rStyle w:val="9"/>
          <w:sz w:val="24"/>
        </w:rPr>
      </w:pPr>
      <w:r>
        <w:rPr>
          <w:rStyle w:val="9"/>
          <w:rFonts w:hint="eastAsia"/>
          <w:sz w:val="24"/>
        </w:rPr>
        <w:t>咨询人必须按照以下时间要求提供造价咨询服务成果文件，服务周期内因方案变更等非咨询人自身原因导致咨询人需要增加工作量的，服务周期可以适当顺延。</w:t>
      </w:r>
    </w:p>
    <w:p>
      <w:pPr>
        <w:spacing w:line="360" w:lineRule="auto"/>
        <w:rPr>
          <w:rStyle w:val="9"/>
          <w:sz w:val="24"/>
        </w:rPr>
      </w:pPr>
      <w:r>
        <w:rPr>
          <w:rStyle w:val="9"/>
          <w:rFonts w:hint="eastAsia"/>
          <w:sz w:val="24"/>
        </w:rPr>
        <w:t>1．30万元以下的工程施工类项目预算编制或结算审核自接到任务后7天内完成；</w:t>
      </w:r>
    </w:p>
    <w:p>
      <w:pPr>
        <w:spacing w:line="360" w:lineRule="auto"/>
        <w:rPr>
          <w:rStyle w:val="9"/>
          <w:sz w:val="24"/>
        </w:rPr>
      </w:pPr>
      <w:r>
        <w:rPr>
          <w:rStyle w:val="9"/>
          <w:rFonts w:hint="eastAsia"/>
          <w:sz w:val="24"/>
        </w:rPr>
        <w:t>2.30万元以上-400万元以下的工程施工类项目招标控制价编制或结算审核工作14天内完成；</w:t>
      </w:r>
    </w:p>
    <w:p>
      <w:pPr>
        <w:spacing w:line="360" w:lineRule="auto"/>
        <w:rPr>
          <w:rStyle w:val="9"/>
          <w:sz w:val="24"/>
        </w:rPr>
      </w:pPr>
      <w:r>
        <w:rPr>
          <w:rStyle w:val="9"/>
          <w:rFonts w:hint="eastAsia"/>
          <w:sz w:val="24"/>
        </w:rPr>
        <w:t>3.400万元以上-3000万元以下的工程施工类项目招标控制价编制或结算审核工作20天内完成；</w:t>
      </w:r>
    </w:p>
    <w:p>
      <w:pPr>
        <w:spacing w:line="360" w:lineRule="auto"/>
        <w:rPr>
          <w:rStyle w:val="9"/>
          <w:sz w:val="24"/>
        </w:rPr>
      </w:pPr>
      <w:r>
        <w:rPr>
          <w:rStyle w:val="9"/>
          <w:rFonts w:hint="eastAsia"/>
          <w:sz w:val="24"/>
        </w:rPr>
        <w:t>4.3000万元以上的工程施工类项目招标控制价编制或结算审核工作30天内完成；</w:t>
      </w:r>
    </w:p>
    <w:p>
      <w:pPr>
        <w:spacing w:line="360" w:lineRule="auto"/>
        <w:rPr>
          <w:rStyle w:val="9"/>
          <w:sz w:val="24"/>
        </w:rPr>
      </w:pPr>
      <w:r>
        <w:rPr>
          <w:rStyle w:val="9"/>
          <w:rFonts w:hint="eastAsia"/>
          <w:sz w:val="24"/>
        </w:rPr>
        <w:t>5.其他工程造价咨询服务提交成果文件的周期根据服务内容由委托人与咨询人协商确定；</w:t>
      </w:r>
    </w:p>
    <w:bookmarkEnd w:id="5"/>
    <w:p>
      <w:pPr>
        <w:pStyle w:val="8"/>
        <w:spacing w:line="360" w:lineRule="auto"/>
        <w:ind w:firstLine="0" w:firstLineChars="0"/>
        <w:rPr>
          <w:rFonts w:ascii="宋体" w:hAnsi="宋体"/>
          <w:b/>
          <w:sz w:val="24"/>
          <w:szCs w:val="24"/>
        </w:rPr>
      </w:pPr>
      <w:r>
        <w:rPr>
          <w:rFonts w:hint="eastAsia" w:ascii="宋体" w:hAnsi="宋体"/>
          <w:b/>
          <w:sz w:val="24"/>
          <w:szCs w:val="24"/>
        </w:rPr>
        <w:t>四、造价咨询服务成果文件要求</w:t>
      </w:r>
    </w:p>
    <w:p>
      <w:pPr>
        <w:pStyle w:val="8"/>
        <w:numPr>
          <w:ilvl w:val="0"/>
          <w:numId w:val="2"/>
        </w:numPr>
        <w:spacing w:line="360" w:lineRule="auto"/>
        <w:ind w:firstLineChars="0"/>
        <w:jc w:val="left"/>
        <w:rPr>
          <w:rFonts w:ascii="宋体" w:hAnsi="宋体"/>
          <w:b/>
          <w:sz w:val="24"/>
          <w:szCs w:val="24"/>
        </w:rPr>
      </w:pPr>
      <w:r>
        <w:rPr>
          <w:rFonts w:hint="eastAsia" w:ascii="宋体" w:hAnsi="宋体"/>
          <w:b/>
          <w:sz w:val="24"/>
          <w:szCs w:val="24"/>
        </w:rPr>
        <w:t>招标控制价编制要求</w:t>
      </w:r>
    </w:p>
    <w:p>
      <w:pPr>
        <w:pStyle w:val="8"/>
        <w:numPr>
          <w:ilvl w:val="1"/>
          <w:numId w:val="3"/>
        </w:numPr>
        <w:spacing w:line="360" w:lineRule="auto"/>
        <w:ind w:firstLineChars="0"/>
        <w:jc w:val="left"/>
        <w:rPr>
          <w:rFonts w:ascii="宋体" w:hAnsi="宋体"/>
          <w:bCs/>
          <w:sz w:val="24"/>
          <w:szCs w:val="24"/>
        </w:rPr>
      </w:pPr>
      <w:r>
        <w:rPr>
          <w:rFonts w:hint="eastAsia" w:ascii="宋体" w:hAnsi="宋体"/>
          <w:bCs/>
          <w:sz w:val="24"/>
          <w:szCs w:val="24"/>
        </w:rPr>
        <w:t>招标控制价成果文件项目名称应为“***工程招标控制价”，文件应包括（但不限于）招标控制价封面、目录、编制说明、工程项目招标控制价汇总表、单项工程招标控制价汇总表、单位工程招标控制价汇总表及招标控制价计价表等;</w:t>
      </w:r>
    </w:p>
    <w:p>
      <w:pPr>
        <w:pStyle w:val="8"/>
        <w:numPr>
          <w:ilvl w:val="1"/>
          <w:numId w:val="3"/>
        </w:numPr>
        <w:spacing w:line="360" w:lineRule="auto"/>
        <w:ind w:firstLineChars="0"/>
        <w:jc w:val="left"/>
        <w:rPr>
          <w:rFonts w:ascii="宋体" w:hAnsi="宋体"/>
          <w:bCs/>
          <w:sz w:val="24"/>
          <w:szCs w:val="24"/>
        </w:rPr>
      </w:pPr>
      <w:r>
        <w:rPr>
          <w:rFonts w:hint="eastAsia" w:ascii="宋体" w:hAnsi="宋体"/>
          <w:bCs/>
          <w:sz w:val="24"/>
          <w:szCs w:val="24"/>
        </w:rPr>
        <w:t xml:space="preserve">招标控制价的封面应包括工程名称、招标人、编制单位名称和编制日期，并应加盖招标人公章及由法定代表人或其授权人签字或盖章，同时加盖具有工程造价咨询单位执业章， 并由招标控制价编制人员及复核人员签署执业（或从业） 资格专用印章； </w:t>
      </w:r>
    </w:p>
    <w:p>
      <w:pPr>
        <w:pStyle w:val="8"/>
        <w:numPr>
          <w:ilvl w:val="1"/>
          <w:numId w:val="3"/>
        </w:numPr>
        <w:spacing w:line="360" w:lineRule="auto"/>
        <w:ind w:firstLineChars="0"/>
        <w:jc w:val="left"/>
        <w:rPr>
          <w:rFonts w:ascii="宋体" w:hAnsi="宋体"/>
          <w:bCs/>
          <w:sz w:val="24"/>
          <w:szCs w:val="24"/>
        </w:rPr>
      </w:pPr>
      <w:r>
        <w:rPr>
          <w:rFonts w:hint="eastAsia" w:ascii="宋体" w:hAnsi="宋体"/>
          <w:bCs/>
          <w:sz w:val="24"/>
          <w:szCs w:val="24"/>
        </w:rPr>
        <w:t>招标控制价编制说明宜阐述工程概况、编制范围、编制依据、编制方法、招标控制价组价原则及相关费用计取说明和其他说明等。其中招标控制价组价原则及相关费用计取说明至少应当包括人工费、主要材料设备费、管理费、利润和风险费的计取原则说明，其他说明应当包括由于招标工程存在的特殊施工条件或招标文件对本工程的实施提出的特殊要求、而应当增减的措施费等相关费用的计取说明等；</w:t>
      </w:r>
    </w:p>
    <w:p>
      <w:pPr>
        <w:pStyle w:val="8"/>
        <w:numPr>
          <w:ilvl w:val="1"/>
          <w:numId w:val="3"/>
        </w:numPr>
        <w:spacing w:line="360" w:lineRule="auto"/>
        <w:ind w:firstLineChars="0"/>
        <w:jc w:val="left"/>
        <w:rPr>
          <w:rFonts w:ascii="宋体" w:hAnsi="宋体"/>
          <w:bCs/>
          <w:sz w:val="24"/>
          <w:szCs w:val="24"/>
        </w:rPr>
      </w:pPr>
      <w:r>
        <w:rPr>
          <w:rFonts w:hint="eastAsia" w:ascii="宋体" w:hAnsi="宋体"/>
          <w:bCs/>
          <w:sz w:val="24"/>
          <w:szCs w:val="24"/>
        </w:rPr>
        <w:t>其他招标控制成果文件编制办法、编制深度应按照《建设工程量清单计价规范》 (GB50500) 《建设工程招标控制价编审规程》（CECA/GC 6）的有关规定进行编制。</w:t>
      </w:r>
    </w:p>
    <w:p>
      <w:pPr>
        <w:pStyle w:val="8"/>
        <w:numPr>
          <w:ilvl w:val="0"/>
          <w:numId w:val="2"/>
        </w:numPr>
        <w:spacing w:line="360" w:lineRule="auto"/>
        <w:ind w:firstLineChars="0"/>
        <w:jc w:val="left"/>
        <w:rPr>
          <w:rFonts w:ascii="宋体" w:hAnsi="宋体"/>
          <w:b/>
          <w:sz w:val="24"/>
          <w:szCs w:val="24"/>
        </w:rPr>
      </w:pPr>
      <w:r>
        <w:rPr>
          <w:rFonts w:hint="eastAsia" w:ascii="宋体" w:hAnsi="宋体"/>
          <w:b/>
          <w:sz w:val="24"/>
          <w:szCs w:val="24"/>
        </w:rPr>
        <w:t>招标工程量清单编制要求</w:t>
      </w:r>
    </w:p>
    <w:p>
      <w:pPr>
        <w:pStyle w:val="8"/>
        <w:numPr>
          <w:ilvl w:val="1"/>
          <w:numId w:val="4"/>
        </w:numPr>
        <w:spacing w:line="360" w:lineRule="auto"/>
        <w:ind w:left="284" w:firstLineChars="0"/>
        <w:jc w:val="left"/>
        <w:rPr>
          <w:rFonts w:ascii="宋体" w:hAnsi="宋体"/>
          <w:bCs/>
          <w:sz w:val="24"/>
          <w:szCs w:val="24"/>
        </w:rPr>
      </w:pPr>
      <w:r>
        <w:rPr>
          <w:rFonts w:hint="eastAsia" w:ascii="宋体" w:hAnsi="宋体"/>
          <w:bCs/>
          <w:sz w:val="24"/>
          <w:szCs w:val="24"/>
        </w:rPr>
        <w:t>工程量清单编制的成果文件名称应为“***工程招标工程量清单”，文件应包括（但不限于）工程量清单封面、总说明、工程项目汇总表、单项工程汇总表、单位工程汇总表、分部分项工程量清单表、措施项目清单表、其他项目清单表、规费/税金项目清单表等；</w:t>
      </w:r>
    </w:p>
    <w:p>
      <w:pPr>
        <w:pStyle w:val="8"/>
        <w:numPr>
          <w:ilvl w:val="1"/>
          <w:numId w:val="4"/>
        </w:numPr>
        <w:spacing w:line="360" w:lineRule="auto"/>
        <w:ind w:left="284" w:firstLineChars="0"/>
        <w:jc w:val="left"/>
        <w:rPr>
          <w:rFonts w:ascii="宋体" w:hAnsi="宋体"/>
          <w:bCs/>
          <w:sz w:val="24"/>
          <w:szCs w:val="24"/>
        </w:rPr>
      </w:pPr>
      <w:r>
        <w:rPr>
          <w:rFonts w:hint="eastAsia" w:ascii="宋体" w:hAnsi="宋体"/>
          <w:bCs/>
          <w:sz w:val="24"/>
          <w:szCs w:val="24"/>
        </w:rPr>
        <w:t xml:space="preserve">工程量清单封面应包括项目名称、招标人名称、编制单位名称和编制日期，并应加盖招标人公章及由法定代表人或其授权人签字或盖章， 加盖工程造价咨询单位执业印章，并由工程量清单编制人员及复核人员签署执业（或从业）资格专用印章； </w:t>
      </w:r>
    </w:p>
    <w:p>
      <w:pPr>
        <w:pStyle w:val="8"/>
        <w:numPr>
          <w:ilvl w:val="1"/>
          <w:numId w:val="4"/>
        </w:numPr>
        <w:spacing w:line="360" w:lineRule="auto"/>
        <w:ind w:left="284" w:firstLineChars="0"/>
        <w:jc w:val="left"/>
        <w:rPr>
          <w:rFonts w:ascii="宋体" w:hAnsi="宋体"/>
          <w:bCs/>
          <w:sz w:val="24"/>
          <w:szCs w:val="24"/>
        </w:rPr>
      </w:pPr>
      <w:r>
        <w:rPr>
          <w:rFonts w:hint="eastAsia" w:ascii="宋体" w:hAnsi="宋体"/>
          <w:bCs/>
          <w:sz w:val="24"/>
          <w:szCs w:val="24"/>
        </w:rPr>
        <w:t>工程量清单编制说明宜阐述工程概况、编制范围、编制依据和其他相关说明等；</w:t>
      </w:r>
    </w:p>
    <w:p>
      <w:pPr>
        <w:pStyle w:val="8"/>
        <w:numPr>
          <w:ilvl w:val="1"/>
          <w:numId w:val="4"/>
        </w:numPr>
        <w:spacing w:line="360" w:lineRule="auto"/>
        <w:ind w:left="284" w:firstLineChars="0"/>
        <w:jc w:val="left"/>
        <w:rPr>
          <w:rFonts w:ascii="宋体" w:hAnsi="宋体"/>
          <w:bCs/>
          <w:sz w:val="24"/>
          <w:szCs w:val="24"/>
        </w:rPr>
      </w:pPr>
      <w:r>
        <w:rPr>
          <w:rFonts w:hint="eastAsia" w:ascii="宋体" w:hAnsi="宋体"/>
          <w:bCs/>
          <w:sz w:val="24"/>
          <w:szCs w:val="24"/>
        </w:rPr>
        <w:t>其他工程量清单的成果文件编制办法、编制深度应按照的《建设工程工程量清单计价规范》（GB50500）规定进行编制；</w:t>
      </w:r>
    </w:p>
    <w:p>
      <w:pPr>
        <w:pStyle w:val="8"/>
        <w:spacing w:line="360" w:lineRule="auto"/>
        <w:ind w:firstLine="0" w:firstLineChars="0"/>
        <w:jc w:val="left"/>
        <w:rPr>
          <w:rFonts w:ascii="宋体" w:hAnsi="宋体"/>
          <w:b/>
          <w:sz w:val="24"/>
          <w:szCs w:val="24"/>
        </w:rPr>
      </w:pPr>
      <w:r>
        <w:rPr>
          <w:rFonts w:hint="eastAsia" w:ascii="宋体" w:hAnsi="宋体"/>
          <w:b/>
          <w:sz w:val="24"/>
          <w:szCs w:val="24"/>
        </w:rPr>
        <w:t>3.施工图预算编制或审核要求</w:t>
      </w:r>
    </w:p>
    <w:p>
      <w:pPr>
        <w:pStyle w:val="8"/>
        <w:numPr>
          <w:ilvl w:val="1"/>
          <w:numId w:val="5"/>
        </w:numPr>
        <w:spacing w:line="360" w:lineRule="auto"/>
        <w:ind w:left="284" w:firstLineChars="0"/>
        <w:jc w:val="left"/>
        <w:rPr>
          <w:rFonts w:ascii="宋体" w:hAnsi="宋体"/>
          <w:bCs/>
          <w:sz w:val="24"/>
          <w:szCs w:val="24"/>
        </w:rPr>
      </w:pPr>
      <w:r>
        <w:rPr>
          <w:rFonts w:hint="eastAsia" w:ascii="宋体" w:hAnsi="宋体"/>
          <w:bCs/>
          <w:sz w:val="24"/>
          <w:szCs w:val="24"/>
        </w:rPr>
        <w:t>施工图预算编制或审核的成果文件名称应为“***工程施工图预算书”或“***工程施工图预算审核报告”，文件应包括（但不限于）封面、签署页、目录、编制说明、施工图预算汇总表、单项工程施工图预算汇总表、单位工程施工图预算书、措施费用计算表、人工材料机械用量分析表及价差计算表、其他基本建设费用计算表等；</w:t>
      </w:r>
    </w:p>
    <w:p>
      <w:pPr>
        <w:pStyle w:val="8"/>
        <w:numPr>
          <w:ilvl w:val="1"/>
          <w:numId w:val="5"/>
        </w:numPr>
        <w:spacing w:line="360" w:lineRule="auto"/>
        <w:ind w:left="284" w:firstLineChars="0"/>
        <w:jc w:val="left"/>
        <w:rPr>
          <w:rFonts w:ascii="宋体" w:hAnsi="宋体"/>
          <w:bCs/>
          <w:sz w:val="24"/>
          <w:szCs w:val="24"/>
        </w:rPr>
      </w:pPr>
      <w:r>
        <w:rPr>
          <w:rFonts w:hint="eastAsia" w:ascii="宋体" w:hAnsi="宋体"/>
          <w:bCs/>
          <w:sz w:val="24"/>
          <w:szCs w:val="24"/>
        </w:rPr>
        <w:t>施工图预算书或审核报告封面应包括项目名称、编制单位名称和编制日期，并应加盖具有企业名称、资质等级、证书编号的工程造价咨询单位执业章,编制人、审核人、审定人应在签署页签署执业（或从业） 资格专用印章;</w:t>
      </w:r>
    </w:p>
    <w:p>
      <w:pPr>
        <w:pStyle w:val="8"/>
        <w:numPr>
          <w:ilvl w:val="1"/>
          <w:numId w:val="5"/>
        </w:numPr>
        <w:spacing w:line="360" w:lineRule="auto"/>
        <w:ind w:left="284" w:firstLineChars="0"/>
        <w:jc w:val="left"/>
        <w:rPr>
          <w:rFonts w:ascii="宋体" w:hAnsi="宋体"/>
          <w:bCs/>
          <w:sz w:val="24"/>
          <w:szCs w:val="24"/>
        </w:rPr>
      </w:pPr>
      <w:r>
        <w:rPr>
          <w:rFonts w:hint="eastAsia" w:ascii="宋体" w:hAnsi="宋体"/>
          <w:bCs/>
          <w:sz w:val="24"/>
          <w:szCs w:val="24"/>
        </w:rPr>
        <w:t>施工图预算编制或审核报告说明宜阐述工程概况、编制或审核范围、编制或审核方法、编制或审核依据、有关参数和率值选定、主要技术经济对比指标、主要施工方案以及特殊问题的说明等;</w:t>
      </w:r>
    </w:p>
    <w:p>
      <w:pPr>
        <w:pStyle w:val="8"/>
        <w:numPr>
          <w:ilvl w:val="1"/>
          <w:numId w:val="5"/>
        </w:numPr>
        <w:spacing w:line="360" w:lineRule="auto"/>
        <w:ind w:left="284" w:firstLineChars="0"/>
        <w:jc w:val="left"/>
        <w:rPr>
          <w:rFonts w:ascii="宋体" w:hAnsi="宋体"/>
          <w:bCs/>
          <w:sz w:val="24"/>
          <w:szCs w:val="24"/>
        </w:rPr>
      </w:pPr>
      <w:r>
        <w:rPr>
          <w:rFonts w:hint="eastAsia" w:ascii="宋体" w:hAnsi="宋体"/>
          <w:bCs/>
          <w:sz w:val="24"/>
          <w:szCs w:val="24"/>
        </w:rPr>
        <w:t>施工图预算书应</w:t>
      </w:r>
      <w:r>
        <w:rPr>
          <w:rFonts w:hint="eastAsia" w:ascii="宋体" w:hAnsi="宋体"/>
          <w:sz w:val="24"/>
          <w:szCs w:val="24"/>
        </w:rPr>
        <w:t>依据委托人提供的施工图纸及相关要求，按照国家、地方现行有效的计量计价规范、定额标准、计费办法、市场信息等进行编制，审核报告应依据委托人提供的施工图预算、签证变更等相关资料，按照委托人要求的审核办法及现场踏勘测量情况进行审核比对，并应在审核报告中体现人、材、机、措施费、规费、税金等内容的工程量、计费费率、计价价格的比对分析，最后汇总计算审核结果；</w:t>
      </w:r>
    </w:p>
    <w:p>
      <w:pPr>
        <w:pStyle w:val="8"/>
        <w:numPr>
          <w:ilvl w:val="1"/>
          <w:numId w:val="5"/>
        </w:numPr>
        <w:spacing w:line="360" w:lineRule="auto"/>
        <w:ind w:left="284" w:firstLineChars="0"/>
        <w:jc w:val="left"/>
        <w:rPr>
          <w:rFonts w:ascii="宋体" w:hAnsi="宋体"/>
          <w:bCs/>
          <w:sz w:val="24"/>
          <w:szCs w:val="24"/>
        </w:rPr>
      </w:pPr>
      <w:r>
        <w:rPr>
          <w:rFonts w:hint="eastAsia" w:ascii="宋体" w:hAnsi="宋体"/>
          <w:bCs/>
          <w:sz w:val="24"/>
          <w:szCs w:val="24"/>
        </w:rPr>
        <w:t>施工图预算编制或审核的成果文件</w:t>
      </w:r>
      <w:r>
        <w:rPr>
          <w:rFonts w:hint="eastAsia" w:ascii="宋体" w:hAnsi="宋体"/>
          <w:sz w:val="24"/>
          <w:szCs w:val="24"/>
        </w:rPr>
        <w:t>编制方法、编制深度可结合委托人要求及行业特点，依据</w:t>
      </w:r>
      <w:r>
        <w:rPr>
          <w:rFonts w:hint="eastAsia" w:ascii="宋体" w:hAnsi="宋体"/>
          <w:bCs/>
          <w:sz w:val="24"/>
          <w:szCs w:val="24"/>
        </w:rPr>
        <w:t>《建设项目施工图预算编审规程》（CECA/GC 5）相关内容进行编制或审核。</w:t>
      </w:r>
    </w:p>
    <w:p>
      <w:pPr>
        <w:pStyle w:val="8"/>
        <w:spacing w:line="360" w:lineRule="auto"/>
        <w:ind w:firstLine="0" w:firstLineChars="0"/>
        <w:jc w:val="left"/>
        <w:rPr>
          <w:rFonts w:ascii="宋体" w:hAnsi="宋体"/>
          <w:b/>
          <w:sz w:val="24"/>
          <w:szCs w:val="24"/>
        </w:rPr>
      </w:pPr>
      <w:r>
        <w:rPr>
          <w:rFonts w:hint="eastAsia" w:ascii="宋体" w:hAnsi="宋体"/>
          <w:b/>
          <w:sz w:val="24"/>
          <w:szCs w:val="24"/>
        </w:rPr>
        <w:t>4.竣工结算审查要求</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竣工结算审查的成果文件应为“***工程竣工结算审查报告书”。文件应包括（但不限于）竣工结算审查报告书封面、签署页、竣工结算审查报告书正文、竣工结算审定签署表、竣工结算审查汇总对比表、单项工程竣工结算审查汇总对比表、单位工程结算审查汇总对比表、分部分项（措施、其他、零星）工程审查对比表等；</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竣工结算审查报告书封面应包括项目名称、档案号、编制单位名称和编制日期，并应加盖工程造价咨询单位执业印章，签署页应包括项目名称，编制人、审核人、审定人和法定代表人或其授权人的姓名，编制人、审核人、审定人应在签署页签署执业（或从业） 资格专用印章， 法定代表人或其授权人应在签署页签字或盖章；</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竣工结算审查报告正文宜阐述工程概况、审查范围、审查原则、 审查依据、审查方法、审查程序、审查结果、主要问题、有关建议等。</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竣工结算审定签署表应包括工程名称、工程地址、发包人单位、 承包人单位、报审结算造价、调整金额、审定结算造价等内容。发包单位、承包单位、审查单位的法定代表人均必须在本表中签字并盖章，审查单位应加盖工程造价咨询单位执业章；</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竣工结算审查报告书应编制竣工结算审查汇总对比表、 单项工程竣工结算审查汇总对表、 单位工程竣工结算审查汇总对比表。 上述各表均应有编制人、审核人、审定人的署名；</w:t>
      </w:r>
    </w:p>
    <w:p>
      <w:pPr>
        <w:pStyle w:val="8"/>
        <w:numPr>
          <w:ilvl w:val="1"/>
          <w:numId w:val="6"/>
        </w:numPr>
        <w:spacing w:line="360" w:lineRule="auto"/>
        <w:ind w:left="284" w:firstLineChars="0"/>
        <w:jc w:val="left"/>
        <w:rPr>
          <w:rFonts w:ascii="宋体" w:hAnsi="宋体"/>
          <w:bCs/>
          <w:sz w:val="24"/>
          <w:szCs w:val="24"/>
        </w:rPr>
      </w:pPr>
      <w:r>
        <w:rPr>
          <w:rFonts w:hint="eastAsia" w:ascii="宋体" w:hAnsi="宋体"/>
          <w:bCs/>
          <w:sz w:val="24"/>
          <w:szCs w:val="24"/>
        </w:rPr>
        <w:t>其他竣工结算审查的成果文件编制办法、编制深度应按照《建设项目结算编审规程》（CECA/GC3）有关规定进行；</w:t>
      </w:r>
    </w:p>
    <w:p>
      <w:pPr>
        <w:pStyle w:val="8"/>
        <w:spacing w:line="360" w:lineRule="auto"/>
        <w:ind w:firstLine="0" w:firstLineChars="0"/>
        <w:jc w:val="left"/>
        <w:rPr>
          <w:rFonts w:ascii="宋体" w:hAnsi="宋体"/>
          <w:bCs/>
          <w:sz w:val="24"/>
          <w:szCs w:val="24"/>
        </w:rPr>
      </w:pPr>
      <w:r>
        <w:rPr>
          <w:rFonts w:ascii="宋体" w:hAnsi="宋体"/>
          <w:bCs/>
          <w:sz w:val="24"/>
          <w:szCs w:val="24"/>
        </w:rPr>
        <w:t>5</w:t>
      </w:r>
      <w:r>
        <w:rPr>
          <w:rFonts w:hint="eastAsia" w:ascii="宋体" w:hAnsi="宋体"/>
          <w:bCs/>
          <w:sz w:val="24"/>
          <w:szCs w:val="24"/>
        </w:rPr>
        <w:t>.其他</w:t>
      </w:r>
    </w:p>
    <w:p>
      <w:pPr>
        <w:pStyle w:val="8"/>
        <w:spacing w:line="360" w:lineRule="auto"/>
        <w:ind w:firstLine="480"/>
        <w:jc w:val="left"/>
        <w:rPr>
          <w:rFonts w:ascii="宋体" w:hAnsi="宋体"/>
          <w:bCs/>
          <w:sz w:val="24"/>
          <w:szCs w:val="24"/>
        </w:rPr>
      </w:pPr>
      <w:r>
        <w:rPr>
          <w:rFonts w:hint="eastAsia" w:ascii="宋体" w:hAnsi="宋体"/>
          <w:bCs/>
          <w:sz w:val="24"/>
          <w:szCs w:val="24"/>
        </w:rPr>
        <w:t>其他造价咨询服务成果文件的编制要求可根据国家、行业相关标准、规范、规程等由咨询人自行拟定，但必须符合委托人的相关要求。</w:t>
      </w:r>
    </w:p>
    <w:p>
      <w:pPr>
        <w:pStyle w:val="8"/>
        <w:spacing w:line="360" w:lineRule="auto"/>
        <w:ind w:firstLine="0" w:firstLineChars="0"/>
        <w:jc w:val="left"/>
        <w:rPr>
          <w:rFonts w:ascii="宋体" w:hAnsi="宋体"/>
          <w:b/>
          <w:sz w:val="24"/>
          <w:szCs w:val="24"/>
        </w:rPr>
      </w:pPr>
      <w:r>
        <w:rPr>
          <w:rFonts w:hint="eastAsia" w:ascii="宋体" w:hAnsi="宋体"/>
          <w:b/>
          <w:sz w:val="24"/>
          <w:szCs w:val="24"/>
        </w:rPr>
        <w:t>五、造价咨询服务过程文件要求</w:t>
      </w:r>
    </w:p>
    <w:p>
      <w:pPr>
        <w:pStyle w:val="8"/>
        <w:spacing w:line="360" w:lineRule="auto"/>
        <w:ind w:firstLineChars="0"/>
        <w:jc w:val="left"/>
        <w:rPr>
          <w:rFonts w:ascii="宋体" w:hAnsi="宋体"/>
          <w:sz w:val="24"/>
          <w:szCs w:val="24"/>
        </w:rPr>
      </w:pPr>
      <w:r>
        <w:rPr>
          <w:rFonts w:hint="eastAsia" w:ascii="宋体" w:hAnsi="宋体"/>
          <w:sz w:val="24"/>
          <w:szCs w:val="24"/>
        </w:rPr>
        <w:t>过程文件是形成造价咨询成果的重要依据，也是鉴定造价纠纷的重要追溯性材料，咨询人在形成造价成果文件的同时，应按如下要求收集整理过程文件并进行妥善保存：</w:t>
      </w:r>
    </w:p>
    <w:p>
      <w:pPr>
        <w:pStyle w:val="8"/>
        <w:numPr>
          <w:ilvl w:val="3"/>
          <w:numId w:val="7"/>
        </w:numPr>
        <w:spacing w:line="360" w:lineRule="auto"/>
        <w:ind w:left="426" w:firstLineChars="0"/>
        <w:jc w:val="left"/>
        <w:rPr>
          <w:rFonts w:ascii="宋体" w:hAnsi="宋体"/>
          <w:sz w:val="24"/>
          <w:szCs w:val="24"/>
        </w:rPr>
      </w:pPr>
      <w:r>
        <w:rPr>
          <w:rFonts w:hint="eastAsia" w:ascii="宋体" w:hAnsi="宋体"/>
          <w:sz w:val="24"/>
          <w:szCs w:val="24"/>
        </w:rPr>
        <w:t>过程文件保存期不得少于5年（含电子版及纸质版文件），保存期内如委托人需要调用过程文件时，造价咨询人必须无条件提供，如文件丢失损毁或其实质性内容不符合要求，委托人有权追究咨询人的服务质量责任；</w:t>
      </w:r>
    </w:p>
    <w:p>
      <w:pPr>
        <w:pStyle w:val="8"/>
        <w:numPr>
          <w:ilvl w:val="0"/>
          <w:numId w:val="7"/>
        </w:numPr>
        <w:spacing w:line="360" w:lineRule="auto"/>
        <w:ind w:firstLineChars="0"/>
        <w:jc w:val="left"/>
        <w:rPr>
          <w:rFonts w:ascii="宋体" w:hAnsi="宋体"/>
          <w:sz w:val="24"/>
          <w:szCs w:val="24"/>
        </w:rPr>
      </w:pPr>
      <w:r>
        <w:rPr>
          <w:rFonts w:hint="eastAsia" w:ascii="宋体" w:hAnsi="宋体"/>
          <w:sz w:val="24"/>
          <w:szCs w:val="24"/>
        </w:rPr>
        <w:t>各阶段性造价咨询成果的过程文件应包括（但不限于）造价咨询合同、工作计划或实施方案，编制人的编制工作底稿，审核人的审核工作底稿，审定人的审定工作底稿，与成果文件形成相关的电子版文件，有关设计方案、工程量确定的设计交底和会议纪要，有关价格或费率确定的文件，编制过程中使用、借阅或移交的资料清单等；</w:t>
      </w:r>
    </w:p>
    <w:p>
      <w:pPr>
        <w:pStyle w:val="8"/>
        <w:numPr>
          <w:ilvl w:val="0"/>
          <w:numId w:val="7"/>
        </w:numPr>
        <w:spacing w:line="360" w:lineRule="auto"/>
        <w:ind w:firstLineChars="0"/>
        <w:jc w:val="left"/>
        <w:rPr>
          <w:rFonts w:ascii="宋体" w:hAnsi="宋体"/>
          <w:sz w:val="24"/>
          <w:szCs w:val="24"/>
        </w:rPr>
      </w:pPr>
      <w:r>
        <w:rPr>
          <w:rFonts w:hint="eastAsia" w:ascii="宋体" w:hAnsi="宋体"/>
          <w:sz w:val="24"/>
          <w:szCs w:val="24"/>
        </w:rPr>
        <w:t>编制人的工作底稿应至少包括工程量计算书、询价记录、参数或率值计算或确定的过程文件等。审核人和审定人的工作底稿应包括工程量计算或复核书、价格审核记录、参数或率值计算或审核记录等；</w:t>
      </w:r>
    </w:p>
    <w:p>
      <w:pPr>
        <w:pStyle w:val="8"/>
        <w:numPr>
          <w:ilvl w:val="0"/>
          <w:numId w:val="7"/>
        </w:numPr>
        <w:spacing w:line="360" w:lineRule="auto"/>
        <w:ind w:firstLineChars="0"/>
        <w:jc w:val="left"/>
        <w:rPr>
          <w:rFonts w:ascii="宋体" w:hAnsi="宋体"/>
          <w:bCs/>
          <w:sz w:val="24"/>
          <w:szCs w:val="24"/>
        </w:rPr>
      </w:pPr>
      <w:r>
        <w:rPr>
          <w:rFonts w:hint="eastAsia" w:ascii="宋体" w:hAnsi="宋体"/>
          <w:sz w:val="24"/>
          <w:szCs w:val="24"/>
        </w:rPr>
        <w:t>过程文件一般会包括设计文件、施工合同、竣工资料等由委托人提供的原始资料，承担工程造价业务的项目负责人应负责组织、安排对借阅和使用的各类原始资料制定文件目录，并记录好接收时间、接收内容、移交单位、移交人、送还时间等过程信息；</w:t>
      </w:r>
    </w:p>
    <w:p>
      <w:pPr>
        <w:pStyle w:val="8"/>
        <w:spacing w:line="360" w:lineRule="auto"/>
        <w:ind w:firstLine="0" w:firstLineChars="0"/>
        <w:jc w:val="left"/>
        <w:rPr>
          <w:rFonts w:ascii="宋体" w:hAnsi="宋体"/>
          <w:b/>
          <w:sz w:val="24"/>
          <w:szCs w:val="24"/>
        </w:rPr>
      </w:pPr>
      <w:r>
        <w:rPr>
          <w:rFonts w:hint="eastAsia" w:ascii="宋体" w:hAnsi="宋体"/>
          <w:b/>
          <w:sz w:val="24"/>
          <w:szCs w:val="24"/>
        </w:rPr>
        <w:t>六、造价咨询服务成果质量评定标准</w:t>
      </w:r>
    </w:p>
    <w:p>
      <w:pPr>
        <w:spacing w:line="360" w:lineRule="auto"/>
        <w:ind w:firstLine="480" w:firstLineChars="200"/>
        <w:rPr>
          <w:sz w:val="24"/>
        </w:rPr>
      </w:pPr>
      <w:r>
        <w:rPr>
          <w:rFonts w:hint="eastAsia"/>
          <w:sz w:val="24"/>
        </w:rPr>
        <w:t>咨询人提交工程造价咨询成果文件质量标准应符合《建设工程造价咨询成果文件质量标准》（中价协</w:t>
      </w:r>
      <w:r>
        <w:rPr>
          <w:sz w:val="24"/>
        </w:rPr>
        <w:t>[2012]011</w:t>
      </w:r>
      <w:r>
        <w:rPr>
          <w:rFonts w:hint="eastAsia"/>
          <w:sz w:val="24"/>
        </w:rPr>
        <w:t xml:space="preserve">号）相关规定，其中综合误差率按如下标准约定： </w:t>
      </w:r>
    </w:p>
    <w:p>
      <w:pPr>
        <w:pStyle w:val="8"/>
        <w:numPr>
          <w:ilvl w:val="0"/>
          <w:numId w:val="8"/>
        </w:numPr>
        <w:spacing w:line="360" w:lineRule="auto"/>
        <w:ind w:firstLineChars="0"/>
        <w:jc w:val="left"/>
        <w:rPr>
          <w:rFonts w:ascii="宋体" w:hAnsi="宋体"/>
          <w:sz w:val="24"/>
          <w:szCs w:val="24"/>
        </w:rPr>
      </w:pPr>
      <w:r>
        <w:rPr>
          <w:rFonts w:hint="eastAsia" w:ascii="宋体" w:hAnsi="宋体"/>
          <w:sz w:val="24"/>
          <w:szCs w:val="24"/>
        </w:rPr>
        <w:t>项目招标采购期间，经咨询人编制的招标控制价及工程量清单，在相同口径下经委学校审计部门委托的第三方造价咨询机构审计后的综合误差率应小于3</w:t>
      </w:r>
      <w:r>
        <w:rPr>
          <w:rFonts w:ascii="宋体" w:hAnsi="宋体"/>
          <w:sz w:val="24"/>
          <w:szCs w:val="24"/>
        </w:rPr>
        <w:t>%</w:t>
      </w:r>
      <w:r>
        <w:rPr>
          <w:rFonts w:hint="eastAsia" w:ascii="宋体" w:hAnsi="宋体"/>
          <w:sz w:val="24"/>
          <w:szCs w:val="24"/>
        </w:rPr>
        <w:t>；</w:t>
      </w:r>
    </w:p>
    <w:p>
      <w:pPr>
        <w:pStyle w:val="8"/>
        <w:numPr>
          <w:ilvl w:val="0"/>
          <w:numId w:val="8"/>
        </w:numPr>
        <w:spacing w:line="360" w:lineRule="auto"/>
        <w:ind w:firstLineChars="0"/>
        <w:jc w:val="left"/>
        <w:rPr>
          <w:rFonts w:ascii="宋体" w:hAnsi="宋体"/>
          <w:sz w:val="24"/>
          <w:szCs w:val="24"/>
        </w:rPr>
      </w:pPr>
      <w:r>
        <w:rPr>
          <w:rFonts w:hint="eastAsia" w:ascii="宋体" w:hAnsi="宋体"/>
          <w:sz w:val="24"/>
          <w:szCs w:val="24"/>
        </w:rPr>
        <w:t>工程施工期间，经咨询人编制或审核的施工图预算成果形成合同的，竣工结算时在相同口径下经学校审计部门委托的第三方造价咨询机构审计后综合误差率应小于5</w:t>
      </w:r>
      <w:r>
        <w:rPr>
          <w:rFonts w:ascii="宋体" w:hAnsi="宋体"/>
          <w:sz w:val="24"/>
          <w:szCs w:val="24"/>
        </w:rPr>
        <w:t>%</w:t>
      </w:r>
      <w:r>
        <w:rPr>
          <w:rFonts w:hint="eastAsia" w:ascii="宋体" w:hAnsi="宋体"/>
          <w:sz w:val="24"/>
          <w:szCs w:val="24"/>
        </w:rPr>
        <w:t>；</w:t>
      </w:r>
    </w:p>
    <w:p>
      <w:pPr>
        <w:pStyle w:val="8"/>
        <w:numPr>
          <w:ilvl w:val="0"/>
          <w:numId w:val="8"/>
        </w:numPr>
        <w:spacing w:line="360" w:lineRule="auto"/>
        <w:ind w:firstLineChars="0"/>
        <w:jc w:val="left"/>
        <w:rPr>
          <w:rFonts w:ascii="宋体" w:hAnsi="宋体"/>
          <w:sz w:val="24"/>
          <w:szCs w:val="24"/>
        </w:rPr>
      </w:pPr>
      <w:r>
        <w:rPr>
          <w:rFonts w:hint="eastAsia" w:ascii="宋体" w:hAnsi="宋体"/>
          <w:sz w:val="24"/>
          <w:szCs w:val="24"/>
        </w:rPr>
        <w:t>工程竣工阶段造价咨询人审核的竣工结算成果，在相同口径下经学校审计部门委托的第三方造价咨询机构审计后的综合误差率应小于3</w:t>
      </w:r>
      <w:r>
        <w:rPr>
          <w:rFonts w:ascii="宋体" w:hAnsi="宋体"/>
          <w:sz w:val="24"/>
          <w:szCs w:val="24"/>
        </w:rPr>
        <w:t>%</w:t>
      </w:r>
      <w:r>
        <w:rPr>
          <w:rFonts w:hint="eastAsia" w:ascii="宋体" w:hAnsi="宋体"/>
          <w:sz w:val="24"/>
          <w:szCs w:val="24"/>
        </w:rPr>
        <w:t>；</w:t>
      </w:r>
    </w:p>
    <w:p>
      <w:pPr>
        <w:pStyle w:val="8"/>
        <w:numPr>
          <w:ilvl w:val="0"/>
          <w:numId w:val="8"/>
        </w:numPr>
        <w:spacing w:line="360" w:lineRule="auto"/>
        <w:ind w:firstLineChars="0"/>
        <w:jc w:val="left"/>
        <w:rPr>
          <w:rFonts w:ascii="宋体" w:hAnsi="宋体"/>
          <w:sz w:val="24"/>
          <w:szCs w:val="24"/>
        </w:rPr>
      </w:pPr>
      <w:r>
        <w:rPr>
          <w:rFonts w:hint="eastAsia" w:ascii="宋体" w:hAnsi="宋体"/>
          <w:sz w:val="24"/>
          <w:szCs w:val="24"/>
        </w:rPr>
        <w:t>其他有关工程造价咨询工作的质量评定标准根据行业特点及委托人要求，参照《建设工程造价咨询成果文件质量标准》（C</w:t>
      </w:r>
      <w:r>
        <w:rPr>
          <w:rFonts w:ascii="宋体" w:hAnsi="宋体"/>
          <w:sz w:val="24"/>
          <w:szCs w:val="24"/>
        </w:rPr>
        <w:t>ECA/GC7</w:t>
      </w:r>
      <w:r>
        <w:rPr>
          <w:rFonts w:hint="eastAsia" w:ascii="宋体" w:hAnsi="宋体"/>
          <w:sz w:val="24"/>
          <w:szCs w:val="24"/>
        </w:rPr>
        <w:t>）等文件，由委托人与咨询人另行约定；</w:t>
      </w:r>
    </w:p>
    <w:p>
      <w:pPr>
        <w:pStyle w:val="8"/>
        <w:spacing w:line="360" w:lineRule="auto"/>
        <w:ind w:left="420" w:firstLine="0" w:firstLineChars="0"/>
        <w:jc w:val="left"/>
        <w:rPr>
          <w:rFonts w:ascii="宋体" w:hAnsi="宋体"/>
          <w:sz w:val="24"/>
          <w:szCs w:val="24"/>
        </w:rPr>
      </w:pPr>
      <w:r>
        <w:rPr>
          <w:rFonts w:hint="eastAsia" w:ascii="宋体" w:hAnsi="宋体"/>
          <w:sz w:val="24"/>
          <w:szCs w:val="24"/>
        </w:rPr>
        <w:t>以上同等口径下综合误差率指由于咨询人自身原因造成的送审成果与</w:t>
      </w:r>
    </w:p>
    <w:p>
      <w:pPr>
        <w:pStyle w:val="8"/>
        <w:spacing w:line="360" w:lineRule="auto"/>
        <w:ind w:firstLine="0" w:firstLineChars="0"/>
        <w:jc w:val="left"/>
        <w:rPr>
          <w:rFonts w:ascii="宋体" w:hAnsi="宋体"/>
          <w:sz w:val="24"/>
          <w:szCs w:val="24"/>
        </w:rPr>
      </w:pPr>
      <w:r>
        <w:rPr>
          <w:rFonts w:hint="eastAsia" w:ascii="宋体" w:hAnsi="宋体"/>
          <w:sz w:val="24"/>
          <w:szCs w:val="24"/>
        </w:rPr>
        <w:t>复审结果存在的偏差值比例，包括但不限于清单漏项、工程量测量误差、计费标准选择性错误、人材机价格偏离正常标准等，此外，由于竣工图纸、签证变更等与现场实际情况不符导致的测算错误也计入综合误差率中。</w:t>
      </w:r>
    </w:p>
    <w:p>
      <w:pPr>
        <w:pStyle w:val="8"/>
        <w:spacing w:line="360" w:lineRule="auto"/>
        <w:ind w:firstLine="0" w:firstLineChars="0"/>
        <w:jc w:val="left"/>
        <w:rPr>
          <w:rFonts w:ascii="宋体" w:hAnsi="宋体"/>
          <w:b/>
          <w:bCs/>
          <w:sz w:val="24"/>
          <w:szCs w:val="24"/>
        </w:rPr>
      </w:pPr>
      <w:r>
        <w:rPr>
          <w:rFonts w:hint="eastAsia" w:ascii="宋体" w:hAnsi="宋体"/>
          <w:b/>
          <w:bCs/>
          <w:sz w:val="24"/>
          <w:szCs w:val="24"/>
        </w:rPr>
        <w:t>七、项目造价咨询服务团队人员管理要求</w:t>
      </w:r>
    </w:p>
    <w:p>
      <w:pPr>
        <w:numPr>
          <w:ilvl w:val="0"/>
          <w:numId w:val="9"/>
        </w:numPr>
        <w:spacing w:line="360" w:lineRule="auto"/>
        <w:rPr>
          <w:rFonts w:cs="Arial"/>
          <w:sz w:val="24"/>
        </w:rPr>
      </w:pPr>
      <w:r>
        <w:rPr>
          <w:rFonts w:hint="eastAsia" w:cs="Arial"/>
          <w:sz w:val="24"/>
        </w:rPr>
        <w:t>咨询人必须按照合同约定的人员名单（见附件）组建本项目造价咨询服务团队，未经委托人同意，不得擅自减少或更换团队人员；</w:t>
      </w:r>
    </w:p>
    <w:p>
      <w:pPr>
        <w:numPr>
          <w:ilvl w:val="0"/>
          <w:numId w:val="9"/>
        </w:numPr>
        <w:spacing w:line="360" w:lineRule="auto"/>
        <w:rPr>
          <w:rFonts w:cs="Arial"/>
          <w:sz w:val="24"/>
        </w:rPr>
      </w:pPr>
      <w:r>
        <w:rPr>
          <w:rFonts w:hint="eastAsia" w:cs="Arial"/>
          <w:sz w:val="24"/>
        </w:rPr>
        <w:t>服务团队人员必须为咨询人的合法员工，未经委托人同意，不得聘请其他人员从事本项目的造价咨询服务工作，也不得将本项目转包给其他造价咨询机构承揽；</w:t>
      </w:r>
    </w:p>
    <w:p>
      <w:pPr>
        <w:numPr>
          <w:ilvl w:val="0"/>
          <w:numId w:val="9"/>
        </w:numPr>
        <w:spacing w:line="360" w:lineRule="auto"/>
        <w:rPr>
          <w:rFonts w:cs="Arial"/>
          <w:sz w:val="24"/>
        </w:rPr>
      </w:pPr>
      <w:r>
        <w:rPr>
          <w:rFonts w:hint="eastAsia" w:cs="Arial"/>
          <w:sz w:val="24"/>
        </w:rPr>
        <w:t>服务团队人员必须在专业基础、工程经验等方面完全胜任本项目工作内容，保证满足委托人对本项目造价咨询工作的整体进度及质量要求，如委托人发现团队人员不具备相关履职能力的，委托人有权要求咨询人更换其他人员，咨询人必须无条件服从；</w:t>
      </w:r>
    </w:p>
    <w:p>
      <w:pPr>
        <w:numPr>
          <w:ilvl w:val="0"/>
          <w:numId w:val="9"/>
        </w:numPr>
        <w:spacing w:line="360" w:lineRule="auto"/>
        <w:rPr>
          <w:rFonts w:cs="Arial"/>
          <w:sz w:val="24"/>
        </w:rPr>
      </w:pPr>
      <w:r>
        <w:rPr>
          <w:rFonts w:hint="eastAsia" w:cs="Arial"/>
          <w:sz w:val="24"/>
        </w:rPr>
        <w:t>服务团队人员不提供本项目的驻场服务，但必须根据委托人需要参加与项目造价咨询相关的月度例会、图纸会审、洽商谈判等业务联席会议，定期组织团队相关专业人员对施工进度情况进行跟踪检查，并对所有联席会议及现场检查情况做好相关记录；</w:t>
      </w:r>
    </w:p>
    <w:p>
      <w:pPr>
        <w:numPr>
          <w:ilvl w:val="0"/>
          <w:numId w:val="9"/>
        </w:numPr>
        <w:spacing w:line="360" w:lineRule="auto"/>
        <w:rPr>
          <w:rFonts w:cs="Arial"/>
          <w:sz w:val="24"/>
        </w:rPr>
      </w:pPr>
      <w:r>
        <w:rPr>
          <w:rFonts w:hint="eastAsia" w:cs="Arial"/>
          <w:sz w:val="24"/>
        </w:rPr>
        <w:t>服务团队人员应主动督促被审计单位配合工程结算审计工作，提交相关结算审核资料，如在造价咨询服务过程中遇到对方不积极配合或其他相关问题时应及时通知委托人协调处理，并做好相应记录</w:t>
      </w:r>
      <w:r>
        <w:rPr>
          <w:rFonts w:cs="Arial"/>
          <w:sz w:val="24"/>
        </w:rPr>
        <w:t>；</w:t>
      </w:r>
    </w:p>
    <w:p>
      <w:pPr>
        <w:numPr>
          <w:ilvl w:val="0"/>
          <w:numId w:val="9"/>
        </w:numPr>
        <w:spacing w:line="360" w:lineRule="auto"/>
        <w:rPr>
          <w:rFonts w:cs="Arial"/>
          <w:sz w:val="24"/>
        </w:rPr>
      </w:pPr>
      <w:r>
        <w:rPr>
          <w:rFonts w:hint="eastAsia" w:cs="Arial"/>
          <w:color w:val="000000"/>
          <w:sz w:val="24"/>
        </w:rPr>
        <w:t>服务团队人员必须积极配合学校审计部门</w:t>
      </w:r>
      <w:r>
        <w:rPr>
          <w:rFonts w:cs="Arial"/>
          <w:bCs/>
          <w:sz w:val="24"/>
        </w:rPr>
        <w:t>委托</w:t>
      </w:r>
      <w:r>
        <w:rPr>
          <w:rFonts w:hint="eastAsia" w:cs="Arial"/>
          <w:bCs/>
          <w:sz w:val="24"/>
        </w:rPr>
        <w:t>的造价咨询机构进行招标控制价及竣工结算的</w:t>
      </w:r>
      <w:r>
        <w:rPr>
          <w:rFonts w:cs="Arial"/>
          <w:bCs/>
          <w:sz w:val="24"/>
        </w:rPr>
        <w:t>复审</w:t>
      </w:r>
      <w:r>
        <w:rPr>
          <w:rFonts w:hint="eastAsia" w:cs="Arial"/>
          <w:bCs/>
          <w:sz w:val="24"/>
        </w:rPr>
        <w:t>工作，并</w:t>
      </w:r>
      <w:r>
        <w:rPr>
          <w:rFonts w:cs="Arial"/>
          <w:bCs/>
          <w:sz w:val="24"/>
        </w:rPr>
        <w:t>按</w:t>
      </w:r>
      <w:r>
        <w:rPr>
          <w:rFonts w:hint="eastAsia" w:cs="Arial"/>
          <w:bCs/>
          <w:sz w:val="24"/>
        </w:rPr>
        <w:t>要求提供</w:t>
      </w:r>
      <w:r>
        <w:rPr>
          <w:rFonts w:cs="Arial"/>
          <w:bCs/>
          <w:sz w:val="24"/>
        </w:rPr>
        <w:t>所需资料</w:t>
      </w:r>
      <w:r>
        <w:rPr>
          <w:rFonts w:hint="eastAsia" w:cs="Arial"/>
          <w:bCs/>
          <w:sz w:val="24"/>
        </w:rPr>
        <w:t>；</w:t>
      </w:r>
    </w:p>
    <w:p>
      <w:pPr>
        <w:numPr>
          <w:ilvl w:val="0"/>
          <w:numId w:val="9"/>
        </w:numPr>
        <w:tabs>
          <w:tab w:val="left" w:pos="360"/>
        </w:tabs>
        <w:snapToGrid w:val="0"/>
        <w:spacing w:line="360" w:lineRule="auto"/>
        <w:rPr>
          <w:rFonts w:cs="Arial"/>
          <w:sz w:val="24"/>
        </w:rPr>
      </w:pPr>
      <w:r>
        <w:rPr>
          <w:rFonts w:hint="eastAsia" w:cs="Arial"/>
          <w:sz w:val="24"/>
        </w:rPr>
        <w:t>服务团队人员要</w:t>
      </w:r>
      <w:r>
        <w:rPr>
          <w:rFonts w:cs="Arial"/>
          <w:sz w:val="24"/>
        </w:rPr>
        <w:t>认真清点并保管好</w:t>
      </w:r>
      <w:r>
        <w:rPr>
          <w:rFonts w:hint="eastAsia" w:cs="Arial"/>
          <w:sz w:val="24"/>
        </w:rPr>
        <w:t>委托方</w:t>
      </w:r>
      <w:r>
        <w:rPr>
          <w:rFonts w:cs="Arial"/>
          <w:sz w:val="24"/>
        </w:rPr>
        <w:t>提供的各种资料，</w:t>
      </w:r>
      <w:r>
        <w:rPr>
          <w:rFonts w:hint="eastAsia" w:cs="Arial"/>
          <w:sz w:val="24"/>
        </w:rPr>
        <w:t>工作完成后要如</w:t>
      </w:r>
      <w:r>
        <w:rPr>
          <w:rFonts w:cs="Arial"/>
          <w:sz w:val="24"/>
        </w:rPr>
        <w:t>数、原样返还</w:t>
      </w:r>
      <w:r>
        <w:rPr>
          <w:rFonts w:hint="eastAsia" w:cs="Arial"/>
          <w:sz w:val="24"/>
        </w:rPr>
        <w:t>委托方并做好资料交接记录；</w:t>
      </w:r>
    </w:p>
    <w:p>
      <w:pPr>
        <w:numPr>
          <w:ilvl w:val="0"/>
          <w:numId w:val="9"/>
        </w:numPr>
        <w:spacing w:line="360" w:lineRule="auto"/>
        <w:rPr>
          <w:rFonts w:cs="Arial"/>
          <w:sz w:val="24"/>
        </w:rPr>
      </w:pPr>
      <w:r>
        <w:rPr>
          <w:rFonts w:hint="eastAsia" w:cs="Arial"/>
          <w:sz w:val="24"/>
        </w:rPr>
        <w:t>服务团队人员对委托方提供</w:t>
      </w:r>
      <w:r>
        <w:rPr>
          <w:rFonts w:cs="Arial"/>
          <w:sz w:val="24"/>
        </w:rPr>
        <w:t>各种资料和结论</w:t>
      </w:r>
      <w:r>
        <w:rPr>
          <w:rFonts w:hint="eastAsia" w:cs="Arial"/>
          <w:sz w:val="24"/>
        </w:rPr>
        <w:t>负有</w:t>
      </w:r>
      <w:r>
        <w:rPr>
          <w:rFonts w:cs="Arial"/>
          <w:sz w:val="24"/>
        </w:rPr>
        <w:t>保密</w:t>
      </w:r>
      <w:r>
        <w:rPr>
          <w:rFonts w:hint="eastAsia" w:cs="Arial"/>
          <w:sz w:val="24"/>
        </w:rPr>
        <w:t>责任</w:t>
      </w:r>
      <w:r>
        <w:rPr>
          <w:rFonts w:cs="Arial"/>
          <w:sz w:val="24"/>
        </w:rPr>
        <w:t>，</w:t>
      </w:r>
      <w:r>
        <w:rPr>
          <w:rFonts w:hint="eastAsia" w:cs="Arial"/>
          <w:sz w:val="24"/>
        </w:rPr>
        <w:t>未经委托方允许，</w:t>
      </w:r>
      <w:r>
        <w:rPr>
          <w:rFonts w:cs="Arial"/>
          <w:sz w:val="24"/>
        </w:rPr>
        <w:t>不得以任何方式透露给第三方</w:t>
      </w:r>
      <w:r>
        <w:rPr>
          <w:rFonts w:hint="eastAsia" w:cs="Arial"/>
          <w:sz w:val="24"/>
        </w:rPr>
        <w:t>；</w:t>
      </w:r>
    </w:p>
    <w:p>
      <w:pPr>
        <w:numPr>
          <w:ilvl w:val="0"/>
          <w:numId w:val="9"/>
        </w:numPr>
        <w:spacing w:line="360" w:lineRule="auto"/>
        <w:rPr>
          <w:rFonts w:cs="Arial"/>
          <w:sz w:val="24"/>
        </w:rPr>
      </w:pPr>
      <w:r>
        <w:rPr>
          <w:rFonts w:hint="eastAsia" w:cs="Arial"/>
          <w:sz w:val="24"/>
        </w:rPr>
        <w:t>服务团队人员不得发生以下（包含但不限于）违反职业道德的行为：</w:t>
      </w:r>
    </w:p>
    <w:p>
      <w:pPr>
        <w:numPr>
          <w:ilvl w:val="0"/>
          <w:numId w:val="10"/>
        </w:numPr>
        <w:tabs>
          <w:tab w:val="left" w:pos="360"/>
        </w:tabs>
        <w:spacing w:line="360" w:lineRule="auto"/>
        <w:rPr>
          <w:rFonts w:cs="Arial"/>
          <w:sz w:val="24"/>
        </w:rPr>
      </w:pPr>
      <w:r>
        <w:rPr>
          <w:rFonts w:hint="eastAsia" w:cs="Arial"/>
          <w:sz w:val="24"/>
        </w:rPr>
        <w:t>不得签署有虚假记载、误导性陈述的造价成果文件或其他工程资料；</w:t>
      </w:r>
    </w:p>
    <w:p>
      <w:pPr>
        <w:numPr>
          <w:ilvl w:val="0"/>
          <w:numId w:val="10"/>
        </w:numPr>
        <w:tabs>
          <w:tab w:val="left" w:pos="360"/>
        </w:tabs>
        <w:spacing w:line="360" w:lineRule="auto"/>
        <w:rPr>
          <w:rFonts w:cs="Arial"/>
          <w:sz w:val="24"/>
        </w:rPr>
      </w:pPr>
      <w:r>
        <w:rPr>
          <w:rFonts w:hint="eastAsia" w:cs="Arial"/>
          <w:sz w:val="24"/>
        </w:rPr>
        <w:t>不得弄虚作假、隐瞒、捏造数据，提供不实信息，引导委托人制定错误决策；</w:t>
      </w:r>
    </w:p>
    <w:p>
      <w:pPr>
        <w:numPr>
          <w:ilvl w:val="0"/>
          <w:numId w:val="10"/>
        </w:numPr>
        <w:tabs>
          <w:tab w:val="left" w:pos="360"/>
        </w:tabs>
        <w:spacing w:line="360" w:lineRule="auto"/>
        <w:rPr>
          <w:rFonts w:cs="Arial"/>
          <w:sz w:val="24"/>
        </w:rPr>
      </w:pPr>
      <w:r>
        <w:rPr>
          <w:rFonts w:hint="eastAsia" w:cs="Arial"/>
          <w:sz w:val="24"/>
        </w:rPr>
        <w:t>不得与被审计单位串通，编制虚假文件获取不当利益；</w:t>
      </w:r>
    </w:p>
    <w:p>
      <w:pPr>
        <w:numPr>
          <w:ilvl w:val="0"/>
          <w:numId w:val="10"/>
        </w:numPr>
        <w:tabs>
          <w:tab w:val="left" w:pos="360"/>
        </w:tabs>
        <w:spacing w:line="360" w:lineRule="auto"/>
        <w:rPr>
          <w:rFonts w:cs="Arial"/>
          <w:sz w:val="24"/>
        </w:rPr>
      </w:pPr>
      <w:r>
        <w:rPr>
          <w:rFonts w:hint="eastAsia" w:cs="Arial"/>
          <w:sz w:val="24"/>
        </w:rPr>
        <w:t>不得将招标控制价、招标图纸、技术标准、计价原则等重要文件或信息泄露给潜在供应商；</w:t>
      </w:r>
    </w:p>
    <w:p>
      <w:pPr>
        <w:numPr>
          <w:ilvl w:val="0"/>
          <w:numId w:val="10"/>
        </w:numPr>
        <w:tabs>
          <w:tab w:val="left" w:pos="360"/>
        </w:tabs>
        <w:spacing w:line="360" w:lineRule="auto"/>
        <w:rPr>
          <w:rFonts w:cs="Arial"/>
          <w:sz w:val="24"/>
        </w:rPr>
      </w:pPr>
      <w:r>
        <w:rPr>
          <w:rFonts w:hint="eastAsia" w:cs="Arial"/>
          <w:sz w:val="24"/>
        </w:rPr>
        <w:t>不得向被审计单位推荐供应商，不得接受被审计单位的礼品、礼金，不得参与被审计单位的宴请活动，不得要求被审计单位报销其饮食、交通、用具等有关费用，不得暗示被审计单位为其住房装修、婚丧嫁娶、旅游等提供方便；</w:t>
      </w:r>
    </w:p>
    <w:p>
      <w:pPr>
        <w:numPr>
          <w:ilvl w:val="0"/>
          <w:numId w:val="10"/>
        </w:numPr>
        <w:tabs>
          <w:tab w:val="left" w:pos="360"/>
        </w:tabs>
        <w:spacing w:line="360" w:lineRule="auto"/>
        <w:rPr>
          <w:rFonts w:cs="Arial"/>
          <w:sz w:val="24"/>
        </w:rPr>
      </w:pPr>
      <w:r>
        <w:rPr>
          <w:rFonts w:hint="eastAsia" w:cs="Arial"/>
          <w:sz w:val="24"/>
        </w:rPr>
        <w:t>其他违反职业道德，损害委托人利益的行为；</w:t>
      </w:r>
    </w:p>
    <w:p>
      <w:pPr>
        <w:pStyle w:val="8"/>
        <w:spacing w:line="360" w:lineRule="auto"/>
        <w:ind w:firstLine="0" w:firstLineChars="0"/>
        <w:jc w:val="left"/>
        <w:rPr>
          <w:rFonts w:ascii="宋体" w:hAnsi="宋体"/>
          <w:b/>
          <w:sz w:val="24"/>
          <w:szCs w:val="24"/>
        </w:rPr>
      </w:pPr>
      <w:r>
        <w:rPr>
          <w:rFonts w:hint="eastAsia" w:ascii="宋体" w:hAnsi="宋体"/>
          <w:b/>
          <w:sz w:val="24"/>
          <w:szCs w:val="24"/>
        </w:rPr>
        <w:t>八、造价咨询服务酬金、支付方式及风险约定</w:t>
      </w:r>
    </w:p>
    <w:p>
      <w:pPr>
        <w:pStyle w:val="8"/>
        <w:spacing w:line="360" w:lineRule="auto"/>
        <w:ind w:firstLine="0" w:firstLineChars="0"/>
        <w:jc w:val="left"/>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酬金内容</w:t>
      </w:r>
    </w:p>
    <w:p>
      <w:pPr>
        <w:pStyle w:val="8"/>
        <w:spacing w:line="360" w:lineRule="auto"/>
        <w:ind w:firstLine="480"/>
        <w:jc w:val="left"/>
        <w:rPr>
          <w:rFonts w:ascii="宋体" w:hAnsi="宋体" w:cs="Arial"/>
          <w:kern w:val="0"/>
          <w:sz w:val="24"/>
          <w:szCs w:val="24"/>
        </w:rPr>
      </w:pPr>
      <w:r>
        <w:rPr>
          <w:rFonts w:hint="eastAsia" w:ascii="宋体" w:hAnsi="宋体" w:cs="Arial"/>
          <w:kern w:val="0"/>
          <w:sz w:val="24"/>
          <w:szCs w:val="24"/>
        </w:rPr>
        <w:t>本项目酬金即为合同价格，包括咨询人委派所有人员的工作费用（含加班）、办公费、耗材费、外勤费、企业</w:t>
      </w:r>
      <w:r>
        <w:rPr>
          <w:rFonts w:ascii="宋体" w:hAnsi="宋体" w:cs="Arial"/>
          <w:kern w:val="0"/>
          <w:sz w:val="24"/>
          <w:szCs w:val="24"/>
        </w:rPr>
        <w:t>管理费、利润、税金等一切费用，除</w:t>
      </w:r>
      <w:r>
        <w:rPr>
          <w:rFonts w:hint="eastAsia" w:ascii="宋体" w:hAnsi="宋体" w:cs="Arial"/>
          <w:kern w:val="0"/>
          <w:sz w:val="24"/>
          <w:szCs w:val="24"/>
        </w:rPr>
        <w:t>双方另行签订补充协议外，</w:t>
      </w:r>
      <w:r>
        <w:rPr>
          <w:rFonts w:ascii="宋体" w:hAnsi="宋体" w:cs="Arial"/>
          <w:kern w:val="0"/>
          <w:sz w:val="24"/>
          <w:szCs w:val="24"/>
        </w:rPr>
        <w:t>不以任何方法调整</w:t>
      </w:r>
      <w:r>
        <w:rPr>
          <w:rFonts w:hint="eastAsia" w:ascii="宋体" w:hAnsi="宋体" w:cs="Arial"/>
          <w:kern w:val="0"/>
          <w:sz w:val="24"/>
          <w:szCs w:val="24"/>
        </w:rPr>
        <w:t>合同金额。</w:t>
      </w:r>
    </w:p>
    <w:p>
      <w:pPr>
        <w:pStyle w:val="8"/>
        <w:spacing w:line="360" w:lineRule="auto"/>
        <w:ind w:firstLine="0" w:firstLineChars="0"/>
        <w:jc w:val="left"/>
        <w:rPr>
          <w:rFonts w:ascii="宋体" w:hAnsi="宋体"/>
          <w:bCs/>
          <w:sz w:val="24"/>
          <w:szCs w:val="24"/>
        </w:rPr>
      </w:pPr>
      <w:r>
        <w:rPr>
          <w:rFonts w:hint="eastAsia" w:ascii="宋体" w:hAnsi="宋体"/>
          <w:bCs/>
          <w:sz w:val="24"/>
          <w:szCs w:val="24"/>
        </w:rPr>
        <w:t>2．支付方式</w:t>
      </w:r>
    </w:p>
    <w:p>
      <w:pPr>
        <w:pStyle w:val="8"/>
        <w:numPr>
          <w:ilvl w:val="1"/>
          <w:numId w:val="11"/>
        </w:numPr>
        <w:spacing w:line="360" w:lineRule="auto"/>
        <w:ind w:left="426" w:firstLineChars="0"/>
        <w:jc w:val="left"/>
        <w:rPr>
          <w:rFonts w:ascii="宋体" w:hAnsi="宋体"/>
          <w:bCs/>
          <w:sz w:val="24"/>
          <w:szCs w:val="24"/>
        </w:rPr>
      </w:pPr>
      <w:r>
        <w:rPr>
          <w:rFonts w:hint="eastAsia" w:ascii="宋体" w:hAnsi="宋体"/>
          <w:bCs/>
          <w:sz w:val="24"/>
          <w:szCs w:val="24"/>
        </w:rPr>
        <w:t>合同签订后，委托人支付合同总价的1</w:t>
      </w:r>
      <w:r>
        <w:rPr>
          <w:rFonts w:ascii="宋体" w:hAnsi="宋体"/>
          <w:bCs/>
          <w:sz w:val="24"/>
          <w:szCs w:val="24"/>
        </w:rPr>
        <w:t>0%~</w:t>
      </w:r>
      <w:r>
        <w:rPr>
          <w:rFonts w:hint="eastAsia" w:ascii="宋体" w:hAnsi="宋体"/>
          <w:bCs/>
          <w:sz w:val="24"/>
          <w:szCs w:val="24"/>
        </w:rPr>
        <w:t>30%给咨询人作为预付酬金；</w:t>
      </w:r>
    </w:p>
    <w:p>
      <w:pPr>
        <w:pStyle w:val="8"/>
        <w:numPr>
          <w:ilvl w:val="1"/>
          <w:numId w:val="11"/>
        </w:numPr>
        <w:spacing w:line="360" w:lineRule="auto"/>
        <w:ind w:left="426" w:firstLineChars="0"/>
        <w:jc w:val="left"/>
        <w:rPr>
          <w:rFonts w:ascii="宋体" w:hAnsi="宋体"/>
          <w:bCs/>
          <w:sz w:val="24"/>
          <w:szCs w:val="24"/>
        </w:rPr>
      </w:pPr>
      <w:r>
        <w:rPr>
          <w:rFonts w:hint="eastAsia" w:ascii="宋体" w:hAnsi="宋体"/>
          <w:bCs/>
          <w:sz w:val="24"/>
          <w:szCs w:val="24"/>
        </w:rPr>
        <w:t>施工阶段的酬金根据项目施工进度计划，按季度支付，即咨询人按合同要求每季度向委托人提交一次工程造价分析报告后，委托人根据项目实际进度及咨询完成的工作情况，支付合同总金额10%</w:t>
      </w:r>
      <w:r>
        <w:rPr>
          <w:rFonts w:ascii="宋体" w:hAnsi="宋体"/>
          <w:bCs/>
          <w:sz w:val="24"/>
          <w:szCs w:val="24"/>
        </w:rPr>
        <w:t>-20%</w:t>
      </w:r>
      <w:r>
        <w:rPr>
          <w:rFonts w:hint="eastAsia" w:ascii="宋体" w:hAnsi="宋体"/>
          <w:bCs/>
          <w:sz w:val="24"/>
          <w:szCs w:val="24"/>
        </w:rPr>
        <w:t>作为进度酬金，至累计付款比例（含预付款）已支付到合同总价的80%或项目竣工验收完成（委托人已取得项目竣工验收备案证）停止支付（以先到时间为准）；</w:t>
      </w:r>
    </w:p>
    <w:p>
      <w:pPr>
        <w:pStyle w:val="8"/>
        <w:numPr>
          <w:ilvl w:val="1"/>
          <w:numId w:val="11"/>
        </w:numPr>
        <w:spacing w:line="360" w:lineRule="auto"/>
        <w:ind w:left="426" w:firstLineChars="0"/>
        <w:jc w:val="left"/>
        <w:rPr>
          <w:rFonts w:ascii="宋体" w:hAnsi="宋体"/>
          <w:bCs/>
          <w:sz w:val="24"/>
          <w:szCs w:val="24"/>
        </w:rPr>
      </w:pPr>
      <w:r>
        <w:rPr>
          <w:rFonts w:hint="eastAsia" w:ascii="宋体" w:hAnsi="宋体"/>
          <w:bCs/>
          <w:sz w:val="24"/>
          <w:szCs w:val="24"/>
        </w:rPr>
        <w:t>本项目所有竣工结算文件经学校审计部门委托的造价咨询机构二次审计完成并出具审定报告后，委托人支付合同总金额的9</w:t>
      </w:r>
      <w:r>
        <w:rPr>
          <w:rFonts w:ascii="宋体" w:hAnsi="宋体"/>
          <w:bCs/>
          <w:sz w:val="24"/>
          <w:szCs w:val="24"/>
        </w:rPr>
        <w:t>7</w:t>
      </w:r>
      <w:r>
        <w:rPr>
          <w:rFonts w:hint="eastAsia" w:ascii="宋体" w:hAnsi="宋体"/>
          <w:bCs/>
          <w:sz w:val="24"/>
          <w:szCs w:val="24"/>
        </w:rPr>
        <w:t>%给咨询人；</w:t>
      </w:r>
    </w:p>
    <w:p>
      <w:pPr>
        <w:pStyle w:val="8"/>
        <w:numPr>
          <w:ilvl w:val="1"/>
          <w:numId w:val="11"/>
        </w:numPr>
        <w:spacing w:line="360" w:lineRule="auto"/>
        <w:ind w:left="426" w:firstLineChars="0"/>
        <w:jc w:val="left"/>
        <w:rPr>
          <w:rFonts w:ascii="宋体" w:hAnsi="宋体"/>
          <w:bCs/>
          <w:sz w:val="24"/>
          <w:szCs w:val="24"/>
        </w:rPr>
      </w:pPr>
      <w:r>
        <w:rPr>
          <w:rFonts w:hint="eastAsia" w:ascii="宋体" w:hAnsi="宋体"/>
          <w:bCs/>
          <w:sz w:val="24"/>
          <w:szCs w:val="24"/>
        </w:rPr>
        <w:t>本工程正式通过上级主管部门（工信部）验收后，委托人支付剩余3%给咨询人（由于委托人原因导致项目从获取竣工验收备案证之日起1</w:t>
      </w:r>
      <w:r>
        <w:rPr>
          <w:rFonts w:ascii="宋体" w:hAnsi="宋体"/>
          <w:bCs/>
          <w:sz w:val="24"/>
          <w:szCs w:val="24"/>
        </w:rPr>
        <w:t>2</w:t>
      </w:r>
      <w:r>
        <w:rPr>
          <w:rFonts w:hint="eastAsia" w:ascii="宋体" w:hAnsi="宋体"/>
          <w:bCs/>
          <w:sz w:val="24"/>
          <w:szCs w:val="24"/>
        </w:rPr>
        <w:t>个月内仍未通过上级主管部门验收的，在无其他造价咨询服务工作内容和质量纠纷的前提下，咨询人可向委托人申请支付剩余酬金）；</w:t>
      </w:r>
    </w:p>
    <w:p>
      <w:pPr>
        <w:pStyle w:val="8"/>
        <w:spacing w:line="360" w:lineRule="auto"/>
        <w:ind w:firstLine="0" w:firstLineChars="0"/>
        <w:jc w:val="left"/>
        <w:rPr>
          <w:rFonts w:ascii="宋体" w:hAnsi="宋体"/>
          <w:bCs/>
          <w:sz w:val="24"/>
          <w:szCs w:val="24"/>
        </w:rPr>
      </w:pPr>
      <w:r>
        <w:rPr>
          <w:rFonts w:hint="eastAsia" w:ascii="宋体" w:hAnsi="宋体"/>
          <w:bCs/>
          <w:sz w:val="24"/>
          <w:szCs w:val="24"/>
        </w:rPr>
        <w:t>3.酬金风险</w:t>
      </w:r>
    </w:p>
    <w:p>
      <w:pPr>
        <w:pStyle w:val="8"/>
        <w:numPr>
          <w:ilvl w:val="1"/>
          <w:numId w:val="12"/>
        </w:numPr>
        <w:spacing w:line="360" w:lineRule="auto"/>
        <w:ind w:left="426" w:firstLineChars="0"/>
        <w:jc w:val="left"/>
        <w:rPr>
          <w:rFonts w:ascii="宋体" w:hAnsi="宋体"/>
          <w:bCs/>
          <w:sz w:val="24"/>
          <w:szCs w:val="24"/>
        </w:rPr>
      </w:pPr>
      <w:r>
        <w:rPr>
          <w:rFonts w:hint="eastAsia" w:ascii="宋体" w:hAnsi="宋体"/>
          <w:bCs/>
          <w:sz w:val="24"/>
          <w:szCs w:val="24"/>
        </w:rPr>
        <w:t>委托人支付的酬金已包含（但不限于）咨询人为本项目提供的招标控制价及工程量清单编制、施工图预算编制及审核、总包单位月结付款工程量审核、工程造价季度报告编制、竣工结算审核、工程造价纠纷鉴定、设备材料价格咨询等所有工程造价服务内容的费用，除双方另行签订补充协议外，委托人不再支付其他费用；</w:t>
      </w:r>
    </w:p>
    <w:p>
      <w:pPr>
        <w:pStyle w:val="8"/>
        <w:numPr>
          <w:ilvl w:val="1"/>
          <w:numId w:val="12"/>
        </w:numPr>
        <w:spacing w:line="360" w:lineRule="auto"/>
        <w:ind w:left="426" w:firstLineChars="0"/>
        <w:jc w:val="left"/>
        <w:rPr>
          <w:rFonts w:ascii="宋体" w:hAnsi="宋体"/>
          <w:bCs/>
          <w:sz w:val="24"/>
          <w:szCs w:val="24"/>
        </w:rPr>
      </w:pPr>
      <w:r>
        <w:rPr>
          <w:rFonts w:hint="eastAsia" w:ascii="宋体" w:hAnsi="宋体"/>
          <w:bCs/>
          <w:sz w:val="24"/>
          <w:szCs w:val="24"/>
        </w:rPr>
        <w:t>委托人不排除由于方案变更等原因导致咨询人在造价咨询服务过程中进行重复性计量计价工作并重新出具造价成果文件的风险，由此产生的工效降低、工费增加等损失均视为酬金风险范围内，委托人不因此支付额外的酬金；</w:t>
      </w:r>
    </w:p>
    <w:p>
      <w:pPr>
        <w:pStyle w:val="8"/>
        <w:numPr>
          <w:ilvl w:val="1"/>
          <w:numId w:val="12"/>
        </w:numPr>
        <w:spacing w:line="360" w:lineRule="auto"/>
        <w:ind w:left="426" w:firstLineChars="0"/>
        <w:jc w:val="left"/>
        <w:rPr>
          <w:rFonts w:ascii="宋体" w:hAnsi="宋体"/>
          <w:b/>
          <w:sz w:val="24"/>
          <w:szCs w:val="24"/>
        </w:rPr>
      </w:pPr>
      <w:r>
        <w:rPr>
          <w:rFonts w:hint="eastAsia" w:ascii="宋体" w:hAnsi="宋体"/>
          <w:bCs/>
          <w:sz w:val="24"/>
          <w:szCs w:val="24"/>
        </w:rPr>
        <w:t>委托人不排除由于工期计划调整导致咨询人服务时间延长的风险，由此产生的服务周期延长均视为酬金风险范围内，委托人不因此支付额外酬金；</w:t>
      </w:r>
    </w:p>
    <w:p>
      <w:pPr>
        <w:pStyle w:val="8"/>
        <w:spacing w:line="360" w:lineRule="auto"/>
        <w:ind w:left="6" w:firstLine="0" w:firstLineChars="0"/>
        <w:jc w:val="left"/>
        <w:rPr>
          <w:rFonts w:ascii="宋体" w:hAnsi="宋体"/>
          <w:b/>
          <w:sz w:val="24"/>
          <w:szCs w:val="24"/>
        </w:rPr>
      </w:pPr>
      <w:r>
        <w:rPr>
          <w:rFonts w:hint="eastAsia" w:ascii="宋体" w:hAnsi="宋体"/>
          <w:b/>
          <w:sz w:val="24"/>
          <w:szCs w:val="24"/>
        </w:rPr>
        <w:t>九、违约责任</w:t>
      </w:r>
    </w:p>
    <w:p>
      <w:pPr>
        <w:numPr>
          <w:ilvl w:val="0"/>
          <w:numId w:val="13"/>
        </w:numPr>
        <w:tabs>
          <w:tab w:val="left" w:pos="360"/>
        </w:tabs>
        <w:spacing w:line="360" w:lineRule="auto"/>
        <w:rPr>
          <w:rFonts w:cs="Arial"/>
          <w:sz w:val="24"/>
        </w:rPr>
      </w:pPr>
      <w:r>
        <w:rPr>
          <w:rFonts w:hint="eastAsia" w:cs="Arial"/>
          <w:sz w:val="24"/>
        </w:rPr>
        <w:t>项目团队人员管理违约责任：</w:t>
      </w:r>
    </w:p>
    <w:p>
      <w:pPr>
        <w:numPr>
          <w:ilvl w:val="2"/>
          <w:numId w:val="13"/>
        </w:numPr>
        <w:tabs>
          <w:tab w:val="left" w:pos="284"/>
          <w:tab w:val="left" w:pos="540"/>
        </w:tabs>
        <w:spacing w:line="360" w:lineRule="auto"/>
        <w:ind w:left="567"/>
        <w:rPr>
          <w:rFonts w:cs="Arial"/>
          <w:sz w:val="24"/>
        </w:rPr>
      </w:pPr>
      <w:r>
        <w:rPr>
          <w:rFonts w:hint="eastAsia" w:cs="Arial"/>
          <w:sz w:val="24"/>
        </w:rPr>
        <w:t>咨询人擅自更换项目团队人员或团队人员因个人原因更换频繁的；</w:t>
      </w:r>
    </w:p>
    <w:p>
      <w:pPr>
        <w:numPr>
          <w:ilvl w:val="2"/>
          <w:numId w:val="13"/>
        </w:numPr>
        <w:tabs>
          <w:tab w:val="left" w:pos="284"/>
          <w:tab w:val="left" w:pos="540"/>
          <w:tab w:val="left" w:pos="1058"/>
        </w:tabs>
        <w:spacing w:line="360" w:lineRule="auto"/>
        <w:ind w:left="567"/>
        <w:rPr>
          <w:rFonts w:cs="Arial"/>
          <w:sz w:val="24"/>
        </w:rPr>
      </w:pPr>
      <w:r>
        <w:rPr>
          <w:rFonts w:hint="eastAsia" w:cs="Arial"/>
          <w:sz w:val="24"/>
        </w:rPr>
        <w:t>项目团队人员频繁请假或以非正当理由要求委托方更换他人的；</w:t>
      </w:r>
    </w:p>
    <w:p>
      <w:pPr>
        <w:numPr>
          <w:ilvl w:val="2"/>
          <w:numId w:val="13"/>
        </w:numPr>
        <w:tabs>
          <w:tab w:val="left" w:pos="284"/>
          <w:tab w:val="left" w:pos="540"/>
        </w:tabs>
        <w:spacing w:line="360" w:lineRule="auto"/>
        <w:ind w:left="567"/>
        <w:rPr>
          <w:rFonts w:cs="Arial"/>
          <w:sz w:val="24"/>
        </w:rPr>
      </w:pPr>
      <w:r>
        <w:rPr>
          <w:rFonts w:hint="eastAsia" w:cs="Arial"/>
          <w:sz w:val="24"/>
        </w:rPr>
        <w:t>项目团队人员不参加委托人要求的联席会议或相关业务活动的；</w:t>
      </w:r>
    </w:p>
    <w:p>
      <w:pPr>
        <w:numPr>
          <w:ilvl w:val="2"/>
          <w:numId w:val="13"/>
        </w:numPr>
        <w:tabs>
          <w:tab w:val="left" w:pos="284"/>
          <w:tab w:val="left" w:pos="540"/>
        </w:tabs>
        <w:spacing w:line="360" w:lineRule="auto"/>
        <w:ind w:left="567"/>
        <w:rPr>
          <w:rFonts w:cs="Arial"/>
          <w:sz w:val="24"/>
        </w:rPr>
      </w:pPr>
      <w:r>
        <w:rPr>
          <w:rFonts w:hint="eastAsia" w:cs="Arial"/>
          <w:sz w:val="24"/>
        </w:rPr>
        <w:t>项目团队人员对委托人的合法指令拒不接受的；</w:t>
      </w:r>
    </w:p>
    <w:p>
      <w:pPr>
        <w:numPr>
          <w:ilvl w:val="2"/>
          <w:numId w:val="13"/>
        </w:numPr>
        <w:tabs>
          <w:tab w:val="left" w:pos="284"/>
          <w:tab w:val="left" w:pos="540"/>
        </w:tabs>
        <w:spacing w:line="360" w:lineRule="auto"/>
        <w:ind w:left="567"/>
        <w:rPr>
          <w:rFonts w:cs="Arial"/>
          <w:sz w:val="24"/>
        </w:rPr>
      </w:pPr>
      <w:r>
        <w:rPr>
          <w:rFonts w:hint="eastAsia" w:cs="Arial"/>
          <w:sz w:val="24"/>
        </w:rPr>
        <w:t>项目团队人员出现合同约定的违反职业道德行为的；</w:t>
      </w:r>
    </w:p>
    <w:p>
      <w:pPr>
        <w:numPr>
          <w:ilvl w:val="2"/>
          <w:numId w:val="13"/>
        </w:numPr>
        <w:tabs>
          <w:tab w:val="left" w:pos="284"/>
          <w:tab w:val="left" w:pos="540"/>
        </w:tabs>
        <w:spacing w:line="360" w:lineRule="auto"/>
        <w:ind w:left="567"/>
        <w:rPr>
          <w:rFonts w:cs="Arial"/>
          <w:sz w:val="24"/>
        </w:rPr>
      </w:pPr>
      <w:r>
        <w:rPr>
          <w:rFonts w:hint="eastAsia" w:cs="Arial"/>
          <w:sz w:val="24"/>
        </w:rPr>
        <w:t>项目团队人员工作态度消极，不积极配合委托人或相关单位的；</w:t>
      </w:r>
    </w:p>
    <w:p>
      <w:pPr>
        <w:numPr>
          <w:ilvl w:val="2"/>
          <w:numId w:val="13"/>
        </w:numPr>
        <w:tabs>
          <w:tab w:val="left" w:pos="284"/>
          <w:tab w:val="left" w:pos="540"/>
        </w:tabs>
        <w:spacing w:line="360" w:lineRule="auto"/>
        <w:ind w:left="567"/>
        <w:rPr>
          <w:rFonts w:cs="Arial"/>
          <w:sz w:val="24"/>
        </w:rPr>
      </w:pPr>
      <w:r>
        <w:rPr>
          <w:rFonts w:hint="eastAsia" w:cs="Arial"/>
          <w:sz w:val="24"/>
        </w:rPr>
        <w:t>项目团队人员业务能力水平不符合本项目要求的；</w:t>
      </w:r>
    </w:p>
    <w:p>
      <w:pPr>
        <w:numPr>
          <w:ilvl w:val="0"/>
          <w:numId w:val="13"/>
        </w:numPr>
        <w:tabs>
          <w:tab w:val="left" w:pos="360"/>
        </w:tabs>
        <w:spacing w:line="360" w:lineRule="auto"/>
        <w:rPr>
          <w:rFonts w:cs="Arial"/>
          <w:sz w:val="24"/>
        </w:rPr>
      </w:pPr>
      <w:r>
        <w:rPr>
          <w:rFonts w:hint="eastAsia" w:cs="Arial"/>
          <w:sz w:val="24"/>
        </w:rPr>
        <w:t>造价成果文件进度及质量违约责任：</w:t>
      </w:r>
    </w:p>
    <w:p>
      <w:pPr>
        <w:numPr>
          <w:ilvl w:val="2"/>
          <w:numId w:val="13"/>
        </w:numPr>
        <w:tabs>
          <w:tab w:val="left" w:pos="360"/>
        </w:tabs>
        <w:spacing w:line="360" w:lineRule="auto"/>
        <w:ind w:left="567"/>
        <w:rPr>
          <w:rFonts w:cs="Arial"/>
          <w:sz w:val="24"/>
        </w:rPr>
      </w:pPr>
      <w:r>
        <w:rPr>
          <w:rFonts w:hint="eastAsia" w:cs="Arial"/>
          <w:sz w:val="24"/>
        </w:rPr>
        <w:t>经学校审计部门委托的造价机构二次审计后，同等口径下同类别项目的造价成果文件的累计综合误差率超过合同约定标准的；</w:t>
      </w:r>
    </w:p>
    <w:p>
      <w:pPr>
        <w:numPr>
          <w:ilvl w:val="2"/>
          <w:numId w:val="13"/>
        </w:numPr>
        <w:tabs>
          <w:tab w:val="left" w:pos="360"/>
        </w:tabs>
        <w:spacing w:line="360" w:lineRule="auto"/>
        <w:ind w:left="567"/>
        <w:rPr>
          <w:rFonts w:cs="Arial"/>
          <w:sz w:val="24"/>
        </w:rPr>
      </w:pPr>
      <w:r>
        <w:rPr>
          <w:rFonts w:cs="Arial"/>
          <w:sz w:val="24"/>
        </w:rPr>
        <w:t>由于</w:t>
      </w:r>
      <w:r>
        <w:rPr>
          <w:rFonts w:hint="eastAsia" w:cs="Arial"/>
          <w:sz w:val="24"/>
        </w:rPr>
        <w:t>咨询人</w:t>
      </w:r>
      <w:r>
        <w:rPr>
          <w:rFonts w:cs="Arial"/>
          <w:sz w:val="24"/>
        </w:rPr>
        <w:t>原因未按规定时间完成委托业务</w:t>
      </w:r>
      <w:r>
        <w:rPr>
          <w:rFonts w:hint="eastAsia" w:cs="Arial"/>
          <w:sz w:val="24"/>
        </w:rPr>
        <w:t>，导致项目在招标采购、工程付款、竣工验收等阶段的执行进度</w:t>
      </w:r>
      <w:r>
        <w:rPr>
          <w:rFonts w:cs="Arial"/>
          <w:sz w:val="24"/>
        </w:rPr>
        <w:t>逾期</w:t>
      </w:r>
      <w:r>
        <w:rPr>
          <w:rFonts w:hint="eastAsia" w:cs="Arial"/>
          <w:sz w:val="24"/>
        </w:rPr>
        <w:t>的；</w:t>
      </w:r>
    </w:p>
    <w:p>
      <w:pPr>
        <w:tabs>
          <w:tab w:val="left" w:pos="284"/>
        </w:tabs>
        <w:spacing w:line="360" w:lineRule="auto"/>
        <w:ind w:left="180" w:firstLine="480" w:firstLineChars="200"/>
        <w:rPr>
          <w:rFonts w:cs="Arial"/>
          <w:sz w:val="24"/>
        </w:rPr>
      </w:pPr>
      <w:r>
        <w:rPr>
          <w:rFonts w:hint="eastAsia" w:cs="Arial"/>
          <w:sz w:val="24"/>
        </w:rPr>
        <w:t>以上违约行为如有发生，委托人有权视违约情形采取书面警告或经济罚款的方式予以处罚，其中采用经济罚款方式的按（5</w:t>
      </w:r>
      <w:r>
        <w:rPr>
          <w:rFonts w:cs="Arial"/>
          <w:sz w:val="24"/>
        </w:rPr>
        <w:t>00</w:t>
      </w:r>
      <w:r>
        <w:rPr>
          <w:rFonts w:hint="eastAsia" w:cs="Arial"/>
          <w:sz w:val="24"/>
        </w:rPr>
        <w:t>元/次-</w:t>
      </w:r>
      <w:r>
        <w:rPr>
          <w:rFonts w:cs="Arial"/>
          <w:sz w:val="24"/>
        </w:rPr>
        <w:t>1000</w:t>
      </w:r>
      <w:r>
        <w:rPr>
          <w:rFonts w:hint="eastAsia" w:cs="Arial"/>
          <w:sz w:val="24"/>
        </w:rPr>
        <w:t>元/次）从合同金额中扣罚，累积最高罚款比例为合同总价的1</w:t>
      </w:r>
      <w:r>
        <w:rPr>
          <w:rFonts w:cs="Arial"/>
          <w:sz w:val="24"/>
        </w:rPr>
        <w:t>0%</w:t>
      </w:r>
      <w:r>
        <w:rPr>
          <w:rFonts w:hint="eastAsia" w:cs="Arial"/>
          <w:sz w:val="24"/>
        </w:rPr>
        <w:t>，如委托人累积罚款金额已达到扣罚上限或累积书面警告次数已满1</w:t>
      </w:r>
      <w:r>
        <w:rPr>
          <w:rFonts w:cs="Arial"/>
          <w:sz w:val="24"/>
        </w:rPr>
        <w:t>0</w:t>
      </w:r>
      <w:r>
        <w:rPr>
          <w:rFonts w:hint="eastAsia" w:cs="Arial"/>
          <w:sz w:val="24"/>
        </w:rPr>
        <w:t>次，委托人有权单方解除合同并拒绝支付剩余酬金，如违约行为性质恶劣或后果严重以至给委托人造成严重影响或造成重大经济损失的，委托人有权将采购人列入“哈尔滨工业大学采购供应商黑名单”并要求咨询人进行赔偿；</w:t>
      </w:r>
    </w:p>
    <w:p>
      <w:pPr>
        <w:pStyle w:val="10"/>
        <w:spacing w:line="360" w:lineRule="auto"/>
        <w:ind w:left="643" w:hanging="643" w:hangingChars="200"/>
        <w:jc w:val="left"/>
        <w:rPr>
          <w:rStyle w:val="11"/>
          <w:rFonts w:ascii="宋体" w:hAnsi="宋体"/>
          <w:szCs w:val="24"/>
        </w:rPr>
      </w:pPr>
      <w:bookmarkStart w:id="9" w:name="_Toc419045058"/>
      <w:bookmarkStart w:id="10" w:name="_Toc422322476"/>
      <w:bookmarkStart w:id="11" w:name="_Toc31174"/>
      <w:bookmarkStart w:id="12" w:name="_Toc6745"/>
      <w:bookmarkStart w:id="13" w:name="_Toc22555"/>
      <w:r>
        <w:rPr>
          <w:rStyle w:val="11"/>
          <w:rFonts w:hint="eastAsia" w:ascii="宋体" w:hAnsi="宋体"/>
          <w:szCs w:val="24"/>
        </w:rPr>
        <w:t>十、</w:t>
      </w:r>
      <w:bookmarkEnd w:id="9"/>
      <w:bookmarkEnd w:id="10"/>
      <w:r>
        <w:rPr>
          <w:rStyle w:val="11"/>
          <w:rFonts w:hint="eastAsia" w:ascii="宋体" w:hAnsi="宋体"/>
          <w:szCs w:val="24"/>
        </w:rPr>
        <w:t>不可抗力和争议</w:t>
      </w:r>
    </w:p>
    <w:bookmarkEnd w:id="11"/>
    <w:bookmarkEnd w:id="12"/>
    <w:bookmarkEnd w:id="13"/>
    <w:p>
      <w:pPr>
        <w:spacing w:line="360" w:lineRule="auto"/>
        <w:rPr>
          <w:rFonts w:cs="Arial"/>
          <w:sz w:val="24"/>
        </w:rPr>
      </w:pPr>
      <w:r>
        <w:rPr>
          <w:rFonts w:hint="eastAsia" w:cs="Arial"/>
          <w:sz w:val="24"/>
        </w:rPr>
        <w:t>1.不可抗力是指本合同双方所不能控制且不可预见，或者虽可以预见，但不可避免的妨碍任何一方全部或部分履行本合同的一切事件。包括地震、塌方、陷落等自然灾害以及瘟疫、事故、社会动乱或动荡、法律法规的变更等因素对工程的影响或任何其他类似的或不同的偶发事件。</w:t>
      </w:r>
    </w:p>
    <w:p>
      <w:pPr>
        <w:spacing w:line="360" w:lineRule="auto"/>
        <w:rPr>
          <w:rFonts w:cs="Arial"/>
          <w:sz w:val="24"/>
        </w:rPr>
      </w:pPr>
      <w:r>
        <w:rPr>
          <w:rFonts w:hint="eastAsia" w:cs="Arial"/>
          <w:sz w:val="24"/>
        </w:rPr>
        <w:t>2</w:t>
      </w:r>
      <w:r>
        <w:rPr>
          <w:rFonts w:cs="Arial"/>
          <w:sz w:val="24"/>
        </w:rPr>
        <w:t>.</w:t>
      </w:r>
      <w:r>
        <w:rPr>
          <w:rFonts w:hint="eastAsia" w:cs="Arial"/>
          <w:sz w:val="24"/>
        </w:rPr>
        <w:t>如果发生不可抗力事件，遭受不可抗力的一方应立即书面通知对方，并提供遭受不可抗力及其影响的相应证据。遭受此种不可抗力的一方还应采取一切必要措施终止或减轻此种不可抗力造成的影响。</w:t>
      </w:r>
    </w:p>
    <w:p>
      <w:pPr>
        <w:spacing w:line="360" w:lineRule="auto"/>
        <w:rPr>
          <w:rFonts w:cs="Arial"/>
          <w:sz w:val="24"/>
        </w:rPr>
      </w:pPr>
      <w:r>
        <w:rPr>
          <w:rFonts w:hint="eastAsia" w:cs="Arial"/>
          <w:sz w:val="24"/>
        </w:rPr>
        <w:t>3</w:t>
      </w:r>
      <w:r>
        <w:rPr>
          <w:rFonts w:cs="Arial"/>
          <w:sz w:val="24"/>
        </w:rPr>
        <w:t>.</w:t>
      </w:r>
      <w:r>
        <w:rPr>
          <w:rFonts w:hint="eastAsia" w:cs="Arial"/>
          <w:sz w:val="24"/>
        </w:rPr>
        <w:t>如合同双方就本合同履约产生任何争议，首先应争取通过友好协商解决，协商不成时，可向委托人所在地有管辖权的人民法院提起诉讼。</w:t>
      </w:r>
    </w:p>
    <w:p>
      <w:pPr>
        <w:spacing w:line="360" w:lineRule="auto"/>
        <w:rPr>
          <w:rFonts w:cs="Arial"/>
          <w:sz w:val="24"/>
        </w:rPr>
      </w:pPr>
      <w:r>
        <w:rPr>
          <w:rFonts w:hint="eastAsia" w:cs="Arial"/>
          <w:sz w:val="24"/>
        </w:rPr>
        <w:t>4</w:t>
      </w:r>
      <w:r>
        <w:rPr>
          <w:rFonts w:cs="Arial"/>
          <w:sz w:val="24"/>
        </w:rPr>
        <w:t>.</w:t>
      </w:r>
      <w:r>
        <w:rPr>
          <w:rFonts w:hint="eastAsia" w:cs="Arial"/>
          <w:sz w:val="24"/>
        </w:rPr>
        <w:t>发生争议后，除非出现下列情况的，双方都应继续履行合同：</w:t>
      </w:r>
    </w:p>
    <w:p>
      <w:pPr>
        <w:spacing w:line="360" w:lineRule="auto"/>
        <w:rPr>
          <w:rFonts w:cs="Arial"/>
          <w:sz w:val="24"/>
        </w:rPr>
      </w:pPr>
      <w:r>
        <w:rPr>
          <w:rFonts w:hint="eastAsia" w:cs="Arial"/>
          <w:sz w:val="24"/>
        </w:rPr>
        <w:t xml:space="preserve">1）单方违约导致合同已无法履行，双方协议停止咨询服务； </w:t>
      </w:r>
    </w:p>
    <w:p>
      <w:pPr>
        <w:spacing w:line="360" w:lineRule="auto"/>
        <w:rPr>
          <w:rFonts w:cs="Arial"/>
          <w:sz w:val="24"/>
        </w:rPr>
      </w:pPr>
      <w:r>
        <w:rPr>
          <w:rFonts w:hint="eastAsia" w:cs="Arial"/>
          <w:sz w:val="24"/>
        </w:rPr>
        <w:t xml:space="preserve">2）不可抗力导致合同无法履行； </w:t>
      </w:r>
    </w:p>
    <w:p>
      <w:r>
        <w:rPr>
          <w:rFonts w:hint="eastAsia" w:cs="Arial"/>
          <w:sz w:val="24"/>
        </w:rPr>
        <w:t>3）法院判决要求停止咨询服务。</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00000019"/>
    <w:multiLevelType w:val="multilevel"/>
    <w:tmpl w:val="00000019"/>
    <w:lvl w:ilvl="0" w:tentative="0">
      <w:start w:val="1"/>
      <w:numFmt w:val="decimal"/>
      <w:suff w:val="nothing"/>
      <w:lvlText w:val="%1．"/>
      <w:lvlJc w:val="left"/>
      <w:pPr>
        <w:ind w:left="540" w:hanging="360"/>
      </w:pPr>
      <w:rPr>
        <w:rFonts w:hint="default"/>
        <w:b w:val="0"/>
      </w:rPr>
    </w:lvl>
    <w:lvl w:ilvl="1" w:tentative="0">
      <w:start w:val="1"/>
      <w:numFmt w:val="decimal"/>
      <w:lvlText w:val="%2)"/>
      <w:lvlJc w:val="left"/>
      <w:pPr>
        <w:tabs>
          <w:tab w:val="left" w:pos="840"/>
        </w:tabs>
        <w:ind w:left="840" w:hanging="420"/>
      </w:pPr>
      <w:rPr>
        <w:rFonts w:hint="default" w:ascii="Arial" w:hAnsi="Arial"/>
        <w:b w:val="0"/>
      </w:rPr>
    </w:lvl>
    <w:lvl w:ilvl="2" w:tentative="0">
      <w:start w:val="1"/>
      <w:numFmt w:val="decimal"/>
      <w:suff w:val="nothing"/>
      <w:lvlText w:val="%3）"/>
      <w:lvlJc w:val="left"/>
      <w:pPr>
        <w:ind w:left="1200" w:hanging="360"/>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14384D3A"/>
    <w:multiLevelType w:val="multilevel"/>
    <w:tmpl w:val="14384D3A"/>
    <w:lvl w:ilvl="0" w:tentative="0">
      <w:start w:val="1"/>
      <w:numFmt w:val="decimal"/>
      <w:lvlText w:val="（%1）"/>
      <w:lvlJc w:val="left"/>
      <w:pPr>
        <w:ind w:left="420" w:hanging="420"/>
      </w:pPr>
      <w:rPr>
        <w:rFonts w:hint="default"/>
        <w:lang w:val="en-US"/>
      </w:rPr>
    </w:lvl>
    <w:lvl w:ilvl="1" w:tentative="0">
      <w:start w:val="1"/>
      <w:numFmt w:val="decimal"/>
      <w:suff w:val="nothing"/>
      <w:lvlText w:val="（%2）"/>
      <w:lvlJc w:val="left"/>
      <w:pPr>
        <w:ind w:left="840" w:hanging="4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111C20"/>
    <w:multiLevelType w:val="multilevel"/>
    <w:tmpl w:val="17111C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E66861"/>
    <w:multiLevelType w:val="multilevel"/>
    <w:tmpl w:val="18E6686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F3828"/>
    <w:multiLevelType w:val="multilevel"/>
    <w:tmpl w:val="296F3828"/>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524A8A"/>
    <w:multiLevelType w:val="multilevel"/>
    <w:tmpl w:val="4F524A8A"/>
    <w:lvl w:ilvl="0" w:tentative="0">
      <w:start w:val="1"/>
      <w:numFmt w:val="decimal"/>
      <w:lvlText w:val="（%1）"/>
      <w:lvlJc w:val="left"/>
      <w:pPr>
        <w:ind w:left="420" w:hanging="420"/>
      </w:pPr>
      <w:rPr>
        <w:rFonts w:hint="default"/>
        <w:lang w:val="en-US"/>
      </w:rPr>
    </w:lvl>
    <w:lvl w:ilvl="1" w:tentative="0">
      <w:start w:val="1"/>
      <w:numFmt w:val="decimal"/>
      <w:suff w:val="nothing"/>
      <w:lvlText w:val="（%2）"/>
      <w:lvlJc w:val="left"/>
      <w:pPr>
        <w:ind w:left="420" w:hanging="4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1042F8"/>
    <w:multiLevelType w:val="multilevel"/>
    <w:tmpl w:val="531042F8"/>
    <w:lvl w:ilvl="0" w:tentative="0">
      <w:start w:val="1"/>
      <w:numFmt w:val="decimal"/>
      <w:lvlText w:val="（%1）"/>
      <w:lvlJc w:val="left"/>
      <w:pPr>
        <w:ind w:left="420" w:hanging="420"/>
      </w:pPr>
      <w:rPr>
        <w:rFonts w:hint="default"/>
        <w:lang w:val="en-US"/>
      </w:rPr>
    </w:lvl>
    <w:lvl w:ilvl="1" w:tentative="0">
      <w:start w:val="1"/>
      <w:numFmt w:val="decimal"/>
      <w:suff w:val="nothing"/>
      <w:lvlText w:val="（%2）"/>
      <w:lvlJc w:val="left"/>
      <w:pPr>
        <w:ind w:left="840" w:hanging="4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702B1B"/>
    <w:multiLevelType w:val="multilevel"/>
    <w:tmpl w:val="5B702B1B"/>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400647"/>
    <w:multiLevelType w:val="multilevel"/>
    <w:tmpl w:val="5E400647"/>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B86A26"/>
    <w:multiLevelType w:val="multilevel"/>
    <w:tmpl w:val="62B86A26"/>
    <w:lvl w:ilvl="0" w:tentative="0">
      <w:start w:val="1"/>
      <w:numFmt w:val="decimal"/>
      <w:lvlText w:val="（%1）"/>
      <w:lvlJc w:val="left"/>
      <w:pPr>
        <w:ind w:left="420" w:hanging="420"/>
      </w:pPr>
      <w:rPr>
        <w:rFonts w:hint="default"/>
        <w:lang w:val="en-US"/>
      </w:rPr>
    </w:lvl>
    <w:lvl w:ilvl="1" w:tentative="0">
      <w:start w:val="1"/>
      <w:numFmt w:val="decimal"/>
      <w:suff w:val="nothing"/>
      <w:lvlText w:val="（%2）"/>
      <w:lvlJc w:val="left"/>
      <w:pPr>
        <w:ind w:left="840" w:hanging="4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585E0F"/>
    <w:multiLevelType w:val="multilevel"/>
    <w:tmpl w:val="64585E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48F207E"/>
    <w:multiLevelType w:val="multilevel"/>
    <w:tmpl w:val="648F207E"/>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2"/>
  </w:num>
  <w:num w:numId="3">
    <w:abstractNumId w:val="6"/>
  </w:num>
  <w:num w:numId="4">
    <w:abstractNumId w:val="7"/>
  </w:num>
  <w:num w:numId="5">
    <w:abstractNumId w:val="10"/>
  </w:num>
  <w:num w:numId="6">
    <w:abstractNumId w:val="2"/>
  </w:num>
  <w:num w:numId="7">
    <w:abstractNumId w:val="11"/>
  </w:num>
  <w:num w:numId="8">
    <w:abstractNumId w:val="8"/>
  </w:num>
  <w:num w:numId="9">
    <w:abstractNumId w:val="0"/>
  </w:num>
  <w:num w:numId="10">
    <w:abstractNumId w:val="3"/>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YjBlNWU0ZGZjYTMyYTFkMmVlYzc0YzkzZmFjNTUifQ=="/>
  </w:docVars>
  <w:rsids>
    <w:rsidRoot w:val="00000000"/>
    <w:rsid w:val="10DC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6" w:lineRule="auto"/>
      <w:jc w:val="center"/>
      <w:outlineLvl w:val="0"/>
    </w:pPr>
    <w:rPr>
      <w:b/>
      <w:bCs/>
      <w:kern w:val="44"/>
      <w:sz w:val="44"/>
      <w:szCs w:val="44"/>
    </w:rPr>
  </w:style>
  <w:style w:type="paragraph" w:styleId="2">
    <w:name w:val="heading 2"/>
    <w:basedOn w:val="3"/>
    <w:next w:val="1"/>
    <w:qFormat/>
    <w:uiPriority w:val="0"/>
    <w:pPr>
      <w:keepNext/>
      <w:keepLines/>
      <w:spacing w:before="260" w:line="415" w:lineRule="auto"/>
      <w:outlineLvl w:val="1"/>
    </w:pPr>
    <w:rPr>
      <w:rFonts w:ascii="Arial" w:hAnsi="Arial" w:eastAsia="黑体"/>
      <w:b w:val="0"/>
      <w:bCs w:val="0"/>
      <w:sz w:val="32"/>
      <w:szCs w:val="32"/>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kern w:val="0"/>
      <w:sz w:val="18"/>
      <w:szCs w:val="18"/>
    </w:rPr>
  </w:style>
  <w:style w:type="paragraph" w:styleId="5">
    <w:name w:val="Title"/>
    <w:basedOn w:val="1"/>
    <w:next w:val="1"/>
    <w:link w:val="11"/>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customStyle="1" w:styleId="8">
    <w:name w:val="列出段落1"/>
    <w:basedOn w:val="1"/>
    <w:autoRedefine/>
    <w:qFormat/>
    <w:uiPriority w:val="0"/>
    <w:pPr>
      <w:ind w:firstLine="420" w:firstLineChars="200"/>
    </w:pPr>
    <w:rPr>
      <w:rFonts w:ascii="Calibri" w:hAnsi="Calibri"/>
      <w:szCs w:val="22"/>
    </w:rPr>
  </w:style>
  <w:style w:type="character" w:customStyle="1" w:styleId="9">
    <w:name w:val="gwds_nopic2"/>
    <w:qFormat/>
    <w:uiPriority w:val="0"/>
  </w:style>
  <w:style w:type="paragraph" w:customStyle="1" w:styleId="10">
    <w:name w:val="p0"/>
    <w:basedOn w:val="1"/>
    <w:qFormat/>
    <w:uiPriority w:val="0"/>
    <w:rPr>
      <w:szCs w:val="21"/>
    </w:rPr>
  </w:style>
  <w:style w:type="character" w:customStyle="1" w:styleId="11">
    <w:name w:val="标题 字符"/>
    <w:link w:val="5"/>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2024-03-28T10:32:14Z</dcterms:created>
  <dc:creator>Administrator</dc:creator>
  <cp:lastModifiedBy>微信用户</cp:lastModifiedBy>
  <dcterms:modified xsi:type="dcterms:W3CDTF">2024-03-28T10:32:17Z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67D7F2CE9AD04E19B1F248B8F28EA6B1_12</vt:lpwstr>
  </property>
</Properties>
</file>