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bookmarkStart w:id="0" w:name="_Toc132190633"/>
      <w:bookmarkStart w:id="1" w:name="_Toc30945"/>
      <w:bookmarkStart w:id="2" w:name="_Toc128151026"/>
      <w:bookmarkStart w:id="3" w:name="_Toc189"/>
      <w:bookmarkStart w:id="4" w:name="_Toc128150133"/>
      <w:bookmarkStart w:id="5" w:name="_Toc128150777"/>
      <w:bookmarkStart w:id="6" w:name="_Toc130887499"/>
      <w:bookmarkStart w:id="7" w:name="_Toc22387"/>
      <w:bookmarkStart w:id="8" w:name="_Toc127820563"/>
      <w:bookmarkStart w:id="9" w:name="_Toc128397969"/>
      <w:bookmarkStart w:id="10" w:name="_Toc25703"/>
      <w:r>
        <w:rPr>
          <w:rFonts w:hint="eastAsia" w:ascii="宋体" w:hAnsi="宋体" w:eastAsia="宋体" w:cs="宋体"/>
          <w:kern w:val="0"/>
          <w:sz w:val="28"/>
          <w:szCs w:val="28"/>
          <w:lang w:val="en-US" w:eastAsia="zh-CN" w:bidi="ar"/>
        </w:rPr>
        <w:t>一、商务要求</w:t>
      </w:r>
      <w:bookmarkEnd w:id="0"/>
      <w:bookmarkEnd w:id="1"/>
      <w:bookmarkEnd w:id="2"/>
      <w:bookmarkEnd w:id="3"/>
      <w:bookmarkEnd w:id="4"/>
      <w:bookmarkEnd w:id="5"/>
      <w:bookmarkEnd w:id="6"/>
      <w:bookmarkEnd w:id="7"/>
      <w:bookmarkEnd w:id="8"/>
      <w:bookmarkEnd w:id="9"/>
      <w:bookmarkEnd w:id="10"/>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★（一）交货时间、地点和方式</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1.交货时间：合同签订之日起</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天内全部交货并安装调试完毕。（说明：需海关办理的物资，到货时间为合同签订之日起150天内全部交货并安装调试完毕；不需要海关办理的物资，到货时间为合同签订之日起90天内全部交货并安装调试完毕。）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2.交货地点：福建福州。</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3.交货方式：按甲方指定免费运送至指定地点。</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（二）产品包装和运输要求</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按甲方指定包装方式免费运送至指定地点 。</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（三）售后服务</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质量保证期：自交货验收完毕之日算起，所有产品质保至少24个月。投标供应商对提供的物资在质保期内，因产品质量而导致的缺陷，应当免费提供包修、包换、包退服务，因此导致的损失采购单位有权向中标供应商追偿。超出质保期后，投标供应商应当提供上门维修服务，仅收取成本费。</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2.投标供应商应当承诺履行军事保密义务，在军事行动中提供应急支援保障服务。</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★3.投标供应商应当承诺提供该物资的技术培训、技术支持和维修巡检服务，服务内容包括使用培训和维护培训。</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★（四）知识产权和保密要求</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投标供应商应当保证采购单位在使用该物资或其任何一部分时，不受第三方侵权指控。同时，投标供应商不得向第三方泄露采购机构提供的技术文件等材料。</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基于项目合同履行形成的知识产权和其他权益，其权属归采购单位所有，法律另有规定的除外。</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★（五）物资编目编码、打码贴签要求</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本项目对物资的编目编码、打码贴签要求，投标供应商应当予以明确响应，相关费用包含在报价中。</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★（六）付款及结算方式</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本项目不预付货款，物资运达指定地点验收合格后，中标供应商收集发运接收单、发票、验收报告等材料，提交采购单位办理结算手续，采购单位在30日内向中标供应商支付货款。</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★（七）质量保证金</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物资检验验收合格并完成交货后30天内，合同甲方凭合同乙方提供的相关票据单证，向合同乙方支付合同总金额的95%，余5%作为质量保证金，质量保证金一般在质保期满且无质量问题时全额无息退还。</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（八）备品备件要求</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★1.投标供应商应当提供物资生命周期内所需零备件和消耗品清单，并明确供应周期和价格、折扣价等优惠条件（见附件2-8）。</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2.投标供应商应当承诺，对售后服务需求提供4小时响应，24小时内到达现场实施维修。48小时仍未排除故障、恢复正常运转的，由投标供应商提供同类型备品、备件等。</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bookmarkStart w:id="11" w:name="_Toc128397970"/>
      <w:bookmarkStart w:id="12" w:name="_Toc128150778"/>
      <w:bookmarkStart w:id="13" w:name="_Toc132190634"/>
      <w:bookmarkStart w:id="14" w:name="_Toc128150134"/>
      <w:bookmarkStart w:id="15" w:name="_Toc128151027"/>
      <w:bookmarkStart w:id="16" w:name="_Toc127820564"/>
      <w:bookmarkStart w:id="17" w:name="_Toc130887500"/>
      <w:r>
        <w:rPr>
          <w:rFonts w:hint="eastAsia" w:ascii="宋体" w:hAnsi="宋体" w:eastAsia="宋体" w:cs="宋体"/>
          <w:kern w:val="0"/>
          <w:sz w:val="28"/>
          <w:szCs w:val="28"/>
          <w:lang w:val="en-US" w:eastAsia="zh-CN" w:bidi="ar"/>
        </w:rPr>
        <w:br w:type="page"/>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二、技术要求</w:t>
      </w:r>
      <w:bookmarkEnd w:id="11"/>
      <w:bookmarkEnd w:id="12"/>
      <w:bookmarkEnd w:id="13"/>
      <w:bookmarkEnd w:id="14"/>
      <w:bookmarkEnd w:id="15"/>
      <w:bookmarkEnd w:id="16"/>
      <w:bookmarkEnd w:id="17"/>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关键性技术指标参数前标记“★”符号，重要技术指标参数前标记“▲”符号，一般性指标参数前不作标记。带“★”、“▲”条款需提供技术支持材料（以具体项目为准，技术支持材料可以从（不限于）以下支持材料选择：产品规格表、产品宣传彩页、技术白皮书、制造商官方网站发布的产品信息、说明书等或检测机构出具的检测报告等技术材料支持的）</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br w:type="page"/>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包1、品目号1-1/1-2：臭氧治疗仪</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品目号1-1</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★1.用    途：用于缓解腰椎间盘突出症引起的腰腿痛。</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2.数    量：1台。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3.技术参数：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★3.1具备NMPA（CFDA）注册证；</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▲3.2输出臭氧气体浓度：0～80ug/ml；</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▲3.3臭氧气体浓度误差≤±4%；</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▲3.4具备多余臭氧气体催灭器（臭氧气体净化装置），对多余臭氧气体循环回收分解，废气排放达到国家质量技术监督局制订的《室内空气中臭氧卫生标准》≤0.1mg/m3的安全指标；</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▲3.5设备需保证制备出成品臭氧气体中有害气体氧化亚氮含量在安全范围内，并能在标书中提供国家权威机构出示的检测报告；</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3.6具备臭氧浓度调节功能，步长≤1ug/ml连续可调；</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3.7具备定时自动供气功能；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3.8具备压力校正功能；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3.9具备定量自动供气功能；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3.10具备电路稳压功能；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3.11具备臭氧液晶屏浓度显示功能。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★4.配置清单</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4.1臭氧治疗仪1台。</w:t>
      </w:r>
    </w:p>
    <w:p>
      <w:pP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br w:type="page"/>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品目号1-2</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★1.用    途：用于疼痛治疗。</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2.数    量：1台。</w:t>
      </w:r>
      <w:r>
        <w:rPr>
          <w:rFonts w:hint="eastAsia" w:ascii="宋体" w:hAnsi="宋体" w:eastAsia="宋体" w:cs="宋体"/>
          <w:kern w:val="0"/>
          <w:sz w:val="28"/>
          <w:szCs w:val="28"/>
          <w:lang w:val="en-US" w:eastAsia="zh-CN" w:bidi="ar"/>
        </w:rPr>
        <w:tab/>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3.技术参数：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★3.1具备NMPA（CFDA）注册证；</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▲3.2输出臭氧气体浓度：5～70mg/L；</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▲3.3臭氧气体浓度精确度≤0.1mg/L；</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3.4具备臭氧气体浓度检测装置，检测误差≤±5%；</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▲3.5具备多余臭氧气体催灭器（臭氧气体净化装置），对多余臭氧气体循环回收分解，废气排放达到国家质量技术监督局制订的《室内空气中臭氧卫生标准》≤0.1mg/m3的安全指标；</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▲3.6具备臭氧水制备功能，制取臭氧水浓度范围为≥30mg/L；内置臭氧水浓度检测传感器，用户可自行设定浓度，设备自动控制完成进水、混合、浓度控制，到达设定浓度后声光提示功能；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▲3.7臭氧水制作过程封闭，自动进出，确保无菌，浓度实时显示；</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★3.8具备臭氧油制备功能；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▲3.9具备中文彩色触摸屏；</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3.10具备温度传感器；</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▲3.11 开机、关机时自动消毒、自动冲洗内部管路功能，确保产生臭氧气体、臭氧水的纯度；</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▲3.12具备自动浓度校准功能。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★4.配置清单</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4.1臭氧治疗仪1台。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br w:type="page"/>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包2、品目号2-1：牙科综合治疗台(中档）</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★1.用    途：用于牙科诊疗。</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2.数    量：4台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3.技术参数：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★3.1具备NMPA(CFDA)注册证；</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▲3.2具备CE认证或FDA认证；</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3.3治疗台侧箱和患者椅采用分体落地式结构；</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3.4内置式地箱；</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bookmarkStart w:id="18" w:name="_GoBack"/>
      <w:bookmarkEnd w:id="18"/>
      <w:r>
        <w:rPr>
          <w:rFonts w:hint="eastAsia" w:ascii="宋体" w:hAnsi="宋体" w:eastAsia="宋体" w:cs="宋体"/>
          <w:kern w:val="0"/>
          <w:sz w:val="28"/>
          <w:szCs w:val="28"/>
          <w:lang w:val="en-US" w:eastAsia="zh-CN" w:bidi="ar"/>
        </w:rPr>
        <w:t>3.5配置水和空气过滤器，配置水压和气压调节阀、压力表；</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3.6患者椅</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3.6.1电动驱动升降；</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3.6.2配置多关节头枕，关节数≥2；</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3.6.3高度可调节：最低≤400mm，最高≥750mm，</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3.6.4可根据患者身高调节长度；</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▲3.6.5具备机椅互锁功能：任一手机工作时，椅位及其他器械处于自动锁定状态；</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3.7医生单元</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3.7.1手机器械位≥6个，尾管支持光纤管线；</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▲3.7.2医生控制面板：配置≥4.0英寸彩色液晶触摸控制屏。触摸控制屏支持操作参数显示、自定义程序设置以及椅位、手机器械、手术灯光、痰盂水、漱口水等参数设置；</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▲3.7.3配置电控脚踏：可控制手机转速及定速，可控制椅位状态；</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3.7.4自定义程序设置：支持医生人数≥4个,每个医生可设置程序≥4组，可设置储存椅位状态、器械转速等数据；</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3.7.6控制面板及器械盘悬臂：具备电控气锁功能，高度任意调节；</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3.7.7内置SD卡：具备治疗台维护诊断、固件升级等功能；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3.8助手单元</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▲3.8.1助手面板：可控制椅位、灯光、痰盂水、漱口水，具备计时功能；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3.8.2器械位≥4个，支持配置光固化灯；</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3.9痰盂及水杯注水器</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3.9.1痰盂：支持向病人椅方向旋转，配置安全保护装置；</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3.9.2漱口盆：玻璃材质，可拆卸清洗消毒；</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3.9.3可设置痰盂及漱口水时间，可随椅位变换设置自动出水；</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3.9.4漱口水具有水加热功能；</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3.10手术灯</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▲3.10.1 LED照明系统：亮度调节≥7档，最大值≥40000Lux；色温调节≥3档。具备光固化树脂模式。</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3.10.2支持无接触开闭；</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3.10.3可设置随椅位变换自动开闭；</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3.10.3灯把柄：可拆卸、可高温高压灭菌；</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3.11医生及护士座椅</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3.11.1配置垂直向压力锁，医生离位时座椅滑轮自动锁定；</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3.12交叉感染控制要求</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▲3.12.1具备全自动内部管路消毒功能：自动配比消毒液，自动消毒和清洁管路；</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3.12.2配置防回吸装置；</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3.12.3吸唾：进入牙椅主机前设有过滤网，可取出进行清洁冲洗；</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3.12.4内置供水箱：提供独立供水；</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3.13配置网络接口；</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3.14配置带光洁牙机。</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★4.配置清单：</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4.1牙科综合治疗台(中档）4台；</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4.2高速涡轮手机 24把；</w:t>
      </w:r>
    </w:p>
    <w:p>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4.3低速涡轮手机 24把。</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楷体_GB2312" w:hAnsi="楷体" w:eastAsia="楷体_GB2312" w:cs="楷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NzFkNWY5YTBkZmY2YTYzMzRhMDlhMGI2ZjM1ODMifQ=="/>
    <w:docVar w:name="KSO_WPS_MARK_KEY" w:val="f6c604b8-6086-46d6-aa85-359e1f87f0f4"/>
  </w:docVars>
  <w:rsids>
    <w:rsidRoot w:val="04BE1ED2"/>
    <w:rsid w:val="04BE1ED2"/>
    <w:rsid w:val="06186005"/>
    <w:rsid w:val="167113EF"/>
    <w:rsid w:val="1761427A"/>
    <w:rsid w:val="1C7A1DEE"/>
    <w:rsid w:val="21301A1E"/>
    <w:rsid w:val="216D7730"/>
    <w:rsid w:val="25664920"/>
    <w:rsid w:val="26F57CEA"/>
    <w:rsid w:val="28CB2A0E"/>
    <w:rsid w:val="2CB01A7E"/>
    <w:rsid w:val="2F560D83"/>
    <w:rsid w:val="33B266F8"/>
    <w:rsid w:val="4B297C28"/>
    <w:rsid w:val="53484576"/>
    <w:rsid w:val="53855766"/>
    <w:rsid w:val="58E96C9B"/>
    <w:rsid w:val="60F6555A"/>
    <w:rsid w:val="697C7201"/>
    <w:rsid w:val="6E022264"/>
    <w:rsid w:val="6EEF1F25"/>
    <w:rsid w:val="71DB70EA"/>
    <w:rsid w:val="727952CC"/>
    <w:rsid w:val="72A659A4"/>
    <w:rsid w:val="734571D1"/>
    <w:rsid w:val="736A6C7B"/>
    <w:rsid w:val="7DF5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420" w:firstLine="420" w:firstLineChars="200"/>
    </w:pPr>
  </w:style>
  <w:style w:type="paragraph" w:styleId="3">
    <w:name w:val="Body Text Indent"/>
    <w:basedOn w:val="1"/>
    <w:next w:val="4"/>
    <w:qFormat/>
    <w:uiPriority w:val="0"/>
    <w:pPr>
      <w:ind w:firstLine="555"/>
    </w:pPr>
  </w:style>
  <w:style w:type="paragraph" w:styleId="4">
    <w:name w:val="envelope return"/>
    <w:basedOn w:val="1"/>
    <w:qFormat/>
    <w:uiPriority w:val="99"/>
    <w:pPr>
      <w:snapToGrid w:val="0"/>
    </w:pPr>
    <w:rPr>
      <w:rFonts w:ascii="Arial" w:hAnsi="Arial" w:cs="Arial"/>
    </w:rPr>
  </w:style>
  <w:style w:type="paragraph" w:styleId="6">
    <w:name w:val="Normal Indent"/>
    <w:basedOn w:val="1"/>
    <w:next w:val="7"/>
    <w:qFormat/>
    <w:uiPriority w:val="0"/>
    <w:pPr>
      <w:ind w:firstLine="420" w:firstLine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line="360" w:lineRule="auto"/>
    </w:pPr>
    <w:rPr>
      <w:rFonts w:eastAsia="黑体" w:asciiTheme="minorEastAsia" w:hAnsiTheme="minorEastAsia"/>
      <w:b/>
      <w:sz w:val="32"/>
      <w:szCs w:val="21"/>
    </w:rPr>
  </w:style>
  <w:style w:type="paragraph" w:styleId="10">
    <w:name w:val="toc 6"/>
    <w:basedOn w:val="1"/>
    <w:next w:val="1"/>
    <w:qFormat/>
    <w:uiPriority w:val="0"/>
    <w:pPr>
      <w:adjustRightInd/>
      <w:spacing w:line="240" w:lineRule="auto"/>
      <w:ind w:left="1000" w:leftChars="1000"/>
      <w:textAlignment w:val="auto"/>
    </w:pPr>
    <w:rPr>
      <w:kern w:val="2"/>
      <w:sz w:val="21"/>
      <w:szCs w:val="24"/>
    </w:rPr>
  </w:style>
  <w:style w:type="paragraph" w:styleId="11">
    <w:name w:val="Body Text 2"/>
    <w:basedOn w:val="1"/>
    <w:qFormat/>
    <w:uiPriority w:val="0"/>
    <w:pPr>
      <w:jc w:val="center"/>
    </w:pPr>
    <w:rPr>
      <w:kern w:val="0"/>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22"/>
    <w:rPr>
      <w:b/>
      <w:bCs/>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List Paragraph"/>
    <w:basedOn w:val="1"/>
    <w:qFormat/>
    <w:uiPriority w:val="0"/>
    <w:pPr>
      <w:widowControl/>
      <w:ind w:left="720" w:firstLine="360"/>
      <w:jc w:val="left"/>
    </w:pPr>
    <w:rPr>
      <w:rFonts w:ascii="Calibri" w:hAnsi="Calibri"/>
      <w:sz w:val="22"/>
      <w:szCs w:val="20"/>
      <w:lang w:eastAsia="en-US"/>
    </w:rPr>
  </w:style>
  <w:style w:type="paragraph" w:customStyle="1" w:styleId="19">
    <w:name w:val="Fließtext"/>
    <w:basedOn w:val="1"/>
    <w:qFormat/>
    <w:uiPriority w:val="99"/>
    <w:pPr>
      <w:overflowPunct w:val="0"/>
      <w:autoSpaceDE w:val="0"/>
      <w:autoSpaceDN w:val="0"/>
      <w:adjustRightInd w:val="0"/>
      <w:textAlignment w:val="baseline"/>
    </w:pPr>
    <w:rPr>
      <w:kern w:val="28"/>
    </w:rPr>
  </w:style>
  <w:style w:type="paragraph" w:customStyle="1" w:styleId="20">
    <w:name w:val="列出段落1"/>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2637</Words>
  <Characters>2978</Characters>
  <Lines>0</Lines>
  <Paragraphs>0</Paragraphs>
  <TotalTime>1</TotalTime>
  <ScaleCrop>false</ScaleCrop>
  <LinksUpToDate>false</LinksUpToDate>
  <CharactersWithSpaces>3021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2022-05-27T02:16:00Z</dcterms:created>
  <dc:creator>唐高添</dc:creator>
  <cp:lastModifiedBy>唐高添</cp:lastModifiedBy>
  <dcterms:modified xsi:type="dcterms:W3CDTF">2024-05-14T08:14:31Z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AD9B6E546392495798FB59E262376740</vt:lpwstr>
  </property>
</Properties>
</file>