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FE526">
      <w:pPr>
        <w:spacing w:line="360" w:lineRule="auto"/>
        <w:jc w:val="center"/>
        <w:rPr>
          <w:rFonts w:hint="eastAsia" w:ascii="宋体" w:hAnsi="宋体" w:eastAsia="宋体" w:cs="宋体"/>
          <w:b/>
          <w:bCs/>
          <w:sz w:val="24"/>
          <w:szCs w:val="24"/>
          <w:lang w:eastAsia="zh-CN"/>
        </w:rPr>
      </w:pPr>
      <w:bookmarkStart w:id="0" w:name="_Toc495644242"/>
      <w:r>
        <w:rPr>
          <w:rFonts w:hint="eastAsia" w:ascii="宋体" w:hAnsi="宋体" w:eastAsia="宋体" w:cs="宋体"/>
          <w:b/>
          <w:bCs/>
          <w:sz w:val="24"/>
          <w:szCs w:val="24"/>
          <w:lang w:eastAsia="zh-CN"/>
        </w:rPr>
        <w:t>锡林郭勒供电公司2024年度福利机构用品、燃油类框架采购</w:t>
      </w:r>
    </w:p>
    <w:p w14:paraId="029872DE">
      <w:pPr>
        <w:spacing w:line="360" w:lineRule="auto"/>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询比采购公告</w:t>
      </w:r>
    </w:p>
    <w:p w14:paraId="320916BB">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rPr>
        <w:t xml:space="preserve">项目编号: </w:t>
      </w:r>
      <w:r>
        <w:rPr>
          <w:rFonts w:hint="eastAsia" w:ascii="宋体" w:hAnsi="宋体" w:eastAsia="宋体" w:cs="宋体"/>
          <w:b/>
          <w:bCs/>
          <w:sz w:val="24"/>
          <w:szCs w:val="24"/>
          <w:lang w:eastAsia="zh-CN"/>
        </w:rPr>
        <w:t>ZS-QCMD-H-2024-3016</w:t>
      </w:r>
    </w:p>
    <w:bookmarkEnd w:id="0"/>
    <w:p w14:paraId="667DAD30">
      <w:pPr>
        <w:spacing w:line="360" w:lineRule="auto"/>
        <w:ind w:left="-14" w:leftChars="-4" w:right="-54" w:firstLine="540" w:firstLineChars="225"/>
        <w:rPr>
          <w:rFonts w:hint="eastAsia" w:ascii="宋体" w:hAnsi="宋体" w:eastAsia="宋体" w:cs="宋体"/>
          <w:sz w:val="24"/>
          <w:szCs w:val="24"/>
        </w:rPr>
      </w:pPr>
      <w:r>
        <w:rPr>
          <w:rFonts w:hint="eastAsia" w:ascii="宋体" w:hAnsi="宋体" w:eastAsia="宋体" w:cs="宋体"/>
          <w:sz w:val="24"/>
          <w:szCs w:val="24"/>
        </w:rPr>
        <w:t>受内蒙古电力（集团）有限责任公司锡林郭勒供电分公司物资供应处的委托,</w:t>
      </w:r>
      <w:r>
        <w:rPr>
          <w:rFonts w:hint="eastAsia" w:ascii="宋体" w:hAnsi="宋体" w:eastAsia="宋体" w:cs="宋体"/>
          <w:sz w:val="24"/>
          <w:szCs w:val="24"/>
          <w:lang w:eastAsia="zh-CN"/>
        </w:rPr>
        <w:t>内蒙古中实工程招标咨询有限责任公司</w:t>
      </w:r>
      <w:r>
        <w:rPr>
          <w:rFonts w:hint="eastAsia" w:ascii="宋体" w:hAnsi="宋体" w:eastAsia="宋体" w:cs="宋体"/>
          <w:sz w:val="24"/>
          <w:szCs w:val="24"/>
        </w:rPr>
        <w:t>对</w:t>
      </w:r>
      <w:r>
        <w:rPr>
          <w:rFonts w:hint="eastAsia" w:ascii="宋体" w:hAnsi="宋体" w:eastAsia="宋体" w:cs="宋体"/>
          <w:sz w:val="24"/>
          <w:szCs w:val="24"/>
          <w:lang w:eastAsia="zh-CN"/>
        </w:rPr>
        <w:t>锡林郭勒供电公司2024年度福利机构用品、燃油类框架采购</w:t>
      </w:r>
      <w:r>
        <w:rPr>
          <w:rFonts w:hint="eastAsia" w:ascii="宋体" w:hAnsi="宋体" w:eastAsia="宋体" w:cs="宋体"/>
          <w:sz w:val="24"/>
          <w:szCs w:val="24"/>
        </w:rPr>
        <w:t>进行询比采购,现发布采购公告如下:</w:t>
      </w:r>
      <w:bookmarkStart w:id="1" w:name="_Toc495644243"/>
      <w:r>
        <w:rPr>
          <w:rFonts w:hint="eastAsia" w:ascii="宋体" w:hAnsi="宋体" w:eastAsia="宋体" w:cs="宋体"/>
          <w:sz w:val="24"/>
          <w:szCs w:val="24"/>
        </w:rPr>
        <w:t xml:space="preserve"> </w:t>
      </w:r>
    </w:p>
    <w:p w14:paraId="525D01D4">
      <w:pPr>
        <w:spacing w:line="360" w:lineRule="auto"/>
        <w:ind w:right="-54"/>
        <w:rPr>
          <w:rFonts w:hint="eastAsia" w:ascii="宋体" w:hAnsi="宋体" w:eastAsia="宋体" w:cs="宋体"/>
          <w:b/>
          <w:sz w:val="24"/>
          <w:szCs w:val="24"/>
        </w:rPr>
      </w:pPr>
      <w:r>
        <w:rPr>
          <w:rFonts w:hint="eastAsia" w:ascii="宋体" w:hAnsi="宋体" w:eastAsia="宋体" w:cs="宋体"/>
          <w:b/>
          <w:sz w:val="24"/>
          <w:szCs w:val="24"/>
        </w:rPr>
        <w:t>1. 项目概况与采购范围</w:t>
      </w:r>
      <w:bookmarkEnd w:id="1"/>
      <w:r>
        <w:rPr>
          <w:rFonts w:hint="eastAsia" w:ascii="宋体" w:hAnsi="宋体" w:eastAsia="宋体" w:cs="宋体"/>
          <w:b/>
          <w:sz w:val="24"/>
          <w:szCs w:val="24"/>
        </w:rPr>
        <w:t xml:space="preserve"> </w:t>
      </w:r>
    </w:p>
    <w:p w14:paraId="25BD1F98">
      <w:pPr>
        <w:keepNext w:val="0"/>
        <w:keepLines w:val="0"/>
        <w:pageBreakBefore w:val="0"/>
        <w:widowControl w:val="0"/>
        <w:kinsoku/>
        <w:wordWrap/>
        <w:overflowPunct/>
        <w:topLinePunct w:val="0"/>
        <w:autoSpaceDE/>
        <w:autoSpaceDN/>
        <w:bidi w:val="0"/>
        <w:adjustRightInd/>
        <w:snapToGrid w:val="0"/>
        <w:spacing w:line="360" w:lineRule="auto"/>
        <w:ind w:right="-65" w:rightChars="-19" w:firstLine="480" w:firstLineChars="200"/>
        <w:textAlignment w:val="auto"/>
        <w:rPr>
          <w:rFonts w:hint="eastAsia" w:ascii="宋体" w:hAnsi="宋体" w:eastAsia="宋体" w:cs="宋体"/>
          <w:sz w:val="24"/>
          <w:szCs w:val="24"/>
          <w:lang w:eastAsia="zh-CN"/>
        </w:rPr>
      </w:pPr>
      <w:bookmarkStart w:id="2" w:name="_Toc495644244"/>
      <w:r>
        <w:rPr>
          <w:rFonts w:hint="eastAsia" w:ascii="宋体" w:hAnsi="宋体" w:eastAsia="宋体" w:cs="宋体"/>
          <w:sz w:val="24"/>
          <w:szCs w:val="24"/>
        </w:rPr>
        <w:t>1.1采购项目名称：</w:t>
      </w:r>
      <w:r>
        <w:rPr>
          <w:rFonts w:hint="eastAsia" w:ascii="宋体" w:hAnsi="宋体" w:eastAsia="宋体" w:cs="宋体"/>
          <w:sz w:val="24"/>
          <w:szCs w:val="24"/>
          <w:lang w:eastAsia="zh-CN"/>
        </w:rPr>
        <w:t>锡林郭勒供电公司2024年度福利机构用品、燃油类框架采购</w:t>
      </w:r>
    </w:p>
    <w:p w14:paraId="66CD2B97">
      <w:pPr>
        <w:keepNext w:val="0"/>
        <w:keepLines w:val="0"/>
        <w:pageBreakBefore w:val="0"/>
        <w:widowControl w:val="0"/>
        <w:kinsoku/>
        <w:wordWrap/>
        <w:overflowPunct/>
        <w:topLinePunct w:val="0"/>
        <w:autoSpaceDE/>
        <w:autoSpaceDN/>
        <w:bidi w:val="0"/>
        <w:adjustRightInd/>
        <w:snapToGrid w:val="0"/>
        <w:spacing w:line="360" w:lineRule="auto"/>
        <w:ind w:right="-65" w:rightChars="-1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1.2采购内容：详见最高限价表（询比采购公告附件）</w:t>
      </w:r>
    </w:p>
    <w:tbl>
      <w:tblPr>
        <w:tblStyle w:val="4"/>
        <w:tblW w:w="10772" w:type="dxa"/>
        <w:jc w:val="center"/>
        <w:tblLayout w:type="fixed"/>
        <w:tblCellMar>
          <w:top w:w="0" w:type="dxa"/>
          <w:left w:w="108" w:type="dxa"/>
          <w:bottom w:w="0" w:type="dxa"/>
          <w:right w:w="108" w:type="dxa"/>
        </w:tblCellMar>
      </w:tblPr>
      <w:tblGrid>
        <w:gridCol w:w="757"/>
        <w:gridCol w:w="1503"/>
        <w:gridCol w:w="1736"/>
        <w:gridCol w:w="750"/>
        <w:gridCol w:w="750"/>
        <w:gridCol w:w="1203"/>
        <w:gridCol w:w="1275"/>
        <w:gridCol w:w="1110"/>
        <w:gridCol w:w="780"/>
        <w:gridCol w:w="908"/>
      </w:tblGrid>
      <w:tr w14:paraId="10995505">
        <w:tblPrEx>
          <w:tblCellMar>
            <w:top w:w="0" w:type="dxa"/>
            <w:left w:w="108" w:type="dxa"/>
            <w:bottom w:w="0" w:type="dxa"/>
            <w:right w:w="108" w:type="dxa"/>
          </w:tblCellMar>
        </w:tblPrEx>
        <w:trPr>
          <w:trHeight w:val="480" w:hRule="atLeast"/>
          <w:jc w:val="center"/>
        </w:trPr>
        <w:tc>
          <w:tcPr>
            <w:tcW w:w="351" w:type="pct"/>
            <w:vMerge w:val="restart"/>
            <w:tcBorders>
              <w:top w:val="single" w:color="auto" w:sz="4" w:space="0"/>
              <w:left w:val="single" w:color="auto" w:sz="4" w:space="0"/>
              <w:bottom w:val="single" w:color="auto" w:sz="4" w:space="0"/>
              <w:right w:val="single" w:color="auto" w:sz="4" w:space="0"/>
            </w:tcBorders>
            <w:noWrap/>
            <w:vAlign w:val="center"/>
          </w:tcPr>
          <w:p w14:paraId="613FA123">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序号</w:t>
            </w:r>
          </w:p>
        </w:tc>
        <w:tc>
          <w:tcPr>
            <w:tcW w:w="697" w:type="pct"/>
            <w:vMerge w:val="restart"/>
            <w:tcBorders>
              <w:top w:val="single" w:color="auto" w:sz="4" w:space="0"/>
              <w:left w:val="single" w:color="auto" w:sz="4" w:space="0"/>
              <w:bottom w:val="single" w:color="auto" w:sz="4" w:space="0"/>
              <w:right w:val="single" w:color="auto" w:sz="4" w:space="0"/>
            </w:tcBorders>
            <w:noWrap/>
            <w:vAlign w:val="center"/>
          </w:tcPr>
          <w:p w14:paraId="3C67F84D">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项目名称</w:t>
            </w:r>
          </w:p>
        </w:tc>
        <w:tc>
          <w:tcPr>
            <w:tcW w:w="805" w:type="pct"/>
            <w:vMerge w:val="restart"/>
            <w:tcBorders>
              <w:top w:val="single" w:color="auto" w:sz="4" w:space="0"/>
              <w:left w:val="single" w:color="auto" w:sz="4" w:space="0"/>
              <w:right w:val="single" w:color="auto" w:sz="4" w:space="0"/>
            </w:tcBorders>
            <w:noWrap w:val="0"/>
            <w:vAlign w:val="center"/>
          </w:tcPr>
          <w:p w14:paraId="074A62C1">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设备材料名称</w:t>
            </w:r>
          </w:p>
        </w:tc>
        <w:tc>
          <w:tcPr>
            <w:tcW w:w="348" w:type="pct"/>
            <w:vMerge w:val="restart"/>
            <w:tcBorders>
              <w:top w:val="single" w:color="auto" w:sz="4" w:space="0"/>
              <w:left w:val="single" w:color="auto" w:sz="4" w:space="0"/>
              <w:bottom w:val="single" w:color="auto" w:sz="4" w:space="0"/>
              <w:right w:val="single" w:color="auto" w:sz="4" w:space="0"/>
            </w:tcBorders>
            <w:noWrap/>
            <w:vAlign w:val="center"/>
          </w:tcPr>
          <w:p w14:paraId="63749DD0">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单位</w:t>
            </w:r>
          </w:p>
        </w:tc>
        <w:tc>
          <w:tcPr>
            <w:tcW w:w="348" w:type="pct"/>
            <w:vMerge w:val="restart"/>
            <w:tcBorders>
              <w:top w:val="single" w:color="auto" w:sz="4" w:space="0"/>
              <w:left w:val="single" w:color="auto" w:sz="4" w:space="0"/>
              <w:bottom w:val="single" w:color="auto" w:sz="4" w:space="0"/>
              <w:right w:val="single" w:color="auto" w:sz="4" w:space="0"/>
            </w:tcBorders>
            <w:noWrap w:val="0"/>
            <w:vAlign w:val="center"/>
          </w:tcPr>
          <w:p w14:paraId="0F552136">
            <w:pPr>
              <w:widowControl/>
              <w:spacing w:line="360" w:lineRule="auto"/>
              <w:jc w:val="center"/>
              <w:rPr>
                <w:rFonts w:hint="eastAsia" w:ascii="宋体" w:hAnsi="宋体" w:eastAsia="宋体" w:cs="宋体"/>
                <w:b/>
                <w:bCs/>
                <w:kern w:val="0"/>
                <w:sz w:val="21"/>
                <w:szCs w:val="21"/>
                <w:highlight w:val="none"/>
                <w:lang w:eastAsia="zh-CN"/>
              </w:rPr>
            </w:pPr>
            <w:r>
              <w:rPr>
                <w:rFonts w:hint="eastAsia" w:ascii="宋体" w:hAnsi="宋体" w:eastAsia="宋体" w:cs="宋体"/>
                <w:b/>
                <w:bCs/>
                <w:kern w:val="0"/>
                <w:sz w:val="21"/>
                <w:szCs w:val="21"/>
                <w:highlight w:val="none"/>
              </w:rPr>
              <w:t>采购</w:t>
            </w:r>
          </w:p>
          <w:p w14:paraId="0F8FCEF8">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数量</w:t>
            </w:r>
          </w:p>
        </w:tc>
        <w:tc>
          <w:tcPr>
            <w:tcW w:w="1150" w:type="pct"/>
            <w:gridSpan w:val="2"/>
            <w:tcBorders>
              <w:top w:val="single" w:color="auto" w:sz="4" w:space="0"/>
              <w:left w:val="nil"/>
              <w:bottom w:val="single" w:color="auto" w:sz="4" w:space="0"/>
              <w:right w:val="single" w:color="auto" w:sz="4" w:space="0"/>
            </w:tcBorders>
            <w:noWrap w:val="0"/>
            <w:vAlign w:val="center"/>
          </w:tcPr>
          <w:p w14:paraId="3C18F566">
            <w:pPr>
              <w:widowControl/>
              <w:spacing w:line="360" w:lineRule="auto"/>
              <w:ind w:left="108" w:hanging="103" w:hangingChars="49"/>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最高限价（万元）</w:t>
            </w:r>
          </w:p>
        </w:tc>
        <w:tc>
          <w:tcPr>
            <w:tcW w:w="515" w:type="pct"/>
            <w:vMerge w:val="restart"/>
            <w:tcBorders>
              <w:top w:val="single" w:color="auto" w:sz="4" w:space="0"/>
              <w:left w:val="single" w:color="auto" w:sz="4" w:space="0"/>
              <w:bottom w:val="single" w:color="auto" w:sz="4" w:space="0"/>
              <w:right w:val="single" w:color="auto" w:sz="4" w:space="0"/>
            </w:tcBorders>
            <w:noWrap/>
            <w:vAlign w:val="center"/>
          </w:tcPr>
          <w:p w14:paraId="01A3CA5F">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入围供应商数量</w:t>
            </w:r>
          </w:p>
        </w:tc>
        <w:tc>
          <w:tcPr>
            <w:tcW w:w="362" w:type="pct"/>
            <w:vMerge w:val="restart"/>
            <w:tcBorders>
              <w:top w:val="single" w:color="auto" w:sz="4" w:space="0"/>
              <w:left w:val="single" w:color="auto" w:sz="4" w:space="0"/>
              <w:bottom w:val="single" w:color="000000" w:sz="4" w:space="0"/>
              <w:right w:val="single" w:color="auto" w:sz="4" w:space="0"/>
            </w:tcBorders>
            <w:noWrap/>
            <w:vAlign w:val="center"/>
          </w:tcPr>
          <w:p w14:paraId="608A3CA4">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分配</w:t>
            </w:r>
          </w:p>
          <w:p w14:paraId="14405615">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比例</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53729E08">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分包</w:t>
            </w:r>
          </w:p>
          <w:p w14:paraId="29B807A5">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方案</w:t>
            </w:r>
          </w:p>
        </w:tc>
      </w:tr>
      <w:tr w14:paraId="3EEA5CEE">
        <w:tblPrEx>
          <w:tblCellMar>
            <w:top w:w="0" w:type="dxa"/>
            <w:left w:w="108" w:type="dxa"/>
            <w:bottom w:w="0" w:type="dxa"/>
            <w:right w:w="108" w:type="dxa"/>
          </w:tblCellMar>
        </w:tblPrEx>
        <w:trPr>
          <w:trHeight w:val="363" w:hRule="atLeast"/>
          <w:jc w:val="center"/>
        </w:trPr>
        <w:tc>
          <w:tcPr>
            <w:tcW w:w="351" w:type="pct"/>
            <w:vMerge w:val="continue"/>
            <w:tcBorders>
              <w:top w:val="single" w:color="auto" w:sz="4" w:space="0"/>
              <w:left w:val="single" w:color="auto" w:sz="4" w:space="0"/>
              <w:bottom w:val="single" w:color="auto" w:sz="4" w:space="0"/>
              <w:right w:val="single" w:color="auto" w:sz="4" w:space="0"/>
            </w:tcBorders>
            <w:noWrap w:val="0"/>
            <w:vAlign w:val="center"/>
          </w:tcPr>
          <w:p w14:paraId="6C67D63A">
            <w:pPr>
              <w:widowControl/>
              <w:spacing w:line="360" w:lineRule="auto"/>
              <w:jc w:val="left"/>
              <w:rPr>
                <w:rFonts w:hint="eastAsia" w:ascii="宋体" w:hAnsi="宋体" w:eastAsia="宋体" w:cs="宋体"/>
                <w:b/>
                <w:bCs/>
                <w:kern w:val="0"/>
                <w:sz w:val="21"/>
                <w:szCs w:val="21"/>
                <w:highlight w:val="none"/>
              </w:rPr>
            </w:pPr>
          </w:p>
        </w:tc>
        <w:tc>
          <w:tcPr>
            <w:tcW w:w="697" w:type="pct"/>
            <w:vMerge w:val="continue"/>
            <w:tcBorders>
              <w:top w:val="single" w:color="auto" w:sz="4" w:space="0"/>
              <w:left w:val="single" w:color="auto" w:sz="4" w:space="0"/>
              <w:bottom w:val="single" w:color="auto" w:sz="4" w:space="0"/>
              <w:right w:val="single" w:color="auto" w:sz="4" w:space="0"/>
            </w:tcBorders>
            <w:noWrap w:val="0"/>
            <w:vAlign w:val="center"/>
          </w:tcPr>
          <w:p w14:paraId="6063159A">
            <w:pPr>
              <w:widowControl/>
              <w:spacing w:line="360" w:lineRule="auto"/>
              <w:jc w:val="left"/>
              <w:rPr>
                <w:rFonts w:hint="eastAsia" w:ascii="宋体" w:hAnsi="宋体" w:eastAsia="宋体" w:cs="宋体"/>
                <w:b/>
                <w:bCs/>
                <w:kern w:val="0"/>
                <w:sz w:val="21"/>
                <w:szCs w:val="21"/>
                <w:highlight w:val="none"/>
              </w:rPr>
            </w:pPr>
          </w:p>
        </w:tc>
        <w:tc>
          <w:tcPr>
            <w:tcW w:w="805" w:type="pct"/>
            <w:vMerge w:val="continue"/>
            <w:tcBorders>
              <w:left w:val="single" w:color="auto" w:sz="4" w:space="0"/>
              <w:bottom w:val="single" w:color="auto" w:sz="4" w:space="0"/>
              <w:right w:val="single" w:color="auto" w:sz="4" w:space="0"/>
            </w:tcBorders>
            <w:noWrap w:val="0"/>
            <w:vAlign w:val="center"/>
          </w:tcPr>
          <w:p w14:paraId="267D6EFB">
            <w:pPr>
              <w:widowControl/>
              <w:spacing w:line="360" w:lineRule="auto"/>
              <w:jc w:val="center"/>
              <w:rPr>
                <w:rFonts w:hint="eastAsia" w:ascii="宋体" w:hAnsi="宋体" w:eastAsia="宋体" w:cs="宋体"/>
                <w:b/>
                <w:bCs/>
                <w:kern w:val="0"/>
                <w:sz w:val="21"/>
                <w:szCs w:val="21"/>
                <w:highlight w:val="none"/>
              </w:rPr>
            </w:pPr>
          </w:p>
        </w:tc>
        <w:tc>
          <w:tcPr>
            <w:tcW w:w="348" w:type="pct"/>
            <w:vMerge w:val="continue"/>
            <w:tcBorders>
              <w:top w:val="single" w:color="auto" w:sz="4" w:space="0"/>
              <w:left w:val="single" w:color="auto" w:sz="4" w:space="0"/>
              <w:bottom w:val="single" w:color="auto" w:sz="4" w:space="0"/>
              <w:right w:val="single" w:color="auto" w:sz="4" w:space="0"/>
            </w:tcBorders>
            <w:noWrap w:val="0"/>
            <w:vAlign w:val="center"/>
          </w:tcPr>
          <w:p w14:paraId="4EC9B88E">
            <w:pPr>
              <w:widowControl/>
              <w:spacing w:line="360" w:lineRule="auto"/>
              <w:jc w:val="left"/>
              <w:rPr>
                <w:rFonts w:hint="eastAsia" w:ascii="宋体" w:hAnsi="宋体" w:eastAsia="宋体" w:cs="宋体"/>
                <w:b/>
                <w:bCs/>
                <w:kern w:val="0"/>
                <w:sz w:val="21"/>
                <w:szCs w:val="21"/>
                <w:highlight w:val="none"/>
              </w:rPr>
            </w:pPr>
          </w:p>
        </w:tc>
        <w:tc>
          <w:tcPr>
            <w:tcW w:w="348" w:type="pct"/>
            <w:vMerge w:val="continue"/>
            <w:tcBorders>
              <w:top w:val="single" w:color="auto" w:sz="4" w:space="0"/>
              <w:left w:val="single" w:color="auto" w:sz="4" w:space="0"/>
              <w:bottom w:val="single" w:color="auto" w:sz="4" w:space="0"/>
              <w:right w:val="single" w:color="auto" w:sz="4" w:space="0"/>
            </w:tcBorders>
            <w:noWrap w:val="0"/>
            <w:vAlign w:val="center"/>
          </w:tcPr>
          <w:p w14:paraId="4DC518AE">
            <w:pPr>
              <w:widowControl/>
              <w:spacing w:line="360" w:lineRule="auto"/>
              <w:jc w:val="left"/>
              <w:rPr>
                <w:rFonts w:hint="eastAsia" w:ascii="宋体" w:hAnsi="宋体" w:eastAsia="宋体" w:cs="宋体"/>
                <w:b/>
                <w:bCs/>
                <w:kern w:val="0"/>
                <w:sz w:val="21"/>
                <w:szCs w:val="21"/>
                <w:highlight w:val="none"/>
              </w:rPr>
            </w:pPr>
          </w:p>
        </w:tc>
        <w:tc>
          <w:tcPr>
            <w:tcW w:w="558" w:type="pct"/>
            <w:tcBorders>
              <w:top w:val="nil"/>
              <w:left w:val="nil"/>
              <w:bottom w:val="single" w:color="auto" w:sz="4" w:space="0"/>
              <w:right w:val="single" w:color="auto" w:sz="4" w:space="0"/>
            </w:tcBorders>
            <w:noWrap w:val="0"/>
            <w:vAlign w:val="center"/>
          </w:tcPr>
          <w:p w14:paraId="246C3A86">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单价</w:t>
            </w:r>
          </w:p>
        </w:tc>
        <w:tc>
          <w:tcPr>
            <w:tcW w:w="591" w:type="pct"/>
            <w:tcBorders>
              <w:top w:val="nil"/>
              <w:left w:val="nil"/>
              <w:bottom w:val="single" w:color="auto" w:sz="4" w:space="0"/>
              <w:right w:val="single" w:color="auto" w:sz="4" w:space="0"/>
            </w:tcBorders>
            <w:noWrap w:val="0"/>
            <w:vAlign w:val="center"/>
          </w:tcPr>
          <w:p w14:paraId="6C57C814">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合计</w:t>
            </w:r>
          </w:p>
        </w:tc>
        <w:tc>
          <w:tcPr>
            <w:tcW w:w="515" w:type="pct"/>
            <w:vMerge w:val="continue"/>
            <w:tcBorders>
              <w:top w:val="nil"/>
              <w:left w:val="nil"/>
              <w:bottom w:val="single" w:color="auto" w:sz="4" w:space="0"/>
              <w:right w:val="single" w:color="auto" w:sz="4" w:space="0"/>
            </w:tcBorders>
            <w:noWrap w:val="0"/>
            <w:vAlign w:val="center"/>
          </w:tcPr>
          <w:p w14:paraId="0D60C76F">
            <w:pPr>
              <w:widowControl/>
              <w:spacing w:line="360" w:lineRule="auto"/>
              <w:jc w:val="left"/>
              <w:rPr>
                <w:rFonts w:hint="eastAsia" w:ascii="宋体" w:hAnsi="宋体" w:eastAsia="宋体" w:cs="宋体"/>
                <w:b/>
                <w:bCs/>
                <w:kern w:val="0"/>
                <w:sz w:val="21"/>
                <w:szCs w:val="21"/>
                <w:highlight w:val="none"/>
              </w:rPr>
            </w:pPr>
          </w:p>
        </w:tc>
        <w:tc>
          <w:tcPr>
            <w:tcW w:w="362" w:type="pct"/>
            <w:vMerge w:val="continue"/>
            <w:tcBorders>
              <w:top w:val="single" w:color="auto" w:sz="4" w:space="0"/>
              <w:left w:val="single" w:color="auto" w:sz="4" w:space="0"/>
              <w:bottom w:val="single" w:color="auto" w:sz="4" w:space="0"/>
              <w:right w:val="single" w:color="auto" w:sz="4" w:space="0"/>
            </w:tcBorders>
            <w:noWrap w:val="0"/>
            <w:vAlign w:val="center"/>
          </w:tcPr>
          <w:p w14:paraId="618D504E">
            <w:pPr>
              <w:widowControl/>
              <w:spacing w:line="360" w:lineRule="auto"/>
              <w:jc w:val="left"/>
              <w:rPr>
                <w:rFonts w:hint="eastAsia" w:ascii="宋体" w:hAnsi="宋体" w:eastAsia="宋体" w:cs="宋体"/>
                <w:b/>
                <w:bCs/>
                <w:kern w:val="0"/>
                <w:sz w:val="21"/>
                <w:szCs w:val="21"/>
                <w:highlight w:val="none"/>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63945598">
            <w:pPr>
              <w:widowControl/>
              <w:spacing w:line="360" w:lineRule="auto"/>
              <w:jc w:val="left"/>
              <w:rPr>
                <w:rFonts w:hint="eastAsia" w:ascii="宋体" w:hAnsi="宋体" w:eastAsia="宋体" w:cs="宋体"/>
                <w:b/>
                <w:bCs/>
                <w:kern w:val="0"/>
                <w:sz w:val="21"/>
                <w:szCs w:val="21"/>
                <w:highlight w:val="none"/>
              </w:rPr>
            </w:pPr>
          </w:p>
        </w:tc>
      </w:tr>
      <w:tr w14:paraId="0EF06E05">
        <w:tblPrEx>
          <w:tblCellMar>
            <w:top w:w="0" w:type="dxa"/>
            <w:left w:w="108" w:type="dxa"/>
            <w:bottom w:w="0" w:type="dxa"/>
            <w:right w:w="108" w:type="dxa"/>
          </w:tblCellMar>
        </w:tblPrEx>
        <w:trPr>
          <w:trHeight w:val="1641" w:hRule="atLeast"/>
          <w:jc w:val="center"/>
        </w:trPr>
        <w:tc>
          <w:tcPr>
            <w:tcW w:w="351" w:type="pct"/>
            <w:tcBorders>
              <w:top w:val="single" w:color="auto" w:sz="4" w:space="0"/>
              <w:left w:val="single" w:color="auto" w:sz="4" w:space="0"/>
              <w:bottom w:val="single" w:color="auto" w:sz="4" w:space="0"/>
              <w:right w:val="single" w:color="auto" w:sz="4" w:space="0"/>
            </w:tcBorders>
            <w:noWrap w:val="0"/>
            <w:vAlign w:val="center"/>
          </w:tcPr>
          <w:p w14:paraId="6FF406D6">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697" w:type="pct"/>
            <w:tcBorders>
              <w:top w:val="single" w:color="auto" w:sz="4" w:space="0"/>
              <w:left w:val="single" w:color="auto" w:sz="4" w:space="0"/>
              <w:bottom w:val="single" w:color="auto" w:sz="4" w:space="0"/>
              <w:right w:val="single" w:color="auto" w:sz="4" w:space="0"/>
            </w:tcBorders>
            <w:noWrap w:val="0"/>
            <w:vAlign w:val="center"/>
          </w:tcPr>
          <w:p w14:paraId="0DD90638">
            <w:pPr>
              <w:keepNext w:val="0"/>
              <w:keepLines w:val="0"/>
              <w:widowControl/>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锡林郭勒供电公司2024年度福利机构用品类框架采购项目</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56829C85">
            <w:pPr>
              <w:widowControl/>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一次性包装、西点包装、磨具类</w:t>
            </w:r>
            <w:r>
              <w:rPr>
                <w:rFonts w:hint="eastAsia" w:ascii="宋体" w:hAnsi="宋体" w:eastAsia="宋体" w:cs="宋体"/>
                <w:kern w:val="0"/>
                <w:sz w:val="21"/>
                <w:szCs w:val="21"/>
                <w:highlight w:val="none"/>
                <w:lang w:eastAsia="zh-CN"/>
              </w:rPr>
              <w:t>、餐具用品类、锅具类、器具类、其他类</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654B08C9">
            <w:pPr>
              <w:widowControl/>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348" w:type="pct"/>
            <w:tcBorders>
              <w:top w:val="single" w:color="auto" w:sz="4" w:space="0"/>
              <w:left w:val="single" w:color="auto" w:sz="4" w:space="0"/>
              <w:bottom w:val="single" w:color="auto" w:sz="4" w:space="0"/>
              <w:right w:val="single" w:color="auto" w:sz="4" w:space="0"/>
            </w:tcBorders>
            <w:noWrap/>
            <w:vAlign w:val="center"/>
          </w:tcPr>
          <w:p w14:paraId="4D41D280">
            <w:pPr>
              <w:widowControl/>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批</w:t>
            </w:r>
          </w:p>
        </w:tc>
        <w:tc>
          <w:tcPr>
            <w:tcW w:w="558" w:type="pct"/>
            <w:tcBorders>
              <w:top w:val="single" w:color="auto" w:sz="4" w:space="0"/>
              <w:left w:val="single" w:color="auto" w:sz="4" w:space="0"/>
              <w:bottom w:val="single" w:color="auto" w:sz="4" w:space="0"/>
              <w:right w:val="single" w:color="auto" w:sz="4" w:space="0"/>
            </w:tcBorders>
            <w:noWrap/>
            <w:vAlign w:val="center"/>
          </w:tcPr>
          <w:p w14:paraId="1C524360">
            <w:pPr>
              <w:widowControl/>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150000.00</w:t>
            </w:r>
          </w:p>
        </w:tc>
        <w:tc>
          <w:tcPr>
            <w:tcW w:w="591" w:type="pct"/>
            <w:tcBorders>
              <w:top w:val="single" w:color="auto" w:sz="4" w:space="0"/>
              <w:left w:val="single" w:color="auto" w:sz="4" w:space="0"/>
              <w:bottom w:val="single" w:color="auto" w:sz="4" w:space="0"/>
              <w:right w:val="single" w:color="auto" w:sz="4" w:space="0"/>
            </w:tcBorders>
            <w:noWrap/>
            <w:vAlign w:val="center"/>
          </w:tcPr>
          <w:p w14:paraId="5909E31F">
            <w:pPr>
              <w:widowControl/>
              <w:spacing w:line="360" w:lineRule="auto"/>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150000.00</w:t>
            </w:r>
          </w:p>
        </w:tc>
        <w:tc>
          <w:tcPr>
            <w:tcW w:w="515" w:type="pct"/>
            <w:tcBorders>
              <w:top w:val="single" w:color="auto" w:sz="4" w:space="0"/>
              <w:left w:val="single" w:color="auto" w:sz="4" w:space="0"/>
              <w:bottom w:val="single" w:color="auto" w:sz="4" w:space="0"/>
              <w:right w:val="single" w:color="auto" w:sz="4" w:space="0"/>
            </w:tcBorders>
            <w:noWrap w:val="0"/>
            <w:vAlign w:val="center"/>
          </w:tcPr>
          <w:p w14:paraId="62E3D5D4">
            <w:pPr>
              <w:widowControl/>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1家</w:t>
            </w:r>
          </w:p>
        </w:tc>
        <w:tc>
          <w:tcPr>
            <w:tcW w:w="362" w:type="pct"/>
            <w:tcBorders>
              <w:top w:val="single" w:color="auto" w:sz="4" w:space="0"/>
              <w:left w:val="single" w:color="auto" w:sz="4" w:space="0"/>
              <w:bottom w:val="single" w:color="auto" w:sz="4" w:space="0"/>
              <w:right w:val="single" w:color="auto" w:sz="4" w:space="0"/>
            </w:tcBorders>
            <w:noWrap w:val="0"/>
            <w:vAlign w:val="center"/>
          </w:tcPr>
          <w:p w14:paraId="426235D2">
            <w:pPr>
              <w:widowControl/>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421" w:type="pct"/>
            <w:tcBorders>
              <w:top w:val="single" w:color="auto" w:sz="4" w:space="0"/>
              <w:left w:val="single" w:color="auto" w:sz="4" w:space="0"/>
              <w:bottom w:val="single" w:color="auto" w:sz="4" w:space="0"/>
              <w:right w:val="single" w:color="auto" w:sz="4" w:space="0"/>
            </w:tcBorders>
            <w:noWrap w:val="0"/>
            <w:vAlign w:val="center"/>
          </w:tcPr>
          <w:p w14:paraId="6729DD2C">
            <w:pPr>
              <w:widowControl/>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第1包</w:t>
            </w:r>
          </w:p>
        </w:tc>
      </w:tr>
      <w:tr w14:paraId="729FDAE8">
        <w:tblPrEx>
          <w:tblCellMar>
            <w:top w:w="0" w:type="dxa"/>
            <w:left w:w="108" w:type="dxa"/>
            <w:bottom w:w="0" w:type="dxa"/>
            <w:right w:w="108" w:type="dxa"/>
          </w:tblCellMar>
        </w:tblPrEx>
        <w:trPr>
          <w:trHeight w:val="1641" w:hRule="atLeast"/>
          <w:jc w:val="center"/>
        </w:trPr>
        <w:tc>
          <w:tcPr>
            <w:tcW w:w="351" w:type="pct"/>
            <w:tcBorders>
              <w:top w:val="single" w:color="auto" w:sz="4" w:space="0"/>
              <w:left w:val="single" w:color="auto" w:sz="4" w:space="0"/>
              <w:bottom w:val="single" w:color="auto" w:sz="4" w:space="0"/>
              <w:right w:val="single" w:color="auto" w:sz="4" w:space="0"/>
            </w:tcBorders>
            <w:noWrap w:val="0"/>
            <w:vAlign w:val="center"/>
          </w:tcPr>
          <w:p w14:paraId="035F272F">
            <w:pPr>
              <w:widowControl/>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697" w:type="pct"/>
            <w:tcBorders>
              <w:top w:val="single" w:color="auto" w:sz="4" w:space="0"/>
              <w:left w:val="single" w:color="auto" w:sz="4" w:space="0"/>
              <w:bottom w:val="single" w:color="auto" w:sz="4" w:space="0"/>
              <w:right w:val="single" w:color="auto" w:sz="4" w:space="0"/>
            </w:tcBorders>
            <w:noWrap w:val="0"/>
            <w:vAlign w:val="center"/>
          </w:tcPr>
          <w:p w14:paraId="43F1F0BF">
            <w:pPr>
              <w:keepNext w:val="0"/>
              <w:keepLines w:val="0"/>
              <w:widowControl/>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锡林郭勒供电公司2024年度燃油类框架采购项目</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1E4C7C69">
            <w:pPr>
              <w:widowControl/>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非成品油类非醇基燃油</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772FE5A8">
            <w:pPr>
              <w:widowControl/>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348" w:type="pct"/>
            <w:tcBorders>
              <w:top w:val="single" w:color="auto" w:sz="4" w:space="0"/>
              <w:left w:val="single" w:color="auto" w:sz="4" w:space="0"/>
              <w:bottom w:val="single" w:color="auto" w:sz="4" w:space="0"/>
              <w:right w:val="single" w:color="auto" w:sz="4" w:space="0"/>
            </w:tcBorders>
            <w:noWrap/>
            <w:vAlign w:val="center"/>
          </w:tcPr>
          <w:p w14:paraId="3114865B">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批</w:t>
            </w:r>
          </w:p>
        </w:tc>
        <w:tc>
          <w:tcPr>
            <w:tcW w:w="558" w:type="pct"/>
            <w:tcBorders>
              <w:top w:val="single" w:color="auto" w:sz="4" w:space="0"/>
              <w:left w:val="single" w:color="auto" w:sz="4" w:space="0"/>
              <w:bottom w:val="single" w:color="auto" w:sz="4" w:space="0"/>
              <w:right w:val="single" w:color="auto" w:sz="4" w:space="0"/>
            </w:tcBorders>
            <w:noWrap/>
            <w:vAlign w:val="center"/>
          </w:tcPr>
          <w:p w14:paraId="72189059">
            <w:pPr>
              <w:widowControl/>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100000.00</w:t>
            </w:r>
          </w:p>
        </w:tc>
        <w:tc>
          <w:tcPr>
            <w:tcW w:w="591" w:type="pct"/>
            <w:tcBorders>
              <w:top w:val="single" w:color="auto" w:sz="4" w:space="0"/>
              <w:left w:val="single" w:color="auto" w:sz="4" w:space="0"/>
              <w:bottom w:val="single" w:color="auto" w:sz="4" w:space="0"/>
              <w:right w:val="single" w:color="auto" w:sz="4" w:space="0"/>
            </w:tcBorders>
            <w:noWrap/>
            <w:vAlign w:val="center"/>
          </w:tcPr>
          <w:p w14:paraId="0810B7DF">
            <w:pPr>
              <w:widowControl/>
              <w:spacing w:line="360" w:lineRule="auto"/>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100000.00</w:t>
            </w:r>
          </w:p>
        </w:tc>
        <w:tc>
          <w:tcPr>
            <w:tcW w:w="515" w:type="pct"/>
            <w:tcBorders>
              <w:top w:val="single" w:color="auto" w:sz="4" w:space="0"/>
              <w:left w:val="single" w:color="auto" w:sz="4" w:space="0"/>
              <w:bottom w:val="single" w:color="auto" w:sz="4" w:space="0"/>
              <w:right w:val="single" w:color="auto" w:sz="4" w:space="0"/>
            </w:tcBorders>
            <w:noWrap w:val="0"/>
            <w:vAlign w:val="center"/>
          </w:tcPr>
          <w:p w14:paraId="15E1B26C">
            <w:pPr>
              <w:widowControl/>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1家</w:t>
            </w:r>
          </w:p>
        </w:tc>
        <w:tc>
          <w:tcPr>
            <w:tcW w:w="362" w:type="pct"/>
            <w:tcBorders>
              <w:top w:val="single" w:color="auto" w:sz="4" w:space="0"/>
              <w:left w:val="single" w:color="auto" w:sz="4" w:space="0"/>
              <w:bottom w:val="single" w:color="auto" w:sz="4" w:space="0"/>
              <w:right w:val="single" w:color="auto" w:sz="4" w:space="0"/>
            </w:tcBorders>
            <w:noWrap w:val="0"/>
            <w:vAlign w:val="center"/>
          </w:tcPr>
          <w:p w14:paraId="56999CAF">
            <w:pPr>
              <w:widowControl/>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421" w:type="pct"/>
            <w:tcBorders>
              <w:top w:val="single" w:color="auto" w:sz="4" w:space="0"/>
              <w:left w:val="single" w:color="auto" w:sz="4" w:space="0"/>
              <w:bottom w:val="single" w:color="auto" w:sz="4" w:space="0"/>
              <w:right w:val="single" w:color="auto" w:sz="4" w:space="0"/>
            </w:tcBorders>
            <w:noWrap w:val="0"/>
            <w:vAlign w:val="center"/>
          </w:tcPr>
          <w:p w14:paraId="74C7AFA7">
            <w:pPr>
              <w:widowControl/>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第2包</w:t>
            </w:r>
          </w:p>
        </w:tc>
      </w:tr>
    </w:tbl>
    <w:p w14:paraId="7482F519">
      <w:pPr>
        <w:keepNext w:val="0"/>
        <w:keepLines w:val="0"/>
        <w:pageBreakBefore w:val="0"/>
        <w:widowControl w:val="0"/>
        <w:kinsoku/>
        <w:wordWrap/>
        <w:overflowPunct/>
        <w:topLinePunct w:val="0"/>
        <w:bidi w:val="0"/>
        <w:snapToGrid w:val="0"/>
        <w:spacing w:line="360" w:lineRule="auto"/>
        <w:ind w:right="-65" w:rightChars="-19" w:firstLine="480" w:firstLineChars="200"/>
        <w:textAlignment w:val="auto"/>
        <w:rPr>
          <w:rFonts w:hint="eastAsia" w:ascii="宋体" w:hAnsi="宋体" w:eastAsia="宋体" w:cs="宋体"/>
          <w:color w:val="000000"/>
          <w:sz w:val="24"/>
          <w:szCs w:val="24"/>
          <w:highlight w:val="none"/>
        </w:rPr>
      </w:pPr>
    </w:p>
    <w:p w14:paraId="2C4C981C">
      <w:pPr>
        <w:keepNext w:val="0"/>
        <w:keepLines w:val="0"/>
        <w:pageBreakBefore w:val="0"/>
        <w:widowControl w:val="0"/>
        <w:kinsoku/>
        <w:wordWrap/>
        <w:overflowPunct/>
        <w:topLinePunct w:val="0"/>
        <w:bidi w:val="0"/>
        <w:snapToGrid w:val="0"/>
        <w:spacing w:line="360" w:lineRule="auto"/>
        <w:ind w:right="-65" w:rightChars="-19"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bookmarkEnd w:id="2"/>
      <w:bookmarkStart w:id="3" w:name="_Toc37409907"/>
      <w:bookmarkStart w:id="4" w:name="_Toc37407095"/>
      <w:bookmarkStart w:id="5" w:name="_Toc37411142"/>
      <w:r>
        <w:rPr>
          <w:rFonts w:hint="eastAsia" w:ascii="宋体" w:hAnsi="宋体" w:eastAsia="宋体" w:cs="宋体"/>
          <w:color w:val="000000"/>
          <w:sz w:val="24"/>
          <w:szCs w:val="24"/>
          <w:highlight w:val="none"/>
        </w:rPr>
        <w:t>供货地点：锡林郭勒供电公司职工食堂</w:t>
      </w:r>
    </w:p>
    <w:p w14:paraId="255119AE">
      <w:pPr>
        <w:keepNext w:val="0"/>
        <w:keepLines w:val="0"/>
        <w:pageBreakBefore w:val="0"/>
        <w:widowControl w:val="0"/>
        <w:kinsoku/>
        <w:wordWrap/>
        <w:overflowPunct/>
        <w:topLinePunct w:val="0"/>
        <w:bidi w:val="0"/>
        <w:snapToGrid w:val="0"/>
        <w:spacing w:line="360" w:lineRule="auto"/>
        <w:ind w:right="-65" w:rightChars="-19"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1.4供货时间：购置物品均为现货需在8小时内送到，特殊物品断货或其他情况需提前标注并说明</w:t>
      </w:r>
    </w:p>
    <w:p w14:paraId="36AB382C">
      <w:pPr>
        <w:keepNext w:val="0"/>
        <w:keepLines w:val="0"/>
        <w:pageBreakBefore w:val="0"/>
        <w:widowControl w:val="0"/>
        <w:kinsoku/>
        <w:wordWrap/>
        <w:overflowPunct/>
        <w:topLinePunct w:val="0"/>
        <w:bidi w:val="0"/>
        <w:snapToGrid w:val="0"/>
        <w:spacing w:line="360" w:lineRule="auto"/>
        <w:ind w:right="-65" w:rightChars="-19"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1.5框架服务时间：自合同签订之日起至2025年7月30日</w:t>
      </w:r>
    </w:p>
    <w:p w14:paraId="7174A15A">
      <w:pPr>
        <w:keepNext w:val="0"/>
        <w:keepLines w:val="0"/>
        <w:pageBreakBefore w:val="0"/>
        <w:widowControl w:val="0"/>
        <w:kinsoku/>
        <w:wordWrap/>
        <w:overflowPunct/>
        <w:topLinePunct w:val="0"/>
        <w:bidi w:val="0"/>
        <w:snapToGrid w:val="0"/>
        <w:spacing w:line="360" w:lineRule="auto"/>
        <w:ind w:right="-65" w:rightChars="-19"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资金来源：企业自筹资金</w:t>
      </w:r>
    </w:p>
    <w:p w14:paraId="10F3A24C">
      <w:pPr>
        <w:keepNext w:val="0"/>
        <w:keepLines w:val="0"/>
        <w:pageBreakBefore w:val="0"/>
        <w:widowControl w:val="0"/>
        <w:kinsoku/>
        <w:wordWrap/>
        <w:overflowPunct/>
        <w:topLinePunct w:val="0"/>
        <w:bidi w:val="0"/>
        <w:snapToGrid w:val="0"/>
        <w:spacing w:line="360" w:lineRule="auto"/>
        <w:ind w:right="-65" w:rightChars="-19"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质量要求：</w:t>
      </w:r>
    </w:p>
    <w:p w14:paraId="3CF9FC5A">
      <w:pPr>
        <w:keepNext w:val="0"/>
        <w:keepLines w:val="0"/>
        <w:pageBreakBefore w:val="0"/>
        <w:widowControl w:val="0"/>
        <w:kinsoku/>
        <w:wordWrap/>
        <w:overflowPunct/>
        <w:topLinePunct w:val="0"/>
        <w:bidi w:val="0"/>
        <w:snapToGrid w:val="0"/>
        <w:spacing w:line="360" w:lineRule="auto"/>
        <w:ind w:right="-65" w:rightChars="-19"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标段一：要求用品全新的、未使用过的原装合格产品，验收内容包括：型号、规格、数量、配置配件齐全，外观质量符合要求，及货物包装完好。</w:t>
      </w:r>
    </w:p>
    <w:p w14:paraId="198A12B1">
      <w:pPr>
        <w:keepNext w:val="0"/>
        <w:keepLines w:val="0"/>
        <w:pageBreakBefore w:val="0"/>
        <w:widowControl w:val="0"/>
        <w:kinsoku/>
        <w:wordWrap/>
        <w:overflowPunct/>
        <w:topLinePunct w:val="0"/>
        <w:bidi w:val="0"/>
        <w:snapToGrid w:val="0"/>
        <w:spacing w:line="360" w:lineRule="auto"/>
        <w:ind w:right="-65" w:rightChars="-19"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标段二：非成品油非醇基燃料，具有国家质监部门出具的货物危险鉴定书或质量检测单；</w:t>
      </w:r>
    </w:p>
    <w:p w14:paraId="784ABCC4">
      <w:pPr>
        <w:keepNext w:val="0"/>
        <w:keepLines w:val="0"/>
        <w:pageBreakBefore w:val="0"/>
        <w:widowControl w:val="0"/>
        <w:kinsoku/>
        <w:wordWrap/>
        <w:overflowPunct/>
        <w:topLinePunct w:val="0"/>
        <w:bidi w:val="0"/>
        <w:snapToGrid w:val="0"/>
        <w:spacing w:line="360" w:lineRule="auto"/>
        <w:ind w:right="-65" w:rightChars="-19"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1.8售后服务及要求：根据甲方使用需求情况，按照家用电器及电子产品类三包维修进行保修，如供货时框架明细表中电器类、锅具类已停产或升级换代，在不变动价格的前提下，需提供同等或更高的其他产品。</w:t>
      </w:r>
    </w:p>
    <w:p w14:paraId="35DEF84B">
      <w:pPr>
        <w:keepNext w:val="0"/>
        <w:keepLines w:val="0"/>
        <w:pageBreakBefore w:val="0"/>
        <w:widowControl w:val="0"/>
        <w:kinsoku/>
        <w:wordWrap/>
        <w:overflowPunct/>
        <w:topLinePunct w:val="0"/>
        <w:bidi w:val="0"/>
        <w:snapToGrid w:val="0"/>
        <w:spacing w:line="360" w:lineRule="auto"/>
        <w:ind w:right="-65" w:rightChars="-19"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1.9</w:t>
      </w:r>
      <w:r>
        <w:rPr>
          <w:rFonts w:hint="eastAsia" w:ascii="宋体" w:hAnsi="宋体" w:eastAsia="宋体" w:cs="宋体"/>
          <w:color w:val="000000"/>
          <w:sz w:val="24"/>
          <w:szCs w:val="24"/>
        </w:rPr>
        <w:t>结算方式：货到验收合格后，</w:t>
      </w:r>
      <w:r>
        <w:rPr>
          <w:rFonts w:hint="eastAsia" w:ascii="宋体" w:hAnsi="宋体" w:eastAsia="宋体" w:cs="宋体"/>
          <w:color w:val="000000"/>
          <w:sz w:val="24"/>
          <w:szCs w:val="24"/>
          <w:lang w:val="en-US" w:eastAsia="zh-CN"/>
        </w:rPr>
        <w:t>成交供应商</w:t>
      </w:r>
      <w:r>
        <w:rPr>
          <w:rFonts w:hint="eastAsia" w:ascii="宋体" w:hAnsi="宋体" w:eastAsia="宋体" w:cs="宋体"/>
          <w:color w:val="000000"/>
          <w:sz w:val="24"/>
          <w:szCs w:val="24"/>
        </w:rPr>
        <w:t>提供增值税发票，按月或季度结算。</w:t>
      </w:r>
    </w:p>
    <w:bookmarkEnd w:id="3"/>
    <w:bookmarkEnd w:id="4"/>
    <w:bookmarkEnd w:id="5"/>
    <w:p w14:paraId="3D568E07">
      <w:pPr>
        <w:spacing w:line="360" w:lineRule="auto"/>
        <w:rPr>
          <w:rFonts w:hint="eastAsia" w:ascii="宋体" w:hAnsi="宋体" w:eastAsia="宋体" w:cs="宋体"/>
          <w:b/>
          <w:sz w:val="24"/>
          <w:szCs w:val="24"/>
        </w:rPr>
      </w:pPr>
      <w:r>
        <w:rPr>
          <w:rFonts w:hint="eastAsia" w:ascii="宋体" w:hAnsi="宋体" w:eastAsia="宋体" w:cs="宋体"/>
          <w:b/>
          <w:sz w:val="24"/>
          <w:szCs w:val="24"/>
        </w:rPr>
        <w:t>2.供应商资格要求：</w:t>
      </w:r>
    </w:p>
    <w:p w14:paraId="3B7C4F27">
      <w:pPr>
        <w:spacing w:line="360" w:lineRule="auto"/>
        <w:ind w:right="-65" w:rightChars="-19"/>
        <w:rPr>
          <w:rFonts w:hint="eastAsia" w:ascii="宋体" w:hAnsi="宋体" w:eastAsia="宋体" w:cs="宋体"/>
          <w:b/>
          <w:sz w:val="24"/>
          <w:szCs w:val="24"/>
          <w:highlight w:val="none"/>
        </w:rPr>
      </w:pPr>
      <w:r>
        <w:rPr>
          <w:rFonts w:hint="eastAsia" w:ascii="宋体" w:hAnsi="宋体" w:eastAsia="宋体" w:cs="宋体"/>
          <w:b/>
          <w:sz w:val="24"/>
          <w:szCs w:val="24"/>
        </w:rPr>
        <w:t>2.1通用资格要求</w:t>
      </w:r>
    </w:p>
    <w:p w14:paraId="3545A6EB">
      <w:pPr>
        <w:numPr>
          <w:ilvl w:val="0"/>
          <w:numId w:val="0"/>
        </w:numPr>
        <w:snapToGrid w:val="0"/>
        <w:spacing w:line="360" w:lineRule="auto"/>
        <w:ind w:right="-65" w:rightChars="-19"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供应商为中华人民共和国境内依法注册的企业法人或其他组织</w:t>
      </w:r>
      <w:r>
        <w:rPr>
          <w:rFonts w:hint="eastAsia" w:ascii="宋体" w:hAnsi="宋体" w:eastAsia="宋体" w:cs="宋体"/>
          <w:color w:val="000000"/>
          <w:sz w:val="24"/>
          <w:szCs w:val="24"/>
          <w:highlight w:val="none"/>
          <w:lang w:val="en-US" w:eastAsia="zh-CN"/>
        </w:rPr>
        <w:t>或个体工商户</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且具有独立订立合同的权利；</w:t>
      </w:r>
    </w:p>
    <w:p w14:paraId="28A4E971">
      <w:pPr>
        <w:numPr>
          <w:ilvl w:val="0"/>
          <w:numId w:val="0"/>
        </w:numPr>
        <w:snapToGrid w:val="0"/>
        <w:spacing w:line="360" w:lineRule="auto"/>
        <w:ind w:right="-65" w:rightChars="-19"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供应商须</w:t>
      </w:r>
      <w:r>
        <w:rPr>
          <w:rFonts w:hint="eastAsia" w:ascii="宋体" w:hAnsi="宋体" w:eastAsia="宋体" w:cs="宋体"/>
          <w:sz w:val="24"/>
          <w:szCs w:val="24"/>
          <w:highlight w:val="none"/>
          <w:lang w:val="en-US" w:eastAsia="zh-CN"/>
        </w:rPr>
        <w:t>为一般纳税人</w:t>
      </w:r>
      <w:r>
        <w:rPr>
          <w:rFonts w:hint="eastAsia" w:ascii="宋体" w:hAnsi="宋体" w:eastAsia="宋体" w:cs="宋体"/>
          <w:sz w:val="24"/>
          <w:szCs w:val="24"/>
          <w:highlight w:val="none"/>
        </w:rPr>
        <w:t>；</w:t>
      </w:r>
    </w:p>
    <w:p w14:paraId="617CA409">
      <w:pPr>
        <w:snapToGrid w:val="0"/>
        <w:spacing w:line="360" w:lineRule="auto"/>
        <w:ind w:right="-65" w:rightChars="-19" w:firstLine="420" w:firstLineChars="175"/>
        <w:rPr>
          <w:rFonts w:hint="eastAsia" w:ascii="宋体" w:hAnsi="宋体" w:eastAsia="宋体" w:cs="宋体"/>
          <w:sz w:val="24"/>
          <w:szCs w:val="24"/>
        </w:rPr>
      </w:pPr>
      <w:r>
        <w:rPr>
          <w:rFonts w:hint="eastAsia" w:ascii="宋体" w:hAnsi="宋体" w:eastAsia="宋体" w:cs="宋体"/>
          <w:sz w:val="24"/>
          <w:szCs w:val="24"/>
        </w:rPr>
        <w:t>（3）单位负责人为同一人或者存在控股、管理关系的不同单位，不得参加同一标段投标或者未划分标段的同一采购项目竞标。母子公司不能互用资质、业绩；</w:t>
      </w:r>
    </w:p>
    <w:p w14:paraId="702C6A6E">
      <w:pPr>
        <w:snapToGrid w:val="0"/>
        <w:spacing w:line="360" w:lineRule="auto"/>
        <w:ind w:right="-65" w:rightChars="-19" w:firstLine="420" w:firstLineChars="175"/>
        <w:rPr>
          <w:rFonts w:hint="eastAsia" w:ascii="宋体" w:hAnsi="宋体" w:eastAsia="宋体" w:cs="宋体"/>
          <w:sz w:val="24"/>
          <w:szCs w:val="24"/>
        </w:rPr>
      </w:pPr>
      <w:r>
        <w:rPr>
          <w:rFonts w:hint="eastAsia" w:ascii="宋体" w:hAnsi="宋体" w:eastAsia="宋体" w:cs="宋体"/>
          <w:sz w:val="24"/>
          <w:szCs w:val="24"/>
        </w:rPr>
        <w:t>（4）中国裁判文书网显示供应商及法定代表人</w:t>
      </w:r>
      <w:r>
        <w:rPr>
          <w:rFonts w:hint="eastAsia" w:ascii="宋体" w:hAnsi="宋体" w:eastAsia="宋体" w:cs="宋体"/>
          <w:sz w:val="24"/>
          <w:szCs w:val="24"/>
          <w:lang w:val="en-US" w:eastAsia="zh-CN"/>
        </w:rPr>
        <w:t>近三年</w:t>
      </w:r>
      <w:r>
        <w:rPr>
          <w:rFonts w:hint="eastAsia" w:ascii="宋体" w:hAnsi="宋体" w:eastAsia="宋体" w:cs="宋体"/>
          <w:sz w:val="24"/>
          <w:szCs w:val="24"/>
        </w:rPr>
        <w:t>无行贿犯罪记录；</w:t>
      </w:r>
    </w:p>
    <w:p w14:paraId="23F287E7">
      <w:pPr>
        <w:snapToGrid w:val="0"/>
        <w:spacing w:line="360" w:lineRule="auto"/>
        <w:ind w:right="-65" w:rightChars="-19" w:firstLine="420" w:firstLineChars="175"/>
        <w:rPr>
          <w:rFonts w:hint="eastAsia" w:ascii="宋体" w:hAnsi="宋体" w:eastAsia="宋体" w:cs="宋体"/>
          <w:sz w:val="24"/>
          <w:szCs w:val="24"/>
        </w:rPr>
      </w:pPr>
      <w:r>
        <w:rPr>
          <w:rFonts w:hint="eastAsia" w:ascii="宋体" w:hAnsi="宋体" w:eastAsia="宋体" w:cs="宋体"/>
          <w:sz w:val="24"/>
          <w:szCs w:val="24"/>
        </w:rPr>
        <w:t>（5）供应商在“国家企业信用信息公示系统”（http://www.gsxt.gov.cn）未被列入严重违法失信企业名单及 在“信用中国”网站（www.creditchina.gov.cn）未被列入失信被执行人名单；</w:t>
      </w:r>
    </w:p>
    <w:p w14:paraId="008263EE">
      <w:pPr>
        <w:snapToGrid w:val="0"/>
        <w:spacing w:line="360" w:lineRule="auto"/>
        <w:ind w:right="-65" w:rightChars="-19" w:firstLine="420" w:firstLineChars="175"/>
        <w:rPr>
          <w:rFonts w:hint="eastAsia" w:ascii="宋体" w:hAnsi="宋体" w:eastAsia="宋体" w:cs="宋体"/>
          <w:sz w:val="24"/>
          <w:szCs w:val="24"/>
        </w:rPr>
      </w:pPr>
      <w:r>
        <w:rPr>
          <w:rFonts w:hint="eastAsia" w:ascii="宋体" w:hAnsi="宋体" w:eastAsia="宋体" w:cs="宋体"/>
          <w:sz w:val="24"/>
          <w:szCs w:val="24"/>
        </w:rPr>
        <w:t>（6）供应商未因发生过骗取中标和严重违约、质量事故及重大合同纠纷被上级部门（内蒙古电力（集团）有限责任公司）通报/披露取消投标资格，并且目前不处于处罚期内；按照内蒙古电力（集团）有限责任公司《关于对供应商不良行为处理的通知》的规定，未列入最新发布的不良供应商名单；</w:t>
      </w:r>
    </w:p>
    <w:p w14:paraId="08581614">
      <w:pPr>
        <w:snapToGrid w:val="0"/>
        <w:spacing w:line="360" w:lineRule="auto"/>
        <w:ind w:right="-65" w:rightChars="-19" w:firstLine="420" w:firstLineChars="175"/>
        <w:rPr>
          <w:rFonts w:hint="eastAsia" w:ascii="宋体" w:hAnsi="宋体" w:eastAsia="宋体" w:cs="宋体"/>
          <w:color w:val="000000"/>
          <w:sz w:val="24"/>
          <w:szCs w:val="24"/>
        </w:rPr>
      </w:pPr>
      <w:r>
        <w:rPr>
          <w:rFonts w:hint="eastAsia" w:ascii="宋体" w:hAnsi="宋体" w:eastAsia="宋体" w:cs="宋体"/>
          <w:sz w:val="24"/>
          <w:szCs w:val="24"/>
        </w:rPr>
        <w:t>（7</w:t>
      </w:r>
      <w:r>
        <w:rPr>
          <w:rFonts w:hint="eastAsia" w:ascii="宋体" w:hAnsi="宋体" w:eastAsia="宋体" w:cs="宋体"/>
          <w:color w:val="000000"/>
          <w:sz w:val="24"/>
          <w:szCs w:val="24"/>
        </w:rPr>
        <w:t>）</w:t>
      </w:r>
      <w:r>
        <w:rPr>
          <w:rFonts w:hint="eastAsia" w:ascii="宋体" w:hAnsi="宋体" w:eastAsia="宋体" w:cs="宋体"/>
          <w:sz w:val="24"/>
          <w:szCs w:val="24"/>
        </w:rPr>
        <w:t>供应商未被列入中电联发布的涉电力领域失信联合惩戒对象名单及涉电力领域重点关注对象名单（截止到最新所有名单）；</w:t>
      </w:r>
    </w:p>
    <w:p w14:paraId="0DD14A53">
      <w:pPr>
        <w:snapToGrid w:val="0"/>
        <w:spacing w:line="360" w:lineRule="auto"/>
        <w:ind w:right="-65" w:rightChars="-19" w:firstLine="420" w:firstLineChars="175"/>
        <w:rPr>
          <w:rFonts w:hint="eastAsia" w:ascii="宋体" w:hAnsi="宋体" w:eastAsia="宋体" w:cs="宋体"/>
          <w:sz w:val="24"/>
          <w:szCs w:val="24"/>
        </w:rPr>
      </w:pPr>
      <w:r>
        <w:rPr>
          <w:rFonts w:hint="eastAsia" w:ascii="宋体" w:hAnsi="宋体" w:eastAsia="宋体" w:cs="宋体"/>
          <w:sz w:val="24"/>
          <w:szCs w:val="24"/>
        </w:rPr>
        <w:t>（8）本次采购不接受联合体竞标。</w:t>
      </w:r>
    </w:p>
    <w:p w14:paraId="1449B939">
      <w:pPr>
        <w:snapToGrid w:val="0"/>
        <w:spacing w:line="360" w:lineRule="auto"/>
        <w:ind w:right="-65" w:rightChars="-19"/>
        <w:rPr>
          <w:rFonts w:hint="eastAsia" w:ascii="宋体" w:hAnsi="宋体" w:eastAsia="宋体" w:cs="宋体"/>
          <w:b/>
          <w:sz w:val="24"/>
          <w:szCs w:val="24"/>
        </w:rPr>
      </w:pPr>
      <w:r>
        <w:rPr>
          <w:rFonts w:hint="eastAsia" w:ascii="宋体" w:hAnsi="宋体" w:eastAsia="宋体" w:cs="宋体"/>
          <w:b/>
          <w:sz w:val="24"/>
          <w:szCs w:val="24"/>
        </w:rPr>
        <w:t>2.2专用资格要求</w:t>
      </w:r>
    </w:p>
    <w:p w14:paraId="55607E08">
      <w:pPr>
        <w:pStyle w:val="6"/>
        <w:rPr>
          <w:rFonts w:hint="default" w:eastAsia="宋体"/>
          <w:lang w:val="en-US" w:eastAsia="zh-CN"/>
        </w:rPr>
      </w:pPr>
      <w:r>
        <w:rPr>
          <w:rFonts w:hint="eastAsia" w:ascii="宋体" w:hAnsi="宋体" w:eastAsia="宋体" w:cs="宋体"/>
          <w:b/>
          <w:sz w:val="24"/>
          <w:szCs w:val="24"/>
          <w:lang w:val="en-US" w:eastAsia="zh-CN"/>
        </w:rPr>
        <w:t>第1、2标段</w:t>
      </w:r>
    </w:p>
    <w:p w14:paraId="6A94546C">
      <w:pPr>
        <w:numPr>
          <w:ilvl w:val="0"/>
          <w:numId w:val="1"/>
        </w:numPr>
        <w:spacing w:line="360" w:lineRule="auto"/>
        <w:ind w:right="-65" w:rightChars="-19"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rPr>
        <w:t>供应商须为所竞标货物的生产商或代理商</w:t>
      </w:r>
      <w:r>
        <w:rPr>
          <w:rFonts w:hint="eastAsia" w:ascii="宋体" w:hAnsi="宋体" w:eastAsia="宋体" w:cs="宋体"/>
          <w:b/>
          <w:sz w:val="24"/>
          <w:szCs w:val="24"/>
          <w:lang w:val="en-US" w:eastAsia="zh-CN"/>
        </w:rPr>
        <w:t>或经销商</w:t>
      </w:r>
      <w:r>
        <w:rPr>
          <w:rFonts w:hint="eastAsia" w:ascii="宋体" w:hAnsi="宋体" w:eastAsia="宋体" w:cs="宋体"/>
          <w:b/>
          <w:sz w:val="24"/>
          <w:szCs w:val="24"/>
          <w:lang w:eastAsia="zh-CN"/>
        </w:rPr>
        <w:t>；</w:t>
      </w:r>
    </w:p>
    <w:p w14:paraId="50B7F1D3">
      <w:pPr>
        <w:numPr>
          <w:ilvl w:val="0"/>
          <w:numId w:val="0"/>
        </w:numPr>
        <w:spacing w:line="360" w:lineRule="auto"/>
        <w:ind w:right="-65" w:rightChars="-19" w:firstLine="482" w:firstLineChars="200"/>
        <w:rPr>
          <w:rFonts w:hint="eastAsia" w:ascii="宋体" w:hAnsi="宋体" w:eastAsia="宋体" w:cs="宋体"/>
          <w:b/>
          <w:sz w:val="24"/>
          <w:szCs w:val="24"/>
        </w:rPr>
      </w:pPr>
      <w:r>
        <w:rPr>
          <w:rFonts w:hint="eastAsia" w:ascii="宋体" w:hAnsi="宋体" w:eastAsia="宋体" w:cs="宋体"/>
          <w:b/>
          <w:sz w:val="24"/>
          <w:szCs w:val="24"/>
        </w:rPr>
        <w:t>（2）供应商须提供承诺书（承诺</w:t>
      </w:r>
      <w:r>
        <w:rPr>
          <w:rFonts w:hint="eastAsia" w:ascii="宋体" w:hAnsi="宋体" w:eastAsia="宋体" w:cs="宋体"/>
          <w:b/>
          <w:sz w:val="24"/>
          <w:szCs w:val="24"/>
          <w:lang w:val="en-US" w:eastAsia="zh-CN"/>
        </w:rPr>
        <w:t>内容：①</w:t>
      </w:r>
      <w:r>
        <w:rPr>
          <w:rFonts w:hint="eastAsia" w:ascii="宋体" w:hAnsi="宋体" w:eastAsia="宋体" w:cs="宋体"/>
          <w:b/>
          <w:sz w:val="24"/>
          <w:szCs w:val="24"/>
        </w:rPr>
        <w:t>供应商</w:t>
      </w:r>
      <w:r>
        <w:rPr>
          <w:rFonts w:hint="eastAsia" w:ascii="宋体" w:hAnsi="宋体" w:eastAsia="宋体" w:cs="宋体"/>
          <w:b/>
          <w:sz w:val="24"/>
          <w:szCs w:val="24"/>
          <w:lang w:val="en-US" w:eastAsia="zh-CN"/>
        </w:rPr>
        <w:t>成交后</w:t>
      </w:r>
      <w:r>
        <w:rPr>
          <w:rFonts w:hint="eastAsia" w:ascii="宋体" w:hAnsi="宋体" w:eastAsia="宋体" w:cs="宋体"/>
          <w:b/>
          <w:sz w:val="24"/>
          <w:szCs w:val="24"/>
        </w:rPr>
        <w:t>须在锡市地区设有运维网点及运维人员</w:t>
      </w:r>
      <w:r>
        <w:rPr>
          <w:rFonts w:hint="eastAsia" w:ascii="宋体" w:hAnsi="宋体" w:eastAsia="宋体" w:cs="宋体"/>
          <w:b/>
          <w:sz w:val="24"/>
          <w:szCs w:val="24"/>
          <w:lang w:eastAsia="zh-CN"/>
        </w:rPr>
        <w:t>；</w:t>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 2 \* GB3 </w:instrText>
      </w:r>
      <w:r>
        <w:rPr>
          <w:rFonts w:hint="eastAsia" w:ascii="宋体" w:hAnsi="宋体" w:eastAsia="宋体" w:cs="宋体"/>
          <w:b/>
          <w:sz w:val="24"/>
          <w:szCs w:val="24"/>
        </w:rPr>
        <w:fldChar w:fldCharType="separate"/>
      </w:r>
      <w:r>
        <w:rPr>
          <w:rFonts w:hint="eastAsia" w:ascii="宋体" w:hAnsi="宋体" w:eastAsia="宋体" w:cs="宋体"/>
          <w:b/>
          <w:sz w:val="24"/>
          <w:szCs w:val="24"/>
        </w:rPr>
        <w:t>②</w:t>
      </w:r>
      <w:r>
        <w:rPr>
          <w:rFonts w:hint="eastAsia" w:ascii="宋体" w:hAnsi="宋体" w:eastAsia="宋体" w:cs="宋体"/>
          <w:b/>
          <w:sz w:val="24"/>
          <w:szCs w:val="24"/>
        </w:rPr>
        <w:fldChar w:fldCharType="end"/>
      </w:r>
      <w:r>
        <w:rPr>
          <w:rFonts w:hint="eastAsia" w:ascii="宋体" w:hAnsi="宋体" w:eastAsia="宋体" w:cs="宋体"/>
          <w:b/>
          <w:sz w:val="24"/>
          <w:szCs w:val="24"/>
        </w:rPr>
        <w:t>所提供的产品均为正品））。</w:t>
      </w:r>
    </w:p>
    <w:p w14:paraId="725CDB9F">
      <w:pPr>
        <w:spacing w:line="360" w:lineRule="auto"/>
        <w:ind w:right="-65" w:rightChars="-19"/>
        <w:rPr>
          <w:rFonts w:hint="eastAsia" w:ascii="宋体" w:hAnsi="宋体" w:eastAsia="宋体" w:cs="宋体"/>
          <w:b/>
          <w:sz w:val="24"/>
          <w:szCs w:val="24"/>
        </w:rPr>
      </w:pPr>
      <w:r>
        <w:rPr>
          <w:rFonts w:hint="eastAsia" w:ascii="宋体" w:hAnsi="宋体" w:eastAsia="宋体" w:cs="宋体"/>
          <w:b/>
          <w:sz w:val="24"/>
          <w:szCs w:val="24"/>
        </w:rPr>
        <w:t>3.报名及询比文件的获取：</w:t>
      </w:r>
    </w:p>
    <w:p w14:paraId="3FF5F11F">
      <w:pPr>
        <w:spacing w:line="360" w:lineRule="auto"/>
        <w:ind w:firstLine="482" w:firstLineChars="200"/>
        <w:rPr>
          <w:rFonts w:hint="eastAsia" w:ascii="宋体" w:hAnsi="宋体" w:eastAsia="宋体" w:cs="宋体"/>
          <w:b/>
          <w:sz w:val="24"/>
          <w:szCs w:val="24"/>
        </w:rPr>
      </w:pPr>
      <w:bookmarkStart w:id="6" w:name="_Toc495644245"/>
      <w:r>
        <w:rPr>
          <w:rFonts w:hint="eastAsia" w:ascii="宋体" w:hAnsi="宋体" w:eastAsia="宋体" w:cs="宋体"/>
          <w:b/>
          <w:sz w:val="24"/>
          <w:szCs w:val="24"/>
        </w:rPr>
        <w:t>3.1获取时间及方式：本项目实行在线报名和获取采购文件。凡有意参加响应者，请于2024年</w:t>
      </w:r>
      <w:r>
        <w:rPr>
          <w:rFonts w:hint="eastAsia" w:ascii="宋体" w:hAnsi="宋体" w:eastAsia="宋体" w:cs="宋体"/>
          <w:b/>
          <w:sz w:val="24"/>
          <w:szCs w:val="24"/>
          <w:lang w:val="en-US" w:eastAsia="zh-CN"/>
        </w:rPr>
        <w:t>07</w:t>
      </w:r>
      <w:r>
        <w:rPr>
          <w:rFonts w:hint="eastAsia" w:ascii="宋体" w:hAnsi="宋体" w:eastAsia="宋体" w:cs="宋体"/>
          <w:b/>
          <w:sz w:val="24"/>
          <w:szCs w:val="24"/>
        </w:rPr>
        <w:t xml:space="preserve"> 月 </w:t>
      </w:r>
      <w:r>
        <w:rPr>
          <w:rFonts w:hint="eastAsia" w:ascii="宋体" w:hAnsi="宋体" w:eastAsia="宋体" w:cs="宋体"/>
          <w:b/>
          <w:sz w:val="24"/>
          <w:szCs w:val="24"/>
          <w:lang w:val="en-US" w:eastAsia="zh-CN"/>
        </w:rPr>
        <w:t>15</w:t>
      </w:r>
      <w:r>
        <w:rPr>
          <w:rFonts w:hint="eastAsia" w:ascii="宋体" w:hAnsi="宋体" w:eastAsia="宋体" w:cs="宋体"/>
          <w:b/>
          <w:sz w:val="24"/>
          <w:szCs w:val="24"/>
        </w:rPr>
        <w:t>日至2024年 07 月</w:t>
      </w:r>
      <w:r>
        <w:rPr>
          <w:rFonts w:hint="eastAsia" w:ascii="宋体" w:hAnsi="宋体" w:eastAsia="宋体" w:cs="宋体"/>
          <w:b/>
          <w:sz w:val="24"/>
          <w:szCs w:val="24"/>
          <w:lang w:val="en-US" w:eastAsia="zh-CN"/>
        </w:rPr>
        <w:t>18</w:t>
      </w:r>
      <w:r>
        <w:rPr>
          <w:rFonts w:hint="eastAsia" w:ascii="宋体" w:hAnsi="宋体" w:eastAsia="宋体" w:cs="宋体"/>
          <w:b/>
          <w:sz w:val="24"/>
          <w:szCs w:val="24"/>
        </w:rPr>
        <w:t xml:space="preserve"> 日下午17:00前（北京时间），进入内蒙古电力集团电子采购系统（http://guocai-impc.cppchina.cn）在线递交报名资料和获取采购文件，逾期不予受理。</w:t>
      </w:r>
    </w:p>
    <w:bookmarkEnd w:id="6"/>
    <w:p w14:paraId="78C87434">
      <w:pPr>
        <w:numPr>
          <w:ilvl w:val="0"/>
          <w:numId w:val="2"/>
        </w:numPr>
        <w:spacing w:line="360" w:lineRule="auto"/>
        <w:ind w:firstLine="480" w:firstLineChars="200"/>
        <w:jc w:val="left"/>
        <w:rPr>
          <w:rFonts w:hint="eastAsia" w:ascii="宋体" w:hAnsi="宋体" w:eastAsia="宋体" w:cs="宋体"/>
          <w:sz w:val="24"/>
          <w:szCs w:val="24"/>
        </w:rPr>
      </w:pPr>
      <w:bookmarkStart w:id="7" w:name="_Toc37407101"/>
      <w:bookmarkStart w:id="8" w:name="_Toc495645075"/>
      <w:bookmarkStart w:id="9" w:name="_Toc37411148"/>
      <w:bookmarkStart w:id="10" w:name="_Toc37409913"/>
      <w:r>
        <w:rPr>
          <w:rFonts w:hint="eastAsia" w:ascii="宋体" w:hAnsi="宋体" w:eastAsia="宋体" w:cs="宋体"/>
          <w:sz w:val="24"/>
          <w:szCs w:val="24"/>
        </w:rPr>
        <w:t>具体流程为：登录投标管家（未注册用户请先免费注册）→查看采购信息→我要报名【请务必按要求填写对应信息，并上传资料文件（扫描件加盖公章）、需开具发票的应同时提供开票信息】→等待审核→审核通过后→供应商下载采购文件。</w:t>
      </w:r>
    </w:p>
    <w:p w14:paraId="211100CB">
      <w:pPr>
        <w:numPr>
          <w:ilvl w:val="0"/>
          <w:numId w:val="2"/>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报名单位须凭【中招互连】APP办理项目后续电子投标事宜，之前未进行注册【中招互连】APP的企业需要登录</w:t>
      </w:r>
      <w:r>
        <w:rPr>
          <w:rFonts w:hint="eastAsia" w:ascii="宋体" w:hAnsi="宋体" w:eastAsia="宋体" w:cs="宋体"/>
          <w:sz w:val="24"/>
          <w:szCs w:val="24"/>
          <w:lang w:eastAsia="zh-CN"/>
        </w:rPr>
        <w:t>内蒙古电力集团电子采购系统</w:t>
      </w:r>
      <w:r>
        <w:rPr>
          <w:rFonts w:hint="eastAsia" w:ascii="宋体" w:hAnsi="宋体" w:eastAsia="宋体" w:cs="宋体"/>
          <w:sz w:val="24"/>
          <w:szCs w:val="24"/>
        </w:rPr>
        <w:t>，点击首页扫码下载【中招互连】APP，根据提示即可在线办理相关事宜，后续所有流程全部扫码登录，扫码签章，扫码加密，扫码解密。</w:t>
      </w:r>
    </w:p>
    <w:p w14:paraId="1D7EE03A">
      <w:pPr>
        <w:pStyle w:val="3"/>
        <w:shd w:val="clear" w:color="auto" w:fill="FFFFFF"/>
        <w:spacing w:before="0" w:beforeAutospacing="0" w:after="0" w:afterAutospacing="0" w:line="360" w:lineRule="auto"/>
        <w:rPr>
          <w:rFonts w:hint="eastAsia" w:ascii="宋体" w:hAnsi="宋体" w:eastAsia="宋体" w:cs="宋体"/>
          <w:b/>
          <w:sz w:val="24"/>
          <w:szCs w:val="24"/>
        </w:rPr>
      </w:pPr>
      <w:r>
        <w:rPr>
          <w:rFonts w:hint="eastAsia" w:ascii="宋体" w:hAnsi="宋体" w:eastAsia="宋体" w:cs="宋体"/>
          <w:b/>
          <w:bCs/>
          <w:sz w:val="24"/>
          <w:szCs w:val="24"/>
        </w:rPr>
        <w:t>3.2报名资料</w:t>
      </w:r>
    </w:p>
    <w:p w14:paraId="69A9A406">
      <w:pPr>
        <w:pStyle w:val="3"/>
        <w:numPr>
          <w:ilvl w:val="0"/>
          <w:numId w:val="3"/>
        </w:numPr>
        <w:shd w:val="clear" w:color="auto" w:fill="FFFFFF"/>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供应商信息表（详见附件二）；</w:t>
      </w:r>
      <w:r>
        <w:rPr>
          <w:rFonts w:hint="eastAsia" w:ascii="宋体" w:hAnsi="宋体" w:eastAsia="宋体" w:cs="宋体"/>
          <w:sz w:val="24"/>
          <w:szCs w:val="24"/>
        </w:rPr>
        <w:cr/>
      </w:r>
      <w:r>
        <w:rPr>
          <w:rFonts w:hint="eastAsia" w:ascii="宋体" w:hAnsi="宋体" w:eastAsia="宋体" w:cs="宋体"/>
          <w:sz w:val="24"/>
          <w:szCs w:val="24"/>
        </w:rPr>
        <w:t xml:space="preserve">    （2）</w:t>
      </w:r>
      <w:r>
        <w:rPr>
          <w:rFonts w:hint="eastAsia" w:ascii="宋体" w:hAnsi="宋体" w:eastAsia="宋体" w:cs="宋体"/>
          <w:kern w:val="24"/>
          <w:sz w:val="24"/>
          <w:szCs w:val="24"/>
        </w:rPr>
        <w:t>法定代表人身份证明或法定代表人授权委托书（详见公告附件）</w:t>
      </w:r>
      <w:r>
        <w:rPr>
          <w:rFonts w:hint="eastAsia" w:ascii="宋体" w:hAnsi="宋体" w:eastAsia="宋体" w:cs="宋体"/>
          <w:sz w:val="24"/>
          <w:szCs w:val="24"/>
        </w:rPr>
        <w:t>；</w:t>
      </w:r>
      <w:r>
        <w:rPr>
          <w:rFonts w:hint="eastAsia" w:ascii="宋体" w:hAnsi="宋体" w:eastAsia="宋体" w:cs="宋体"/>
          <w:sz w:val="24"/>
          <w:szCs w:val="24"/>
        </w:rPr>
        <w:cr/>
      </w:r>
      <w:r>
        <w:rPr>
          <w:rFonts w:hint="eastAsia" w:ascii="宋体" w:hAnsi="宋体" w:eastAsia="宋体" w:cs="宋体"/>
          <w:sz w:val="24"/>
          <w:szCs w:val="24"/>
        </w:rPr>
        <w:t xml:space="preserve">    （3）有效的营业执照；</w:t>
      </w:r>
    </w:p>
    <w:p w14:paraId="440E87DD">
      <w:pPr>
        <w:spacing w:line="360" w:lineRule="auto"/>
        <w:ind w:left="480"/>
        <w:rPr>
          <w:rFonts w:hint="eastAsia" w:ascii="宋体" w:hAnsi="宋体" w:eastAsia="宋体" w:cs="宋体"/>
          <w:kern w:val="24"/>
          <w:sz w:val="24"/>
          <w:szCs w:val="24"/>
        </w:rPr>
      </w:pPr>
      <w:r>
        <w:rPr>
          <w:rFonts w:hint="eastAsia" w:ascii="宋体" w:hAnsi="宋体" w:eastAsia="宋体" w:cs="宋体"/>
          <w:kern w:val="24"/>
          <w:sz w:val="24"/>
          <w:szCs w:val="24"/>
        </w:rPr>
        <w:t>（4）企业名称如有变更，需提供有关行政机关提供的变更证明；</w:t>
      </w:r>
    </w:p>
    <w:p w14:paraId="77E9E5D4">
      <w:pPr>
        <w:spacing w:line="360" w:lineRule="auto"/>
        <w:ind w:left="480"/>
        <w:rPr>
          <w:rFonts w:hint="eastAsia" w:ascii="宋体" w:hAnsi="宋体" w:eastAsia="宋体" w:cs="宋体"/>
          <w:kern w:val="24"/>
          <w:sz w:val="24"/>
          <w:szCs w:val="24"/>
          <w:highlight w:val="none"/>
        </w:rPr>
      </w:pPr>
      <w:r>
        <w:rPr>
          <w:rFonts w:hint="eastAsia" w:ascii="宋体" w:hAnsi="宋体" w:eastAsia="宋体" w:cs="宋体"/>
          <w:kern w:val="24"/>
          <w:sz w:val="24"/>
          <w:szCs w:val="24"/>
          <w:highlight w:val="none"/>
        </w:rPr>
        <w:t>（5）需提供</w:t>
      </w:r>
      <w:r>
        <w:rPr>
          <w:rFonts w:hint="eastAsia" w:ascii="宋体" w:hAnsi="宋体" w:eastAsia="宋体" w:cs="宋体"/>
          <w:kern w:val="24"/>
          <w:sz w:val="24"/>
          <w:szCs w:val="24"/>
          <w:highlight w:val="none"/>
          <w:lang w:val="en-US" w:eastAsia="zh-CN"/>
        </w:rPr>
        <w:t>一般纳税人证明材料</w:t>
      </w:r>
      <w:r>
        <w:rPr>
          <w:rFonts w:hint="eastAsia" w:ascii="宋体" w:hAnsi="宋体" w:eastAsia="宋体" w:cs="宋体"/>
          <w:kern w:val="24"/>
          <w:sz w:val="24"/>
          <w:szCs w:val="24"/>
          <w:highlight w:val="none"/>
        </w:rPr>
        <w:t>；</w:t>
      </w:r>
    </w:p>
    <w:p w14:paraId="0B5EB20C">
      <w:pPr>
        <w:spacing w:line="360" w:lineRule="auto"/>
        <w:ind w:left="480"/>
        <w:rPr>
          <w:rFonts w:hint="eastAsia" w:ascii="宋体" w:hAnsi="宋体" w:eastAsia="宋体" w:cs="宋体"/>
          <w:kern w:val="24"/>
          <w:sz w:val="24"/>
          <w:szCs w:val="24"/>
          <w:highlight w:val="none"/>
          <w:lang w:eastAsia="zh-CN"/>
        </w:rPr>
      </w:pPr>
      <w:r>
        <w:rPr>
          <w:rFonts w:hint="eastAsia" w:ascii="宋体" w:hAnsi="宋体" w:eastAsia="宋体" w:cs="宋体"/>
          <w:kern w:val="24"/>
          <w:sz w:val="24"/>
          <w:szCs w:val="24"/>
          <w:highlight w:val="none"/>
        </w:rPr>
        <w:t>（6）供应商须提供承诺书（承诺内容:</w:t>
      </w:r>
      <w:r>
        <w:rPr>
          <w:rFonts w:hint="eastAsia" w:ascii="宋体" w:hAnsi="宋体" w:eastAsia="宋体" w:cs="宋体"/>
          <w:kern w:val="24"/>
          <w:sz w:val="24"/>
          <w:szCs w:val="24"/>
          <w:highlight w:val="none"/>
        </w:rPr>
        <w:fldChar w:fldCharType="begin"/>
      </w:r>
      <w:r>
        <w:rPr>
          <w:rFonts w:hint="eastAsia" w:ascii="宋体" w:hAnsi="宋体" w:eastAsia="宋体" w:cs="宋体"/>
          <w:kern w:val="24"/>
          <w:sz w:val="24"/>
          <w:szCs w:val="24"/>
          <w:highlight w:val="none"/>
        </w:rPr>
        <w:instrText xml:space="preserve"> = 1 \* GB3 </w:instrText>
      </w:r>
      <w:r>
        <w:rPr>
          <w:rFonts w:hint="eastAsia" w:ascii="宋体" w:hAnsi="宋体" w:eastAsia="宋体" w:cs="宋体"/>
          <w:kern w:val="24"/>
          <w:sz w:val="24"/>
          <w:szCs w:val="24"/>
          <w:highlight w:val="none"/>
        </w:rPr>
        <w:fldChar w:fldCharType="separate"/>
      </w:r>
      <w:r>
        <w:rPr>
          <w:rFonts w:hint="eastAsia" w:ascii="宋体" w:hAnsi="宋体" w:eastAsia="宋体" w:cs="宋体"/>
          <w:kern w:val="24"/>
          <w:sz w:val="24"/>
          <w:szCs w:val="24"/>
          <w:highlight w:val="none"/>
        </w:rPr>
        <w:t>①</w:t>
      </w:r>
      <w:r>
        <w:rPr>
          <w:rFonts w:hint="eastAsia" w:ascii="宋体" w:hAnsi="宋体" w:eastAsia="宋体" w:cs="宋体"/>
          <w:kern w:val="24"/>
          <w:sz w:val="24"/>
          <w:szCs w:val="24"/>
          <w:highlight w:val="none"/>
        </w:rPr>
        <w:fldChar w:fldCharType="end"/>
      </w:r>
      <w:r>
        <w:rPr>
          <w:rFonts w:hint="eastAsia" w:ascii="宋体" w:hAnsi="宋体" w:eastAsia="宋体" w:cs="宋体"/>
          <w:kern w:val="24"/>
          <w:sz w:val="24"/>
          <w:szCs w:val="24"/>
          <w:highlight w:val="none"/>
        </w:rPr>
        <w:t>如成为成交供应商须在锡市地区设有运维网点及运维人员；</w:t>
      </w:r>
      <w:r>
        <w:rPr>
          <w:rFonts w:hint="eastAsia" w:ascii="宋体" w:hAnsi="宋体" w:eastAsia="宋体" w:cs="宋体"/>
          <w:kern w:val="24"/>
          <w:sz w:val="24"/>
          <w:szCs w:val="24"/>
          <w:highlight w:val="none"/>
        </w:rPr>
        <w:fldChar w:fldCharType="begin"/>
      </w:r>
      <w:r>
        <w:rPr>
          <w:rFonts w:hint="eastAsia" w:ascii="宋体" w:hAnsi="宋体" w:eastAsia="宋体" w:cs="宋体"/>
          <w:kern w:val="24"/>
          <w:sz w:val="24"/>
          <w:szCs w:val="24"/>
          <w:highlight w:val="none"/>
        </w:rPr>
        <w:instrText xml:space="preserve"> = 2 \* GB3 </w:instrText>
      </w:r>
      <w:r>
        <w:rPr>
          <w:rFonts w:hint="eastAsia" w:ascii="宋体" w:hAnsi="宋体" w:eastAsia="宋体" w:cs="宋体"/>
          <w:kern w:val="24"/>
          <w:sz w:val="24"/>
          <w:szCs w:val="24"/>
          <w:highlight w:val="none"/>
        </w:rPr>
        <w:fldChar w:fldCharType="separate"/>
      </w:r>
      <w:r>
        <w:rPr>
          <w:rFonts w:hint="eastAsia" w:ascii="宋体" w:hAnsi="宋体" w:eastAsia="宋体" w:cs="宋体"/>
          <w:kern w:val="24"/>
          <w:sz w:val="24"/>
          <w:szCs w:val="24"/>
          <w:highlight w:val="none"/>
        </w:rPr>
        <w:t>②</w:t>
      </w:r>
      <w:r>
        <w:rPr>
          <w:rFonts w:hint="eastAsia" w:ascii="宋体" w:hAnsi="宋体" w:eastAsia="宋体" w:cs="宋体"/>
          <w:kern w:val="24"/>
          <w:sz w:val="24"/>
          <w:szCs w:val="24"/>
          <w:highlight w:val="none"/>
        </w:rPr>
        <w:fldChar w:fldCharType="end"/>
      </w:r>
      <w:r>
        <w:rPr>
          <w:rFonts w:hint="eastAsia" w:ascii="宋体" w:hAnsi="宋体" w:eastAsia="宋体" w:cs="宋体"/>
          <w:kern w:val="24"/>
          <w:sz w:val="24"/>
          <w:szCs w:val="24"/>
          <w:highlight w:val="none"/>
        </w:rPr>
        <w:t>所提供的产品均为正品）</w:t>
      </w:r>
      <w:r>
        <w:rPr>
          <w:rFonts w:hint="eastAsia" w:ascii="宋体" w:hAnsi="宋体" w:eastAsia="宋体" w:cs="宋体"/>
          <w:kern w:val="24"/>
          <w:sz w:val="24"/>
          <w:szCs w:val="24"/>
          <w:highlight w:val="none"/>
          <w:lang w:val="en-US" w:eastAsia="zh-CN"/>
        </w:rPr>
        <w:t>；</w:t>
      </w:r>
    </w:p>
    <w:p w14:paraId="74A9A15E">
      <w:pPr>
        <w:spacing w:line="360" w:lineRule="auto"/>
        <w:ind w:left="480"/>
        <w:rPr>
          <w:rFonts w:hint="eastAsia" w:ascii="宋体" w:hAnsi="宋体" w:eastAsia="宋体" w:cs="宋体"/>
          <w:kern w:val="24"/>
          <w:sz w:val="24"/>
          <w:szCs w:val="24"/>
        </w:rPr>
      </w:pPr>
      <w:r>
        <w:rPr>
          <w:rFonts w:hint="eastAsia" w:ascii="宋体" w:hAnsi="宋体" w:eastAsia="宋体" w:cs="宋体"/>
          <w:kern w:val="24"/>
          <w:sz w:val="24"/>
          <w:szCs w:val="24"/>
          <w:highlight w:val="none"/>
        </w:rPr>
        <w:t>（7）采购公告要求的其他证明材料；</w:t>
      </w:r>
      <w:r>
        <w:rPr>
          <w:rFonts w:hint="eastAsia" w:ascii="宋体" w:hAnsi="宋体" w:eastAsia="宋体" w:cs="宋体"/>
          <w:b/>
          <w:sz w:val="24"/>
          <w:szCs w:val="24"/>
          <w:highlight w:val="none"/>
        </w:rPr>
        <w:t xml:space="preserve">               </w:t>
      </w:r>
      <w:r>
        <w:rPr>
          <w:rFonts w:hint="eastAsia" w:ascii="宋体" w:hAnsi="宋体" w:eastAsia="宋体" w:cs="宋体"/>
          <w:b/>
          <w:sz w:val="24"/>
          <w:szCs w:val="24"/>
        </w:rPr>
        <w:t xml:space="preserve">                                                                                                                                                                                                                                                                                                                                                           </w:t>
      </w:r>
    </w:p>
    <w:p w14:paraId="222D9F84">
      <w:pPr>
        <w:pStyle w:val="3"/>
        <w:shd w:val="clear" w:color="auto" w:fill="FFFFFF"/>
        <w:spacing w:before="0" w:beforeAutospacing="0" w:after="0" w:afterAutospacing="0" w:line="360" w:lineRule="auto"/>
        <w:ind w:firstLine="482" w:firstLineChars="200"/>
        <w:rPr>
          <w:rFonts w:hint="eastAsia" w:ascii="宋体" w:hAnsi="宋体" w:eastAsia="宋体" w:cs="宋体"/>
          <w:sz w:val="24"/>
          <w:szCs w:val="24"/>
        </w:rPr>
      </w:pPr>
      <w:bookmarkStart w:id="11" w:name="_Toc495645074"/>
      <w:r>
        <w:rPr>
          <w:rFonts w:hint="eastAsia" w:ascii="宋体" w:hAnsi="宋体" w:eastAsia="宋体" w:cs="宋体"/>
          <w:b/>
          <w:sz w:val="24"/>
          <w:szCs w:val="24"/>
        </w:rPr>
        <w:t>注：</w:t>
      </w:r>
      <w:r>
        <w:rPr>
          <w:rFonts w:hint="eastAsia" w:ascii="宋体" w:hAnsi="宋体" w:eastAsia="宋体" w:cs="宋体"/>
          <w:sz w:val="24"/>
          <w:szCs w:val="24"/>
        </w:rPr>
        <w:t>A、上述要求是对供应商的基本要求，如按照行业及相关部门另有规定的遵循其规定，供应商应提供相应的证明或资信材料；</w:t>
      </w:r>
    </w:p>
    <w:p w14:paraId="61BE51B3">
      <w:pPr>
        <w:widowControl/>
        <w:numPr>
          <w:ilvl w:val="0"/>
          <w:numId w:val="4"/>
        </w:num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如发现存在虚假资料，采购人取消其竞标/中标资格，由此造成的后果由成交/中标单位自负，并承担相应的法律责任;</w:t>
      </w:r>
    </w:p>
    <w:p w14:paraId="4FA8B846">
      <w:pPr>
        <w:widowControl/>
        <w:numPr>
          <w:ilvl w:val="0"/>
          <w:numId w:val="4"/>
        </w:num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color w:val="000000"/>
          <w:sz w:val="24"/>
          <w:szCs w:val="24"/>
        </w:rPr>
        <w:t>为保证供应商顺利报名成功，请供应商充分考虑上传后审核时间，因上传报名资料未留上传后审核时间，造成因资料审核未通过，供应商不能及时上传更正报名资料，导致的报名不成功，后果由供应商自负；</w:t>
      </w:r>
      <w:r>
        <w:rPr>
          <w:rFonts w:hint="eastAsia" w:ascii="宋体" w:hAnsi="宋体" w:eastAsia="宋体" w:cs="宋体"/>
          <w:sz w:val="24"/>
          <w:szCs w:val="24"/>
        </w:rPr>
        <w:t xml:space="preserve"> </w:t>
      </w:r>
    </w:p>
    <w:p w14:paraId="05606157">
      <w:pPr>
        <w:widowControl/>
        <w:numPr>
          <w:ilvl w:val="0"/>
          <w:numId w:val="4"/>
        </w:num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为提高报名工作效率，投多个包的请供应商按包分别对应上传相应报名资料，严禁上传与本包无关资料，否则，采购人有权拒绝。</w:t>
      </w:r>
      <w:bookmarkStart w:id="12" w:name="_Toc37409908"/>
      <w:bookmarkStart w:id="13" w:name="_Toc37411143"/>
      <w:bookmarkStart w:id="14" w:name="_Toc37407096"/>
    </w:p>
    <w:p w14:paraId="25CDF060">
      <w:pPr>
        <w:widowControl/>
        <w:numPr>
          <w:ilvl w:val="0"/>
          <w:numId w:val="4"/>
        </w:numPr>
        <w:autoSpaceDE w:val="0"/>
        <w:autoSpaceDN w:val="0"/>
        <w:adjustRightInd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物资管理二期信息系统已上线运行，请各供应商尽快登陆http://wzglb.impc.com.cn:82/网址（IE10以上浏览器）完成信息注册。注册信息提交后将于2个工作日内完成信息审核，若出现上传附件与填写不符或信息填写错误等情形申请将不予通过并予以退回，已提交注册信息的供应商请实时关注审核状态，若申请退回请根据退回原因修改后重新提交。请各供应商认真填写注册信息，并保证注册联系人电话准确、畅通。</w:t>
      </w:r>
    </w:p>
    <w:p w14:paraId="5C6C87A7">
      <w:pPr>
        <w:widowControl/>
        <w:autoSpaceDE w:val="0"/>
        <w:autoSpaceDN w:val="0"/>
        <w:adjustRightIn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4. 响应文件的递交</w:t>
      </w:r>
      <w:bookmarkEnd w:id="11"/>
      <w:bookmarkEnd w:id="12"/>
      <w:bookmarkEnd w:id="13"/>
      <w:bookmarkEnd w:id="14"/>
      <w:r>
        <w:rPr>
          <w:rFonts w:hint="eastAsia" w:ascii="宋体" w:hAnsi="宋体" w:eastAsia="宋体" w:cs="宋体"/>
          <w:b/>
          <w:sz w:val="24"/>
          <w:szCs w:val="24"/>
        </w:rPr>
        <w:t xml:space="preserve"> </w:t>
      </w:r>
    </w:p>
    <w:p w14:paraId="567BD804">
      <w:pPr>
        <w:spacing w:line="360" w:lineRule="auto"/>
        <w:ind w:right="103" w:firstLine="480" w:firstLineChars="200"/>
        <w:rPr>
          <w:rFonts w:hint="eastAsia" w:ascii="宋体" w:hAnsi="宋体" w:eastAsia="宋体" w:cs="宋体"/>
          <w:sz w:val="24"/>
          <w:szCs w:val="24"/>
        </w:rPr>
      </w:pPr>
      <w:r>
        <w:rPr>
          <w:rFonts w:hint="eastAsia" w:ascii="宋体" w:hAnsi="宋体" w:eastAsia="宋体" w:cs="宋体"/>
          <w:sz w:val="24"/>
          <w:szCs w:val="24"/>
        </w:rPr>
        <w:t>4.1 本项目采用电子开评标方式，电子响应文件请于询比截止时间之前上传到“</w:t>
      </w:r>
      <w:r>
        <w:rPr>
          <w:rFonts w:hint="eastAsia" w:ascii="宋体" w:hAnsi="宋体" w:eastAsia="宋体" w:cs="宋体"/>
          <w:sz w:val="24"/>
          <w:szCs w:val="24"/>
          <w:lang w:eastAsia="zh-CN"/>
        </w:rPr>
        <w:t>内蒙古电力集团电子采购系统</w:t>
      </w:r>
      <w:r>
        <w:rPr>
          <w:rFonts w:hint="eastAsia" w:ascii="宋体" w:hAnsi="宋体" w:eastAsia="宋体" w:cs="宋体"/>
          <w:sz w:val="24"/>
          <w:szCs w:val="24"/>
        </w:rPr>
        <w:t>”，竞标截止时间后上传的响应文件恕不接收。本项目采用远程开标方式，不接收纸质响应文件，逾期送达的响应文件，“</w:t>
      </w:r>
      <w:r>
        <w:rPr>
          <w:rFonts w:hint="eastAsia" w:ascii="宋体" w:hAnsi="宋体" w:eastAsia="宋体" w:cs="宋体"/>
          <w:sz w:val="24"/>
          <w:szCs w:val="24"/>
          <w:lang w:eastAsia="zh-CN"/>
        </w:rPr>
        <w:t>内蒙古电力集团电子采购系统</w:t>
      </w:r>
      <w:r>
        <w:rPr>
          <w:rFonts w:hint="eastAsia" w:ascii="宋体" w:hAnsi="宋体" w:eastAsia="宋体" w:cs="宋体"/>
          <w:sz w:val="24"/>
          <w:szCs w:val="24"/>
        </w:rPr>
        <w:t>”将不予接收。</w:t>
      </w:r>
    </w:p>
    <w:p w14:paraId="1B5E6018">
      <w:pPr>
        <w:spacing w:line="360" w:lineRule="auto"/>
        <w:ind w:right="103" w:firstLine="480" w:firstLineChars="200"/>
        <w:rPr>
          <w:rFonts w:hint="eastAsia" w:ascii="宋体" w:hAnsi="宋体" w:eastAsia="宋体" w:cs="宋体"/>
          <w:sz w:val="24"/>
          <w:szCs w:val="24"/>
        </w:rPr>
      </w:pPr>
      <w:r>
        <w:rPr>
          <w:rFonts w:hint="eastAsia" w:ascii="宋体" w:hAnsi="宋体" w:eastAsia="宋体" w:cs="宋体"/>
          <w:sz w:val="24"/>
          <w:szCs w:val="24"/>
        </w:rPr>
        <w:t>4.2 供应商对网上递交的响应文件应加密。登录【中招互连】APP对响应文件进行加密功能（如果供应商使用A手机号码对响应文件进行了扫码加密，必须需要使用A手机号码进行扫码解密，才能读取或导入响应文件）。</w:t>
      </w:r>
      <w:bookmarkStart w:id="15" w:name="_Toc37407097"/>
      <w:bookmarkStart w:id="16" w:name="_Toc37409909"/>
      <w:bookmarkStart w:id="17" w:name="_Toc37411144"/>
    </w:p>
    <w:p w14:paraId="6D140E74">
      <w:pPr>
        <w:spacing w:line="360" w:lineRule="auto"/>
        <w:ind w:right="103"/>
        <w:rPr>
          <w:rFonts w:hint="eastAsia" w:ascii="宋体" w:hAnsi="宋体" w:eastAsia="宋体" w:cs="宋体"/>
          <w:b/>
          <w:sz w:val="24"/>
          <w:szCs w:val="24"/>
        </w:rPr>
      </w:pPr>
      <w:r>
        <w:rPr>
          <w:rFonts w:hint="eastAsia" w:ascii="宋体" w:hAnsi="宋体" w:eastAsia="宋体" w:cs="宋体"/>
          <w:b/>
          <w:sz w:val="24"/>
          <w:szCs w:val="24"/>
        </w:rPr>
        <w:t>5、资格审查：</w:t>
      </w:r>
      <w:bookmarkEnd w:id="15"/>
      <w:bookmarkEnd w:id="16"/>
      <w:bookmarkEnd w:id="17"/>
    </w:p>
    <w:p w14:paraId="395DCC73">
      <w:pPr>
        <w:spacing w:line="360" w:lineRule="auto"/>
        <w:ind w:right="103" w:firstLine="480" w:firstLineChars="200"/>
        <w:rPr>
          <w:rFonts w:hint="eastAsia" w:ascii="宋体" w:hAnsi="宋体" w:eastAsia="宋体" w:cs="宋体"/>
          <w:sz w:val="24"/>
          <w:szCs w:val="24"/>
        </w:rPr>
      </w:pPr>
      <w:r>
        <w:rPr>
          <w:rFonts w:hint="eastAsia" w:ascii="宋体" w:hAnsi="宋体" w:eastAsia="宋体" w:cs="宋体"/>
          <w:sz w:val="24"/>
          <w:szCs w:val="24"/>
        </w:rPr>
        <w:t>本次采购采取资格后审方式，开标后由询比评审小组统一进行资格审查，详见询比文件。资格审查时，供应商提供的资料不全或不合格的或模糊不清无法辨认，均不能通过资格审查，其响应文件将被否决。</w:t>
      </w:r>
      <w:bookmarkStart w:id="18" w:name="_Toc37409910"/>
      <w:bookmarkStart w:id="19" w:name="_Toc37411145"/>
      <w:bookmarkStart w:id="20" w:name="_Toc37407098"/>
    </w:p>
    <w:p w14:paraId="736E05D1">
      <w:pPr>
        <w:spacing w:line="360" w:lineRule="auto"/>
        <w:ind w:right="103"/>
        <w:rPr>
          <w:rFonts w:hint="eastAsia" w:ascii="宋体" w:hAnsi="宋体" w:eastAsia="宋体" w:cs="宋体"/>
          <w:b/>
          <w:sz w:val="24"/>
          <w:szCs w:val="24"/>
        </w:rPr>
      </w:pPr>
      <w:r>
        <w:rPr>
          <w:rFonts w:hint="eastAsia" w:ascii="宋体" w:hAnsi="宋体" w:eastAsia="宋体" w:cs="宋体"/>
          <w:b/>
          <w:sz w:val="24"/>
          <w:szCs w:val="24"/>
        </w:rPr>
        <w:t>6. 竞标截止时间及地点：</w:t>
      </w:r>
      <w:bookmarkEnd w:id="18"/>
      <w:bookmarkEnd w:id="19"/>
      <w:bookmarkEnd w:id="20"/>
    </w:p>
    <w:p w14:paraId="7925D24B">
      <w:pPr>
        <w:spacing w:line="360" w:lineRule="auto"/>
        <w:ind w:right="103" w:firstLine="480" w:firstLineChars="200"/>
        <w:rPr>
          <w:rFonts w:hint="eastAsia" w:ascii="宋体" w:hAnsi="宋体" w:eastAsia="宋体" w:cs="宋体"/>
          <w:sz w:val="24"/>
          <w:szCs w:val="24"/>
        </w:rPr>
      </w:pPr>
      <w:bookmarkStart w:id="21" w:name="_Toc37409911"/>
      <w:bookmarkStart w:id="22" w:name="_Toc37411146"/>
      <w:bookmarkStart w:id="23" w:name="_Toc37407099"/>
      <w:r>
        <w:rPr>
          <w:rFonts w:hint="eastAsia" w:ascii="宋体" w:hAnsi="宋体" w:eastAsia="宋体" w:cs="宋体"/>
          <w:sz w:val="24"/>
          <w:szCs w:val="24"/>
        </w:rPr>
        <w:t>响应文件上传时间：</w:t>
      </w:r>
      <w:r>
        <w:rPr>
          <w:rFonts w:hint="eastAsia" w:ascii="宋体" w:hAnsi="宋体" w:eastAsia="宋体" w:cs="宋体"/>
          <w:sz w:val="24"/>
          <w:szCs w:val="24"/>
          <w:lang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07</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日～</w:t>
      </w:r>
      <w:r>
        <w:rPr>
          <w:rFonts w:hint="eastAsia" w:ascii="宋体" w:hAnsi="宋体" w:eastAsia="宋体" w:cs="宋体"/>
          <w:sz w:val="24"/>
          <w:szCs w:val="24"/>
          <w:lang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07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日上午9:00</w:t>
      </w:r>
    </w:p>
    <w:p w14:paraId="48A636BE">
      <w:pPr>
        <w:spacing w:line="360" w:lineRule="auto"/>
        <w:ind w:right="103" w:firstLine="480" w:firstLineChars="200"/>
        <w:rPr>
          <w:rFonts w:hint="eastAsia" w:ascii="宋体" w:hAnsi="宋体" w:eastAsia="宋体" w:cs="宋体"/>
          <w:sz w:val="24"/>
          <w:szCs w:val="24"/>
        </w:rPr>
      </w:pPr>
      <w:r>
        <w:rPr>
          <w:rFonts w:hint="eastAsia" w:ascii="宋体" w:hAnsi="宋体" w:eastAsia="宋体" w:cs="宋体"/>
          <w:sz w:val="24"/>
          <w:szCs w:val="24"/>
        </w:rPr>
        <w:t>询比截止时间：</w:t>
      </w:r>
      <w:r>
        <w:rPr>
          <w:rFonts w:hint="eastAsia" w:ascii="宋体" w:hAnsi="宋体" w:eastAsia="宋体" w:cs="宋体"/>
          <w:sz w:val="24"/>
          <w:szCs w:val="24"/>
          <w:lang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07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日上午9:00</w:t>
      </w:r>
    </w:p>
    <w:p w14:paraId="66103DAC">
      <w:pPr>
        <w:spacing w:line="360" w:lineRule="auto"/>
        <w:ind w:right="103" w:firstLine="480" w:firstLineChars="200"/>
        <w:rPr>
          <w:rFonts w:hint="eastAsia" w:ascii="宋体" w:hAnsi="宋体" w:eastAsia="宋体" w:cs="宋体"/>
          <w:sz w:val="24"/>
          <w:szCs w:val="24"/>
        </w:rPr>
      </w:pPr>
      <w:r>
        <w:rPr>
          <w:rFonts w:hint="eastAsia" w:ascii="宋体" w:hAnsi="宋体" w:eastAsia="宋体" w:cs="宋体"/>
          <w:sz w:val="24"/>
          <w:szCs w:val="24"/>
        </w:rPr>
        <w:t>商务技术经济标开标时间：</w:t>
      </w:r>
      <w:r>
        <w:rPr>
          <w:rFonts w:hint="eastAsia" w:ascii="宋体" w:hAnsi="宋体" w:eastAsia="宋体" w:cs="宋体"/>
          <w:sz w:val="24"/>
          <w:szCs w:val="24"/>
          <w:lang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07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日上午9:00</w:t>
      </w:r>
    </w:p>
    <w:p w14:paraId="48D6B453">
      <w:pPr>
        <w:spacing w:line="360" w:lineRule="auto"/>
        <w:ind w:right="102" w:firstLine="480" w:firstLineChars="200"/>
        <w:rPr>
          <w:rFonts w:hint="eastAsia" w:ascii="宋体" w:hAnsi="宋体" w:eastAsia="宋体" w:cs="宋体"/>
          <w:sz w:val="24"/>
          <w:szCs w:val="24"/>
        </w:rPr>
      </w:pPr>
      <w:r>
        <w:rPr>
          <w:rFonts w:hint="eastAsia" w:ascii="宋体" w:hAnsi="宋体" w:eastAsia="宋体" w:cs="宋体"/>
          <w:sz w:val="24"/>
          <w:szCs w:val="24"/>
        </w:rPr>
        <w:t>商务技术经济标解密时间：</w:t>
      </w:r>
      <w:r>
        <w:rPr>
          <w:rFonts w:hint="eastAsia" w:ascii="宋体" w:hAnsi="宋体" w:eastAsia="宋体" w:cs="宋体"/>
          <w:sz w:val="24"/>
          <w:szCs w:val="24"/>
          <w:lang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07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日上午9:00～上午9:30</w:t>
      </w:r>
    </w:p>
    <w:p w14:paraId="765E9934">
      <w:pPr>
        <w:spacing w:line="360" w:lineRule="auto"/>
        <w:ind w:left="476" w:leftChars="140"/>
        <w:rPr>
          <w:rFonts w:hint="eastAsia" w:ascii="宋体" w:hAnsi="宋体" w:eastAsia="宋体" w:cs="宋体"/>
          <w:sz w:val="24"/>
          <w:szCs w:val="24"/>
        </w:rPr>
      </w:pPr>
      <w:r>
        <w:rPr>
          <w:rFonts w:hint="eastAsia" w:ascii="宋体" w:hAnsi="宋体" w:eastAsia="宋体" w:cs="宋体"/>
          <w:sz w:val="24"/>
          <w:szCs w:val="24"/>
        </w:rPr>
        <w:t>询比地点：锡林浩特市宝石根街与东一环路交叉处唐舒格家苑</w:t>
      </w:r>
      <w:r>
        <w:rPr>
          <w:rFonts w:hint="eastAsia" w:ascii="宋体" w:hAnsi="宋体" w:eastAsia="宋体" w:cs="宋体"/>
          <w:sz w:val="24"/>
          <w:szCs w:val="24"/>
          <w:lang w:val="en-US" w:eastAsia="zh-CN"/>
        </w:rPr>
        <w:t>写字楼</w:t>
      </w:r>
      <w:r>
        <w:rPr>
          <w:rFonts w:hint="eastAsia" w:ascii="宋体" w:hAnsi="宋体" w:eastAsia="宋体" w:cs="宋体"/>
          <w:sz w:val="24"/>
          <w:szCs w:val="24"/>
        </w:rPr>
        <w:t>13楼</w:t>
      </w:r>
    </w:p>
    <w:p w14:paraId="7EE91BA9">
      <w:pPr>
        <w:spacing w:line="360" w:lineRule="auto"/>
        <w:rPr>
          <w:rFonts w:hint="eastAsia" w:ascii="宋体" w:hAnsi="宋体" w:eastAsia="宋体" w:cs="宋体"/>
          <w:b/>
          <w:sz w:val="24"/>
          <w:szCs w:val="24"/>
        </w:rPr>
      </w:pPr>
      <w:r>
        <w:rPr>
          <w:rFonts w:hint="eastAsia" w:ascii="宋体" w:hAnsi="宋体" w:eastAsia="宋体" w:cs="宋体"/>
          <w:b/>
          <w:sz w:val="24"/>
          <w:szCs w:val="24"/>
        </w:rPr>
        <w:t>7.解密方式 ：</w:t>
      </w:r>
      <w:bookmarkEnd w:id="21"/>
      <w:bookmarkEnd w:id="22"/>
      <w:bookmarkEnd w:id="23"/>
    </w:p>
    <w:p w14:paraId="3F88DC66">
      <w:pPr>
        <w:keepNext w:val="0"/>
        <w:keepLines w:val="0"/>
        <w:pageBreakBefore w:val="0"/>
        <w:widowControl w:val="0"/>
        <w:kinsoku/>
        <w:wordWrap/>
        <w:overflowPunct/>
        <w:topLinePunct w:val="0"/>
        <w:autoSpaceDE/>
        <w:autoSpaceDN/>
        <w:bidi w:val="0"/>
        <w:adjustRightInd/>
        <w:snapToGrid/>
        <w:spacing w:line="360" w:lineRule="auto"/>
        <w:ind w:right="102" w:firstLine="480" w:firstLineChars="200"/>
        <w:textAlignment w:val="auto"/>
        <w:rPr>
          <w:rFonts w:hint="eastAsia" w:ascii="宋体" w:hAnsi="宋体" w:eastAsia="宋体" w:cs="宋体"/>
          <w:b w:val="0"/>
          <w:bCs/>
          <w:sz w:val="24"/>
          <w:szCs w:val="24"/>
        </w:rPr>
      </w:pPr>
      <w:bookmarkStart w:id="24" w:name="_Toc37407100"/>
      <w:bookmarkStart w:id="25" w:name="_Toc37411147"/>
      <w:bookmarkStart w:id="26" w:name="_Toc37409912"/>
      <w:r>
        <w:rPr>
          <w:rFonts w:hint="eastAsia" w:ascii="宋体" w:hAnsi="宋体" w:eastAsia="宋体" w:cs="宋体"/>
          <w:b w:val="0"/>
          <w:bCs/>
          <w:sz w:val="24"/>
          <w:szCs w:val="24"/>
        </w:rPr>
        <w:t>1.解密方式：远程解密，供应商于递交响应文件截止时间在原单位使用原上传文件电脑登录【中招互连】APP或进行响应文件的远程解密（届时请持上传文件时所使用的手机提前30分钟等候在电脑前准备参加文件解密，需保持电脑网络通畅）。</w:t>
      </w:r>
    </w:p>
    <w:p w14:paraId="1A364F0E">
      <w:pPr>
        <w:keepNext w:val="0"/>
        <w:keepLines w:val="0"/>
        <w:pageBreakBefore w:val="0"/>
        <w:widowControl w:val="0"/>
        <w:kinsoku/>
        <w:wordWrap/>
        <w:overflowPunct/>
        <w:topLinePunct w:val="0"/>
        <w:autoSpaceDE/>
        <w:autoSpaceDN/>
        <w:bidi w:val="0"/>
        <w:adjustRightInd/>
        <w:snapToGrid/>
        <w:spacing w:line="360" w:lineRule="auto"/>
        <w:ind w:right="102"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开标地点：内蒙古中实工程招标咨询有限责任公司电子开标室（本项目远程电子开标解密，供应商无须到场）</w:t>
      </w:r>
    </w:p>
    <w:p w14:paraId="70997C47">
      <w:pPr>
        <w:keepNext w:val="0"/>
        <w:keepLines w:val="0"/>
        <w:pageBreakBefore w:val="0"/>
        <w:widowControl w:val="0"/>
        <w:kinsoku/>
        <w:wordWrap/>
        <w:overflowPunct/>
        <w:topLinePunct w:val="0"/>
        <w:autoSpaceDE/>
        <w:autoSpaceDN/>
        <w:bidi w:val="0"/>
        <w:adjustRightInd/>
        <w:snapToGrid/>
        <w:spacing w:line="360" w:lineRule="auto"/>
        <w:ind w:right="102"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如果递交响应文件截止时间有改变，采购代理机构将提前通知，逾期提交的响应文件将不予受理。</w:t>
      </w:r>
    </w:p>
    <w:p w14:paraId="471BA520">
      <w:pPr>
        <w:keepNext w:val="0"/>
        <w:keepLines w:val="0"/>
        <w:pageBreakBefore w:val="0"/>
        <w:widowControl w:val="0"/>
        <w:kinsoku/>
        <w:wordWrap/>
        <w:overflowPunct/>
        <w:topLinePunct w:val="0"/>
        <w:autoSpaceDE/>
        <w:autoSpaceDN/>
        <w:bidi w:val="0"/>
        <w:adjustRightInd/>
        <w:snapToGrid/>
        <w:spacing w:line="360" w:lineRule="auto"/>
        <w:ind w:right="102"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2.远程协商：供应商不需到达评审现场，专家通过远程与各供应商进行视频协商。详见《内蒙古电力集团电子采购系统》首页操作手册及采购文件。</w:t>
      </w:r>
    </w:p>
    <w:p w14:paraId="5998D023">
      <w:pPr>
        <w:keepNext w:val="0"/>
        <w:keepLines w:val="0"/>
        <w:pageBreakBefore w:val="0"/>
        <w:widowControl w:val="0"/>
        <w:kinsoku/>
        <w:wordWrap/>
        <w:overflowPunct/>
        <w:topLinePunct w:val="0"/>
        <w:autoSpaceDE/>
        <w:autoSpaceDN/>
        <w:bidi w:val="0"/>
        <w:adjustRightInd/>
        <w:snapToGrid/>
        <w:spacing w:line="360" w:lineRule="auto"/>
        <w:ind w:right="102"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请供应商按公告时间及时参与相关签到、解密及确认工作，签到、解密及确认过程中有任何问题请及时与系统沟通联系解决（400-9913-966，周一～周五9:00-17:00），因供应商原因未在规定时间内解密响应文件，视为供应商撤销其响应文件。</w:t>
      </w:r>
    </w:p>
    <w:p w14:paraId="7B93AE21">
      <w:pPr>
        <w:spacing w:line="360" w:lineRule="auto"/>
        <w:ind w:right="103"/>
        <w:rPr>
          <w:rFonts w:hint="eastAsia" w:ascii="宋体" w:hAnsi="宋体" w:eastAsia="宋体" w:cs="宋体"/>
          <w:b/>
          <w:sz w:val="24"/>
          <w:szCs w:val="24"/>
        </w:rPr>
      </w:pPr>
      <w:r>
        <w:rPr>
          <w:rFonts w:hint="eastAsia" w:ascii="宋体" w:hAnsi="宋体" w:eastAsia="宋体" w:cs="宋体"/>
          <w:b/>
          <w:sz w:val="24"/>
          <w:szCs w:val="24"/>
        </w:rPr>
        <w:t>8.竞标及采购费用：</w:t>
      </w:r>
      <w:bookmarkEnd w:id="24"/>
      <w:bookmarkEnd w:id="25"/>
      <w:bookmarkEnd w:id="26"/>
    </w:p>
    <w:p w14:paraId="67B18A37">
      <w:pPr>
        <w:spacing w:line="360" w:lineRule="auto"/>
        <w:ind w:right="102" w:firstLine="480" w:firstLineChars="200"/>
        <w:rPr>
          <w:rFonts w:hint="eastAsia" w:ascii="宋体" w:hAnsi="宋体" w:eastAsia="宋体" w:cs="宋体"/>
          <w:sz w:val="24"/>
          <w:szCs w:val="24"/>
        </w:rPr>
      </w:pPr>
      <w:r>
        <w:rPr>
          <w:rFonts w:hint="eastAsia" w:ascii="宋体" w:hAnsi="宋体" w:eastAsia="宋体" w:cs="宋体"/>
          <w:sz w:val="24"/>
          <w:szCs w:val="24"/>
        </w:rPr>
        <w:t>8.1 中标服务费：中标服务费由成交供应商支付。</w:t>
      </w:r>
    </w:p>
    <w:p w14:paraId="56C158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 平台使用费：本项目采用全流程电子采购，供应商需（在线下载采购文件后，上传响应文件前）在线向电子交易平台缴纳电子采购服务费，具体收费标准为：</w:t>
      </w:r>
    </w:p>
    <w:p w14:paraId="12B18C1D">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（1）公开招标项目中电子投标服务费：400元/包/次；</w:t>
      </w:r>
    </w:p>
    <w:p w14:paraId="0BD29634">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（2）非招标采购项目中电子采购服务费：300元/包/次；</w:t>
      </w:r>
    </w:p>
    <w:p w14:paraId="5F3059DB">
      <w:pPr>
        <w:spacing w:line="360" w:lineRule="auto"/>
        <w:rPr>
          <w:rFonts w:hint="eastAsia" w:ascii="宋体" w:hAnsi="宋体" w:eastAsia="宋体" w:cs="宋体"/>
          <w:b/>
          <w:sz w:val="24"/>
          <w:szCs w:val="24"/>
        </w:rPr>
      </w:pPr>
      <w:r>
        <w:rPr>
          <w:rFonts w:hint="eastAsia" w:ascii="宋体" w:hAnsi="宋体" w:eastAsia="宋体" w:cs="宋体"/>
          <w:b/>
          <w:sz w:val="24"/>
          <w:szCs w:val="24"/>
        </w:rPr>
        <w:t>9. 发布公告的媒介</w:t>
      </w:r>
      <w:bookmarkEnd w:id="7"/>
      <w:bookmarkEnd w:id="8"/>
      <w:bookmarkEnd w:id="9"/>
      <w:bookmarkEnd w:id="10"/>
      <w:r>
        <w:rPr>
          <w:rFonts w:hint="eastAsia" w:ascii="宋体" w:hAnsi="宋体" w:eastAsia="宋体" w:cs="宋体"/>
          <w:b/>
          <w:sz w:val="24"/>
          <w:szCs w:val="24"/>
        </w:rPr>
        <w:t xml:space="preserve"> </w:t>
      </w:r>
    </w:p>
    <w:p w14:paraId="25602309">
      <w:pPr>
        <w:pStyle w:val="3"/>
        <w:shd w:val="clear" w:color="auto" w:fill="FFFFFF"/>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本次公告在《中国招标投标公共服务平台》（www.cebpubservice.com）、《内蒙古招标投标公共服务平台》（www.nmgztb.com.cn）、《内蒙古电力集团电子采购系统》（http://guocai-impc.cppchina.cn）同时发布，其它媒介转发无效。 </w:t>
      </w:r>
    </w:p>
    <w:p w14:paraId="78ABE0A7">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10.联系方式</w:t>
      </w:r>
    </w:p>
    <w:p w14:paraId="4822EBD8">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采 购 人：内蒙古电力（集团）有限责任公司锡林郭勒供电分公司物资供应处</w:t>
      </w:r>
    </w:p>
    <w:p w14:paraId="02BF7143">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地址：锡林浩特市锡林大街东段</w:t>
      </w:r>
    </w:p>
    <w:p w14:paraId="4285C5B2">
      <w:pPr>
        <w:spacing w:line="360" w:lineRule="auto"/>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联系电话：0479-82963</w:t>
      </w:r>
      <w:r>
        <w:rPr>
          <w:rFonts w:hint="eastAsia" w:ascii="宋体" w:hAnsi="宋体" w:eastAsia="宋体" w:cs="宋体"/>
          <w:kern w:val="0"/>
          <w:sz w:val="24"/>
          <w:szCs w:val="24"/>
          <w:lang w:val="en-US" w:eastAsia="zh-CN"/>
        </w:rPr>
        <w:t>37</w:t>
      </w:r>
    </w:p>
    <w:p w14:paraId="4B5EA109">
      <w:pPr>
        <w:spacing w:line="360" w:lineRule="auto"/>
        <w:rPr>
          <w:rFonts w:hint="eastAsia" w:ascii="宋体" w:hAnsi="宋体" w:eastAsia="宋体" w:cs="宋体"/>
          <w:sz w:val="24"/>
          <w:szCs w:val="24"/>
        </w:rPr>
      </w:pPr>
    </w:p>
    <w:p w14:paraId="02D80AC5">
      <w:pPr>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采购代理机构：</w:t>
      </w:r>
      <w:r>
        <w:rPr>
          <w:rFonts w:hint="eastAsia" w:ascii="宋体" w:hAnsi="宋体" w:eastAsia="宋体" w:cs="宋体"/>
          <w:kern w:val="0"/>
          <w:sz w:val="24"/>
          <w:highlight w:val="none"/>
          <w:lang w:eastAsia="zh-CN"/>
        </w:rPr>
        <w:t>内蒙古中实工程招标咨询有限责任公司</w:t>
      </w:r>
    </w:p>
    <w:p w14:paraId="7CB776E5">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办公地址：呼和浩特市赛罕区鄂尔多斯东街12号银联大厦10层（锡林浩特分公司：锡林浩特市宝石根街与东一环路交叉处唐舒格家苑</w:t>
      </w:r>
      <w:r>
        <w:rPr>
          <w:rFonts w:hint="eastAsia" w:ascii="宋体" w:hAnsi="宋体" w:eastAsia="宋体" w:cs="宋体"/>
          <w:kern w:val="0"/>
          <w:sz w:val="24"/>
          <w:highlight w:val="none"/>
          <w:lang w:val="en-US" w:eastAsia="zh-CN"/>
        </w:rPr>
        <w:t>写字楼</w:t>
      </w:r>
      <w:r>
        <w:rPr>
          <w:rFonts w:hint="eastAsia" w:ascii="宋体" w:hAnsi="宋体" w:eastAsia="宋体" w:cs="宋体"/>
          <w:kern w:val="0"/>
          <w:sz w:val="24"/>
          <w:highlight w:val="none"/>
        </w:rPr>
        <w:t>13楼）</w:t>
      </w:r>
    </w:p>
    <w:p w14:paraId="721AC84B">
      <w:pPr>
        <w:pStyle w:val="2"/>
        <w:spacing w:line="360" w:lineRule="auto"/>
        <w:ind w:right="240" w:firstLine="540" w:firstLineChars="225"/>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联系人：施颖、</w:t>
      </w:r>
      <w:r>
        <w:rPr>
          <w:rFonts w:hint="eastAsia" w:ascii="宋体" w:hAnsi="宋体" w:eastAsia="宋体" w:cs="宋体"/>
          <w:kern w:val="0"/>
          <w:sz w:val="24"/>
          <w:szCs w:val="24"/>
          <w:highlight w:val="none"/>
          <w:lang w:eastAsia="zh-CN"/>
        </w:rPr>
        <w:t>杨淑红、</w:t>
      </w:r>
      <w:r>
        <w:rPr>
          <w:rFonts w:hint="eastAsia" w:ascii="宋体" w:hAnsi="宋体" w:eastAsia="宋体" w:cs="宋体"/>
          <w:sz w:val="24"/>
          <w:szCs w:val="24"/>
          <w:highlight w:val="none"/>
          <w:lang w:val="en-US" w:eastAsia="zh-CN"/>
        </w:rPr>
        <w:t>池金秀</w:t>
      </w:r>
    </w:p>
    <w:p w14:paraId="45EFFF7F">
      <w:pPr>
        <w:pStyle w:val="2"/>
        <w:spacing w:line="360" w:lineRule="auto"/>
        <w:ind w:right="240" w:firstLine="540" w:firstLineChars="225"/>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联系电话：</w:t>
      </w:r>
      <w:r>
        <w:rPr>
          <w:rFonts w:hint="eastAsia" w:ascii="宋体" w:hAnsi="宋体" w:eastAsia="宋体" w:cs="宋体"/>
          <w:kern w:val="0"/>
          <w:sz w:val="24"/>
          <w:szCs w:val="24"/>
          <w:highlight w:val="none"/>
          <w:lang w:val="en-US" w:eastAsia="zh-CN"/>
        </w:rPr>
        <w:t>0479-8218958</w:t>
      </w:r>
    </w:p>
    <w:p w14:paraId="29643A83">
      <w:r>
        <w:rPr>
          <w:rFonts w:hint="eastAsia" w:ascii="宋体" w:hAnsi="宋体" w:eastAsia="宋体" w:cs="宋体"/>
          <w:kern w:val="0"/>
          <w:sz w:val="24"/>
          <w:szCs w:val="24"/>
          <w:highlight w:val="none"/>
        </w:rPr>
        <w:t xml:space="preserve">邮箱：zszbsfgs@126.com     </w:t>
      </w:r>
      <w:r>
        <w:rPr>
          <w:rFonts w:hint="eastAsia" w:ascii="宋体" w:hAnsi="宋体" w:eastAsia="宋体" w:cs="宋体"/>
          <w:kern w:val="0"/>
          <w:sz w:val="24"/>
          <w:szCs w:val="24"/>
        </w:rPr>
        <w:t xml:space="preserve">                         </w:t>
      </w:r>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5A1E9"/>
    <w:multiLevelType w:val="singleLevel"/>
    <w:tmpl w:val="C385A1E9"/>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1D"/>
    <w:multiLevelType w:val="multilevel"/>
    <w:tmpl w:val="0000001D"/>
    <w:lvl w:ilvl="0" w:tentative="0">
      <w:start w:val="2"/>
      <w:numFmt w:val="upperLetter"/>
      <w:suff w:val="nothing"/>
      <w:lvlText w:val="%1、"/>
      <w:lvlJc w:val="left"/>
    </w:lvl>
    <w:lvl w:ilvl="1" w:tentative="0">
      <w:start w:val="1"/>
      <w:numFmt w:val="decimal"/>
      <w:lvlText w:val=""/>
      <w:lvlJc w:val="left"/>
      <w:pPr>
        <w:ind w:left="260"/>
      </w:pPr>
    </w:lvl>
    <w:lvl w:ilvl="2" w:tentative="0">
      <w:start w:val="1"/>
      <w:numFmt w:val="decimal"/>
      <w:lvlText w:val=""/>
      <w:lvlJc w:val="left"/>
      <w:pPr>
        <w:ind w:left="260"/>
      </w:pPr>
    </w:lvl>
    <w:lvl w:ilvl="3" w:tentative="0">
      <w:start w:val="1"/>
      <w:numFmt w:val="decimal"/>
      <w:lvlText w:val=""/>
      <w:lvlJc w:val="left"/>
      <w:pPr>
        <w:ind w:left="260"/>
      </w:pPr>
    </w:lvl>
    <w:lvl w:ilvl="4" w:tentative="0">
      <w:start w:val="1"/>
      <w:numFmt w:val="decimal"/>
      <w:lvlText w:val=""/>
      <w:lvlJc w:val="left"/>
      <w:pPr>
        <w:ind w:left="260"/>
      </w:pPr>
    </w:lvl>
    <w:lvl w:ilvl="5" w:tentative="0">
      <w:start w:val="1"/>
      <w:numFmt w:val="decimal"/>
      <w:lvlText w:val=""/>
      <w:lvlJc w:val="left"/>
      <w:pPr>
        <w:ind w:left="260"/>
      </w:pPr>
    </w:lvl>
    <w:lvl w:ilvl="6" w:tentative="0">
      <w:start w:val="1"/>
      <w:numFmt w:val="decimal"/>
      <w:lvlText w:val=""/>
      <w:lvlJc w:val="left"/>
      <w:pPr>
        <w:ind w:left="260"/>
      </w:pPr>
    </w:lvl>
    <w:lvl w:ilvl="7" w:tentative="0">
      <w:start w:val="1"/>
      <w:numFmt w:val="decimal"/>
      <w:lvlText w:val=""/>
      <w:lvlJc w:val="left"/>
      <w:pPr>
        <w:ind w:left="260"/>
      </w:pPr>
    </w:lvl>
    <w:lvl w:ilvl="8" w:tentative="0">
      <w:start w:val="1"/>
      <w:numFmt w:val="decimal"/>
      <w:lvlText w:val=""/>
      <w:lvlJc w:val="left"/>
      <w:pPr>
        <w:ind w:left="260"/>
      </w:pPr>
    </w:lvl>
  </w:abstractNum>
  <w:abstractNum w:abstractNumId="3">
    <w:nsid w:val="0000001E"/>
    <w:multiLevelType w:val="singleLevel"/>
    <w:tmpl w:val="0000001E"/>
    <w:lvl w:ilvl="0" w:tentative="0">
      <w:start w:val="1"/>
      <w:numFmt w:val="decimal"/>
      <w:suff w:val="nothing"/>
      <w:lvlText w:val="（%1）"/>
      <w:lvlJc w:val="left"/>
    </w:lvl>
  </w:abstractNum>
  <w:num w:numId="1">
    <w:abstractNumId w:val="0"/>
  </w:num>
  <w:num w:numId="2">
    <w:abstractNumId w:val="3"/>
  </w:num>
  <w:num w:numId="3">
    <w:abstractNumId w:val="1"/>
  </w:num>
  <w:num w:numId="4">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YzBlN2IwM2UxMzE2MjBmOWU0OTNjMmNlYTY5ODkifQ=="/>
  </w:docVars>
  <w:rsids>
    <w:rsidRoot w:val="516438B9"/>
    <w:rsid w:val="51643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rPr>
      <w:szCs w:val="20"/>
    </w:r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6">
    <w:name w:val="正式文本"/>
    <w:basedOn w:val="1"/>
    <w:qFormat/>
    <w:uiPriority w:val="0"/>
    <w:pPr>
      <w:spacing w:line="540" w:lineRule="exact"/>
      <w:ind w:firstLine="200" w:firstLineChars="200"/>
    </w:pPr>
    <w:rPr>
      <w:rFonts w:ascii="宋体" w:hAnsi="Arial Narrow"/>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2024-11-06T01:51:00Z</dcterms:created>
  <dc:creator>WPS_1496299590</dc:creator>
  <cp:lastModifiedBy>WPS_1496299590</cp:lastModifiedBy>
  <dcterms:modified xsi:type="dcterms:W3CDTF">2024-11-06T01:51:37Z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2234973FE4AF457480B78BB53A8823D9_11</vt:lpwstr>
  </property>
</Properties>
</file>