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42156">
      <w:pPr>
        <w:wordWrap/>
        <w:overflowPunct/>
        <w:topLinePunct w:val="0"/>
        <w:bidi w:val="0"/>
        <w:spacing w:line="360" w:lineRule="auto"/>
        <w:jc w:val="center"/>
        <w:outlineLvl w:val="9"/>
        <w:rPr>
          <w:rFonts w:hint="eastAsia" w:ascii="宋体" w:hAnsi="宋体" w:eastAsia="宋体" w:cs="宋体"/>
          <w:b/>
          <w:bCs/>
          <w:color w:val="auto"/>
          <w:kern w:val="2"/>
          <w:sz w:val="21"/>
          <w:szCs w:val="21"/>
          <w:highlight w:val="none"/>
          <w:lang w:val="en-US" w:eastAsia="zh-CN" w:bidi="ar-SA"/>
        </w:rPr>
      </w:pPr>
      <w:bookmarkStart w:id="0" w:name="_Toc32331"/>
      <w:r>
        <w:rPr>
          <w:rFonts w:hint="eastAsia" w:ascii="宋体" w:hAnsi="宋体" w:eastAsia="宋体" w:cs="宋体"/>
          <w:b/>
          <w:bCs/>
          <w:color w:val="auto"/>
          <w:kern w:val="2"/>
          <w:sz w:val="21"/>
          <w:szCs w:val="21"/>
          <w:highlight w:val="none"/>
          <w:lang w:val="en-US" w:eastAsia="zh-CN" w:bidi="ar-SA"/>
        </w:rPr>
        <w:t>锡林郭勒供电公司2024年一体化生产技改项目施工</w:t>
      </w:r>
    </w:p>
    <w:p w14:paraId="57405D81">
      <w:pPr>
        <w:wordWrap/>
        <w:overflowPunct/>
        <w:topLinePunct w:val="0"/>
        <w:bidi w:val="0"/>
        <w:spacing w:line="360" w:lineRule="auto"/>
        <w:jc w:val="center"/>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招标公告</w:t>
      </w:r>
    </w:p>
    <w:p w14:paraId="1D7C56EC">
      <w:pPr>
        <w:wordWrap/>
        <w:overflowPunct/>
        <w:topLinePunct w:val="0"/>
        <w:bidi w:val="0"/>
        <w:spacing w:line="360" w:lineRule="auto"/>
        <w:jc w:val="center"/>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招标编号：XMGGGC2024DL0036</w:t>
      </w:r>
    </w:p>
    <w:p w14:paraId="2636EDB3">
      <w:pPr>
        <w:wordWrap/>
        <w:overflowPunct/>
        <w:topLinePunct w:val="0"/>
        <w:bidi w:val="0"/>
        <w:spacing w:line="360" w:lineRule="auto"/>
        <w:jc w:val="left"/>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一、招标条件</w:t>
      </w:r>
      <w:bookmarkEnd w:id="0"/>
    </w:p>
    <w:p w14:paraId="52A92342">
      <w:pPr>
        <w:wordWrap/>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本招标项目</w:t>
      </w:r>
      <w:r>
        <w:rPr>
          <w:rFonts w:hint="eastAsia" w:ascii="宋体" w:hAnsi="宋体" w:eastAsia="宋体" w:cs="宋体"/>
          <w:b/>
          <w:bCs/>
          <w:color w:val="auto"/>
          <w:kern w:val="2"/>
          <w:sz w:val="21"/>
          <w:szCs w:val="21"/>
          <w:highlight w:val="none"/>
          <w:u w:val="single"/>
          <w:lang w:val="en-US" w:eastAsia="zh-CN" w:bidi="ar"/>
        </w:rPr>
        <w:t>锡林郭勒供电公司2024年一体化生产技改项目施工项目</w:t>
      </w:r>
      <w:r>
        <w:rPr>
          <w:rFonts w:hint="eastAsia" w:ascii="宋体" w:hAnsi="宋体" w:eastAsia="宋体" w:cs="宋体"/>
          <w:color w:val="auto"/>
          <w:kern w:val="2"/>
          <w:sz w:val="21"/>
          <w:szCs w:val="21"/>
          <w:highlight w:val="none"/>
          <w:lang w:val="en-US" w:eastAsia="zh-CN" w:bidi="ar"/>
        </w:rPr>
        <w:t>已由</w:t>
      </w:r>
      <w:r>
        <w:rPr>
          <w:rFonts w:hint="eastAsia" w:ascii="宋体" w:hAnsi="宋体" w:eastAsia="宋体" w:cs="宋体"/>
          <w:b/>
          <w:bCs/>
          <w:color w:val="auto"/>
          <w:kern w:val="2"/>
          <w:sz w:val="21"/>
          <w:szCs w:val="21"/>
          <w:highlight w:val="none"/>
          <w:u w:val="single"/>
          <w:lang w:val="en-US" w:eastAsia="zh-CN" w:bidi="ar"/>
        </w:rPr>
        <w:t>锡林郭勒盟能源局</w:t>
      </w:r>
      <w:r>
        <w:rPr>
          <w:rFonts w:hint="eastAsia" w:ascii="宋体" w:hAnsi="宋体" w:eastAsia="宋体" w:cs="宋体"/>
          <w:color w:val="auto"/>
          <w:kern w:val="2"/>
          <w:sz w:val="21"/>
          <w:szCs w:val="21"/>
          <w:highlight w:val="none"/>
          <w:lang w:val="en-US" w:eastAsia="zh-CN" w:bidi="ar"/>
        </w:rPr>
        <w:t>备案批准建设，建设资金为</w:t>
      </w:r>
      <w:r>
        <w:rPr>
          <w:rFonts w:hint="eastAsia" w:ascii="宋体" w:hAnsi="宋体" w:eastAsia="宋体" w:cs="宋体"/>
          <w:b/>
          <w:bCs/>
          <w:color w:val="auto"/>
          <w:kern w:val="2"/>
          <w:sz w:val="21"/>
          <w:szCs w:val="21"/>
          <w:highlight w:val="none"/>
          <w:u w:val="single"/>
          <w:lang w:val="en-US" w:eastAsia="zh-CN" w:bidi="ar"/>
        </w:rPr>
        <w:t>企业自筹20%、银行贷款80%</w:t>
      </w:r>
      <w:r>
        <w:rPr>
          <w:rFonts w:hint="eastAsia" w:ascii="宋体" w:hAnsi="宋体" w:eastAsia="宋体" w:cs="宋体"/>
          <w:color w:val="auto"/>
          <w:kern w:val="2"/>
          <w:sz w:val="21"/>
          <w:szCs w:val="21"/>
          <w:highlight w:val="none"/>
          <w:lang w:val="en-US" w:eastAsia="zh-CN" w:bidi="ar"/>
        </w:rPr>
        <w:t>项目建设单位为</w:t>
      </w:r>
      <w:r>
        <w:rPr>
          <w:rFonts w:hint="eastAsia" w:ascii="宋体" w:hAnsi="宋体" w:eastAsia="宋体" w:cs="宋体"/>
          <w:b/>
          <w:bCs/>
          <w:color w:val="auto"/>
          <w:kern w:val="2"/>
          <w:sz w:val="21"/>
          <w:szCs w:val="21"/>
          <w:highlight w:val="none"/>
          <w:u w:val="single"/>
          <w:lang w:val="en-US" w:eastAsia="zh-CN"/>
        </w:rPr>
        <w:t>内蒙古电力(集团)有限责任公司锡林郭勒供电分公司</w:t>
      </w:r>
      <w:r>
        <w:rPr>
          <w:rFonts w:hint="eastAsia" w:ascii="宋体" w:hAnsi="宋体" w:eastAsia="宋体" w:cs="宋体"/>
          <w:color w:val="auto"/>
          <w:kern w:val="2"/>
          <w:sz w:val="21"/>
          <w:szCs w:val="21"/>
          <w:highlight w:val="none"/>
          <w:lang w:val="en-US" w:eastAsia="zh-CN" w:bidi="ar"/>
        </w:rPr>
        <w:t>，招标代理为</w:t>
      </w:r>
      <w:r>
        <w:rPr>
          <w:rFonts w:hint="eastAsia" w:ascii="宋体" w:hAnsi="宋体" w:eastAsia="宋体" w:cs="宋体"/>
          <w:b/>
          <w:bCs/>
          <w:color w:val="auto"/>
          <w:kern w:val="2"/>
          <w:sz w:val="21"/>
          <w:szCs w:val="21"/>
          <w:highlight w:val="none"/>
          <w:u w:val="single"/>
          <w:lang w:val="en-US" w:eastAsia="zh-CN" w:bidi="ar"/>
        </w:rPr>
        <w:t>内蒙古中实工程招标咨询有限责任公司</w:t>
      </w:r>
      <w:r>
        <w:rPr>
          <w:rFonts w:hint="eastAsia" w:ascii="宋体" w:hAnsi="宋体" w:eastAsia="宋体" w:cs="宋体"/>
          <w:color w:val="auto"/>
          <w:kern w:val="2"/>
          <w:sz w:val="21"/>
          <w:szCs w:val="21"/>
          <w:highlight w:val="none"/>
          <w:lang w:val="en-US" w:eastAsia="zh-CN" w:bidi="ar"/>
        </w:rPr>
        <w:t>。项目已具备招标条件，现对该项目</w:t>
      </w:r>
      <w:r>
        <w:rPr>
          <w:rFonts w:hint="eastAsia" w:ascii="宋体" w:hAnsi="宋体" w:eastAsia="宋体" w:cs="宋体"/>
          <w:b/>
          <w:bCs/>
          <w:color w:val="auto"/>
          <w:kern w:val="2"/>
          <w:sz w:val="21"/>
          <w:szCs w:val="21"/>
          <w:highlight w:val="none"/>
          <w:u w:val="single"/>
          <w:lang w:val="en-US" w:eastAsia="zh-CN" w:bidi="ar"/>
        </w:rPr>
        <w:t>施工</w:t>
      </w:r>
      <w:r>
        <w:rPr>
          <w:rFonts w:hint="eastAsia" w:ascii="宋体" w:hAnsi="宋体" w:eastAsia="宋体" w:cs="宋体"/>
          <w:color w:val="auto"/>
          <w:kern w:val="2"/>
          <w:sz w:val="21"/>
          <w:szCs w:val="21"/>
          <w:highlight w:val="none"/>
          <w:lang w:val="en-US" w:eastAsia="zh-CN" w:bidi="ar"/>
        </w:rPr>
        <w:t>进行公开招标。</w:t>
      </w:r>
    </w:p>
    <w:p w14:paraId="3D7C2FE7">
      <w:pPr>
        <w:pStyle w:val="6"/>
        <w:wordWrap/>
        <w:overflowPunct/>
        <w:topLinePunct w:val="0"/>
        <w:bidi w:val="0"/>
        <w:spacing w:before="0" w:after="0" w:line="360" w:lineRule="auto"/>
        <w:rPr>
          <w:rFonts w:hint="eastAsia" w:ascii="宋体" w:hAnsi="宋体" w:eastAsia="宋体" w:cs="宋体"/>
          <w:color w:val="auto"/>
          <w:sz w:val="21"/>
          <w:szCs w:val="21"/>
          <w:highlight w:val="none"/>
        </w:rPr>
      </w:pPr>
      <w:bookmarkStart w:id="1" w:name="_Toc15466"/>
      <w:bookmarkStart w:id="2" w:name="_Toc30026"/>
      <w:bookmarkStart w:id="3" w:name="_Toc17123"/>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、项目概况与招标范围</w:t>
      </w:r>
      <w:bookmarkEnd w:id="1"/>
      <w:bookmarkEnd w:id="2"/>
      <w:bookmarkEnd w:id="3"/>
    </w:p>
    <w:p w14:paraId="3EE8CEF1">
      <w:pPr>
        <w:pStyle w:val="9"/>
        <w:wordWrap/>
        <w:overflowPunct/>
        <w:topLinePunct w:val="0"/>
        <w:bidi w:val="0"/>
        <w:spacing w:before="0" w:beforeAutospacing="0" w:after="0" w:afterAutospacing="0" w:line="360" w:lineRule="auto"/>
        <w:ind w:left="0" w:leftChars="0" w:firstLine="478" w:firstLineChars="22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1.项目名称：</w:t>
      </w:r>
      <w:r>
        <w:rPr>
          <w:rFonts w:hint="eastAsia" w:eastAsia="宋体" w:cs="宋体"/>
          <w:color w:val="auto"/>
          <w:sz w:val="21"/>
          <w:szCs w:val="21"/>
          <w:highlight w:val="none"/>
          <w:lang w:val="en-US" w:eastAsia="zh-CN"/>
        </w:rPr>
        <w:t>锡林郭勒供电公司2024年一体化生产技改项目施工</w:t>
      </w:r>
    </w:p>
    <w:p w14:paraId="5CDCBB16">
      <w:pPr>
        <w:pStyle w:val="9"/>
        <w:wordWrap/>
        <w:overflowPunct/>
        <w:topLinePunct w:val="0"/>
        <w:bidi w:val="0"/>
        <w:spacing w:before="0" w:beforeAutospacing="0" w:after="0" w:afterAutospacing="0" w:line="360" w:lineRule="auto"/>
        <w:ind w:left="0" w:leftChars="0" w:firstLine="478" w:firstLineChars="22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2.建设地点：锡林郭勒盟境内。</w:t>
      </w:r>
    </w:p>
    <w:p w14:paraId="3C62812C">
      <w:pPr>
        <w:pStyle w:val="9"/>
        <w:wordWrap/>
        <w:overflowPunct/>
        <w:topLinePunct w:val="0"/>
        <w:bidi w:val="0"/>
        <w:spacing w:before="0" w:beforeAutospacing="0" w:after="0" w:afterAutospacing="0" w:line="360" w:lineRule="auto"/>
        <w:ind w:left="0" w:leftChars="0" w:firstLine="478" w:firstLineChars="228"/>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3.建设规模：</w:t>
      </w:r>
      <w:r>
        <w:rPr>
          <w:rFonts w:hint="eastAsia" w:ascii="宋体" w:hAnsi="宋体" w:eastAsia="宋体" w:cs="宋体"/>
          <w:color w:val="auto"/>
          <w:kern w:val="0"/>
          <w:sz w:val="21"/>
          <w:szCs w:val="21"/>
          <w:highlight w:val="none"/>
          <w:lang w:val="en-US" w:eastAsia="zh-CN" w:bidi="ar"/>
        </w:rPr>
        <w:t>涉及</w:t>
      </w:r>
      <w:r>
        <w:rPr>
          <w:rFonts w:hint="eastAsia" w:eastAsia="宋体" w:cs="宋体"/>
          <w:color w:val="auto"/>
          <w:kern w:val="0"/>
          <w:sz w:val="21"/>
          <w:szCs w:val="21"/>
          <w:highlight w:val="none"/>
          <w:lang w:val="en-US" w:eastAsia="zh-CN" w:bidi="ar"/>
        </w:rPr>
        <w:t>锡林郭勒供电公司2024年一体化生产技改项目施工</w:t>
      </w:r>
      <w:r>
        <w:rPr>
          <w:rFonts w:hint="eastAsia" w:ascii="宋体" w:hAnsi="宋体" w:eastAsia="宋体" w:cs="宋体"/>
          <w:color w:val="auto"/>
          <w:kern w:val="0"/>
          <w:sz w:val="21"/>
          <w:szCs w:val="21"/>
          <w:highlight w:val="none"/>
          <w:lang w:val="en-US" w:eastAsia="zh-CN" w:bidi="ar"/>
        </w:rPr>
        <w:t>，具体详见工程量清单。</w:t>
      </w:r>
    </w:p>
    <w:p w14:paraId="34C76747">
      <w:pPr>
        <w:pStyle w:val="9"/>
        <w:wordWrap/>
        <w:overflowPunct/>
        <w:topLinePunct w:val="0"/>
        <w:bidi w:val="0"/>
        <w:spacing w:before="0" w:beforeAutospacing="0" w:after="0" w:afterAutospacing="0" w:line="360" w:lineRule="auto"/>
        <w:ind w:left="0" w:leftChars="0" w:firstLine="478" w:firstLineChars="22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4.项目总投资：1216.1959万元。</w:t>
      </w:r>
    </w:p>
    <w:p w14:paraId="483E50E0">
      <w:pPr>
        <w:pStyle w:val="9"/>
        <w:wordWrap/>
        <w:overflowPunct/>
        <w:topLinePunct w:val="0"/>
        <w:bidi w:val="0"/>
        <w:spacing w:before="0" w:beforeAutospacing="0" w:after="0" w:afterAutospacing="0" w:line="360" w:lineRule="auto"/>
        <w:ind w:left="0" w:leftChars="0" w:firstLine="478" w:firstLineChars="228"/>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5.计划工期：满足招标公告需求明细表中工期要求。</w:t>
      </w:r>
    </w:p>
    <w:p w14:paraId="4B2E3CCC">
      <w:pPr>
        <w:pStyle w:val="9"/>
        <w:wordWrap/>
        <w:overflowPunct/>
        <w:topLinePunct w:val="0"/>
        <w:bidi w:val="0"/>
        <w:spacing w:before="0" w:beforeAutospacing="0" w:after="0" w:afterAutospacing="0" w:line="360" w:lineRule="auto"/>
        <w:ind w:left="0" w:leftChars="0" w:firstLine="478" w:firstLineChars="22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6.招标范围：工程量清单范围内的全部内容。</w:t>
      </w:r>
    </w:p>
    <w:p w14:paraId="6027EAF2">
      <w:pPr>
        <w:pStyle w:val="9"/>
        <w:wordWrap/>
        <w:overflowPunct/>
        <w:topLinePunct w:val="0"/>
        <w:bidi w:val="0"/>
        <w:spacing w:before="0" w:beforeAutospacing="0" w:after="0" w:afterAutospacing="0" w:line="360" w:lineRule="auto"/>
        <w:ind w:left="0" w:leftChars="0" w:firstLine="478" w:firstLineChars="22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7.标段划分：共计</w:t>
      </w:r>
      <w:r>
        <w:rPr>
          <w:rFonts w:hint="eastAsia"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个标段，分项工程明细详见招标公告附件。</w:t>
      </w:r>
    </w:p>
    <w:tbl>
      <w:tblPr>
        <w:tblStyle w:val="11"/>
        <w:tblW w:w="57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5"/>
        <w:gridCol w:w="4832"/>
        <w:gridCol w:w="596"/>
        <w:gridCol w:w="657"/>
        <w:gridCol w:w="1182"/>
        <w:gridCol w:w="920"/>
        <w:gridCol w:w="814"/>
      </w:tblGrid>
      <w:tr w14:paraId="3181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jc w:val="center"/>
        </w:trPr>
        <w:tc>
          <w:tcPr>
            <w:tcW w:w="300" w:type="pct"/>
            <w:noWrap w:val="0"/>
            <w:tcMar>
              <w:top w:w="14" w:type="dxa"/>
              <w:left w:w="14" w:type="dxa"/>
              <w:right w:w="14" w:type="dxa"/>
            </w:tcMar>
            <w:vAlign w:val="center"/>
          </w:tcPr>
          <w:p w14:paraId="1D0C9664">
            <w:pPr>
              <w:keepNext w:val="0"/>
              <w:keepLines w:val="0"/>
              <w:widowControl/>
              <w:suppressLineNumbers w:val="0"/>
              <w:jc w:val="center"/>
              <w:textAlignment w:val="center"/>
              <w:rPr>
                <w:rFonts w:hint="eastAsia" w:ascii="宋体" w:hAnsi="宋体" w:eastAsia="宋体" w:cs="宋体"/>
                <w:b/>
                <w:bCs/>
                <w:i w:val="0"/>
                <w:color w:val="000000"/>
                <w:sz w:val="21"/>
                <w:szCs w:val="21"/>
                <w:highlight w:val="none"/>
                <w:u w:val="none"/>
              </w:rPr>
            </w:pPr>
            <w:r>
              <w:rPr>
                <w:rFonts w:hint="eastAsia" w:ascii="宋体" w:hAnsi="宋体" w:eastAsia="宋体" w:cs="宋体"/>
                <w:b/>
                <w:bCs/>
                <w:i w:val="0"/>
                <w:color w:val="000000"/>
                <w:kern w:val="0"/>
                <w:sz w:val="21"/>
                <w:szCs w:val="21"/>
                <w:highlight w:val="none"/>
                <w:u w:val="none"/>
                <w:lang w:val="en-US" w:eastAsia="zh-CN" w:bidi="ar"/>
              </w:rPr>
              <w:t>序号</w:t>
            </w:r>
          </w:p>
        </w:tc>
        <w:tc>
          <w:tcPr>
            <w:tcW w:w="2523" w:type="pct"/>
            <w:noWrap w:val="0"/>
            <w:tcMar>
              <w:top w:w="14" w:type="dxa"/>
              <w:left w:w="14" w:type="dxa"/>
              <w:right w:w="14" w:type="dxa"/>
            </w:tcMar>
            <w:vAlign w:val="center"/>
          </w:tcPr>
          <w:p w14:paraId="3E36C4BB">
            <w:pPr>
              <w:keepNext w:val="0"/>
              <w:keepLines w:val="0"/>
              <w:widowControl/>
              <w:suppressLineNumbers w:val="0"/>
              <w:jc w:val="center"/>
              <w:textAlignment w:val="center"/>
              <w:rPr>
                <w:rFonts w:hint="eastAsia" w:ascii="宋体" w:hAnsi="宋体" w:eastAsia="宋体" w:cs="宋体"/>
                <w:b/>
                <w:bCs/>
                <w:i w:val="0"/>
                <w:color w:val="000000"/>
                <w:sz w:val="21"/>
                <w:szCs w:val="21"/>
                <w:highlight w:val="none"/>
                <w:u w:val="none"/>
                <w:lang w:val="en-US"/>
              </w:rPr>
            </w:pPr>
            <w:r>
              <w:rPr>
                <w:rFonts w:hint="eastAsia" w:ascii="宋体" w:hAnsi="宋体" w:eastAsia="宋体" w:cs="宋体"/>
                <w:b/>
                <w:bCs/>
                <w:i w:val="0"/>
                <w:color w:val="000000"/>
                <w:kern w:val="0"/>
                <w:sz w:val="21"/>
                <w:szCs w:val="21"/>
                <w:highlight w:val="none"/>
                <w:u w:val="none"/>
                <w:lang w:val="en-US" w:eastAsia="zh-CN" w:bidi="ar"/>
              </w:rPr>
              <w:t>标段名称</w:t>
            </w:r>
          </w:p>
        </w:tc>
        <w:tc>
          <w:tcPr>
            <w:tcW w:w="311" w:type="pct"/>
            <w:noWrap w:val="0"/>
            <w:tcMar>
              <w:top w:w="14" w:type="dxa"/>
              <w:left w:w="14" w:type="dxa"/>
              <w:right w:w="14" w:type="dxa"/>
            </w:tcMar>
            <w:vAlign w:val="center"/>
          </w:tcPr>
          <w:p w14:paraId="20F7A890">
            <w:pPr>
              <w:keepNext w:val="0"/>
              <w:keepLines w:val="0"/>
              <w:widowControl/>
              <w:suppressLineNumbers w:val="0"/>
              <w:jc w:val="center"/>
              <w:textAlignment w:val="center"/>
              <w:rPr>
                <w:rFonts w:hint="eastAsia" w:ascii="宋体" w:hAnsi="宋体" w:eastAsia="宋体" w:cs="宋体"/>
                <w:b/>
                <w:bCs/>
                <w:i w:val="0"/>
                <w:color w:val="000000"/>
                <w:kern w:val="2"/>
                <w:sz w:val="21"/>
                <w:szCs w:val="21"/>
                <w:highlight w:val="none"/>
                <w:u w:val="none"/>
                <w:lang w:val="en-US" w:eastAsia="zh-CN" w:bidi="ar-SA"/>
              </w:rPr>
            </w:pPr>
            <w:r>
              <w:rPr>
                <w:rFonts w:hint="eastAsia" w:ascii="宋体" w:hAnsi="宋体" w:eastAsia="宋体" w:cs="宋体"/>
                <w:b/>
                <w:bCs/>
                <w:i w:val="0"/>
                <w:color w:val="000000"/>
                <w:kern w:val="0"/>
                <w:sz w:val="21"/>
                <w:szCs w:val="21"/>
                <w:highlight w:val="none"/>
                <w:u w:val="none"/>
                <w:lang w:val="en-US" w:eastAsia="zh-CN" w:bidi="ar"/>
              </w:rPr>
              <w:t>单位</w:t>
            </w:r>
          </w:p>
        </w:tc>
        <w:tc>
          <w:tcPr>
            <w:tcW w:w="343" w:type="pct"/>
            <w:noWrap w:val="0"/>
            <w:tcMar>
              <w:top w:w="14" w:type="dxa"/>
              <w:left w:w="14" w:type="dxa"/>
              <w:right w:w="14" w:type="dxa"/>
            </w:tcMar>
            <w:vAlign w:val="center"/>
          </w:tcPr>
          <w:p w14:paraId="65640A65">
            <w:pPr>
              <w:keepNext w:val="0"/>
              <w:keepLines w:val="0"/>
              <w:widowControl/>
              <w:suppressLineNumbers w:val="0"/>
              <w:jc w:val="center"/>
              <w:textAlignment w:val="center"/>
              <w:rPr>
                <w:rFonts w:hint="eastAsia" w:ascii="宋体" w:hAnsi="宋体" w:eastAsia="宋体" w:cs="宋体"/>
                <w:b/>
                <w:bCs/>
                <w:i w:val="0"/>
                <w:color w:val="000000"/>
                <w:kern w:val="2"/>
                <w:sz w:val="21"/>
                <w:szCs w:val="21"/>
                <w:highlight w:val="none"/>
                <w:u w:val="none"/>
                <w:lang w:val="en-US" w:eastAsia="zh-CN" w:bidi="ar-SA"/>
              </w:rPr>
            </w:pPr>
            <w:r>
              <w:rPr>
                <w:rFonts w:hint="eastAsia" w:ascii="宋体" w:hAnsi="宋体" w:eastAsia="宋体" w:cs="宋体"/>
                <w:b/>
                <w:bCs/>
                <w:i w:val="0"/>
                <w:color w:val="000000"/>
                <w:kern w:val="0"/>
                <w:sz w:val="21"/>
                <w:szCs w:val="21"/>
                <w:highlight w:val="none"/>
                <w:u w:val="none"/>
                <w:lang w:val="en-US" w:eastAsia="zh-CN" w:bidi="ar"/>
              </w:rPr>
              <w:t>数量</w:t>
            </w:r>
          </w:p>
        </w:tc>
        <w:tc>
          <w:tcPr>
            <w:tcW w:w="616" w:type="pct"/>
            <w:noWrap w:val="0"/>
            <w:tcMar>
              <w:top w:w="14" w:type="dxa"/>
              <w:left w:w="14" w:type="dxa"/>
              <w:right w:w="14" w:type="dxa"/>
            </w:tcMar>
            <w:vAlign w:val="center"/>
          </w:tcPr>
          <w:p w14:paraId="3CC80A8C">
            <w:pPr>
              <w:keepNext w:val="0"/>
              <w:keepLines w:val="0"/>
              <w:widowControl/>
              <w:suppressLineNumbers w:val="0"/>
              <w:jc w:val="center"/>
              <w:textAlignment w:val="center"/>
              <w:rPr>
                <w:rFonts w:hint="eastAsia" w:ascii="宋体" w:hAnsi="宋体" w:eastAsia="宋体" w:cs="宋体"/>
                <w:b/>
                <w:bCs/>
                <w:i w:val="0"/>
                <w:color w:val="000000"/>
                <w:kern w:val="0"/>
                <w:sz w:val="21"/>
                <w:szCs w:val="21"/>
                <w:highlight w:val="none"/>
                <w:u w:val="none"/>
                <w:lang w:val="en-US" w:eastAsia="zh-CN" w:bidi="ar"/>
              </w:rPr>
            </w:pPr>
            <w:r>
              <w:rPr>
                <w:rFonts w:hint="eastAsia" w:ascii="宋体" w:hAnsi="宋体" w:eastAsia="宋体" w:cs="宋体"/>
                <w:b/>
                <w:bCs/>
                <w:i w:val="0"/>
                <w:color w:val="000000"/>
                <w:kern w:val="0"/>
                <w:sz w:val="21"/>
                <w:szCs w:val="21"/>
                <w:highlight w:val="none"/>
                <w:u w:val="none"/>
                <w:lang w:val="en-US" w:eastAsia="zh-CN" w:bidi="ar"/>
              </w:rPr>
              <w:t>最高限价</w:t>
            </w:r>
          </w:p>
          <w:p w14:paraId="1B8A0770">
            <w:pPr>
              <w:keepNext w:val="0"/>
              <w:keepLines w:val="0"/>
              <w:widowControl/>
              <w:suppressLineNumbers w:val="0"/>
              <w:jc w:val="center"/>
              <w:textAlignment w:val="center"/>
              <w:rPr>
                <w:rFonts w:hint="eastAsia" w:ascii="宋体" w:hAnsi="宋体" w:eastAsia="宋体" w:cs="宋体"/>
                <w:b/>
                <w:bCs/>
                <w:i w:val="0"/>
                <w:color w:val="000000"/>
                <w:sz w:val="21"/>
                <w:szCs w:val="21"/>
                <w:highlight w:val="none"/>
                <w:u w:val="none"/>
              </w:rPr>
            </w:pPr>
            <w:r>
              <w:rPr>
                <w:rFonts w:hint="eastAsia" w:ascii="宋体" w:hAnsi="宋体" w:eastAsia="宋体" w:cs="宋体"/>
                <w:b/>
                <w:bCs/>
                <w:i w:val="0"/>
                <w:color w:val="000000"/>
                <w:kern w:val="0"/>
                <w:sz w:val="21"/>
                <w:szCs w:val="21"/>
                <w:highlight w:val="none"/>
                <w:u w:val="none"/>
                <w:lang w:val="en-US" w:eastAsia="zh-CN" w:bidi="ar"/>
              </w:rPr>
              <w:t>（万元）</w:t>
            </w:r>
          </w:p>
        </w:tc>
        <w:tc>
          <w:tcPr>
            <w:tcW w:w="480" w:type="pct"/>
            <w:noWrap w:val="0"/>
            <w:tcMar>
              <w:top w:w="14" w:type="dxa"/>
              <w:left w:w="14" w:type="dxa"/>
              <w:right w:w="14" w:type="dxa"/>
            </w:tcMar>
            <w:vAlign w:val="center"/>
          </w:tcPr>
          <w:p w14:paraId="75FD9E16">
            <w:pPr>
              <w:keepNext w:val="0"/>
              <w:keepLines w:val="0"/>
              <w:widowControl/>
              <w:suppressLineNumbers w:val="0"/>
              <w:jc w:val="center"/>
              <w:textAlignment w:val="center"/>
              <w:rPr>
                <w:rFonts w:hint="eastAsia" w:ascii="宋体" w:hAnsi="宋体" w:eastAsia="宋体" w:cs="宋体"/>
                <w:b/>
                <w:bCs/>
                <w:i w:val="0"/>
                <w:color w:val="000000"/>
                <w:kern w:val="0"/>
                <w:sz w:val="21"/>
                <w:szCs w:val="21"/>
                <w:highlight w:val="none"/>
                <w:u w:val="none"/>
                <w:lang w:val="en-US" w:eastAsia="zh-CN" w:bidi="ar"/>
              </w:rPr>
            </w:pPr>
            <w:r>
              <w:rPr>
                <w:rFonts w:hint="eastAsia" w:ascii="宋体" w:hAnsi="宋体" w:eastAsia="宋体" w:cs="宋体"/>
                <w:b/>
                <w:bCs/>
                <w:i w:val="0"/>
                <w:color w:val="000000"/>
                <w:kern w:val="0"/>
                <w:sz w:val="21"/>
                <w:szCs w:val="21"/>
                <w:highlight w:val="none"/>
                <w:u w:val="none"/>
                <w:lang w:val="en-US" w:eastAsia="zh-CN" w:bidi="ar"/>
              </w:rPr>
              <w:t>标段划分</w:t>
            </w:r>
          </w:p>
        </w:tc>
        <w:tc>
          <w:tcPr>
            <w:tcW w:w="424" w:type="pct"/>
            <w:noWrap w:val="0"/>
            <w:tcMar>
              <w:top w:w="14" w:type="dxa"/>
              <w:left w:w="14" w:type="dxa"/>
              <w:right w:w="14" w:type="dxa"/>
            </w:tcMar>
            <w:vAlign w:val="center"/>
          </w:tcPr>
          <w:p w14:paraId="3D93B44B">
            <w:pPr>
              <w:keepNext w:val="0"/>
              <w:keepLines w:val="0"/>
              <w:widowControl/>
              <w:suppressLineNumbers w:val="0"/>
              <w:jc w:val="center"/>
              <w:textAlignment w:val="center"/>
              <w:rPr>
                <w:rFonts w:hint="eastAsia" w:ascii="宋体" w:hAnsi="宋体" w:eastAsia="宋体" w:cs="宋体"/>
                <w:b/>
                <w:bCs/>
                <w:i w:val="0"/>
                <w:color w:val="000000"/>
                <w:kern w:val="0"/>
                <w:sz w:val="21"/>
                <w:szCs w:val="21"/>
                <w:highlight w:val="none"/>
                <w:u w:val="none"/>
                <w:lang w:val="en-US" w:eastAsia="zh-CN" w:bidi="ar"/>
              </w:rPr>
            </w:pPr>
            <w:r>
              <w:rPr>
                <w:rFonts w:hint="eastAsia" w:ascii="宋体" w:hAnsi="宋体" w:eastAsia="宋体" w:cs="宋体"/>
                <w:b/>
                <w:bCs/>
                <w:i w:val="0"/>
                <w:color w:val="000000"/>
                <w:kern w:val="0"/>
                <w:sz w:val="21"/>
                <w:szCs w:val="21"/>
                <w:highlight w:val="none"/>
                <w:u w:val="none"/>
                <w:lang w:val="en-US" w:eastAsia="zh-CN" w:bidi="ar"/>
              </w:rPr>
              <w:t>限中要求</w:t>
            </w:r>
          </w:p>
        </w:tc>
      </w:tr>
      <w:tr w14:paraId="42BF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300" w:type="pct"/>
            <w:noWrap w:val="0"/>
            <w:tcMar>
              <w:top w:w="14" w:type="dxa"/>
              <w:left w:w="14" w:type="dxa"/>
              <w:right w:w="14" w:type="dxa"/>
            </w:tcMar>
            <w:vAlign w:val="center"/>
          </w:tcPr>
          <w:p w14:paraId="481E5D21">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color w:val="000000"/>
                <w:kern w:val="0"/>
                <w:sz w:val="21"/>
                <w:szCs w:val="21"/>
                <w:highlight w:val="none"/>
                <w:u w:val="none"/>
                <w:lang w:val="en-US" w:eastAsia="zh-CN" w:bidi="ar"/>
              </w:rPr>
              <w:t>1</w:t>
            </w:r>
          </w:p>
        </w:tc>
        <w:tc>
          <w:tcPr>
            <w:tcW w:w="2523" w:type="pct"/>
            <w:noWrap w:val="0"/>
            <w:tcMar>
              <w:top w:w="14" w:type="dxa"/>
              <w:left w:w="14" w:type="dxa"/>
              <w:right w:w="14" w:type="dxa"/>
            </w:tcMar>
            <w:vAlign w:val="center"/>
          </w:tcPr>
          <w:p w14:paraId="5C6371C3">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color w:val="000000"/>
                <w:kern w:val="0"/>
                <w:sz w:val="21"/>
                <w:szCs w:val="21"/>
                <w:highlight w:val="none"/>
                <w:u w:val="none"/>
                <w:lang w:val="en-US" w:eastAsia="zh-CN" w:bidi="ar"/>
              </w:rPr>
              <w:t>锡林郭勒供电公司2024年一体化生产技改项目施工（修试管理处、正镶白旗供电分公司、信息通信处、调度管理处、多伦供电分公司、阿巴嘎旗供电分公司、乌拉盖供电分公司、苏尼特左旗供电分公司、西乌珠穆沁供电分公司、变电管理二处、变电一处、输电管理处、镶黄旗供电分公司、太仆寺旗供电分公司、修试管理处）</w:t>
            </w:r>
          </w:p>
        </w:tc>
        <w:tc>
          <w:tcPr>
            <w:tcW w:w="311" w:type="pct"/>
            <w:noWrap w:val="0"/>
            <w:tcMar>
              <w:top w:w="14" w:type="dxa"/>
              <w:left w:w="14" w:type="dxa"/>
              <w:right w:w="14" w:type="dxa"/>
            </w:tcMar>
            <w:vAlign w:val="center"/>
          </w:tcPr>
          <w:p w14:paraId="5E3CFD39">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color w:val="000000"/>
                <w:kern w:val="0"/>
                <w:sz w:val="21"/>
                <w:szCs w:val="21"/>
                <w:highlight w:val="none"/>
                <w:u w:val="none"/>
                <w:lang w:val="en-US" w:eastAsia="zh-CN" w:bidi="ar"/>
              </w:rPr>
              <w:t>项</w:t>
            </w:r>
          </w:p>
        </w:tc>
        <w:tc>
          <w:tcPr>
            <w:tcW w:w="343" w:type="pct"/>
            <w:noWrap w:val="0"/>
            <w:tcMar>
              <w:top w:w="14" w:type="dxa"/>
              <w:left w:w="14" w:type="dxa"/>
              <w:right w:w="14" w:type="dxa"/>
            </w:tcMar>
            <w:vAlign w:val="center"/>
          </w:tcPr>
          <w:p w14:paraId="151590F8">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color w:val="000000"/>
                <w:kern w:val="0"/>
                <w:sz w:val="21"/>
                <w:szCs w:val="21"/>
                <w:highlight w:val="none"/>
                <w:u w:val="none"/>
                <w:lang w:val="en-US" w:eastAsia="zh-CN" w:bidi="ar"/>
              </w:rPr>
              <w:t>1</w:t>
            </w:r>
          </w:p>
        </w:tc>
        <w:tc>
          <w:tcPr>
            <w:tcW w:w="616" w:type="pct"/>
            <w:noWrap w:val="0"/>
            <w:tcMar>
              <w:top w:w="14" w:type="dxa"/>
              <w:left w:w="14" w:type="dxa"/>
              <w:right w:w="14" w:type="dxa"/>
            </w:tcMar>
            <w:vAlign w:val="center"/>
          </w:tcPr>
          <w:p w14:paraId="67FE545D">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color w:val="000000"/>
                <w:kern w:val="0"/>
                <w:sz w:val="21"/>
                <w:szCs w:val="21"/>
                <w:highlight w:val="none"/>
                <w:u w:val="none"/>
                <w:lang w:val="en-US" w:eastAsia="zh-CN" w:bidi="ar"/>
              </w:rPr>
              <w:t>1030.1022</w:t>
            </w:r>
          </w:p>
        </w:tc>
        <w:tc>
          <w:tcPr>
            <w:tcW w:w="480" w:type="pct"/>
            <w:noWrap w:val="0"/>
            <w:tcMar>
              <w:top w:w="14" w:type="dxa"/>
              <w:left w:w="14" w:type="dxa"/>
              <w:right w:w="14" w:type="dxa"/>
            </w:tcMar>
            <w:vAlign w:val="center"/>
          </w:tcPr>
          <w:p w14:paraId="2F004326">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color w:val="000000"/>
                <w:kern w:val="0"/>
                <w:sz w:val="21"/>
                <w:szCs w:val="21"/>
                <w:highlight w:val="none"/>
                <w:u w:val="none"/>
                <w:lang w:val="en-US" w:eastAsia="zh-CN" w:bidi="ar"/>
              </w:rPr>
              <w:t>第1标段</w:t>
            </w:r>
          </w:p>
        </w:tc>
        <w:tc>
          <w:tcPr>
            <w:tcW w:w="424" w:type="pct"/>
            <w:vMerge w:val="restart"/>
            <w:noWrap w:val="0"/>
            <w:tcMar>
              <w:top w:w="14" w:type="dxa"/>
              <w:left w:w="14" w:type="dxa"/>
              <w:right w:w="14" w:type="dxa"/>
            </w:tcMar>
            <w:vAlign w:val="center"/>
          </w:tcPr>
          <w:p w14:paraId="6ECF2E04">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限中一个标段</w:t>
            </w:r>
          </w:p>
        </w:tc>
      </w:tr>
      <w:tr w14:paraId="2BA5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jc w:val="center"/>
        </w:trPr>
        <w:tc>
          <w:tcPr>
            <w:tcW w:w="300" w:type="pct"/>
            <w:noWrap w:val="0"/>
            <w:tcMar>
              <w:top w:w="14" w:type="dxa"/>
              <w:left w:w="14" w:type="dxa"/>
              <w:right w:w="14" w:type="dxa"/>
            </w:tcMar>
            <w:vAlign w:val="center"/>
          </w:tcPr>
          <w:p w14:paraId="74BEB339">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color w:val="000000"/>
                <w:kern w:val="0"/>
                <w:sz w:val="21"/>
                <w:szCs w:val="21"/>
                <w:highlight w:val="none"/>
                <w:u w:val="none"/>
                <w:lang w:val="en-US" w:eastAsia="zh-CN" w:bidi="ar"/>
              </w:rPr>
              <w:t>2</w:t>
            </w:r>
          </w:p>
        </w:tc>
        <w:tc>
          <w:tcPr>
            <w:tcW w:w="2523" w:type="pct"/>
            <w:noWrap w:val="0"/>
            <w:tcMar>
              <w:top w:w="14" w:type="dxa"/>
              <w:left w:w="14" w:type="dxa"/>
              <w:right w:w="14" w:type="dxa"/>
            </w:tcMar>
            <w:vAlign w:val="center"/>
          </w:tcPr>
          <w:p w14:paraId="2A6F85BF">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color w:val="000000"/>
                <w:kern w:val="0"/>
                <w:sz w:val="21"/>
                <w:szCs w:val="21"/>
                <w:highlight w:val="none"/>
                <w:u w:val="none"/>
                <w:lang w:val="en-US" w:eastAsia="zh-CN" w:bidi="ar"/>
              </w:rPr>
              <w:t>锡林郭勒供电公司2024年一体化生产技改项目施工(西乌珠穆沁供电分公司)</w:t>
            </w:r>
          </w:p>
        </w:tc>
        <w:tc>
          <w:tcPr>
            <w:tcW w:w="311" w:type="pct"/>
            <w:noWrap w:val="0"/>
            <w:tcMar>
              <w:top w:w="14" w:type="dxa"/>
              <w:left w:w="14" w:type="dxa"/>
              <w:right w:w="14" w:type="dxa"/>
            </w:tcMar>
            <w:vAlign w:val="center"/>
          </w:tcPr>
          <w:p w14:paraId="47FBD0AF">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color w:val="000000"/>
                <w:kern w:val="0"/>
                <w:sz w:val="21"/>
                <w:szCs w:val="21"/>
                <w:highlight w:val="none"/>
                <w:u w:val="none"/>
                <w:lang w:val="en-US" w:eastAsia="zh-CN" w:bidi="ar"/>
              </w:rPr>
              <w:t>项</w:t>
            </w:r>
          </w:p>
        </w:tc>
        <w:tc>
          <w:tcPr>
            <w:tcW w:w="343" w:type="pct"/>
            <w:noWrap w:val="0"/>
            <w:tcMar>
              <w:top w:w="14" w:type="dxa"/>
              <w:left w:w="14" w:type="dxa"/>
              <w:right w:w="14" w:type="dxa"/>
            </w:tcMar>
            <w:vAlign w:val="center"/>
          </w:tcPr>
          <w:p w14:paraId="4ADAF96F">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color w:val="000000"/>
                <w:kern w:val="0"/>
                <w:sz w:val="21"/>
                <w:szCs w:val="21"/>
                <w:highlight w:val="none"/>
                <w:u w:val="none"/>
                <w:lang w:val="en-US" w:eastAsia="zh-CN" w:bidi="ar"/>
              </w:rPr>
              <w:t>1</w:t>
            </w:r>
          </w:p>
        </w:tc>
        <w:tc>
          <w:tcPr>
            <w:tcW w:w="616" w:type="pct"/>
            <w:noWrap w:val="0"/>
            <w:tcMar>
              <w:top w:w="14" w:type="dxa"/>
              <w:left w:w="14" w:type="dxa"/>
              <w:right w:w="14" w:type="dxa"/>
            </w:tcMar>
            <w:vAlign w:val="center"/>
          </w:tcPr>
          <w:p w14:paraId="0CA309E2">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color w:val="000000"/>
                <w:kern w:val="0"/>
                <w:sz w:val="21"/>
                <w:szCs w:val="21"/>
                <w:highlight w:val="none"/>
                <w:u w:val="none"/>
                <w:lang w:val="en-US" w:eastAsia="zh-CN" w:bidi="ar"/>
              </w:rPr>
              <w:t>186.0937</w:t>
            </w:r>
          </w:p>
        </w:tc>
        <w:tc>
          <w:tcPr>
            <w:tcW w:w="480" w:type="pct"/>
            <w:noWrap w:val="0"/>
            <w:tcMar>
              <w:top w:w="14" w:type="dxa"/>
              <w:left w:w="14" w:type="dxa"/>
              <w:right w:w="14" w:type="dxa"/>
            </w:tcMar>
            <w:vAlign w:val="center"/>
          </w:tcPr>
          <w:p w14:paraId="34BBE221">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color w:val="000000"/>
                <w:kern w:val="0"/>
                <w:sz w:val="21"/>
                <w:szCs w:val="21"/>
                <w:highlight w:val="none"/>
                <w:u w:val="none"/>
                <w:lang w:val="en-US" w:eastAsia="zh-CN" w:bidi="ar"/>
              </w:rPr>
              <w:t>第2标段</w:t>
            </w:r>
          </w:p>
        </w:tc>
        <w:tc>
          <w:tcPr>
            <w:tcW w:w="424" w:type="pct"/>
            <w:vMerge w:val="continue"/>
            <w:noWrap w:val="0"/>
            <w:tcMar>
              <w:top w:w="14" w:type="dxa"/>
              <w:left w:w="14" w:type="dxa"/>
              <w:right w:w="14" w:type="dxa"/>
            </w:tcMar>
            <w:vAlign w:val="center"/>
          </w:tcPr>
          <w:p w14:paraId="308A9479">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r>
      <w:tr w14:paraId="7C87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300" w:type="pct"/>
            <w:noWrap w:val="0"/>
            <w:tcMar>
              <w:top w:w="14" w:type="dxa"/>
              <w:left w:w="14" w:type="dxa"/>
              <w:right w:w="14" w:type="dxa"/>
            </w:tcMar>
            <w:vAlign w:val="center"/>
          </w:tcPr>
          <w:p w14:paraId="72B29892">
            <w:pPr>
              <w:keepNext w:val="0"/>
              <w:keepLines w:val="0"/>
              <w:widowControl/>
              <w:suppressLineNumbers w:val="0"/>
              <w:jc w:val="center"/>
              <w:textAlignment w:val="center"/>
              <w:rPr>
                <w:rFonts w:hint="default"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color w:val="000000"/>
                <w:kern w:val="0"/>
                <w:sz w:val="21"/>
                <w:szCs w:val="21"/>
                <w:highlight w:val="none"/>
                <w:u w:val="none"/>
                <w:lang w:val="en-US" w:eastAsia="zh-CN" w:bidi="ar"/>
              </w:rPr>
              <w:t>合计</w:t>
            </w:r>
          </w:p>
        </w:tc>
        <w:tc>
          <w:tcPr>
            <w:tcW w:w="2523" w:type="pct"/>
            <w:noWrap w:val="0"/>
            <w:tcMar>
              <w:top w:w="14" w:type="dxa"/>
              <w:left w:w="14" w:type="dxa"/>
              <w:right w:w="14" w:type="dxa"/>
            </w:tcMar>
            <w:vAlign w:val="center"/>
          </w:tcPr>
          <w:p w14:paraId="054514FF">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p>
        </w:tc>
        <w:tc>
          <w:tcPr>
            <w:tcW w:w="311" w:type="pct"/>
            <w:noWrap w:val="0"/>
            <w:tcMar>
              <w:top w:w="14" w:type="dxa"/>
              <w:left w:w="14" w:type="dxa"/>
              <w:right w:w="14" w:type="dxa"/>
            </w:tcMar>
            <w:vAlign w:val="center"/>
          </w:tcPr>
          <w:p w14:paraId="2ED27959">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p>
        </w:tc>
        <w:tc>
          <w:tcPr>
            <w:tcW w:w="343" w:type="pct"/>
            <w:noWrap w:val="0"/>
            <w:tcMar>
              <w:top w:w="14" w:type="dxa"/>
              <w:left w:w="14" w:type="dxa"/>
              <w:right w:w="14" w:type="dxa"/>
            </w:tcMar>
            <w:vAlign w:val="center"/>
          </w:tcPr>
          <w:p w14:paraId="574F1364">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p>
        </w:tc>
        <w:tc>
          <w:tcPr>
            <w:tcW w:w="616" w:type="pct"/>
            <w:noWrap w:val="0"/>
            <w:tcMar>
              <w:top w:w="14" w:type="dxa"/>
              <w:left w:w="14" w:type="dxa"/>
              <w:right w:w="14" w:type="dxa"/>
            </w:tcMar>
            <w:vAlign w:val="center"/>
          </w:tcPr>
          <w:p w14:paraId="5295EF58">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color w:val="000000"/>
                <w:kern w:val="0"/>
                <w:sz w:val="21"/>
                <w:szCs w:val="21"/>
                <w:highlight w:val="none"/>
                <w:u w:val="none"/>
                <w:lang w:val="en-US" w:eastAsia="zh-CN" w:bidi="ar"/>
              </w:rPr>
              <w:t>1216.1959</w:t>
            </w:r>
          </w:p>
        </w:tc>
        <w:tc>
          <w:tcPr>
            <w:tcW w:w="480" w:type="pct"/>
            <w:noWrap w:val="0"/>
            <w:tcMar>
              <w:top w:w="14" w:type="dxa"/>
              <w:left w:w="14" w:type="dxa"/>
              <w:right w:w="14" w:type="dxa"/>
            </w:tcMar>
            <w:vAlign w:val="center"/>
          </w:tcPr>
          <w:p w14:paraId="6097D7FC">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p>
        </w:tc>
        <w:tc>
          <w:tcPr>
            <w:tcW w:w="424" w:type="pct"/>
            <w:noWrap w:val="0"/>
            <w:tcMar>
              <w:top w:w="14" w:type="dxa"/>
              <w:left w:w="14" w:type="dxa"/>
              <w:right w:w="14" w:type="dxa"/>
            </w:tcMar>
            <w:vAlign w:val="center"/>
          </w:tcPr>
          <w:p w14:paraId="0F26D3F2">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r>
    </w:tbl>
    <w:p w14:paraId="4514F02D">
      <w:pPr>
        <w:pStyle w:val="9"/>
        <w:spacing w:before="0" w:beforeAutospacing="0" w:after="0" w:afterAutospacing="0" w:line="360" w:lineRule="auto"/>
        <w:ind w:left="0" w:leftChars="0" w:firstLine="478" w:firstLineChars="228"/>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8.质量要求：符合国家电力工程质量验评标准，并符合国家相关专业的其它验收标准。</w:t>
      </w:r>
    </w:p>
    <w:p w14:paraId="7F2C0BD8">
      <w:pPr>
        <w:pStyle w:val="9"/>
        <w:spacing w:before="0" w:beforeAutospacing="0" w:after="0" w:afterAutospacing="0" w:line="360" w:lineRule="auto"/>
        <w:ind w:left="0" w:leftChars="0" w:firstLine="478" w:firstLineChars="228"/>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9.安全要求：符合国家电力工程安全验收标准，并符合国家相关专业的其它验收标准。</w:t>
      </w:r>
    </w:p>
    <w:p w14:paraId="7973FCC2">
      <w:pPr>
        <w:pStyle w:val="9"/>
        <w:spacing w:before="0" w:beforeAutospacing="0" w:after="0" w:afterAutospacing="0" w:line="360" w:lineRule="auto"/>
        <w:ind w:left="0" w:leftChars="0" w:firstLine="478" w:firstLineChars="228"/>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10.限中要求：同一投标人可同时参与本项目多个标段的投标，但每个投标人最多只允许中标1个标段。当某一投标人在多个标段中同时评标综合得分最高时，则优先投标报价金额高的1个标段推荐其为第一中标候选人。投标报价金额相同时，评标委员会对其综合得分高的标段推荐，如综合得分也相同，对其商务技术标得分高的标段推荐；如商务技术标得分也相同，由评标委员会采取集体投票的方式确定。投标人被推荐中标候选人第一名后，则该投标人在剩余标段的投标只参与评审，不参加排序（排序为空）和推荐中标候选人。 </w:t>
      </w:r>
    </w:p>
    <w:p w14:paraId="75A94112">
      <w:pPr>
        <w:pStyle w:val="6"/>
        <w:spacing w:before="0" w:after="0"/>
        <w:rPr>
          <w:rFonts w:hint="eastAsia" w:ascii="宋体" w:hAnsi="宋体" w:eastAsia="宋体" w:cs="宋体"/>
          <w:color w:val="000000"/>
          <w:sz w:val="21"/>
          <w:szCs w:val="21"/>
          <w:highlight w:val="none"/>
        </w:rPr>
      </w:pPr>
      <w:bookmarkStart w:id="4" w:name="_Toc4123"/>
      <w:bookmarkStart w:id="5" w:name="_Toc12689"/>
      <w:bookmarkStart w:id="6" w:name="_Toc20802"/>
      <w:r>
        <w:rPr>
          <w:rFonts w:hint="eastAsia" w:ascii="宋体" w:hAnsi="宋体" w:eastAsia="宋体" w:cs="宋体"/>
          <w:color w:val="000000"/>
          <w:sz w:val="21"/>
          <w:szCs w:val="21"/>
          <w:highlight w:val="none"/>
          <w:lang w:val="en-US" w:eastAsia="zh-CN"/>
        </w:rPr>
        <w:t>三</w:t>
      </w:r>
      <w:r>
        <w:rPr>
          <w:rFonts w:hint="eastAsia" w:ascii="宋体" w:hAnsi="宋体" w:eastAsia="宋体" w:cs="宋体"/>
          <w:color w:val="000000"/>
          <w:sz w:val="21"/>
          <w:szCs w:val="21"/>
          <w:highlight w:val="none"/>
        </w:rPr>
        <w:t>、投标人资格要求</w:t>
      </w:r>
      <w:bookmarkEnd w:id="4"/>
      <w:bookmarkEnd w:id="5"/>
      <w:bookmarkEnd w:id="6"/>
    </w:p>
    <w:p w14:paraId="365E4883">
      <w:pPr>
        <w:spacing w:line="360" w:lineRule="auto"/>
        <w:ind w:firstLine="422" w:firstLineChars="200"/>
        <w:jc w:val="left"/>
        <w:rPr>
          <w:rFonts w:hint="eastAsia" w:ascii="宋体" w:hAnsi="宋体" w:eastAsia="宋体" w:cs="宋体"/>
          <w:b/>
          <w:color w:val="000000"/>
          <w:sz w:val="21"/>
          <w:szCs w:val="21"/>
          <w:highlight w:val="none"/>
        </w:rPr>
      </w:pPr>
      <w:bookmarkStart w:id="7" w:name="_Hlk39097550"/>
      <w:r>
        <w:rPr>
          <w:rFonts w:hint="eastAsia" w:ascii="宋体" w:hAnsi="宋体" w:eastAsia="宋体" w:cs="宋体"/>
          <w:b/>
          <w:color w:val="000000"/>
          <w:sz w:val="21"/>
          <w:szCs w:val="21"/>
          <w:highlight w:val="none"/>
        </w:rPr>
        <w:t>通用资格要求</w:t>
      </w:r>
    </w:p>
    <w:p w14:paraId="79B89D7A">
      <w:pPr>
        <w:pStyle w:val="9"/>
        <w:spacing w:before="0" w:beforeAutospacing="0" w:after="0" w:afterAutospacing="0" w:line="360" w:lineRule="auto"/>
        <w:ind w:left="0" w:leftChars="0" w:firstLine="478" w:firstLineChars="228"/>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1.投标人为中华人民共和国境内依法注册的企业法人或其他组织，且具有独立订立合同的权利；</w:t>
      </w:r>
    </w:p>
    <w:p w14:paraId="0AF87828">
      <w:pPr>
        <w:pStyle w:val="9"/>
        <w:spacing w:before="0" w:beforeAutospacing="0" w:after="0" w:afterAutospacing="0" w:line="360" w:lineRule="auto"/>
        <w:ind w:left="0" w:leftChars="0" w:firstLine="478" w:firstLineChars="228"/>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2.单位负责人为同一人或者存在控股、管理关系的不同单位，不得参加同一包投标或者未划分包的同一采购项目投标。母子公司不能互用资质、业绩；</w:t>
      </w:r>
    </w:p>
    <w:p w14:paraId="001B20EA">
      <w:pPr>
        <w:pStyle w:val="9"/>
        <w:spacing w:before="0" w:beforeAutospacing="0" w:after="0" w:afterAutospacing="0" w:line="360" w:lineRule="auto"/>
        <w:ind w:left="0" w:leftChars="0" w:firstLine="478" w:firstLineChars="228"/>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3.投标人具有国家相关部门颁发且有效的营业执照，企业如有信息变更，需出具工商部门变更说明；</w:t>
      </w:r>
    </w:p>
    <w:p w14:paraId="689E9D7D">
      <w:pPr>
        <w:pStyle w:val="9"/>
        <w:spacing w:before="0" w:beforeAutospacing="0" w:after="0" w:afterAutospacing="0" w:line="360" w:lineRule="auto"/>
        <w:ind w:left="0" w:leftChars="0" w:firstLine="478" w:firstLineChars="228"/>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4.投标人须为一般纳税人企业； </w:t>
      </w:r>
    </w:p>
    <w:p w14:paraId="411FC7D7">
      <w:pPr>
        <w:pStyle w:val="9"/>
        <w:spacing w:before="0" w:beforeAutospacing="0" w:after="0" w:afterAutospacing="0" w:line="360" w:lineRule="auto"/>
        <w:ind w:left="0" w:leftChars="0" w:firstLine="478" w:firstLineChars="228"/>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5.投标人及其法定代表人在近三年内（自招标文件发布之日起前三年）未有行贿犯罪行为的。</w:t>
      </w:r>
    </w:p>
    <w:p w14:paraId="52762197">
      <w:pPr>
        <w:pStyle w:val="9"/>
        <w:spacing w:before="0" w:beforeAutospacing="0" w:after="0" w:afterAutospacing="0" w:line="360" w:lineRule="auto"/>
        <w:ind w:left="0" w:leftChars="0" w:firstLine="481" w:firstLineChars="228"/>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注：投标人需提供近三年内（自招标文件发布之日起前三年）投标人在中国裁判文书网无行贿犯罪档案的查询结果截图和其法定代表人在中国裁判文书网无行贿犯罪档案的查询结果截图（http://wenshu.court.gov.cn/），查询结果截图中须包含：“当事人”为投标人名称或投标人法定代表人，“全文”为“行贿罪”，“裁判日期”不得少于近三年（自招标文件发布之日起前三年）。</w:t>
      </w:r>
    </w:p>
    <w:p w14:paraId="08823990">
      <w:pPr>
        <w:pStyle w:val="9"/>
        <w:spacing w:before="0" w:beforeAutospacing="0" w:after="0" w:afterAutospacing="0" w:line="360" w:lineRule="auto"/>
        <w:ind w:left="0" w:leftChars="0" w:firstLine="478" w:firstLineChars="228"/>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6.投标人未被工商行政管理机关在国家企业信用信息公示系统中列入“严重违法失信企业名单”。</w:t>
      </w:r>
    </w:p>
    <w:p w14:paraId="7F1DD7ED">
      <w:pPr>
        <w:pStyle w:val="9"/>
        <w:spacing w:before="0" w:beforeAutospacing="0" w:after="0" w:afterAutospacing="0" w:line="360" w:lineRule="auto"/>
        <w:ind w:left="0" w:leftChars="0" w:firstLine="481" w:firstLineChars="228"/>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注：投标人需提供投标人在国家企业信用信息公示系统（www.gsxt.gov.cn）针对“严重违法失信企业名单”的查询结果截图，查询结果截图中须包含：投标人名称、统一社会信用代码、列入严重违法失信名单（黑名单）信息。</w:t>
      </w:r>
    </w:p>
    <w:p w14:paraId="550A3673">
      <w:pPr>
        <w:pStyle w:val="9"/>
        <w:spacing w:before="0" w:beforeAutospacing="0" w:after="0" w:afterAutospacing="0" w:line="360" w:lineRule="auto"/>
        <w:ind w:left="0" w:leftChars="0" w:firstLine="478" w:firstLineChars="228"/>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7.投标人未被最高人民法院在“信用中国”网站（www.creditchina.gov.cn）或各级信用信息共享平台中列入失信被执行人名单。</w:t>
      </w:r>
    </w:p>
    <w:p w14:paraId="549F828A">
      <w:pPr>
        <w:pStyle w:val="9"/>
        <w:spacing w:before="0" w:beforeAutospacing="0" w:after="0" w:afterAutospacing="0" w:line="360" w:lineRule="auto"/>
        <w:ind w:left="0" w:leftChars="0" w:firstLine="481" w:firstLineChars="228"/>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注：投标人需提供在“信用中国”网站（www.creditchina.gov.cn）或各级信用信息共享平台中列入失信被执行人名单信息的查询结果截图，在“信用中国”的查询结果截图须能体现投标人在“中国执行信息公开网”的查询结果。</w:t>
      </w:r>
    </w:p>
    <w:p w14:paraId="7B685AF0">
      <w:pPr>
        <w:pStyle w:val="9"/>
        <w:spacing w:before="0" w:beforeAutospacing="0" w:after="0" w:afterAutospacing="0" w:line="360" w:lineRule="auto"/>
        <w:ind w:left="0" w:leftChars="0" w:firstLine="481" w:firstLineChars="228"/>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信用中国”查询方式：“信用中国”→“信用服务”→“失信被执行人”，在弹出窗口进入链接网站（“中国执行信息公开网”），在查询窗口输入查询企业名称，在查询省份范围中选择“全国”，将查询结果截图。</w:t>
      </w:r>
    </w:p>
    <w:p w14:paraId="101DAAFF">
      <w:pPr>
        <w:pStyle w:val="9"/>
        <w:spacing w:before="0" w:beforeAutospacing="0" w:after="0" w:afterAutospacing="0" w:line="360" w:lineRule="auto"/>
        <w:ind w:left="0" w:leftChars="0" w:firstLine="478" w:firstLineChars="228"/>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投标人未因发生过骗取中标和严重违约、质量事故及重大合同纠纷被上级部门（内蒙古电力（集团）有限责任公司）通报/披露取消投标资格，并且目前不处于处罚期内。按照内蒙古电力（集团）有限责任公司《关于对投标人不良行为处理的通知》的规定，未列入最新发布的不良供应商名单；</w:t>
      </w:r>
    </w:p>
    <w:p w14:paraId="4FA64DC8">
      <w:pPr>
        <w:pStyle w:val="9"/>
        <w:spacing w:before="0" w:beforeAutospacing="0" w:after="0" w:afterAutospacing="0" w:line="360" w:lineRule="auto"/>
        <w:ind w:left="0" w:leftChars="0" w:firstLine="478" w:firstLineChars="228"/>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9.投标人未被列入中电联发布的涉电力领域失信联合惩戒对象名单及涉电力领域重点关注对象名单（截止到最新所有名单）；</w:t>
      </w:r>
    </w:p>
    <w:p w14:paraId="3C50DEC5">
      <w:pPr>
        <w:pStyle w:val="9"/>
        <w:spacing w:before="0" w:beforeAutospacing="0" w:after="0" w:afterAutospacing="0" w:line="360" w:lineRule="auto"/>
        <w:ind w:left="0" w:leftChars="0" w:firstLine="478" w:firstLineChars="228"/>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10.信誉要求：</w:t>
      </w:r>
    </w:p>
    <w:p w14:paraId="7C2025EB">
      <w:pPr>
        <w:pStyle w:val="9"/>
        <w:spacing w:before="0" w:beforeAutospacing="0" w:after="0" w:afterAutospacing="0" w:line="360" w:lineRule="auto"/>
        <w:ind w:left="0" w:leftChars="0" w:firstLine="478" w:firstLineChars="228"/>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① 开标日前一年内未在招标人其他工程中因投标人的原因导致工程无法实现工程建设的质量目标。</w:t>
      </w:r>
    </w:p>
    <w:p w14:paraId="60ADAED6">
      <w:pPr>
        <w:pStyle w:val="9"/>
        <w:spacing w:before="0" w:beforeAutospacing="0" w:after="0" w:afterAutospacing="0" w:line="360" w:lineRule="auto"/>
        <w:ind w:left="0" w:leftChars="0" w:firstLine="478" w:firstLineChars="228"/>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② 开标日前两年内无违反国家有关法律、规定分包工程的行为。</w:t>
      </w:r>
    </w:p>
    <w:p w14:paraId="21A0EAF6">
      <w:pPr>
        <w:pStyle w:val="9"/>
        <w:spacing w:before="0" w:beforeAutospacing="0" w:after="0" w:afterAutospacing="0" w:line="360" w:lineRule="auto"/>
        <w:ind w:left="0" w:leftChars="0" w:firstLine="478" w:firstLineChars="228"/>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 开标日前三年内无骗取中标或严重违约问题。</w:t>
      </w:r>
    </w:p>
    <w:p w14:paraId="2A714276">
      <w:pPr>
        <w:pStyle w:val="9"/>
        <w:spacing w:before="0" w:beforeAutospacing="0" w:after="0" w:afterAutospacing="0" w:line="360" w:lineRule="auto"/>
        <w:ind w:left="0" w:leftChars="0" w:firstLine="478" w:firstLineChars="228"/>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11.本项目不接受联合体投标。</w:t>
      </w:r>
    </w:p>
    <w:p w14:paraId="03D71BEB">
      <w:pPr>
        <w:spacing w:line="360" w:lineRule="auto"/>
        <w:ind w:firstLine="422" w:firstLineChars="200"/>
        <w:jc w:val="lef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lang w:val="en-US" w:eastAsia="zh-CN"/>
        </w:rPr>
        <w:t>专用</w:t>
      </w:r>
      <w:r>
        <w:rPr>
          <w:rFonts w:hint="eastAsia" w:ascii="宋体" w:hAnsi="宋体" w:eastAsia="宋体" w:cs="宋体"/>
          <w:b/>
          <w:color w:val="000000"/>
          <w:sz w:val="21"/>
          <w:szCs w:val="21"/>
          <w:highlight w:val="none"/>
        </w:rPr>
        <w:t>资格要求</w:t>
      </w:r>
    </w:p>
    <w:bookmarkEnd w:id="7"/>
    <w:p w14:paraId="3320DA5E">
      <w:pPr>
        <w:pStyle w:val="8"/>
        <w:keepNext w:val="0"/>
        <w:keepLines w:val="0"/>
        <w:pageBreakBefore w:val="0"/>
        <w:widowControl w:val="0"/>
        <w:kinsoku/>
        <w:wordWrap/>
        <w:overflowPunct/>
        <w:topLinePunct w:val="0"/>
        <w:autoSpaceDE/>
        <w:autoSpaceDN/>
        <w:bidi w:val="0"/>
        <w:adjustRightInd/>
        <w:snapToGrid/>
        <w:spacing w:after="0" w:line="360" w:lineRule="auto"/>
        <w:ind w:firstLine="316" w:firstLineChars="150"/>
        <w:jc w:val="left"/>
        <w:textAlignment w:val="auto"/>
        <w:rPr>
          <w:rFonts w:hint="eastAsia" w:ascii="宋体" w:hAnsi="宋体" w:eastAsia="宋体" w:cs="宋体"/>
          <w:b/>
          <w:bCs/>
          <w:sz w:val="21"/>
          <w:szCs w:val="21"/>
          <w:highlight w:val="none"/>
          <w:lang w:val="en-US" w:eastAsia="zh-CN"/>
        </w:rPr>
      </w:pPr>
      <w:bookmarkStart w:id="8" w:name="_Toc19575"/>
      <w:r>
        <w:rPr>
          <w:rFonts w:hint="eastAsia" w:ascii="宋体" w:hAnsi="宋体" w:eastAsia="宋体" w:cs="宋体"/>
          <w:b/>
          <w:bCs/>
          <w:sz w:val="21"/>
          <w:szCs w:val="21"/>
          <w:highlight w:val="none"/>
          <w:lang w:val="en-US" w:eastAsia="zh-CN"/>
        </w:rPr>
        <w:t>第1标段：</w:t>
      </w:r>
    </w:p>
    <w:p w14:paraId="2BE38B2B">
      <w:pPr>
        <w:pStyle w:val="8"/>
        <w:spacing w:line="360" w:lineRule="auto"/>
        <w:ind w:firstLine="315" w:firstLineChars="150"/>
        <w:jc w:val="left"/>
        <w:rPr>
          <w:rFonts w:ascii="宋体" w:hAnsi="宋体" w:cs="宋体"/>
          <w:sz w:val="21"/>
          <w:szCs w:val="21"/>
          <w:highlight w:val="none"/>
        </w:rPr>
      </w:pPr>
      <w:r>
        <w:rPr>
          <w:rFonts w:hint="eastAsia" w:ascii="宋体" w:hAnsi="宋体" w:cs="宋体"/>
          <w:sz w:val="21"/>
          <w:szCs w:val="21"/>
          <w:highlight w:val="none"/>
        </w:rPr>
        <w:t>1、投标人须具有建设行政主管部门核发的电力工程施工总承二级及以上资质或输变电工程专业承包二级及以上资质（或依据《住房和城乡建设部关于印发建设工程企业资质管理制度改革方案的通知》（建市〔2020〕94号），具有建设行政主管部门颁发的施工综合资质或电力工程施工总承包乙级及以上资质或输变电工程专业承包乙级及以上资质）,且具有建设行政主管部门核发的有效期内的安全生产许可证（如换证或信息变更需提供相关证明文件）；</w:t>
      </w:r>
    </w:p>
    <w:p w14:paraId="151434B8">
      <w:pPr>
        <w:pStyle w:val="8"/>
        <w:spacing w:line="360" w:lineRule="auto"/>
        <w:ind w:firstLine="315" w:firstLineChars="150"/>
        <w:jc w:val="left"/>
        <w:rPr>
          <w:rFonts w:ascii="宋体" w:hAnsi="宋体" w:cs="宋体"/>
          <w:sz w:val="21"/>
          <w:szCs w:val="21"/>
          <w:highlight w:val="none"/>
        </w:rPr>
      </w:pPr>
      <w:r>
        <w:rPr>
          <w:rFonts w:hint="eastAsia" w:ascii="宋体" w:hAnsi="宋体" w:cs="宋体"/>
          <w:sz w:val="21"/>
          <w:szCs w:val="21"/>
          <w:highlight w:val="none"/>
        </w:rPr>
        <w:t xml:space="preserve">2、投标人同时须具有国家能源局颁发的有效期内的承装（修、试）电力设施许可证（承装、承修、承试二级及以上）； </w:t>
      </w:r>
    </w:p>
    <w:p w14:paraId="4AD28E4C">
      <w:pPr>
        <w:pStyle w:val="8"/>
        <w:spacing w:line="360" w:lineRule="auto"/>
        <w:ind w:firstLine="315" w:firstLineChars="150"/>
        <w:jc w:val="left"/>
        <w:rPr>
          <w:rFonts w:ascii="宋体" w:hAnsi="宋体" w:cs="宋体"/>
          <w:sz w:val="21"/>
          <w:szCs w:val="21"/>
          <w:highlight w:val="none"/>
        </w:rPr>
      </w:pPr>
      <w:r>
        <w:rPr>
          <w:rFonts w:hint="eastAsia" w:ascii="宋体" w:hAnsi="宋体" w:cs="宋体"/>
          <w:sz w:val="21"/>
          <w:szCs w:val="21"/>
          <w:highlight w:val="none"/>
        </w:rPr>
        <w:t>3、拟派本项目的项目经理须为机电工程专业二级（及以上）建造师，须提供注册证、安全生产考核证（B）且未在其他在施建设工程项目中担任项目经理（提供无在建工程承诺书）；</w:t>
      </w:r>
    </w:p>
    <w:p w14:paraId="60DB77E2">
      <w:pPr>
        <w:pStyle w:val="8"/>
        <w:keepNext w:val="0"/>
        <w:keepLines w:val="0"/>
        <w:pageBreakBefore w:val="0"/>
        <w:widowControl w:val="0"/>
        <w:kinsoku/>
        <w:wordWrap/>
        <w:overflowPunct/>
        <w:topLinePunct w:val="0"/>
        <w:autoSpaceDE/>
        <w:autoSpaceDN/>
        <w:bidi w:val="0"/>
        <w:adjustRightInd/>
        <w:snapToGrid/>
        <w:spacing w:after="0" w:line="360" w:lineRule="auto"/>
        <w:ind w:firstLine="316" w:firstLineChars="15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第2标段：</w:t>
      </w:r>
    </w:p>
    <w:p w14:paraId="41D0C08F">
      <w:pPr>
        <w:pStyle w:val="8"/>
        <w:spacing w:line="360" w:lineRule="auto"/>
        <w:ind w:firstLine="315" w:firstLineChars="150"/>
        <w:jc w:val="left"/>
        <w:rPr>
          <w:rFonts w:hint="eastAsia" w:ascii="宋体" w:hAnsi="宋体" w:eastAsia="宋体" w:cs="宋体"/>
          <w:sz w:val="21"/>
          <w:szCs w:val="21"/>
          <w:highlight w:val="none"/>
          <w:lang w:val="en-US" w:eastAsia="zh-CN"/>
        </w:rPr>
      </w:pPr>
      <w:bookmarkStart w:id="9" w:name="_Toc27423"/>
      <w:r>
        <w:rPr>
          <w:rFonts w:hint="eastAsia" w:ascii="宋体" w:hAnsi="宋体" w:eastAsia="宋体" w:cs="宋体"/>
          <w:sz w:val="21"/>
          <w:szCs w:val="21"/>
          <w:highlight w:val="none"/>
          <w:lang w:val="en-US" w:eastAsia="zh-CN"/>
        </w:rPr>
        <w:t>1、投标人须同时具有建设行政主管部门核发的消防设施工程专业承包二级及以上和建筑装修装饰工程专业承包二级及以上资质（或依据《住房和城乡建设部关于印发建设工程企业资质管理制度改革方案的通知》（建市〔2020〕94号），具有建设行政主管部门颁发的施工综合资质或消防设施工程专业承包乙级及以上和建筑装修装饰工程专业承包乙级及以上资质）,且具有建设行政主管部门核发的有效期内的安全生产许可证（如换证或信息变更需提供相关证明文件）。</w:t>
      </w:r>
    </w:p>
    <w:p w14:paraId="519A294C">
      <w:pPr>
        <w:pStyle w:val="8"/>
        <w:spacing w:line="360" w:lineRule="auto"/>
        <w:ind w:firstLine="315" w:firstLineChars="15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2、拟派本项目的项目经理须具有二级及以上注册消防工程师证书，须提供注册证（注册消防工程师）且未在其他在施建设工程项目中担任项目经理（提供无在建工程承诺书）；</w:t>
      </w:r>
    </w:p>
    <w:p w14:paraId="35C3077A">
      <w:pPr>
        <w:pStyle w:val="8"/>
        <w:spacing w:line="360" w:lineRule="auto"/>
        <w:ind w:firstLine="315" w:firstLineChars="15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3、投标人须提供至少一份近三年（2021年07月-至今）消防工程施工业绩。（业绩证明材料提供①合同②对应中标通知书③对应发票，①②③必须同时提供。）</w:t>
      </w:r>
    </w:p>
    <w:p w14:paraId="71ECBBC9">
      <w:pPr>
        <w:pStyle w:val="6"/>
        <w:spacing w:before="0" w:after="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四</w:t>
      </w:r>
      <w:r>
        <w:rPr>
          <w:rFonts w:hint="eastAsia" w:ascii="宋体" w:hAnsi="宋体" w:eastAsia="宋体" w:cs="宋体"/>
          <w:color w:val="000000"/>
          <w:sz w:val="21"/>
          <w:szCs w:val="21"/>
          <w:highlight w:val="none"/>
        </w:rPr>
        <w:t>、</w:t>
      </w:r>
      <w:bookmarkEnd w:id="8"/>
      <w:r>
        <w:rPr>
          <w:rFonts w:hint="eastAsia" w:ascii="宋体" w:hAnsi="宋体" w:eastAsia="宋体" w:cs="宋体"/>
          <w:b/>
          <w:sz w:val="21"/>
          <w:szCs w:val="21"/>
          <w:highlight w:val="none"/>
          <w:lang w:val="en-US" w:eastAsia="zh-CN" w:bidi="ar-SA"/>
        </w:rPr>
        <w:t>获取招标文件的方式</w:t>
      </w:r>
      <w:bookmarkEnd w:id="9"/>
    </w:p>
    <w:p w14:paraId="14C73968">
      <w:pPr>
        <w:pStyle w:val="10"/>
        <w:keepNext w:val="0"/>
        <w:keepLines w:val="0"/>
        <w:pageBreakBefore w:val="0"/>
        <w:widowControl w:val="0"/>
        <w:kinsoku/>
        <w:wordWrap w:val="0"/>
        <w:overflowPunct/>
        <w:topLinePunct w:val="0"/>
        <w:autoSpaceDE/>
        <w:autoSpaceDN/>
        <w:bidi w:val="0"/>
        <w:adjustRightInd/>
        <w:snapToGrid/>
        <w:ind w:firstLine="42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1.凡有意参加投标者，请于公告发布之日（请于2024年08 月12 日）至投标截止前30分钟登录“锡林郭勒盟公共资源交易中心网站（https://ggzyjy.nmg.gov.cn/msym/xlglmggzyjyw）”-“新版建设工程交易系统登录（试运行）”-“企业、代理机构登录”-“锡林郭勒盟公共资源交易中心建设工程电子交易系统”获取招标文件。具体操作流程详见《锡林郭勒盟公共资源交易中心建设工程电子交易系统（投标人）操作手册》。</w:t>
      </w:r>
    </w:p>
    <w:p w14:paraId="3E81FF83">
      <w:pPr>
        <w:pStyle w:val="10"/>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2.本次招标采用全流程电子化招投标（开标方式采用不见面开标），投标人须先办理CA数字证书。如投标人已有内蒙古自治区内其它盟市的CA数字证书则无须重新办理。CA数字证书申办成功后，需通过“内蒙古公共资源交易平台CA互认系统”跨平台登录到内蒙古自治区公共资源交易主体信息库进行信息完善，完善后自行点击审核通过。通过后登录锡林郭勒盟公共资源交易中心建设工程电子交易系统点击同步内蒙古主体库诚信信息，即可同步相关信息。相关操作流程详见“锡林郭勒盟公共资源交易中心网站”-“办理CA服务”模块及2022年8月3日发布的《关于新版建设工程交易系统上线试运行的通知》附件1、2操作手册，办理CA数字证书窗口电话：0479-8108426，网站技术支持电话：4009980000。</w:t>
      </w:r>
    </w:p>
    <w:p w14:paraId="09B2B30E">
      <w:pPr>
        <w:pStyle w:val="10"/>
        <w:keepNext w:val="0"/>
        <w:keepLines w:val="0"/>
        <w:pageBreakBefore w:val="0"/>
        <w:widowControl w:val="0"/>
        <w:kinsoku/>
        <w:wordWrap w:val="0"/>
        <w:overflowPunct/>
        <w:topLinePunct w:val="0"/>
        <w:autoSpaceDE/>
        <w:autoSpaceDN/>
        <w:bidi w:val="0"/>
        <w:adjustRightInd/>
        <w:snapToGrid/>
        <w:ind w:firstLine="42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3.根据锡林郭勒盟公共资源交易中心（https://ggzyjy.nmg.gov.cn/msym/xlglmggzyjyw）于2022年08月03日发布的《关于新版建设工程交易系统上线试运行的通知》各投标人须按附件-操作手册进行操作，操作手册与实际操作不一致时，及时与技术支持联系。</w:t>
      </w:r>
    </w:p>
    <w:p w14:paraId="4724FA3E">
      <w:pPr>
        <w:pStyle w:val="10"/>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4.投标人应在递交投标文件截止时间前，将加密电子版投标文件上传至锡林郭勒盟公共资源交易中心建设工程电子交易系统。</w:t>
      </w:r>
    </w:p>
    <w:p w14:paraId="769C02E3">
      <w:pPr>
        <w:pStyle w:val="10"/>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5.逾期上传加密电子版投标文件的，招标人将予以拒收。</w:t>
      </w:r>
    </w:p>
    <w:p w14:paraId="5C8AA461">
      <w:pPr>
        <w:pStyle w:val="10"/>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6.投标人应在投标截止时间前，登录不见面开标大厅参加开标会议。投标人在不见面开标系统中“投标人解密”流程开始后的30分钟内使用制作该电子投标文件的数字证书对电子投标文件进行远程解密。逾期未解密或因投标人原因造成电子投标文件解密不成功的，视为投标人撤销投标文件。因招标人原因或电子交易平台发生故障，导致无法按时完成投标文件解密的，可根据实际情况延长解密时间。</w:t>
      </w:r>
    </w:p>
    <w:p w14:paraId="48EAD7EA">
      <w:pPr>
        <w:pStyle w:val="10"/>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7.投标人在使用工程建设项目招投标电子交易系统及不见面开标大厅系统前，须确保使用的电脑及网络环境正常，须认真阅读办事指南、系统操作手册、各类注意事项以及其他相关使用规定。投标人在使用CA数字证书登录及进行相关操作前，须安装“内蒙古自治区CA及电子签章互通驱动”，可到锡林郭勒盟公共资源交易中心建设工程电子交易系统“驱动下载”栏目中下载《新点驱动(内蒙古互通版)》。</w:t>
      </w:r>
    </w:p>
    <w:p w14:paraId="7EE7079B">
      <w:pPr>
        <w:pStyle w:val="10"/>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8.参加电子招投标项目的投标单位需及时在锡林郭勒盟公共资源交易中心建设工程电子交易系统中上传企业业绩、财务、获奖等信息。由于投标企业自身原因未能及时将本次投标的资格审查、评审打分所需的资料录入、上传至锡林郭勒盟公共资源交易中心建设工程电子交易系统并完成审核查验等工作，亦或未确认已入库资料的完整性和正确性而导致投标资格审查未通过或评分点不予计分者，责任自负。</w:t>
      </w:r>
    </w:p>
    <w:p w14:paraId="7B7D5999">
      <w:pPr>
        <w:pStyle w:val="10"/>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9.投标人自网上下载招标文件之日起，应随时登录锡林郭勒盟公共资源交易中心网，查看招标人关于本次招标相关答疑和补遗通知，招标人不另行通知。如果未及时关注造成失误由投标人自行承担。</w:t>
      </w:r>
    </w:p>
    <w:p w14:paraId="0B0B9883">
      <w:pPr>
        <w:pStyle w:val="6"/>
        <w:spacing w:before="0" w:after="0"/>
        <w:rPr>
          <w:rFonts w:hint="eastAsia" w:ascii="宋体" w:hAnsi="宋体" w:eastAsia="宋体" w:cs="宋体"/>
          <w:color w:val="000000"/>
          <w:sz w:val="21"/>
          <w:szCs w:val="21"/>
          <w:highlight w:val="none"/>
        </w:rPr>
      </w:pPr>
      <w:bookmarkStart w:id="10" w:name="_Toc24633"/>
      <w:bookmarkStart w:id="11" w:name="_Toc588"/>
      <w:bookmarkStart w:id="12" w:name="_Toc22070"/>
      <w:r>
        <w:rPr>
          <w:rFonts w:hint="eastAsia" w:ascii="宋体" w:hAnsi="宋体" w:eastAsia="宋体" w:cs="宋体"/>
          <w:color w:val="000000"/>
          <w:sz w:val="21"/>
          <w:szCs w:val="21"/>
          <w:highlight w:val="none"/>
        </w:rPr>
        <w:t>五、投标文件递交方式</w:t>
      </w:r>
      <w:bookmarkEnd w:id="10"/>
      <w:bookmarkEnd w:id="11"/>
      <w:bookmarkEnd w:id="12"/>
    </w:p>
    <w:p w14:paraId="3EB63977">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投标文件递交的截止时间（投标截止时间）：2024年</w:t>
      </w:r>
      <w:r>
        <w:rPr>
          <w:rFonts w:hint="eastAsia" w:ascii="宋体" w:hAnsi="宋体" w:eastAsia="宋体" w:cs="宋体"/>
          <w:color w:val="000000"/>
          <w:sz w:val="21"/>
          <w:szCs w:val="21"/>
          <w:highlight w:val="none"/>
          <w:lang w:val="en-US" w:eastAsia="zh-CN"/>
        </w:rPr>
        <w:t>08</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lang w:val="en-US" w:eastAsia="zh-CN"/>
        </w:rPr>
        <w:t>12</w:t>
      </w:r>
      <w:r>
        <w:rPr>
          <w:rFonts w:hint="eastAsia" w:ascii="宋体" w:hAnsi="宋体" w:eastAsia="宋体" w:cs="宋体"/>
          <w:color w:val="000000"/>
          <w:sz w:val="21"/>
          <w:szCs w:val="21"/>
          <w:highlight w:val="none"/>
        </w:rPr>
        <w:t>日9时00分（北京时间）</w:t>
      </w:r>
    </w:p>
    <w:p w14:paraId="5822E4C0">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投标文件递交的地点：锡林郭勒盟公共资源交易心建设工程电子交易系统。</w:t>
      </w:r>
    </w:p>
    <w:p w14:paraId="4ECF4C14">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投标文件递交方式：投标人应在递交投标文件截止时间前，将加密电子版投标文件上传至锡林郭勒盟公共资源交易中心建设工程电子交易系统。</w:t>
      </w:r>
    </w:p>
    <w:p w14:paraId="51B5D49F">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开标时间：2024年</w:t>
      </w:r>
      <w:r>
        <w:rPr>
          <w:rFonts w:hint="eastAsia" w:ascii="宋体" w:hAnsi="宋体" w:eastAsia="宋体" w:cs="宋体"/>
          <w:color w:val="000000"/>
          <w:sz w:val="21"/>
          <w:szCs w:val="21"/>
          <w:highlight w:val="none"/>
          <w:lang w:val="en-US" w:eastAsia="zh-CN"/>
        </w:rPr>
        <w:t>08</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lang w:val="en-US" w:eastAsia="zh-CN"/>
        </w:rPr>
        <w:t>12</w:t>
      </w:r>
      <w:r>
        <w:rPr>
          <w:rFonts w:hint="eastAsia" w:ascii="宋体" w:hAnsi="宋体" w:eastAsia="宋体" w:cs="宋体"/>
          <w:color w:val="000000"/>
          <w:sz w:val="21"/>
          <w:szCs w:val="21"/>
          <w:highlight w:val="none"/>
        </w:rPr>
        <w:t>日9时00分（北京时间）</w:t>
      </w:r>
    </w:p>
    <w:p w14:paraId="6B558B97">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开标地点：投标人应在投标截止时间前，登录不见面开标大厅（http://61.134.97.218:5080/BidOpening/bidopeninghallaction/hall/login）在线参加开标会议，招标人、监督机构及招标代理机构在锡林郭勒盟公共资源交易中心</w:t>
      </w:r>
      <w:r>
        <w:rPr>
          <w:rFonts w:hint="eastAsia" w:ascii="宋体" w:hAnsi="宋体" w:eastAsia="宋体" w:cs="宋体"/>
          <w:color w:val="000000"/>
          <w:sz w:val="21"/>
          <w:szCs w:val="21"/>
          <w:highlight w:val="none"/>
          <w:lang w:val="en-US" w:eastAsia="zh-CN"/>
        </w:rPr>
        <w:t>6009</w:t>
      </w:r>
      <w:r>
        <w:rPr>
          <w:rFonts w:hint="eastAsia" w:ascii="宋体" w:hAnsi="宋体" w:eastAsia="宋体" w:cs="宋体"/>
          <w:color w:val="000000"/>
          <w:sz w:val="21"/>
          <w:szCs w:val="21"/>
          <w:highlight w:val="none"/>
        </w:rPr>
        <w:t>开标室组织开标。</w:t>
      </w:r>
    </w:p>
    <w:p w14:paraId="3C016A75">
      <w:pPr>
        <w:spacing w:line="360" w:lineRule="auto"/>
        <w:ind w:firstLine="420" w:firstLineChars="200"/>
        <w:rPr>
          <w:rFonts w:hint="eastAsia" w:ascii="宋体" w:hAnsi="宋体" w:eastAsia="宋体" w:cs="宋体"/>
          <w:b/>
          <w:color w:val="000000"/>
          <w:sz w:val="21"/>
          <w:szCs w:val="21"/>
          <w:highlight w:val="none"/>
        </w:rPr>
      </w:pPr>
      <w:r>
        <w:rPr>
          <w:rFonts w:hint="eastAsia" w:ascii="宋体" w:hAnsi="宋体" w:eastAsia="宋体" w:cs="宋体"/>
          <w:color w:val="000000"/>
          <w:sz w:val="21"/>
          <w:szCs w:val="21"/>
          <w:highlight w:val="none"/>
        </w:rPr>
        <w:t>逾期送达的或者未送达指定地点的投标文件，招标人不予受理。</w:t>
      </w:r>
    </w:p>
    <w:p w14:paraId="4834BBAE">
      <w:pPr>
        <w:widowControl w:val="0"/>
        <w:adjustRightInd w:val="0"/>
        <w:snapToGrid w:val="0"/>
        <w:spacing w:line="360" w:lineRule="auto"/>
        <w:ind w:firstLine="420" w:firstLineChars="0"/>
        <w:jc w:val="both"/>
        <w:outlineLvl w:val="1"/>
        <w:rPr>
          <w:rFonts w:hint="eastAsia" w:ascii="宋体" w:hAnsi="宋体" w:eastAsia="宋体" w:cs="宋体"/>
          <w:b/>
          <w:sz w:val="21"/>
          <w:szCs w:val="21"/>
          <w:highlight w:val="none"/>
          <w:lang w:val="en-US" w:eastAsia="zh-CN" w:bidi="ar-SA"/>
        </w:rPr>
      </w:pPr>
      <w:bookmarkStart w:id="13" w:name="_Toc13159"/>
      <w:r>
        <w:rPr>
          <w:rFonts w:hint="eastAsia" w:ascii="宋体" w:hAnsi="宋体" w:eastAsia="宋体" w:cs="宋体"/>
          <w:b/>
          <w:sz w:val="21"/>
          <w:szCs w:val="21"/>
          <w:highlight w:val="none"/>
          <w:lang w:val="en-US" w:eastAsia="zh-CN" w:bidi="ar-SA"/>
        </w:rPr>
        <w:t>六、发布公告的媒介</w:t>
      </w:r>
      <w:bookmarkEnd w:id="13"/>
    </w:p>
    <w:p w14:paraId="6851A1B6">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highlight w:val="none"/>
        </w:rPr>
      </w:pPr>
      <w:bookmarkStart w:id="14" w:name="_Toc533367990"/>
      <w:bookmarkStart w:id="15" w:name="_Toc533368022"/>
      <w:bookmarkStart w:id="16" w:name="_Toc530240400"/>
      <w:r>
        <w:rPr>
          <w:rFonts w:hint="eastAsia" w:ascii="宋体" w:hAnsi="宋体" w:eastAsia="宋体" w:cs="宋体"/>
          <w:kern w:val="0"/>
          <w:sz w:val="21"/>
          <w:szCs w:val="21"/>
          <w:highlight w:val="none"/>
        </w:rPr>
        <w:t>中国招标投标公共服务平台（http://www.cebpubservice.com/）；</w:t>
      </w:r>
    </w:p>
    <w:p w14:paraId="3FD56DC8">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内蒙古招标投标公共服务平台（http://zbgg.nmgztb.com.cn/）；</w:t>
      </w:r>
    </w:p>
    <w:p w14:paraId="58A433DD">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锡林郭勒盟公共资源交易中心网（https://ggzyjy.nmg.gov.cn/msym/xlglmggzyjyw/index.html）</w:t>
      </w:r>
    </w:p>
    <w:p w14:paraId="78DC4078">
      <w:pPr>
        <w:widowControl w:val="0"/>
        <w:adjustRightInd w:val="0"/>
        <w:snapToGrid w:val="0"/>
        <w:spacing w:line="360" w:lineRule="auto"/>
        <w:ind w:firstLine="420" w:firstLineChars="0"/>
        <w:jc w:val="both"/>
        <w:outlineLvl w:val="1"/>
        <w:rPr>
          <w:rFonts w:hint="eastAsia" w:ascii="宋体" w:hAnsi="宋体" w:eastAsia="宋体" w:cs="宋体"/>
          <w:b/>
          <w:sz w:val="21"/>
          <w:szCs w:val="21"/>
          <w:highlight w:val="none"/>
          <w:lang w:val="en-US" w:eastAsia="zh-CN" w:bidi="ar-SA"/>
        </w:rPr>
      </w:pPr>
      <w:bookmarkStart w:id="17" w:name="_Toc3423"/>
      <w:r>
        <w:rPr>
          <w:rFonts w:hint="eastAsia" w:ascii="宋体" w:hAnsi="宋体" w:eastAsia="宋体" w:cs="宋体"/>
          <w:b/>
          <w:sz w:val="21"/>
          <w:szCs w:val="21"/>
          <w:highlight w:val="none"/>
          <w:lang w:val="en-US" w:eastAsia="zh-CN" w:bidi="ar-SA"/>
        </w:rPr>
        <w:t>七、联系方式</w:t>
      </w:r>
      <w:bookmarkEnd w:id="14"/>
      <w:bookmarkEnd w:id="15"/>
      <w:bookmarkEnd w:id="16"/>
      <w:bookmarkEnd w:id="17"/>
    </w:p>
    <w:p w14:paraId="25A3F746">
      <w:pPr>
        <w:spacing w:line="360" w:lineRule="auto"/>
        <w:ind w:firstLine="420" w:firstLineChars="200"/>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招标单位名称</w:t>
      </w:r>
      <w:r>
        <w:rPr>
          <w:rFonts w:hint="eastAsia" w:ascii="宋体" w:hAnsi="宋体" w:eastAsia="宋体" w:cs="宋体"/>
          <w:kern w:val="2"/>
          <w:sz w:val="21"/>
          <w:szCs w:val="21"/>
          <w:highlight w:val="none"/>
        </w:rPr>
        <w:t>：</w:t>
      </w:r>
      <w:r>
        <w:rPr>
          <w:rFonts w:hint="eastAsia" w:ascii="宋体" w:hAnsi="宋体" w:eastAsia="宋体" w:cs="宋体"/>
          <w:kern w:val="2"/>
          <w:sz w:val="21"/>
          <w:szCs w:val="21"/>
          <w:highlight w:val="none"/>
          <w:lang w:eastAsia="zh-CN"/>
        </w:rPr>
        <w:t>内蒙古电力（集团）有限责任公司锡林郭勒供电分公司</w:t>
      </w:r>
    </w:p>
    <w:p w14:paraId="2F791DA6">
      <w:pPr>
        <w:spacing w:line="360" w:lineRule="auto"/>
        <w:ind w:firstLine="420" w:firstLineChars="200"/>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地址：锡林浩特市锡林大街东段</w:t>
      </w:r>
    </w:p>
    <w:p w14:paraId="3C3E4481">
      <w:pPr>
        <w:spacing w:line="360" w:lineRule="auto"/>
        <w:ind w:firstLine="420" w:firstLineChars="200"/>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rPr>
        <w:t>联系电话：0479-8296337</w:t>
      </w:r>
      <w:r>
        <w:rPr>
          <w:rFonts w:hint="eastAsia" w:ascii="宋体" w:hAnsi="宋体" w:eastAsia="宋体" w:cs="宋体"/>
          <w:kern w:val="2"/>
          <w:sz w:val="21"/>
          <w:szCs w:val="21"/>
          <w:highlight w:val="none"/>
          <w:lang w:val="en-US" w:eastAsia="zh-CN"/>
        </w:rPr>
        <w:t xml:space="preserve"> </w:t>
      </w:r>
    </w:p>
    <w:p w14:paraId="38B70BE2">
      <w:pPr>
        <w:widowControl w:val="0"/>
        <w:snapToGrid/>
        <w:spacing w:after="120" w:line="240" w:lineRule="auto"/>
        <w:ind w:left="420" w:firstLine="420" w:firstLineChars="0"/>
        <w:jc w:val="both"/>
        <w:rPr>
          <w:rFonts w:hint="eastAsia" w:ascii="宋体" w:hAnsi="宋体" w:eastAsia="宋体" w:cs="宋体"/>
          <w:kern w:val="2"/>
          <w:sz w:val="21"/>
          <w:szCs w:val="21"/>
          <w:highlight w:val="none"/>
          <w:lang w:val="en-US" w:eastAsia="zh-CN" w:bidi="ar-SA"/>
        </w:rPr>
      </w:pPr>
    </w:p>
    <w:p w14:paraId="69FEF205">
      <w:pPr>
        <w:spacing w:line="360" w:lineRule="auto"/>
        <w:ind w:firstLine="420" w:firstLineChars="20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招标代理机构：内蒙古中实工程招标咨询有限责任公司</w:t>
      </w:r>
    </w:p>
    <w:p w14:paraId="55B0261F">
      <w:pPr>
        <w:spacing w:line="360" w:lineRule="auto"/>
        <w:ind w:firstLine="420" w:firstLineChars="20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地址：呼和浩特市赛罕区鄂尔多斯东街12号银联大厦10层（锡林浩特分公司：锡林浩特市宝石根街与东一环路交叉处唐舒格家苑售楼部13楼）</w:t>
      </w:r>
    </w:p>
    <w:p w14:paraId="67EF8F4C">
      <w:pPr>
        <w:spacing w:line="360" w:lineRule="auto"/>
        <w:ind w:firstLine="420" w:firstLineChars="20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联系人：施颖、杨淑红、池金秀</w:t>
      </w:r>
    </w:p>
    <w:p w14:paraId="44FB7A82">
      <w:pPr>
        <w:spacing w:line="360" w:lineRule="auto"/>
        <w:ind w:firstLine="420" w:firstLineChars="20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联系电话：0479-8218958</w:t>
      </w:r>
    </w:p>
    <w:p w14:paraId="0FDA858C">
      <w:pPr>
        <w:spacing w:line="360" w:lineRule="auto"/>
        <w:ind w:firstLine="420" w:firstLineChars="20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 xml:space="preserve">邮箱：zszbsfgs@126.com </w:t>
      </w:r>
    </w:p>
    <w:p w14:paraId="23C6B389">
      <w:pPr>
        <w:spacing w:line="360" w:lineRule="auto"/>
        <w:ind w:firstLine="420" w:firstLineChars="200"/>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lang w:val="en-US" w:eastAsia="zh-CN"/>
        </w:rPr>
        <w:t xml:space="preserve">   </w:t>
      </w:r>
      <w:r>
        <w:rPr>
          <w:rFonts w:hint="eastAsia" w:ascii="宋体" w:hAnsi="宋体" w:eastAsia="宋体" w:cs="宋体"/>
          <w:bCs/>
          <w:kern w:val="0"/>
          <w:sz w:val="21"/>
          <w:szCs w:val="21"/>
          <w:highlight w:val="none"/>
        </w:rPr>
        <w:t xml:space="preserve">                            </w:t>
      </w:r>
    </w:p>
    <w:p w14:paraId="3CFD1C2B">
      <w:pPr>
        <w:keepNext w:val="0"/>
        <w:keepLines w:val="0"/>
        <w:widowControl/>
        <w:suppressLineNumbers w:val="0"/>
        <w:spacing w:before="112" w:beforeAutospacing="0" w:after="0" w:afterAutospacing="0" w:line="23" w:lineRule="atLeast"/>
        <w:ind w:left="2" w:right="0" w:firstLine="480"/>
        <w:jc w:val="both"/>
        <w:rPr>
          <w:rFonts w:hint="eastAsia" w:ascii="宋体" w:hAnsi="宋体" w:eastAsia="宋体" w:cs="宋体"/>
          <w:b w:val="0"/>
          <w:bCs w:val="0"/>
          <w:spacing w:val="0"/>
          <w:sz w:val="21"/>
          <w:szCs w:val="21"/>
          <w:highlight w:val="none"/>
          <w:lang w:val="en-US" w:eastAsia="zh-CN" w:bidi="ar-SA"/>
        </w:rPr>
      </w:pPr>
      <w:r>
        <w:rPr>
          <w:rFonts w:hint="eastAsia" w:ascii="宋体" w:hAnsi="宋体" w:eastAsia="宋体" w:cs="宋体"/>
          <w:b w:val="0"/>
          <w:bCs w:val="0"/>
          <w:spacing w:val="0"/>
          <w:sz w:val="21"/>
          <w:szCs w:val="21"/>
          <w:highlight w:val="none"/>
          <w:lang w:val="en-US" w:eastAsia="zh-CN" w:bidi="ar-SA"/>
        </w:rPr>
        <w:t>监督机构：锡林郭勒盟能源局         </w:t>
      </w:r>
    </w:p>
    <w:p w14:paraId="4C55EA95">
      <w:pPr>
        <w:keepNext w:val="0"/>
        <w:keepLines w:val="0"/>
        <w:widowControl/>
        <w:suppressLineNumbers w:val="0"/>
        <w:spacing w:before="112" w:beforeAutospacing="0" w:after="0" w:afterAutospacing="0" w:line="23" w:lineRule="atLeast"/>
        <w:ind w:left="2" w:right="0" w:firstLine="480"/>
        <w:jc w:val="both"/>
        <w:rPr>
          <w:rFonts w:hint="eastAsia" w:ascii="宋体" w:hAnsi="宋体" w:eastAsia="宋体" w:cs="宋体"/>
          <w:sz w:val="21"/>
          <w:szCs w:val="21"/>
          <w:highlight w:val="none"/>
          <w:lang w:val="en-US" w:eastAsia="zh-CN" w:bidi="ar-SA"/>
        </w:rPr>
      </w:pPr>
      <w:r>
        <w:rPr>
          <w:rFonts w:hint="eastAsia" w:ascii="宋体" w:hAnsi="宋体" w:eastAsia="宋体" w:cs="宋体"/>
          <w:b w:val="0"/>
          <w:bCs w:val="0"/>
          <w:spacing w:val="0"/>
          <w:sz w:val="21"/>
          <w:szCs w:val="21"/>
          <w:highlight w:val="none"/>
          <w:lang w:val="en-US" w:eastAsia="zh-CN" w:bidi="ar-SA"/>
        </w:rPr>
        <w:t>电   话：0479-8272634</w:t>
      </w:r>
    </w:p>
    <w:p w14:paraId="2B1A61C5">
      <w:bookmarkStart w:id="18" w:name="_GoBack"/>
      <w:bookmarkEnd w:id="1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lYzBlN2IwM2UxMzE2MjBmOWU0OTNjMmNlYTY5ODkifQ=="/>
  </w:docVars>
  <w:rsids>
    <w:rsidRoot w:val="5C503BF6"/>
    <w:rsid w:val="5C503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uiPriority w:val="0"/>
    <w:pPr>
      <w:spacing w:after="120"/>
      <w:ind w:left="420" w:leftChars="200"/>
    </w:pPr>
  </w:style>
  <w:style w:type="paragraph" w:customStyle="1" w:styleId="4">
    <w:name w:val="表格文字"/>
    <w:basedOn w:val="5"/>
    <w:next w:val="1"/>
    <w:uiPriority w:val="0"/>
    <w:pPr>
      <w:adjustRightInd w:val="0"/>
      <w:spacing w:line="420" w:lineRule="atLeast"/>
      <w:jc w:val="left"/>
      <w:textAlignment w:val="baseline"/>
    </w:pPr>
    <w:rPr>
      <w:kern w:val="0"/>
      <w:szCs w:val="20"/>
    </w:rPr>
  </w:style>
  <w:style w:type="paragraph" w:styleId="5">
    <w:name w:val="List"/>
    <w:basedOn w:val="1"/>
    <w:qFormat/>
    <w:uiPriority w:val="0"/>
    <w:pPr>
      <w:ind w:left="200" w:hanging="200" w:hangingChars="200"/>
    </w:pPr>
    <w:rPr>
      <w:rFonts w:ascii="Times New Roman" w:hAnsi="Times New Roman"/>
      <w:szCs w:val="20"/>
    </w:rPr>
  </w:style>
  <w:style w:type="paragraph" w:styleId="7">
    <w:name w:val="Body Text"/>
    <w:basedOn w:val="1"/>
    <w:qFormat/>
    <w:uiPriority w:val="0"/>
    <w:pPr>
      <w:spacing w:after="120"/>
    </w:pPr>
  </w:style>
  <w:style w:type="paragraph" w:styleId="8">
    <w:name w:val="Body Text 2"/>
    <w:basedOn w:val="1"/>
    <w:uiPriority w:val="0"/>
    <w:pPr>
      <w:spacing w:after="120" w:line="480" w:lineRule="auto"/>
    </w:pPr>
    <w:rPr>
      <w:kern w:val="0"/>
      <w:sz w:val="20"/>
      <w:szCs w:val="24"/>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w:basedOn w:val="7"/>
    <w:qFormat/>
    <w:uiPriority w:val="0"/>
    <w:pPr>
      <w:spacing w:line="312" w:lineRule="auto"/>
      <w:ind w:firstLine="420" w:firstLineChars="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2024-12-10T03:08:00Z</dcterms:created>
  <dc:creator>WPS_1496299590</dc:creator>
  <cp:lastModifiedBy>WPS_1496299590</cp:lastModifiedBy>
  <dcterms:modified xsi:type="dcterms:W3CDTF">2024-12-10T03:08:51Z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149168F07B3C4C30AA6D5C25FB32785B_11</vt:lpwstr>
  </property>
</Properties>
</file>