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89521">
      <w:pPr>
        <w:spacing w:line="360" w:lineRule="auto"/>
        <w:jc w:val="center"/>
        <w:outlineLvl w:val="0"/>
        <w:rPr>
          <w:rFonts w:hint="eastAsia" w:ascii="仿宋" w:hAnsi="仿宋" w:eastAsia="仿宋" w:cs="宋体"/>
          <w:b/>
          <w:sz w:val="28"/>
          <w:szCs w:val="28"/>
        </w:rPr>
      </w:pPr>
      <w:bookmarkStart w:id="0" w:name="_Toc10373"/>
      <w:r>
        <w:rPr>
          <w:rFonts w:hint="eastAsia" w:ascii="仿宋" w:hAnsi="仿宋" w:eastAsia="仿宋" w:cs="仿宋"/>
          <w:b/>
          <w:sz w:val="28"/>
          <w:szCs w:val="36"/>
        </w:rPr>
        <w:t>附件</w:t>
      </w:r>
      <w:r>
        <w:rPr>
          <w:rFonts w:hint="eastAsia" w:ascii="仿宋" w:hAnsi="仿宋" w:eastAsia="仿宋" w:cs="仿宋"/>
          <w:b/>
          <w:sz w:val="28"/>
          <w:szCs w:val="36"/>
          <w:u w:val="single"/>
        </w:rPr>
        <w:t xml:space="preserve">   </w:t>
      </w:r>
      <w:r>
        <w:rPr>
          <w:rFonts w:hint="eastAsia" w:ascii="仿宋" w:hAnsi="仿宋" w:eastAsia="仿宋" w:cs="仿宋"/>
          <w:b/>
          <w:sz w:val="28"/>
          <w:szCs w:val="36"/>
        </w:rPr>
        <w:t>：</w:t>
      </w:r>
      <w:r>
        <w:rPr>
          <w:rFonts w:hint="eastAsia" w:ascii="仿宋" w:hAnsi="仿宋" w:eastAsia="仿宋" w:cs="宋体"/>
          <w:b/>
          <w:sz w:val="28"/>
          <w:szCs w:val="28"/>
        </w:rPr>
        <w:t>安全、环保协议</w:t>
      </w:r>
      <w:bookmarkEnd w:id="0"/>
    </w:p>
    <w:p w14:paraId="239C085C">
      <w:pPr>
        <w:spacing w:line="360" w:lineRule="auto"/>
        <w:jc w:val="center"/>
        <w:outlineLvl w:val="0"/>
        <w:rPr>
          <w:rFonts w:hint="eastAsia" w:ascii="仿宋" w:hAnsi="仿宋" w:eastAsia="仿宋" w:cs="宋体"/>
          <w:b/>
          <w:sz w:val="28"/>
          <w:szCs w:val="28"/>
        </w:rPr>
      </w:pPr>
    </w:p>
    <w:p w14:paraId="529DC5DD">
      <w:pPr>
        <w:spacing w:line="360" w:lineRule="auto"/>
        <w:ind w:firstLine="602" w:firstLineChars="250"/>
        <w:rPr>
          <w:rFonts w:hint="eastAsia" w:ascii="仿宋" w:hAnsi="仿宋" w:eastAsia="仿宋" w:cs="宋体"/>
          <w:b/>
          <w:sz w:val="24"/>
        </w:rPr>
      </w:pPr>
      <w:r>
        <w:rPr>
          <w:rFonts w:hint="eastAsia" w:ascii="仿宋" w:hAnsi="仿宋" w:eastAsia="仿宋" w:cs="宋体"/>
          <w:b/>
          <w:sz w:val="24"/>
        </w:rPr>
        <w:t xml:space="preserve">甲方： </w:t>
      </w:r>
      <w:bookmarkStart w:id="1" w:name="OLE_LINK1"/>
      <w:r>
        <w:rPr>
          <w:rFonts w:hint="eastAsia" w:ascii="仿宋" w:hAnsi="仿宋" w:eastAsia="仿宋" w:cs="宋体"/>
          <w:b/>
          <w:sz w:val="24"/>
        </w:rPr>
        <w:t>湖北宜昌金丝烟草有限公司</w:t>
      </w:r>
      <w:bookmarkEnd w:id="1"/>
    </w:p>
    <w:p w14:paraId="039AA375">
      <w:pPr>
        <w:spacing w:line="360" w:lineRule="auto"/>
        <w:ind w:firstLine="602" w:firstLineChars="250"/>
        <w:rPr>
          <w:rFonts w:hint="eastAsia" w:ascii="仿宋" w:hAnsi="仿宋" w:eastAsia="仿宋" w:cs="宋体"/>
          <w:b/>
          <w:sz w:val="24"/>
          <w:u w:val="single"/>
        </w:rPr>
      </w:pPr>
    </w:p>
    <w:p w14:paraId="3359B3EA">
      <w:pPr>
        <w:spacing w:line="360" w:lineRule="auto"/>
        <w:ind w:firstLine="602" w:firstLineChars="250"/>
        <w:rPr>
          <w:rFonts w:hint="eastAsia" w:ascii="仿宋" w:hAnsi="仿宋" w:eastAsia="仿宋" w:cs="宋体"/>
          <w:sz w:val="24"/>
        </w:rPr>
      </w:pPr>
      <w:r>
        <w:rPr>
          <w:rFonts w:hint="eastAsia" w:ascii="仿宋" w:hAnsi="仿宋" w:eastAsia="仿宋" w:cs="宋体"/>
          <w:b/>
          <w:sz w:val="24"/>
        </w:rPr>
        <w:t>乙方：</w:t>
      </w:r>
      <w:r>
        <w:rPr>
          <w:rFonts w:hint="eastAsia" w:ascii="仿宋" w:hAnsi="仿宋" w:eastAsia="仿宋" w:cs="宋体"/>
          <w:sz w:val="24"/>
        </w:rPr>
        <w:t xml:space="preserve">    </w:t>
      </w:r>
    </w:p>
    <w:p w14:paraId="09BC95F1">
      <w:pPr>
        <w:spacing w:line="360" w:lineRule="auto"/>
        <w:ind w:firstLine="600" w:firstLineChars="250"/>
        <w:rPr>
          <w:rFonts w:hint="eastAsia" w:ascii="仿宋" w:hAnsi="仿宋" w:eastAsia="仿宋" w:cs="宋体"/>
          <w:sz w:val="24"/>
        </w:rPr>
      </w:pPr>
      <w:r>
        <w:rPr>
          <w:rFonts w:hint="eastAsia" w:ascii="仿宋" w:hAnsi="仿宋" w:eastAsia="仿宋" w:cs="宋体"/>
          <w:sz w:val="24"/>
        </w:rPr>
        <w:t xml:space="preserve">                                   </w:t>
      </w:r>
    </w:p>
    <w:p w14:paraId="22D0EC2F">
      <w:pPr>
        <w:spacing w:line="360" w:lineRule="auto"/>
        <w:ind w:firstLine="480" w:firstLineChars="200"/>
        <w:rPr>
          <w:rFonts w:hint="eastAsia" w:ascii="仿宋" w:hAnsi="仿宋" w:eastAsia="仿宋" w:cs="宋体"/>
          <w:sz w:val="24"/>
        </w:rPr>
      </w:pPr>
      <w:r>
        <w:rPr>
          <w:rFonts w:hint="eastAsia" w:ascii="仿宋" w:hAnsi="仿宋" w:eastAsia="仿宋" w:cs="宋体"/>
          <w:sz w:val="24"/>
        </w:rPr>
        <w:t>为了加强相关方在湖北宜昌金丝烟草有限公司作业过程中的安全、环境管理，保护好双方人身、财产安全，防止各类安全事故的发生，保证相关方的各项作业顺利进行，湖北宜昌金丝烟草有限公司（以下简称甲方）决定与相关方（以下简称乙方）签订此安全协议，以资共同遵守。</w:t>
      </w:r>
    </w:p>
    <w:p w14:paraId="4401924D">
      <w:pPr>
        <w:spacing w:line="360" w:lineRule="auto"/>
        <w:rPr>
          <w:rFonts w:hint="eastAsia" w:ascii="仿宋" w:hAnsi="仿宋" w:eastAsia="仿宋" w:cs="宋体"/>
          <w:sz w:val="24"/>
        </w:rPr>
      </w:pPr>
      <w:r>
        <w:rPr>
          <w:rFonts w:hint="eastAsia" w:ascii="仿宋" w:hAnsi="仿宋" w:eastAsia="仿宋" w:cs="宋体"/>
          <w:b/>
          <w:sz w:val="24"/>
        </w:rPr>
        <w:t>1</w:t>
      </w:r>
      <w:r>
        <w:rPr>
          <w:rFonts w:ascii="仿宋" w:hAnsi="仿宋" w:eastAsia="仿宋" w:cs="宋体"/>
          <w:b/>
          <w:sz w:val="24"/>
        </w:rPr>
        <w:t>.</w:t>
      </w:r>
      <w:r>
        <w:rPr>
          <w:rFonts w:hint="eastAsia" w:ascii="仿宋" w:hAnsi="仿宋" w:eastAsia="仿宋" w:cs="宋体"/>
          <w:b/>
          <w:sz w:val="24"/>
        </w:rPr>
        <w:t>项目名称：</w:t>
      </w:r>
      <w:r>
        <w:rPr>
          <w:rFonts w:hint="eastAsia" w:ascii="仿宋" w:hAnsi="仿宋" w:eastAsia="仿宋" w:cs="宋体"/>
          <w:b/>
          <w:sz w:val="24"/>
          <w:u w:val="single"/>
        </w:rPr>
        <w:t xml:space="preserve">  </w:t>
      </w:r>
      <w:r>
        <w:rPr>
          <w:rFonts w:ascii="仿宋" w:hAnsi="仿宋" w:eastAsia="仿宋" w:cs="宋体"/>
          <w:b/>
          <w:sz w:val="24"/>
          <w:u w:val="single"/>
        </w:rPr>
        <w:t xml:space="preserve">                </w:t>
      </w:r>
      <w:r>
        <w:rPr>
          <w:rFonts w:hint="eastAsia" w:ascii="仿宋" w:hAnsi="仿宋" w:eastAsia="仿宋" w:cs="宋体"/>
          <w:b/>
          <w:sz w:val="24"/>
          <w:u w:val="single"/>
        </w:rPr>
        <w:t xml:space="preserve">  </w:t>
      </w:r>
    </w:p>
    <w:p w14:paraId="0B567BE7">
      <w:pPr>
        <w:spacing w:line="360" w:lineRule="auto"/>
        <w:rPr>
          <w:rFonts w:hint="eastAsia" w:ascii="仿宋" w:hAnsi="仿宋" w:eastAsia="仿宋" w:cs="宋体"/>
          <w:b/>
          <w:sz w:val="24"/>
          <w:u w:val="single"/>
        </w:rPr>
      </w:pPr>
      <w:r>
        <w:rPr>
          <w:rFonts w:hint="eastAsia" w:ascii="仿宋" w:hAnsi="仿宋" w:eastAsia="仿宋" w:cs="宋体"/>
          <w:b/>
          <w:sz w:val="24"/>
        </w:rPr>
        <w:t>2.项目主要内容：</w:t>
      </w:r>
      <w:r>
        <w:rPr>
          <w:rFonts w:hint="eastAsia" w:ascii="仿宋" w:hAnsi="仿宋" w:eastAsia="仿宋" w:cs="宋体"/>
          <w:b/>
          <w:sz w:val="24"/>
          <w:u w:val="single"/>
        </w:rPr>
        <w:t xml:space="preserve"> </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b/>
          <w:sz w:val="24"/>
          <w:u w:val="single"/>
        </w:rPr>
        <w:t xml:space="preserve"> </w:t>
      </w:r>
    </w:p>
    <w:p w14:paraId="0FDBFDED">
      <w:pPr>
        <w:spacing w:line="360" w:lineRule="auto"/>
        <w:rPr>
          <w:rFonts w:hint="eastAsia" w:ascii="仿宋" w:hAnsi="仿宋" w:eastAsia="仿宋" w:cs="宋体"/>
          <w:b/>
          <w:sz w:val="24"/>
          <w:u w:val="single"/>
        </w:rPr>
      </w:pPr>
      <w:r>
        <w:rPr>
          <w:rFonts w:hint="eastAsia" w:ascii="仿宋" w:hAnsi="仿宋" w:eastAsia="仿宋" w:cs="宋体"/>
          <w:b/>
          <w:sz w:val="24"/>
          <w:u w:val="single"/>
        </w:rPr>
        <w:t>3.项目实施过程中的主要危险源和风险管控措施</w:t>
      </w:r>
      <w:r>
        <w:rPr>
          <w:rFonts w:hint="eastAsia" w:ascii="仿宋" w:hAnsi="仿宋" w:eastAsia="仿宋" w:cs="宋体"/>
          <w:i/>
          <w:sz w:val="24"/>
          <w:u w:val="single"/>
        </w:rPr>
        <w:t>（为确保风险辨识准确、管控措施有效，该表的填写应有部门安全员参与）</w:t>
      </w:r>
    </w:p>
    <w:tbl>
      <w:tblPr>
        <w:tblStyle w:val="2"/>
        <w:tblW w:w="54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755"/>
        <w:gridCol w:w="753"/>
        <w:gridCol w:w="1776"/>
        <w:gridCol w:w="2066"/>
        <w:gridCol w:w="2190"/>
        <w:gridCol w:w="1222"/>
      </w:tblGrid>
      <w:tr w14:paraId="4B6D5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 w:type="pct"/>
            <w:vMerge w:val="restart"/>
            <w:vAlign w:val="center"/>
          </w:tcPr>
          <w:p w14:paraId="05A918A3">
            <w:pPr>
              <w:widowControl/>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序号</w:t>
            </w:r>
          </w:p>
        </w:tc>
        <w:tc>
          <w:tcPr>
            <w:tcW w:w="409" w:type="pct"/>
            <w:vMerge w:val="restart"/>
            <w:vAlign w:val="center"/>
          </w:tcPr>
          <w:p w14:paraId="4322C6C8">
            <w:pPr>
              <w:tabs>
                <w:tab w:val="center" w:pos="4201"/>
                <w:tab w:val="right" w:leader="dot" w:pos="9298"/>
              </w:tabs>
              <w:autoSpaceDE w:val="0"/>
              <w:autoSpaceDN w:val="0"/>
              <w:spacing w:line="360" w:lineRule="auto"/>
              <w:rPr>
                <w:rFonts w:hint="eastAsia" w:ascii="仿宋" w:hAnsi="仿宋" w:eastAsia="仿宋" w:cs="宋体"/>
                <w:sz w:val="24"/>
              </w:rPr>
            </w:pPr>
          </w:p>
          <w:p w14:paraId="2830CEE2">
            <w:pPr>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作业活动</w:t>
            </w:r>
          </w:p>
        </w:tc>
        <w:tc>
          <w:tcPr>
            <w:tcW w:w="2489" w:type="pct"/>
            <w:gridSpan w:val="3"/>
            <w:vAlign w:val="center"/>
          </w:tcPr>
          <w:p w14:paraId="737D80FA">
            <w:pPr>
              <w:widowControl/>
              <w:tabs>
                <w:tab w:val="center" w:pos="4201"/>
                <w:tab w:val="right" w:leader="dot" w:pos="9298"/>
              </w:tabs>
              <w:autoSpaceDE w:val="0"/>
              <w:autoSpaceDN w:val="0"/>
              <w:spacing w:line="360" w:lineRule="auto"/>
              <w:jc w:val="center"/>
              <w:rPr>
                <w:rFonts w:hint="eastAsia" w:ascii="仿宋" w:hAnsi="仿宋" w:eastAsia="仿宋" w:cs="宋体"/>
                <w:sz w:val="24"/>
              </w:rPr>
            </w:pPr>
            <w:r>
              <w:rPr>
                <w:rFonts w:hint="eastAsia" w:ascii="仿宋" w:hAnsi="仿宋" w:eastAsia="仿宋" w:cs="宋体"/>
                <w:sz w:val="24"/>
              </w:rPr>
              <w:t>危险源及其风险辨识</w:t>
            </w:r>
          </w:p>
        </w:tc>
        <w:tc>
          <w:tcPr>
            <w:tcW w:w="1848" w:type="pct"/>
            <w:gridSpan w:val="2"/>
            <w:vAlign w:val="center"/>
          </w:tcPr>
          <w:p w14:paraId="30C9DE99">
            <w:pPr>
              <w:widowControl/>
              <w:tabs>
                <w:tab w:val="center" w:pos="4201"/>
                <w:tab w:val="right" w:leader="dot" w:pos="9298"/>
              </w:tabs>
              <w:autoSpaceDE w:val="0"/>
              <w:autoSpaceDN w:val="0"/>
              <w:spacing w:line="360" w:lineRule="auto"/>
              <w:jc w:val="center"/>
              <w:rPr>
                <w:rFonts w:hint="eastAsia" w:ascii="仿宋" w:hAnsi="仿宋" w:eastAsia="仿宋" w:cs="宋体"/>
                <w:sz w:val="24"/>
              </w:rPr>
            </w:pPr>
            <w:r>
              <w:rPr>
                <w:rFonts w:hint="eastAsia" w:ascii="仿宋" w:hAnsi="仿宋" w:eastAsia="仿宋" w:cs="宋体"/>
                <w:sz w:val="24"/>
              </w:rPr>
              <w:t>风险管控措施</w:t>
            </w:r>
          </w:p>
        </w:tc>
      </w:tr>
      <w:tr w14:paraId="11A00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54" w:type="pct"/>
            <w:vMerge w:val="continue"/>
            <w:vAlign w:val="center"/>
          </w:tcPr>
          <w:p w14:paraId="3D98F61A">
            <w:pPr>
              <w:widowControl/>
              <w:tabs>
                <w:tab w:val="center" w:pos="4201"/>
                <w:tab w:val="right" w:leader="dot" w:pos="9298"/>
              </w:tabs>
              <w:autoSpaceDE w:val="0"/>
              <w:autoSpaceDN w:val="0"/>
              <w:spacing w:line="360" w:lineRule="auto"/>
              <w:ind w:firstLine="480" w:firstLineChars="200"/>
              <w:rPr>
                <w:rFonts w:hint="eastAsia" w:ascii="仿宋" w:hAnsi="仿宋" w:eastAsia="仿宋" w:cs="宋体"/>
                <w:sz w:val="24"/>
              </w:rPr>
            </w:pPr>
          </w:p>
        </w:tc>
        <w:tc>
          <w:tcPr>
            <w:tcW w:w="409" w:type="pct"/>
            <w:vMerge w:val="continue"/>
            <w:vAlign w:val="center"/>
          </w:tcPr>
          <w:p w14:paraId="30260682">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408" w:type="pct"/>
            <w:vAlign w:val="center"/>
          </w:tcPr>
          <w:p w14:paraId="3DD47282">
            <w:pPr>
              <w:widowControl/>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危险根源</w:t>
            </w:r>
          </w:p>
        </w:tc>
        <w:tc>
          <w:tcPr>
            <w:tcW w:w="962" w:type="pct"/>
            <w:vAlign w:val="center"/>
          </w:tcPr>
          <w:p w14:paraId="1A39B16E">
            <w:pPr>
              <w:widowControl/>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危险发生的触发因素和过程</w:t>
            </w:r>
          </w:p>
        </w:tc>
        <w:tc>
          <w:tcPr>
            <w:tcW w:w="1119" w:type="pct"/>
            <w:vAlign w:val="center"/>
          </w:tcPr>
          <w:p w14:paraId="32589863">
            <w:pPr>
              <w:widowControl/>
              <w:tabs>
                <w:tab w:val="center" w:pos="4201"/>
                <w:tab w:val="right" w:leader="dot" w:pos="9298"/>
              </w:tabs>
              <w:autoSpaceDE w:val="0"/>
              <w:autoSpaceDN w:val="0"/>
              <w:spacing w:line="360" w:lineRule="auto"/>
              <w:jc w:val="center"/>
              <w:rPr>
                <w:rFonts w:hint="eastAsia" w:ascii="仿宋" w:hAnsi="仿宋" w:eastAsia="仿宋" w:cs="宋体"/>
                <w:sz w:val="24"/>
              </w:rPr>
            </w:pPr>
            <w:r>
              <w:rPr>
                <w:rFonts w:hint="eastAsia" w:ascii="仿宋" w:hAnsi="仿宋" w:eastAsia="仿宋" w:cs="宋体"/>
                <w:sz w:val="24"/>
              </w:rPr>
              <w:t>可能导致的后果</w:t>
            </w:r>
          </w:p>
        </w:tc>
        <w:tc>
          <w:tcPr>
            <w:tcW w:w="1186" w:type="pct"/>
            <w:vAlign w:val="center"/>
          </w:tcPr>
          <w:p w14:paraId="0BDAD620">
            <w:pPr>
              <w:widowControl/>
              <w:tabs>
                <w:tab w:val="center" w:pos="4201"/>
                <w:tab w:val="right" w:leader="dot" w:pos="9298"/>
              </w:tabs>
              <w:autoSpaceDE w:val="0"/>
              <w:autoSpaceDN w:val="0"/>
              <w:spacing w:line="360" w:lineRule="auto"/>
              <w:jc w:val="center"/>
              <w:rPr>
                <w:rFonts w:hint="eastAsia" w:ascii="仿宋" w:hAnsi="仿宋" w:eastAsia="仿宋" w:cs="宋体"/>
                <w:sz w:val="24"/>
              </w:rPr>
            </w:pPr>
            <w:r>
              <w:rPr>
                <w:rFonts w:hint="eastAsia" w:ascii="仿宋" w:hAnsi="仿宋" w:eastAsia="仿宋" w:cs="宋体"/>
                <w:sz w:val="24"/>
              </w:rPr>
              <w:t>控制措施</w:t>
            </w:r>
          </w:p>
        </w:tc>
        <w:tc>
          <w:tcPr>
            <w:tcW w:w="662" w:type="pct"/>
            <w:vAlign w:val="center"/>
          </w:tcPr>
          <w:p w14:paraId="65553A07">
            <w:pPr>
              <w:widowControl/>
              <w:tabs>
                <w:tab w:val="center" w:pos="4201"/>
                <w:tab w:val="right" w:leader="dot" w:pos="9298"/>
              </w:tabs>
              <w:autoSpaceDE w:val="0"/>
              <w:autoSpaceDN w:val="0"/>
              <w:spacing w:line="360" w:lineRule="auto"/>
              <w:jc w:val="center"/>
              <w:rPr>
                <w:rFonts w:hint="eastAsia" w:ascii="仿宋" w:hAnsi="仿宋" w:eastAsia="仿宋" w:cs="宋体"/>
                <w:sz w:val="24"/>
              </w:rPr>
            </w:pPr>
            <w:r>
              <w:rPr>
                <w:rFonts w:hint="eastAsia" w:ascii="仿宋" w:hAnsi="仿宋" w:eastAsia="仿宋" w:cs="宋体"/>
                <w:sz w:val="24"/>
              </w:rPr>
              <w:t>管控岗位</w:t>
            </w:r>
          </w:p>
        </w:tc>
      </w:tr>
      <w:tr w14:paraId="51B0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54" w:type="pct"/>
            <w:vAlign w:val="center"/>
          </w:tcPr>
          <w:p w14:paraId="42FCC2C5">
            <w:pPr>
              <w:widowControl/>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1</w:t>
            </w:r>
          </w:p>
        </w:tc>
        <w:tc>
          <w:tcPr>
            <w:tcW w:w="409" w:type="pct"/>
            <w:vAlign w:val="center"/>
          </w:tcPr>
          <w:p w14:paraId="75C8E4CB">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408" w:type="pct"/>
            <w:vAlign w:val="center"/>
          </w:tcPr>
          <w:p w14:paraId="36FE28CC">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962" w:type="pct"/>
            <w:vAlign w:val="center"/>
          </w:tcPr>
          <w:p w14:paraId="4F6FE70F">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19" w:type="pct"/>
            <w:vAlign w:val="center"/>
          </w:tcPr>
          <w:p w14:paraId="13001932">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86" w:type="pct"/>
            <w:vAlign w:val="center"/>
          </w:tcPr>
          <w:p w14:paraId="05D3587A">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662" w:type="pct"/>
            <w:vAlign w:val="center"/>
          </w:tcPr>
          <w:p w14:paraId="17F5F479">
            <w:pPr>
              <w:widowControl/>
              <w:tabs>
                <w:tab w:val="center" w:pos="4201"/>
                <w:tab w:val="right" w:leader="dot" w:pos="9298"/>
              </w:tabs>
              <w:autoSpaceDE w:val="0"/>
              <w:autoSpaceDN w:val="0"/>
              <w:spacing w:line="360" w:lineRule="auto"/>
              <w:rPr>
                <w:rFonts w:hint="eastAsia" w:ascii="仿宋" w:hAnsi="仿宋" w:eastAsia="仿宋" w:cs="宋体"/>
                <w:sz w:val="24"/>
              </w:rPr>
            </w:pPr>
          </w:p>
        </w:tc>
      </w:tr>
      <w:tr w14:paraId="33DB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54" w:type="pct"/>
            <w:vAlign w:val="center"/>
          </w:tcPr>
          <w:p w14:paraId="7C9C4D0F">
            <w:pPr>
              <w:widowControl/>
              <w:tabs>
                <w:tab w:val="center" w:pos="4201"/>
                <w:tab w:val="right" w:leader="dot" w:pos="9298"/>
              </w:tabs>
              <w:autoSpaceDE w:val="0"/>
              <w:autoSpaceDN w:val="0"/>
              <w:spacing w:line="360" w:lineRule="auto"/>
              <w:rPr>
                <w:rFonts w:hint="eastAsia" w:ascii="仿宋" w:hAnsi="仿宋" w:eastAsia="仿宋" w:cs="宋体"/>
                <w:sz w:val="24"/>
              </w:rPr>
            </w:pPr>
            <w:r>
              <w:rPr>
                <w:rFonts w:hint="eastAsia" w:ascii="仿宋" w:hAnsi="仿宋" w:eastAsia="仿宋" w:cs="宋体"/>
                <w:sz w:val="24"/>
              </w:rPr>
              <w:t>2</w:t>
            </w:r>
          </w:p>
        </w:tc>
        <w:tc>
          <w:tcPr>
            <w:tcW w:w="409" w:type="pct"/>
            <w:vAlign w:val="center"/>
          </w:tcPr>
          <w:p w14:paraId="1345306A">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408" w:type="pct"/>
            <w:vAlign w:val="center"/>
          </w:tcPr>
          <w:p w14:paraId="605EFEA4">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962" w:type="pct"/>
            <w:vAlign w:val="center"/>
          </w:tcPr>
          <w:p w14:paraId="375BB2E5">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19" w:type="pct"/>
            <w:vAlign w:val="center"/>
          </w:tcPr>
          <w:p w14:paraId="53EAC273">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86" w:type="pct"/>
            <w:vAlign w:val="center"/>
          </w:tcPr>
          <w:p w14:paraId="703285A6">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662" w:type="pct"/>
            <w:vAlign w:val="center"/>
          </w:tcPr>
          <w:p w14:paraId="5D3E2345">
            <w:pPr>
              <w:widowControl/>
              <w:tabs>
                <w:tab w:val="center" w:pos="4201"/>
                <w:tab w:val="right" w:leader="dot" w:pos="9298"/>
              </w:tabs>
              <w:autoSpaceDE w:val="0"/>
              <w:autoSpaceDN w:val="0"/>
              <w:spacing w:line="360" w:lineRule="auto"/>
              <w:rPr>
                <w:rFonts w:hint="eastAsia" w:ascii="仿宋" w:hAnsi="仿宋" w:eastAsia="仿宋" w:cs="宋体"/>
                <w:sz w:val="24"/>
              </w:rPr>
            </w:pPr>
          </w:p>
        </w:tc>
      </w:tr>
      <w:tr w14:paraId="557F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254" w:type="pct"/>
            <w:vAlign w:val="center"/>
          </w:tcPr>
          <w:p w14:paraId="17F4AE97">
            <w:pPr>
              <w:tabs>
                <w:tab w:val="center" w:pos="4201"/>
                <w:tab w:val="right" w:leader="dot" w:pos="9298"/>
              </w:tabs>
              <w:autoSpaceDE w:val="0"/>
              <w:autoSpaceDN w:val="0"/>
              <w:spacing w:line="360" w:lineRule="auto"/>
              <w:rPr>
                <w:rFonts w:hint="eastAsia" w:ascii="仿宋" w:hAnsi="仿宋" w:eastAsia="仿宋" w:cs="宋体"/>
                <w:sz w:val="24"/>
              </w:rPr>
            </w:pPr>
            <w:r>
              <w:rPr>
                <w:rFonts w:ascii="仿宋" w:hAnsi="仿宋" w:eastAsia="仿宋" w:cs="宋体"/>
                <w:sz w:val="24"/>
              </w:rPr>
              <w:t>…</w:t>
            </w:r>
          </w:p>
        </w:tc>
        <w:tc>
          <w:tcPr>
            <w:tcW w:w="409" w:type="pct"/>
            <w:vAlign w:val="center"/>
          </w:tcPr>
          <w:p w14:paraId="20DAA682">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408" w:type="pct"/>
            <w:vAlign w:val="center"/>
          </w:tcPr>
          <w:p w14:paraId="7F327FEC">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962" w:type="pct"/>
            <w:vAlign w:val="center"/>
          </w:tcPr>
          <w:p w14:paraId="4F627180">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19" w:type="pct"/>
            <w:vAlign w:val="center"/>
          </w:tcPr>
          <w:p w14:paraId="0EA92394">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1186" w:type="pct"/>
            <w:vAlign w:val="center"/>
          </w:tcPr>
          <w:p w14:paraId="09C6A3B6">
            <w:pPr>
              <w:widowControl/>
              <w:tabs>
                <w:tab w:val="center" w:pos="4201"/>
                <w:tab w:val="right" w:leader="dot" w:pos="9298"/>
              </w:tabs>
              <w:autoSpaceDE w:val="0"/>
              <w:autoSpaceDN w:val="0"/>
              <w:spacing w:line="360" w:lineRule="auto"/>
              <w:rPr>
                <w:rFonts w:hint="eastAsia" w:ascii="仿宋" w:hAnsi="仿宋" w:eastAsia="仿宋" w:cs="宋体"/>
                <w:sz w:val="24"/>
              </w:rPr>
            </w:pPr>
          </w:p>
        </w:tc>
        <w:tc>
          <w:tcPr>
            <w:tcW w:w="662" w:type="pct"/>
            <w:vAlign w:val="center"/>
          </w:tcPr>
          <w:p w14:paraId="24832069">
            <w:pPr>
              <w:widowControl/>
              <w:tabs>
                <w:tab w:val="center" w:pos="4201"/>
                <w:tab w:val="right" w:leader="dot" w:pos="9298"/>
              </w:tabs>
              <w:autoSpaceDE w:val="0"/>
              <w:autoSpaceDN w:val="0"/>
              <w:spacing w:line="360" w:lineRule="auto"/>
              <w:rPr>
                <w:rFonts w:hint="eastAsia" w:ascii="仿宋" w:hAnsi="仿宋" w:eastAsia="仿宋" w:cs="宋体"/>
                <w:sz w:val="24"/>
              </w:rPr>
            </w:pPr>
          </w:p>
        </w:tc>
      </w:tr>
    </w:tbl>
    <w:p w14:paraId="09B493D7">
      <w:pPr>
        <w:spacing w:line="360" w:lineRule="auto"/>
        <w:ind w:firstLine="480" w:firstLineChars="200"/>
        <w:rPr>
          <w:rFonts w:hint="eastAsia" w:ascii="仿宋" w:hAnsi="仿宋" w:eastAsia="仿宋" w:cs="宋体"/>
          <w:sz w:val="24"/>
        </w:rPr>
      </w:pPr>
      <w:r>
        <w:rPr>
          <w:rFonts w:hint="eastAsia" w:ascii="仿宋" w:hAnsi="仿宋" w:eastAsia="仿宋" w:cs="宋体"/>
          <w:sz w:val="24"/>
        </w:rPr>
        <w:t>当设备设施、作业活动、作业环境等变更导致风险发生变化时，甲方应重新组织乙方对风险进行辨识和评价，制定管控措施。乙方应严格按照辨识情况，开展教育培训，执行日常作业管控。</w:t>
      </w:r>
    </w:p>
    <w:p w14:paraId="6F9842C5">
      <w:pPr>
        <w:spacing w:line="360" w:lineRule="auto"/>
        <w:rPr>
          <w:rFonts w:hint="eastAsia" w:ascii="仿宋" w:hAnsi="仿宋" w:eastAsia="仿宋" w:cs="宋体"/>
          <w:b/>
          <w:sz w:val="24"/>
        </w:rPr>
      </w:pPr>
      <w:r>
        <w:rPr>
          <w:rFonts w:hint="eastAsia" w:ascii="仿宋" w:hAnsi="仿宋" w:eastAsia="仿宋" w:cs="宋体"/>
          <w:b/>
          <w:sz w:val="24"/>
        </w:rPr>
        <w:t>4</w:t>
      </w:r>
      <w:r>
        <w:rPr>
          <w:rFonts w:ascii="仿宋" w:hAnsi="仿宋" w:eastAsia="仿宋" w:cs="宋体"/>
          <w:b/>
          <w:sz w:val="24"/>
        </w:rPr>
        <w:t>.</w:t>
      </w:r>
      <w:r>
        <w:rPr>
          <w:rFonts w:hint="eastAsia" w:ascii="仿宋" w:hAnsi="仿宋" w:eastAsia="仿宋" w:cs="宋体"/>
          <w:b/>
          <w:sz w:val="24"/>
        </w:rPr>
        <w:t>甲方的安全管理责任和义务：</w:t>
      </w:r>
    </w:p>
    <w:p w14:paraId="3F466B17">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4.1负责对乙方从事本项目资质进行审查，对乙方从事本项目需取证人员持证情况进行审核，按照有关法律法规标准要求，对不符合人员应拒绝从事本项目的作业活动。</w:t>
      </w:r>
    </w:p>
    <w:p w14:paraId="0B871E03">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4.2负责向乙方项目负责人及安全管理员进行入场前的安全技术、安全管理、环境保护、打非治违和综合治理相关要求的告知交底，要求乙方向所属从业人员传达学习并遵照执行。</w:t>
      </w:r>
    </w:p>
    <w:p w14:paraId="59970599">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4.3</w:t>
      </w:r>
      <w:r>
        <w:rPr>
          <w:rFonts w:hint="eastAsia" w:ascii="仿宋" w:hAnsi="仿宋" w:eastAsia="仿宋" w:cs="宋体"/>
          <w:sz w:val="24"/>
        </w:rPr>
        <w:t>甲方有权对乙方作业人员劳动防护用品的使用期限和正确使用情况等进行监督检查；对乙方所属设备设施安全装置是否完好有效进行监督检查；对不符合安全要求的运输车辆、机械设备、工具、安全用具、安全防护用具、用品等，有权要求乙方立行立改，否则有权禁止乙方使用或要求乙方停止作业。</w:t>
      </w:r>
    </w:p>
    <w:p w14:paraId="11BE9461">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4.4对乙方工作过程或作业活动进行监管，对违反合同约定、安全生产标准和规章制度的行为进行制止和纠正，必要时按照《金丝公司治安安全管理办法》等规定追究乙方违约责任或要求乙方停工整改。</w:t>
      </w:r>
    </w:p>
    <w:p w14:paraId="574EFFE4">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4.5根据甲方项目类型和风险级别管控要求，甲方有权要求乙方制定安全措施，在项目实施前报甲方安全管理部门和主管部门审核备案。</w:t>
      </w:r>
    </w:p>
    <w:p w14:paraId="0CBB9F94">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4.6负责按照合同约定，提供、完善相关作业设施和办公设施，并对乙方的使用和维护情况进行监督检查。</w:t>
      </w:r>
    </w:p>
    <w:p w14:paraId="49D4C4F2">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w:t>
      </w:r>
      <w:r>
        <w:rPr>
          <w:rFonts w:ascii="仿宋" w:hAnsi="仿宋" w:eastAsia="仿宋" w:cs="宋体"/>
          <w:sz w:val="24"/>
        </w:rPr>
        <w:t>7</w:t>
      </w:r>
      <w:r>
        <w:rPr>
          <w:rFonts w:hint="eastAsia" w:ascii="仿宋" w:hAnsi="仿宋" w:eastAsia="仿宋" w:cs="宋体"/>
          <w:sz w:val="24"/>
        </w:rPr>
        <w:t>负责协调同一现场多个施工单位的安全生产管理工作。</w:t>
      </w:r>
    </w:p>
    <w:p w14:paraId="0294440C">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4.</w:t>
      </w:r>
      <w:r>
        <w:rPr>
          <w:rFonts w:ascii="仿宋" w:hAnsi="仿宋" w:eastAsia="仿宋" w:cs="宋体"/>
          <w:sz w:val="24"/>
        </w:rPr>
        <w:t>8</w:t>
      </w:r>
      <w:r>
        <w:rPr>
          <w:rFonts w:hint="eastAsia" w:ascii="仿宋" w:hAnsi="仿宋" w:eastAsia="仿宋" w:cs="宋体"/>
          <w:sz w:val="24"/>
        </w:rPr>
        <w:t>负责对乙方作业项目进行风险辨识和评价、确定风险控制措施，形成风险控制措施告知内容；乙方设备设施和作业活动变更时，应重新进行风险辨识、评价和确定控制措施。</w:t>
      </w:r>
    </w:p>
    <w:p w14:paraId="0D032275">
      <w:pPr>
        <w:spacing w:line="360" w:lineRule="auto"/>
        <w:ind w:firstLine="120" w:firstLineChars="50"/>
        <w:rPr>
          <w:rFonts w:hint="eastAsia" w:ascii="仿宋" w:hAnsi="仿宋" w:eastAsia="仿宋" w:cs="宋体"/>
          <w:b/>
          <w:sz w:val="24"/>
        </w:rPr>
      </w:pPr>
      <w:r>
        <w:rPr>
          <w:rFonts w:hint="eastAsia" w:ascii="仿宋" w:hAnsi="仿宋" w:eastAsia="仿宋" w:cs="宋体"/>
          <w:b/>
          <w:sz w:val="24"/>
        </w:rPr>
        <w:t>5.乙方的安全管理责任和义务</w:t>
      </w:r>
    </w:p>
    <w:p w14:paraId="4C4D886B">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1</w:t>
      </w:r>
      <w:r>
        <w:rPr>
          <w:rFonts w:hint="eastAsia" w:ascii="仿宋" w:hAnsi="仿宋" w:eastAsia="仿宋" w:cs="宋体"/>
          <w:sz w:val="24"/>
        </w:rPr>
        <w:t>乙方需具备承揽项目所必须的符合国家、烟草行业规定的资质和条件，而且所提供的产品和服务应满足国家、地方、烟草行业的有关职业健康安全和环境保护方面的法律法规要求。</w:t>
      </w:r>
    </w:p>
    <w:p w14:paraId="55775E42">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5.2 乙方是本项目实施的主体责任单位，对本项目涉及施工安全、人员健康安全、环境保护负责。应认真贯彻落实国家有关安全生产、环境保护、职业卫生的方针、政策；严格执行行业及地方政府有关安全生产和环境保护的要求；负责本单位从业人员的安全生产、文明施工教育培训；保证从业人员具备必要的安全生产知识、事故防范能力和环境保护意识，掌握本岗位风险管控和应急避险措施，熟悉本项目相应安全生产规章制度和安全操作规程，杜绝各类安全、环保事件发生。</w:t>
      </w:r>
    </w:p>
    <w:p w14:paraId="5F67DC05">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3</w:t>
      </w:r>
      <w:r>
        <w:rPr>
          <w:rFonts w:hint="eastAsia" w:ascii="仿宋" w:hAnsi="仿宋" w:eastAsia="仿宋" w:cs="宋体"/>
          <w:sz w:val="24"/>
        </w:rPr>
        <w:t>不得将本合同项目转包、分包。未经甲方同意，不得随意更换安全、质量等技术管理人员。</w:t>
      </w:r>
    </w:p>
    <w:p w14:paraId="2E70A80D">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4</w:t>
      </w:r>
      <w:r>
        <w:rPr>
          <w:rFonts w:hint="eastAsia" w:ascii="仿宋" w:hAnsi="仿宋" w:eastAsia="仿宋" w:cs="宋体"/>
          <w:sz w:val="24"/>
        </w:rPr>
        <w:t>负责为本单位从业人员提供必要的劳动保护用品，督促从业人员正确使用劳动防护用品，及时制止“三违”行为。</w:t>
      </w:r>
    </w:p>
    <w:p w14:paraId="32EBB458">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5</w:t>
      </w:r>
      <w:r>
        <w:rPr>
          <w:rFonts w:hint="eastAsia" w:ascii="仿宋" w:hAnsi="仿宋" w:eastAsia="仿宋" w:cs="宋体"/>
          <w:sz w:val="24"/>
        </w:rPr>
        <w:t>严格按照安全生产标准规范要求进行作业，并随时接受甲方上级部门、主管部门和监管部门等安全检查人员依法实施的监督检查，对检查发现的问题，应立即制定整改措施，落实责任人并按期完成整改，消除事故隐患。</w:t>
      </w:r>
    </w:p>
    <w:p w14:paraId="17726199">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6</w:t>
      </w:r>
      <w:r>
        <w:rPr>
          <w:rFonts w:hint="eastAsia" w:ascii="仿宋" w:hAnsi="仿宋" w:eastAsia="仿宋" w:cs="宋体"/>
          <w:sz w:val="24"/>
        </w:rPr>
        <w:t>遵守现场安全生产管理制度和劳动纪律，因违反操作规程或不服从管理导致生产安全事故的，由乙方承担相应责任，甲方有权就事故造成的损失，向乙方索赔。</w:t>
      </w:r>
    </w:p>
    <w:p w14:paraId="1A16E4F4">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7</w:t>
      </w:r>
      <w:r>
        <w:rPr>
          <w:rFonts w:hint="eastAsia" w:ascii="仿宋" w:hAnsi="仿宋" w:eastAsia="仿宋" w:cs="宋体"/>
          <w:sz w:val="24"/>
        </w:rPr>
        <w:t>有权拒绝甲方的违章指挥和强令冒险作业。发现直接危及人身安全的紧急情况时，有权停止作业或者在采取可能的应急措施后撤离作业场所。</w:t>
      </w:r>
    </w:p>
    <w:p w14:paraId="7B5A2B38">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8</w:t>
      </w:r>
      <w:r>
        <w:rPr>
          <w:rFonts w:hint="eastAsia" w:ascii="仿宋" w:hAnsi="仿宋" w:eastAsia="仿宋" w:cs="宋体"/>
          <w:sz w:val="24"/>
        </w:rPr>
        <w:t>负责为本单位从业人员办理工伤保险、意外伤害保险，支付保险费。</w:t>
      </w:r>
    </w:p>
    <w:p w14:paraId="4D390797">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5.</w:t>
      </w:r>
      <w:r>
        <w:rPr>
          <w:rFonts w:ascii="仿宋" w:hAnsi="仿宋" w:eastAsia="仿宋" w:cs="宋体"/>
          <w:sz w:val="24"/>
        </w:rPr>
        <w:t>9</w:t>
      </w:r>
      <w:r>
        <w:rPr>
          <w:rFonts w:hint="eastAsia" w:ascii="仿宋" w:hAnsi="仿宋" w:eastAsia="仿宋" w:cs="宋体"/>
          <w:sz w:val="24"/>
        </w:rPr>
        <w:t>对本单位从业人员所发生的生产安全事故，乙方应立即报告甲方，按照“四不放过”原则对事故进行调查处理，事故责任人应承担相应法律责任。</w:t>
      </w:r>
    </w:p>
    <w:p w14:paraId="1FE51CA0">
      <w:pPr>
        <w:snapToGrid w:val="0"/>
        <w:spacing w:line="360" w:lineRule="auto"/>
        <w:ind w:firstLine="482" w:firstLineChars="200"/>
        <w:rPr>
          <w:rFonts w:hint="eastAsia" w:ascii="仿宋" w:hAnsi="仿宋" w:eastAsia="仿宋" w:cs="宋体"/>
          <w:b/>
          <w:sz w:val="24"/>
        </w:rPr>
      </w:pPr>
      <w:r>
        <w:rPr>
          <w:rFonts w:hint="eastAsia" w:ascii="仿宋" w:hAnsi="仿宋" w:eastAsia="仿宋" w:cs="宋体"/>
          <w:b/>
          <w:sz w:val="24"/>
        </w:rPr>
        <w:t>6</w:t>
      </w:r>
      <w:r>
        <w:rPr>
          <w:rFonts w:ascii="仿宋" w:hAnsi="仿宋" w:eastAsia="仿宋" w:cs="宋体"/>
          <w:b/>
          <w:sz w:val="24"/>
        </w:rPr>
        <w:t>.</w:t>
      </w:r>
      <w:r>
        <w:rPr>
          <w:rFonts w:hint="eastAsia" w:ascii="仿宋" w:hAnsi="仿宋" w:eastAsia="仿宋" w:cs="宋体"/>
          <w:b/>
          <w:sz w:val="24"/>
        </w:rPr>
        <w:t>人员管理</w:t>
      </w:r>
    </w:p>
    <w:p w14:paraId="3387E7C3">
      <w:pPr>
        <w:snapToGrid w:val="0"/>
        <w:spacing w:line="360" w:lineRule="auto"/>
        <w:ind w:firstLine="480" w:firstLineChars="200"/>
        <w:rPr>
          <w:rFonts w:hint="eastAsia" w:ascii="仿宋" w:hAnsi="仿宋" w:eastAsia="仿宋" w:cs="宋体"/>
          <w:sz w:val="24"/>
          <w:u w:val="single"/>
        </w:rPr>
      </w:pPr>
      <w:r>
        <w:rPr>
          <w:rFonts w:hint="eastAsia" w:ascii="仿宋" w:hAnsi="仿宋" w:eastAsia="仿宋" w:cs="宋体"/>
          <w:sz w:val="24"/>
        </w:rPr>
        <w:t>6</w:t>
      </w:r>
      <w:r>
        <w:rPr>
          <w:rFonts w:ascii="仿宋" w:hAnsi="仿宋" w:eastAsia="仿宋" w:cs="宋体"/>
          <w:sz w:val="24"/>
        </w:rPr>
        <w:t>.1</w:t>
      </w:r>
      <w:r>
        <w:rPr>
          <w:rFonts w:hint="eastAsia" w:ascii="仿宋" w:hAnsi="仿宋" w:eastAsia="仿宋" w:cs="宋体"/>
          <w:sz w:val="24"/>
        </w:rPr>
        <w:t>甲方应指派一名安全负责人，负责对乙方施工（作业）现场进行安全检查和监督管理等具体工作。甲方安全负责人：</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u w:val="single"/>
        </w:rPr>
        <w:t xml:space="preserve"> </w:t>
      </w:r>
      <w:r>
        <w:rPr>
          <w:rFonts w:hint="eastAsia" w:ascii="仿宋" w:hAnsi="仿宋" w:eastAsia="仿宋" w:cs="宋体"/>
          <w:sz w:val="24"/>
        </w:rPr>
        <w:t>；电话：</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 xml:space="preserve">。 </w:t>
      </w:r>
      <w:r>
        <w:rPr>
          <w:rFonts w:hint="eastAsia" w:ascii="仿宋" w:hAnsi="仿宋" w:eastAsia="仿宋" w:cs="宋体"/>
          <w:sz w:val="24"/>
          <w:u w:val="single"/>
        </w:rPr>
        <w:t xml:space="preserve"> </w:t>
      </w:r>
    </w:p>
    <w:p w14:paraId="7FD3022C">
      <w:pPr>
        <w:snapToGrid w:val="0"/>
        <w:spacing w:line="360" w:lineRule="auto"/>
        <w:ind w:firstLine="480" w:firstLineChars="200"/>
        <w:rPr>
          <w:rFonts w:hint="eastAsia" w:ascii="仿宋" w:hAnsi="仿宋" w:eastAsia="仿宋" w:cs="宋体"/>
          <w:sz w:val="24"/>
          <w:u w:val="single"/>
        </w:rPr>
      </w:pPr>
      <w:r>
        <w:rPr>
          <w:rFonts w:ascii="仿宋" w:hAnsi="仿宋" w:eastAsia="仿宋" w:cs="宋体"/>
          <w:sz w:val="24"/>
        </w:rPr>
        <w:t>6.2</w:t>
      </w:r>
      <w:r>
        <w:rPr>
          <w:rFonts w:hint="eastAsia" w:ascii="仿宋" w:hAnsi="仿宋" w:eastAsia="仿宋" w:cs="宋体"/>
          <w:sz w:val="24"/>
        </w:rPr>
        <w:t>乙方确定至少一名现场安全管理人员，保持与甲方安全管理人员联系沟通，参加安全会议，服从甲方安全管理，按甲方要求落实安全隐患整改工作。乙方安全管理人员：</w:t>
      </w:r>
      <w:r>
        <w:rPr>
          <w:rFonts w:hint="eastAsia" w:ascii="仿宋" w:hAnsi="仿宋" w:eastAsia="仿宋" w:cs="宋体"/>
          <w:sz w:val="24"/>
          <w:u w:val="single"/>
        </w:rPr>
        <w:t xml:space="preserve">         </w:t>
      </w:r>
      <w:r>
        <w:rPr>
          <w:rFonts w:hint="eastAsia" w:ascii="仿宋" w:hAnsi="仿宋" w:eastAsia="仿宋" w:cs="宋体"/>
          <w:sz w:val="24"/>
        </w:rPr>
        <w:t>；电话：</w:t>
      </w:r>
      <w:r>
        <w:rPr>
          <w:rFonts w:hint="eastAsia" w:ascii="仿宋" w:hAnsi="仿宋" w:eastAsia="仿宋" w:cs="宋体"/>
          <w:sz w:val="24"/>
          <w:u w:val="single"/>
        </w:rPr>
        <w:t xml:space="preserve">                </w:t>
      </w:r>
      <w:r>
        <w:rPr>
          <w:rFonts w:hint="eastAsia" w:ascii="仿宋" w:hAnsi="仿宋" w:eastAsia="仿宋" w:cs="宋体"/>
          <w:sz w:val="24"/>
        </w:rPr>
        <w:t>。</w:t>
      </w:r>
    </w:p>
    <w:p w14:paraId="5D07461F">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6</w:t>
      </w:r>
      <w:r>
        <w:rPr>
          <w:rFonts w:ascii="仿宋" w:hAnsi="仿宋" w:eastAsia="仿宋" w:cs="宋体"/>
          <w:sz w:val="24"/>
        </w:rPr>
        <w:t>.3</w:t>
      </w:r>
      <w:r>
        <w:rPr>
          <w:rFonts w:hint="eastAsia" w:ascii="仿宋" w:hAnsi="仿宋" w:eastAsia="仿宋" w:cs="宋体"/>
          <w:sz w:val="24"/>
        </w:rPr>
        <w:t>乙方应建立派驻作业人员台账，在作业活动中乙方若有人员变动，应及时告知甲方相关负责人，特殊岗位如特种作业人员、特种设备操作人员、项目管理人员等重要岗位的人员变动需提前向甲方报告，经甲方同意后方可进行更换。</w:t>
      </w:r>
    </w:p>
    <w:p w14:paraId="7B1A0214">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6</w:t>
      </w:r>
      <w:r>
        <w:rPr>
          <w:rFonts w:ascii="仿宋" w:hAnsi="仿宋" w:eastAsia="仿宋" w:cs="宋体"/>
          <w:sz w:val="24"/>
        </w:rPr>
        <w:t>.4</w:t>
      </w:r>
      <w:r>
        <w:rPr>
          <w:rFonts w:hint="eastAsia" w:ascii="仿宋" w:hAnsi="仿宋" w:eastAsia="仿宋" w:cs="宋体"/>
          <w:sz w:val="24"/>
        </w:rPr>
        <w:t>人员进场或从事本项目的作业人员，必须及时如实向甲方填报人员姓名、性别、年龄、工种、本工种工龄、住址、身份号码、教育培训情况等；严禁雇佣童工、未成年工、有职业禁忌症的人员、身份不明的人员及违法犯罪人员。</w:t>
      </w:r>
    </w:p>
    <w:p w14:paraId="2FCEABE8">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6</w:t>
      </w:r>
      <w:r>
        <w:rPr>
          <w:rFonts w:ascii="仿宋" w:hAnsi="仿宋" w:eastAsia="仿宋" w:cs="宋体"/>
          <w:sz w:val="24"/>
        </w:rPr>
        <w:t>.5</w:t>
      </w:r>
      <w:r>
        <w:rPr>
          <w:rFonts w:hint="eastAsia" w:ascii="仿宋" w:hAnsi="仿宋" w:eastAsia="仿宋" w:cs="宋体"/>
          <w:sz w:val="24"/>
        </w:rPr>
        <w:t>乙方作业人员在工作前，甲方应向乙方进行安全交底，乙方应将入场安全、文明作业教育和工作前的安全技术交底，并保存安全教育培训、交底记录；未经安全教育培训或安全考核不合格的人员不得安排上岗。</w:t>
      </w:r>
    </w:p>
    <w:p w14:paraId="26A5B9D3">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6.6</w:t>
      </w:r>
      <w:r>
        <w:rPr>
          <w:rFonts w:hint="eastAsia" w:ascii="仿宋" w:hAnsi="仿宋" w:eastAsia="仿宋" w:cs="宋体"/>
          <w:sz w:val="24"/>
        </w:rPr>
        <w:t>乙方作业人员涉及特种作业的人员需取得合法有效的特种作业操作证。</w:t>
      </w:r>
    </w:p>
    <w:p w14:paraId="3ED6A5A0">
      <w:pPr>
        <w:snapToGrid w:val="0"/>
        <w:spacing w:line="360" w:lineRule="auto"/>
        <w:ind w:firstLine="482" w:firstLineChars="200"/>
        <w:rPr>
          <w:rFonts w:hint="eastAsia" w:ascii="仿宋" w:hAnsi="仿宋" w:eastAsia="仿宋" w:cs="宋体"/>
          <w:b/>
          <w:sz w:val="24"/>
        </w:rPr>
      </w:pPr>
      <w:r>
        <w:rPr>
          <w:rFonts w:ascii="仿宋" w:hAnsi="仿宋" w:eastAsia="仿宋" w:cs="宋体"/>
          <w:b/>
          <w:sz w:val="24"/>
        </w:rPr>
        <w:t>7.</w:t>
      </w:r>
      <w:r>
        <w:rPr>
          <w:rFonts w:hint="eastAsia" w:ascii="仿宋" w:hAnsi="仿宋" w:eastAsia="仿宋" w:cs="宋体"/>
          <w:b/>
          <w:sz w:val="24"/>
        </w:rPr>
        <w:t>作业管理</w:t>
      </w:r>
    </w:p>
    <w:p w14:paraId="4B9CBA06">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1作业人员应穿着整洁，举止文明，严禁穿拖鞋、赤膊、衣衫不整者进场；厂区禁止勾肩搭背、随地休息、随地吐痰等不文明行为；严禁酒后作业、偷拿公私财物等行为；厂区严禁打架、斗殴和喧哗吵闹等违反社会公德的行为；严禁违章作业、违章指挥、违反劳动纪律。</w:t>
      </w:r>
      <w:r>
        <w:rPr>
          <w:rFonts w:ascii="仿宋" w:hAnsi="仿宋" w:eastAsia="仿宋" w:cs="宋体"/>
          <w:sz w:val="24"/>
        </w:rPr>
        <w:t xml:space="preserve"> </w:t>
      </w:r>
    </w:p>
    <w:p w14:paraId="56995C48">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厂区、车间、仓库、走道等部位严禁吸烟，应在指定地点吸烟；仓库、库房等易燃易爆场所禁带火种，杜绝火种入内。</w:t>
      </w:r>
    </w:p>
    <w:p w14:paraId="547629C5">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 xml:space="preserve">3 </w:t>
      </w:r>
      <w:r>
        <w:rPr>
          <w:rFonts w:hint="eastAsia" w:ascii="仿宋" w:hAnsi="仿宋" w:eastAsia="仿宋" w:cs="宋体"/>
          <w:sz w:val="24"/>
        </w:rPr>
        <w:t>严禁踩、踏、坐、靠原材料、产品工位器具和生产设备；严禁乱扔杂物、乱写乱画、破坏或损坏设备设施以及绿化的行为。</w:t>
      </w:r>
    </w:p>
    <w:p w14:paraId="542D4ED2">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4</w:t>
      </w:r>
      <w:r>
        <w:rPr>
          <w:rFonts w:hint="eastAsia" w:ascii="仿宋" w:hAnsi="仿宋" w:eastAsia="仿宋" w:cs="宋体"/>
          <w:sz w:val="24"/>
        </w:rPr>
        <w:t>进入各消防安全重点部位，应留意该场所的火灾危险性；疏散通道、安全出口的位置，逃生自救的方法；灭火器、消火栓等器材的存放位置和使用方法。</w:t>
      </w:r>
    </w:p>
    <w:p w14:paraId="6935A979">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5</w:t>
      </w:r>
      <w:r>
        <w:rPr>
          <w:rFonts w:hint="eastAsia" w:ascii="仿宋" w:hAnsi="仿宋" w:eastAsia="仿宋" w:cs="宋体"/>
          <w:sz w:val="24"/>
        </w:rPr>
        <w:t>乙方必须采取相应措施，保证安全环保生产、文明施工作业，把对甲方车间生产设备设施、环境和物流的影响减少到最低程度。在重点部位、易发生事故或危险性较大的地方必须设置隔离带或警戒线，封闭施工现场，同时设置安（环）警示标牌。</w:t>
      </w:r>
    </w:p>
    <w:p w14:paraId="4AB38955">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6</w:t>
      </w:r>
      <w:r>
        <w:rPr>
          <w:rFonts w:hint="eastAsia" w:ascii="仿宋" w:hAnsi="仿宋" w:eastAsia="仿宋" w:cs="宋体"/>
          <w:sz w:val="24"/>
        </w:rPr>
        <w:t>涉及危险作业的，作业前，乙方需严格执行甲方的临时用电、高处作业、有限空间作业、动火作业等危险作业审批制度，经批准并确认达到操作条件后方可进行作业。作业过程中甲乙双方必须指派安全人员在现场确认安全防范措施并实施安全监护。</w:t>
      </w:r>
    </w:p>
    <w:p w14:paraId="64A85DD0">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7</w:t>
      </w:r>
      <w:r>
        <w:rPr>
          <w:rFonts w:hint="eastAsia" w:ascii="仿宋" w:hAnsi="仿宋" w:eastAsia="仿宋" w:cs="宋体"/>
          <w:sz w:val="24"/>
        </w:rPr>
        <w:t>.</w:t>
      </w:r>
      <w:r>
        <w:rPr>
          <w:rFonts w:ascii="仿宋" w:hAnsi="仿宋" w:eastAsia="仿宋" w:cs="宋体"/>
          <w:sz w:val="24"/>
        </w:rPr>
        <w:t>7</w:t>
      </w:r>
      <w:r>
        <w:rPr>
          <w:rFonts w:hint="eastAsia" w:ascii="仿宋" w:hAnsi="仿宋" w:eastAsia="仿宋" w:cs="宋体"/>
          <w:sz w:val="24"/>
        </w:rPr>
        <w:t>在作业期间，乙方必须按要求配全个人安全防护用品，作业过程中应按照要求做好个人劳动保护。</w:t>
      </w:r>
    </w:p>
    <w:p w14:paraId="2A23EFE5">
      <w:pPr>
        <w:snapToGrid w:val="0"/>
        <w:spacing w:line="360" w:lineRule="auto"/>
        <w:ind w:firstLine="482" w:firstLineChars="200"/>
        <w:rPr>
          <w:rFonts w:hint="eastAsia" w:ascii="仿宋" w:hAnsi="仿宋" w:eastAsia="仿宋" w:cs="宋体"/>
          <w:b/>
          <w:sz w:val="24"/>
        </w:rPr>
      </w:pPr>
      <w:r>
        <w:rPr>
          <w:rFonts w:hint="eastAsia" w:ascii="仿宋" w:hAnsi="仿宋" w:eastAsia="仿宋" w:cs="宋体"/>
          <w:b/>
          <w:sz w:val="24"/>
        </w:rPr>
        <w:t>8</w:t>
      </w:r>
      <w:r>
        <w:rPr>
          <w:rFonts w:ascii="仿宋" w:hAnsi="仿宋" w:eastAsia="仿宋" w:cs="宋体"/>
          <w:b/>
          <w:sz w:val="24"/>
        </w:rPr>
        <w:t>.</w:t>
      </w:r>
      <w:r>
        <w:rPr>
          <w:rFonts w:hint="eastAsia" w:ascii="仿宋" w:hAnsi="仿宋" w:eastAsia="仿宋" w:cs="宋体"/>
          <w:b/>
          <w:sz w:val="24"/>
        </w:rPr>
        <w:t>设备管理</w:t>
      </w:r>
    </w:p>
    <w:p w14:paraId="3FB6FD48">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8</w:t>
      </w:r>
      <w:r>
        <w:rPr>
          <w:rFonts w:ascii="仿宋" w:hAnsi="仿宋" w:eastAsia="仿宋" w:cs="宋体"/>
          <w:sz w:val="24"/>
        </w:rPr>
        <w:t>.1</w:t>
      </w:r>
      <w:r>
        <w:rPr>
          <w:rFonts w:hint="eastAsia" w:ascii="仿宋" w:hAnsi="仿宋" w:eastAsia="仿宋" w:cs="宋体"/>
          <w:sz w:val="24"/>
        </w:rPr>
        <w:t>乙方自备的工具和设备应符合国家标准和法律要求，不得在作业过程中使用不符合安全的设备，不得擅自改装设备，自备的工器具及设备，请自行妥善保管。</w:t>
      </w:r>
    </w:p>
    <w:p w14:paraId="6A1F8BDE">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8</w:t>
      </w:r>
      <w:r>
        <w:rPr>
          <w:rFonts w:ascii="仿宋" w:hAnsi="仿宋" w:eastAsia="仿宋" w:cs="宋体"/>
          <w:sz w:val="24"/>
        </w:rPr>
        <w:t>.2</w:t>
      </w:r>
      <w:r>
        <w:rPr>
          <w:rFonts w:hint="eastAsia" w:ascii="仿宋" w:hAnsi="仿宋" w:eastAsia="仿宋" w:cs="宋体"/>
          <w:sz w:val="24"/>
        </w:rPr>
        <w:t>在使用甲方设备设施时应爱护，遵守甲方设备设施管理要求，严格执行安全操作规程，不得破坏或短接安全联锁等装置。</w:t>
      </w:r>
    </w:p>
    <w:p w14:paraId="5745C63F">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8</w:t>
      </w:r>
      <w:r>
        <w:rPr>
          <w:rFonts w:ascii="仿宋" w:hAnsi="仿宋" w:eastAsia="仿宋" w:cs="宋体"/>
          <w:sz w:val="24"/>
        </w:rPr>
        <w:t>.3</w:t>
      </w:r>
      <w:r>
        <w:rPr>
          <w:rFonts w:hint="eastAsia" w:ascii="仿宋" w:hAnsi="仿宋" w:eastAsia="仿宋" w:cs="宋体"/>
          <w:sz w:val="24"/>
        </w:rPr>
        <w:t>借用甲方的设备设施应及时归还，若损坏应照价赔偿。</w:t>
      </w:r>
    </w:p>
    <w:p w14:paraId="07A6818B">
      <w:pPr>
        <w:snapToGrid w:val="0"/>
        <w:spacing w:line="360" w:lineRule="auto"/>
        <w:ind w:firstLine="482" w:firstLineChars="200"/>
        <w:rPr>
          <w:rFonts w:hint="eastAsia" w:ascii="仿宋" w:hAnsi="仿宋" w:eastAsia="仿宋" w:cs="宋体"/>
          <w:b/>
          <w:sz w:val="24"/>
        </w:rPr>
      </w:pPr>
      <w:r>
        <w:rPr>
          <w:rFonts w:ascii="仿宋" w:hAnsi="仿宋" w:eastAsia="仿宋" w:cs="宋体"/>
          <w:b/>
          <w:sz w:val="24"/>
        </w:rPr>
        <w:t>9.</w:t>
      </w:r>
      <w:r>
        <w:rPr>
          <w:rFonts w:hint="eastAsia" w:ascii="仿宋" w:hAnsi="仿宋" w:eastAsia="仿宋" w:cs="宋体"/>
          <w:b/>
          <w:sz w:val="24"/>
        </w:rPr>
        <w:t>环境保护</w:t>
      </w:r>
    </w:p>
    <w:p w14:paraId="19C46559">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9</w:t>
      </w:r>
      <w:r>
        <w:rPr>
          <w:rFonts w:hint="eastAsia" w:ascii="仿宋" w:hAnsi="仿宋" w:eastAsia="仿宋" w:cs="宋体"/>
          <w:sz w:val="24"/>
        </w:rPr>
        <w:t>.1加强环境保护法律法规宣传培训教育，提升员工环境保护意识。</w:t>
      </w:r>
    </w:p>
    <w:p w14:paraId="1E70D57C">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9</w:t>
      </w:r>
      <w:r>
        <w:rPr>
          <w:rFonts w:hint="eastAsia" w:ascii="仿宋" w:hAnsi="仿宋" w:eastAsia="仿宋" w:cs="宋体"/>
          <w:sz w:val="24"/>
        </w:rPr>
        <w:t>.2节约用水用电，杜绝长明灯和长流水现象。</w:t>
      </w:r>
    </w:p>
    <w:p w14:paraId="69BABAD4">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9</w:t>
      </w:r>
      <w:r>
        <w:rPr>
          <w:rFonts w:hint="eastAsia" w:ascii="仿宋" w:hAnsi="仿宋" w:eastAsia="仿宋" w:cs="宋体"/>
          <w:sz w:val="24"/>
        </w:rPr>
        <w:t>.3由乙方带入和产生的固体废弃物和危险废弃物，应由乙方带走并妥善处置。</w:t>
      </w:r>
    </w:p>
    <w:p w14:paraId="3B9E4D7A">
      <w:pPr>
        <w:snapToGrid w:val="0"/>
        <w:spacing w:line="360" w:lineRule="auto"/>
        <w:ind w:firstLine="482" w:firstLineChars="200"/>
        <w:rPr>
          <w:rFonts w:hint="eastAsia" w:ascii="仿宋" w:hAnsi="仿宋" w:eastAsia="仿宋" w:cs="宋体"/>
          <w:b/>
          <w:sz w:val="24"/>
        </w:rPr>
      </w:pPr>
      <w:r>
        <w:rPr>
          <w:rFonts w:ascii="仿宋" w:hAnsi="仿宋" w:eastAsia="仿宋" w:cs="宋体"/>
          <w:b/>
          <w:sz w:val="24"/>
        </w:rPr>
        <w:t>10.</w:t>
      </w:r>
      <w:r>
        <w:rPr>
          <w:rFonts w:hint="eastAsia" w:ascii="仿宋" w:hAnsi="仿宋" w:eastAsia="仿宋" w:cs="宋体"/>
          <w:b/>
          <w:sz w:val="24"/>
        </w:rPr>
        <w:t>治安管理</w:t>
      </w:r>
    </w:p>
    <w:p w14:paraId="430F21D4">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10</w:t>
      </w:r>
      <w:r>
        <w:rPr>
          <w:rFonts w:hint="eastAsia" w:ascii="仿宋" w:hAnsi="仿宋" w:eastAsia="仿宋" w:cs="宋体"/>
          <w:sz w:val="24"/>
        </w:rPr>
        <w:t>.1进入甲方厂内作业的人员，应服从甲方主管部门的管理。乙方人员必须遵守甲方厂纪厂规，若乙方人员违规，由甲方依照企业有关规定及本协议约定予以处理。</w:t>
      </w:r>
    </w:p>
    <w:p w14:paraId="36919A0F">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10</w:t>
      </w:r>
      <w:r>
        <w:rPr>
          <w:rFonts w:hint="eastAsia" w:ascii="仿宋" w:hAnsi="仿宋" w:eastAsia="仿宋" w:cs="宋体"/>
          <w:sz w:val="24"/>
        </w:rPr>
        <w:t>.2严禁偷拿、偷盗甲方厂内任何物品（包括卷烟制品），如有违反按照《金丝公司治安安全管理办法》和相关规定处理。乙方所携带物资出入甲方厂门时，必须接受检查或出示甲方主管部门开具的物资出门证，否则视为偷盗行为并承担相应违约金。</w:t>
      </w:r>
    </w:p>
    <w:p w14:paraId="0ACFF556">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10</w:t>
      </w:r>
      <w:r>
        <w:rPr>
          <w:rFonts w:hint="eastAsia" w:ascii="仿宋" w:hAnsi="仿宋" w:eastAsia="仿宋" w:cs="宋体"/>
          <w:sz w:val="24"/>
        </w:rPr>
        <w:t>.3乙方作业中发生安全责任事故，造成人员伤害、经济损失等，应承担相应民事、行政和刑事责任，并承担经济赔偿。</w:t>
      </w:r>
    </w:p>
    <w:p w14:paraId="6703AD72">
      <w:pPr>
        <w:snapToGrid w:val="0"/>
        <w:spacing w:line="360" w:lineRule="auto"/>
        <w:ind w:firstLine="482" w:firstLineChars="200"/>
        <w:rPr>
          <w:rFonts w:hint="eastAsia" w:ascii="仿宋" w:hAnsi="仿宋" w:eastAsia="仿宋" w:cs="宋体"/>
          <w:b/>
          <w:sz w:val="24"/>
        </w:rPr>
      </w:pPr>
      <w:r>
        <w:rPr>
          <w:rFonts w:ascii="仿宋" w:hAnsi="仿宋" w:eastAsia="仿宋" w:cs="宋体"/>
          <w:b/>
          <w:sz w:val="24"/>
        </w:rPr>
        <w:t>11.</w:t>
      </w:r>
      <w:r>
        <w:rPr>
          <w:rFonts w:hint="eastAsia" w:ascii="仿宋" w:hAnsi="仿宋" w:eastAsia="仿宋" w:cs="宋体"/>
          <w:b/>
          <w:sz w:val="24"/>
        </w:rPr>
        <w:t>车辆管理</w:t>
      </w:r>
    </w:p>
    <w:p w14:paraId="1321DA04">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11</w:t>
      </w:r>
      <w:r>
        <w:rPr>
          <w:rFonts w:hint="eastAsia" w:ascii="仿宋" w:hAnsi="仿宋" w:eastAsia="仿宋" w:cs="宋体"/>
          <w:sz w:val="24"/>
        </w:rPr>
        <w:t>.1人员及车辆凭有效手续出入厂区，车辆出入厂区应遵守甲方交通管理规定，限速行驶、文明驾车、有序停车，出入车辆及人员自觉接受检查。</w:t>
      </w:r>
    </w:p>
    <w:p w14:paraId="14B578A3">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11</w:t>
      </w:r>
      <w:r>
        <w:rPr>
          <w:rFonts w:hint="eastAsia" w:ascii="仿宋" w:hAnsi="仿宋" w:eastAsia="仿宋" w:cs="宋体"/>
          <w:sz w:val="24"/>
        </w:rPr>
        <w:t>.2车辆进出甲方厂区、库区等必须服从甲方管理和指挥。</w:t>
      </w:r>
    </w:p>
    <w:p w14:paraId="10E1CD00">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11</w:t>
      </w:r>
      <w:r>
        <w:rPr>
          <w:rFonts w:hint="eastAsia" w:ascii="仿宋" w:hAnsi="仿宋" w:eastAsia="仿宋" w:cs="宋体"/>
          <w:sz w:val="24"/>
        </w:rPr>
        <w:t>.3遵照甲方的线路指示牌、标牌行驶，小车行驶车速不得大于15km/h，转弯和盲区行驶速度不得大于5km/h，并按规定地点停放，车头一律朝外。</w:t>
      </w:r>
    </w:p>
    <w:p w14:paraId="41822CED">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11</w:t>
      </w:r>
      <w:r>
        <w:rPr>
          <w:rFonts w:hint="eastAsia" w:ascii="仿宋" w:hAnsi="仿宋" w:eastAsia="仿宋" w:cs="宋体"/>
          <w:sz w:val="24"/>
        </w:rPr>
        <w:t>.4车内若有物资出入厂区，需凭有效手续方可放行。</w:t>
      </w:r>
    </w:p>
    <w:p w14:paraId="3A025538">
      <w:pPr>
        <w:snapToGrid w:val="0"/>
        <w:spacing w:line="360" w:lineRule="auto"/>
        <w:ind w:firstLine="482" w:firstLineChars="200"/>
        <w:rPr>
          <w:rFonts w:hint="eastAsia" w:ascii="仿宋" w:hAnsi="仿宋" w:eastAsia="仿宋" w:cs="宋体"/>
          <w:b/>
          <w:sz w:val="24"/>
        </w:rPr>
      </w:pPr>
      <w:r>
        <w:rPr>
          <w:rFonts w:hint="eastAsia" w:ascii="仿宋" w:hAnsi="仿宋" w:eastAsia="仿宋" w:cs="宋体"/>
          <w:b/>
          <w:sz w:val="24"/>
        </w:rPr>
        <w:t>1</w:t>
      </w:r>
      <w:r>
        <w:rPr>
          <w:rFonts w:ascii="仿宋" w:hAnsi="仿宋" w:eastAsia="仿宋" w:cs="宋体"/>
          <w:b/>
          <w:sz w:val="24"/>
        </w:rPr>
        <w:t>2.</w:t>
      </w:r>
      <w:r>
        <w:rPr>
          <w:rFonts w:hint="eastAsia" w:ascii="仿宋" w:hAnsi="仿宋" w:eastAsia="仿宋" w:cs="宋体"/>
          <w:b/>
          <w:sz w:val="24"/>
        </w:rPr>
        <w:t>原辅材料管理</w:t>
      </w:r>
    </w:p>
    <w:p w14:paraId="068C0603">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12</w:t>
      </w: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作业现场原辅材料应按定置定位码放整齐，现场废弃物及时清理，分类回收，集中处理。</w:t>
      </w:r>
    </w:p>
    <w:p w14:paraId="44CF4B33">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12</w:t>
      </w: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作业现场应建立和完善对搬运、装卸物资的保护措施，对易损坏原辅材料和成品、半成品采取有效的保护措施，确保搬运、装卸物资完好。</w:t>
      </w:r>
    </w:p>
    <w:p w14:paraId="5F84C083">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2.3</w:t>
      </w:r>
      <w:r>
        <w:rPr>
          <w:rFonts w:hint="eastAsia" w:ascii="仿宋" w:hAnsi="仿宋" w:eastAsia="仿宋" w:cs="宋体"/>
          <w:sz w:val="24"/>
        </w:rPr>
        <w:t>对可燃、易燃原辅材料在使用过程中，应做好火源管理。</w:t>
      </w:r>
    </w:p>
    <w:p w14:paraId="02DA4B65">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2.4</w:t>
      </w:r>
      <w:r>
        <w:rPr>
          <w:rFonts w:hint="eastAsia" w:ascii="仿宋" w:hAnsi="仿宋" w:eastAsia="仿宋" w:cs="宋体"/>
          <w:sz w:val="24"/>
        </w:rPr>
        <w:t>原辅材料为危险化学品的应严格按照《湖北中烟危险化学品安全管理办法》执行，在使用过程中按量取用、随取随用，严禁私自存放和超量领用。</w:t>
      </w:r>
    </w:p>
    <w:p w14:paraId="0B8B0117">
      <w:pPr>
        <w:snapToGrid w:val="0"/>
        <w:spacing w:line="360" w:lineRule="auto"/>
        <w:ind w:firstLine="482" w:firstLineChars="200"/>
        <w:rPr>
          <w:rFonts w:hint="eastAsia" w:ascii="仿宋" w:hAnsi="仿宋" w:eastAsia="仿宋" w:cs="宋体"/>
          <w:b/>
          <w:sz w:val="24"/>
        </w:rPr>
      </w:pPr>
      <w:r>
        <w:rPr>
          <w:rFonts w:hint="eastAsia" w:ascii="仿宋" w:hAnsi="仿宋" w:eastAsia="仿宋" w:cs="宋体"/>
          <w:b/>
          <w:sz w:val="24"/>
        </w:rPr>
        <w:t>1</w:t>
      </w:r>
      <w:r>
        <w:rPr>
          <w:rFonts w:ascii="仿宋" w:hAnsi="仿宋" w:eastAsia="仿宋" w:cs="宋体"/>
          <w:b/>
          <w:sz w:val="24"/>
        </w:rPr>
        <w:t>3.</w:t>
      </w:r>
      <w:r>
        <w:rPr>
          <w:rFonts w:hint="eastAsia" w:ascii="仿宋" w:hAnsi="仿宋" w:eastAsia="仿宋" w:cs="宋体"/>
          <w:b/>
          <w:sz w:val="24"/>
        </w:rPr>
        <w:t>风险管控和隐患排查治理</w:t>
      </w:r>
    </w:p>
    <w:p w14:paraId="6EB586F4">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13.1</w:t>
      </w:r>
      <w:r>
        <w:rPr>
          <w:rFonts w:hint="eastAsia" w:ascii="仿宋" w:hAnsi="仿宋" w:eastAsia="仿宋" w:cs="宋体"/>
          <w:sz w:val="24"/>
        </w:rPr>
        <w:t>乙方要结合甲方安全评价、安全生产标准化建设和应急预案编制等工作，全方位、全过程排查乙方可能导致事故发生的风险点，包括设备设施、操作行为、职业健康、环境条件、施工场所、安全管理等方面存在的风险。</w:t>
      </w:r>
    </w:p>
    <w:p w14:paraId="450726EE">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13.</w:t>
      </w:r>
      <w:r>
        <w:rPr>
          <w:rFonts w:hint="eastAsia" w:ascii="仿宋" w:hAnsi="仿宋" w:eastAsia="仿宋" w:cs="宋体"/>
          <w:sz w:val="24"/>
        </w:rPr>
        <w:t>2乙方要对辨识出的安全风险进行分类梳理，参照《企业职工伤亡事故分类》(</w:t>
      </w:r>
      <w:r>
        <w:rPr>
          <w:rFonts w:ascii="仿宋" w:hAnsi="仿宋" w:eastAsia="仿宋" w:cs="宋体"/>
          <w:sz w:val="24"/>
        </w:rPr>
        <w:t>GB/T 6441-1986</w:t>
      </w:r>
      <w:r>
        <w:rPr>
          <w:rFonts w:hint="eastAsia" w:ascii="仿宋" w:hAnsi="仿宋" w:eastAsia="仿宋" w:cs="宋体"/>
          <w:sz w:val="24"/>
        </w:rPr>
        <w:t xml:space="preserve"> )，综合考虑起因物、引起事故的诱导性原因、致害物、伤害方式等，先确定风险类别(物体打击、火灾、爆炸、中毒、坍塌、坠落等危险因素和高温、粉尘等有害因素)，要针对风险类别和等级，逐一明确风险点管控层级(班组、岗位)，落实具体的责任单位、责任人和管控措施。</w:t>
      </w:r>
    </w:p>
    <w:p w14:paraId="3E6D6389">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13.3</w:t>
      </w:r>
      <w:r>
        <w:rPr>
          <w:rFonts w:hint="eastAsia" w:ascii="仿宋" w:hAnsi="仿宋" w:eastAsia="仿宋" w:cs="宋体"/>
          <w:sz w:val="24"/>
        </w:rPr>
        <w:t>要公布主要风险点、风险类别、风险等级、管控措施和应急措施，让每名员工都了解风险点的基本情况及防范、应急对策。</w:t>
      </w:r>
    </w:p>
    <w:p w14:paraId="059047E7">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13.4</w:t>
      </w:r>
      <w:r>
        <w:rPr>
          <w:rFonts w:hint="eastAsia" w:ascii="仿宋" w:hAnsi="仿宋" w:eastAsia="仿宋" w:cs="宋体"/>
          <w:sz w:val="24"/>
        </w:rPr>
        <w:t>要列出安全生产隐患排查治理的任务清单、问题清单、责任清单和整改清单，完善安全生产检查整治台账，彻查整改各类安全隐患问题。</w:t>
      </w:r>
    </w:p>
    <w:p w14:paraId="0B232730">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13.5</w:t>
      </w:r>
      <w:r>
        <w:rPr>
          <w:rFonts w:hint="eastAsia" w:ascii="仿宋" w:hAnsi="仿宋" w:eastAsia="仿宋" w:cs="宋体"/>
          <w:sz w:val="24"/>
        </w:rPr>
        <w:t>经常性开展从业人员岗位应急知识教育和自救互救、避险逃生技能培训，并定期组织考核。</w:t>
      </w:r>
    </w:p>
    <w:p w14:paraId="5EA30DBD">
      <w:pPr>
        <w:snapToGrid w:val="0"/>
        <w:spacing w:line="360" w:lineRule="auto"/>
        <w:ind w:firstLine="482" w:firstLineChars="200"/>
        <w:rPr>
          <w:rFonts w:hint="eastAsia" w:ascii="仿宋" w:hAnsi="仿宋" w:eastAsia="仿宋" w:cs="宋体"/>
          <w:b/>
          <w:sz w:val="24"/>
        </w:rPr>
      </w:pPr>
      <w:r>
        <w:rPr>
          <w:rFonts w:ascii="仿宋" w:hAnsi="仿宋" w:eastAsia="仿宋" w:cs="宋体"/>
          <w:b/>
          <w:sz w:val="24"/>
        </w:rPr>
        <w:t>14.</w:t>
      </w:r>
      <w:r>
        <w:rPr>
          <w:rFonts w:hint="eastAsia" w:ascii="仿宋" w:hAnsi="仿宋" w:eastAsia="仿宋" w:cs="宋体"/>
          <w:b/>
          <w:sz w:val="24"/>
        </w:rPr>
        <w:t>违章和事故处置</w:t>
      </w:r>
    </w:p>
    <w:p w14:paraId="3052F96E">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14.1</w:t>
      </w:r>
      <w:r>
        <w:rPr>
          <w:rFonts w:hint="eastAsia" w:ascii="仿宋" w:hAnsi="仿宋" w:eastAsia="仿宋" w:cs="宋体"/>
          <w:sz w:val="24"/>
        </w:rPr>
        <w:t>发生事故后，乙方要积极组织抢救、应急疏散工作，并及时报告，保护好现场。如因抢救伤员必须移动设备或设施时，必须做好记录或拍照。同时，积极配合有关部门的调查和现场勘察。作业人员非紧急情况不得动用消防器材，易燃物品应分开堆放。如有不可预见情况发生，应及时向有关部门和人员汇报，并会同甲方有关部门共同协商解决。</w:t>
      </w:r>
    </w:p>
    <w:p w14:paraId="7A37CEC5">
      <w:pPr>
        <w:snapToGrid w:val="0"/>
        <w:spacing w:before="100" w:beforeAutospacing="1" w:after="100" w:afterAutospacing="1" w:line="360" w:lineRule="auto"/>
        <w:ind w:firstLine="480" w:firstLineChars="200"/>
        <w:contextualSpacing/>
        <w:rPr>
          <w:rFonts w:hint="eastAsia" w:ascii="仿宋" w:hAnsi="仿宋" w:eastAsia="仿宋" w:cs="宋体"/>
          <w:sz w:val="24"/>
        </w:rPr>
      </w:pPr>
      <w:r>
        <w:rPr>
          <w:rFonts w:ascii="仿宋" w:hAnsi="仿宋" w:eastAsia="仿宋" w:cs="宋体"/>
          <w:sz w:val="24"/>
        </w:rPr>
        <w:t>14.2</w:t>
      </w:r>
      <w:r>
        <w:rPr>
          <w:rFonts w:hint="eastAsia" w:ascii="仿宋" w:hAnsi="仿宋" w:eastAsia="仿宋" w:cs="宋体"/>
          <w:sz w:val="24"/>
        </w:rPr>
        <w:t>因乙方违反相关规定，管理防范、防护措施不力或乙方作业人员违章等导致的各种人身伤亡、机械设备损坏、职业病、中毒、火灾、交通事故、管线破坏、建筑物破坏和其他方面安全事故事件（含未遂事故事件），事故经济责任、事故法律责任及事故善后处理由乙方承担相应责任。给甲方造成损失（含声誉影响）时，甲方有权要求乙方赔偿经济损失，可在支付结算时直接扣除。同时，乙方还需接受甲方单位或地方政府有关部门的处罚。甲方未履行监督管理职责的，追究相关人员的责任。</w:t>
      </w:r>
    </w:p>
    <w:p w14:paraId="18F5E30A">
      <w:pPr>
        <w:snapToGrid w:val="0"/>
        <w:spacing w:line="360" w:lineRule="auto"/>
        <w:ind w:firstLine="480" w:firstLineChars="200"/>
        <w:contextualSpacing/>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4.3</w:t>
      </w:r>
      <w:r>
        <w:rPr>
          <w:rFonts w:hint="eastAsia" w:ascii="仿宋" w:hAnsi="仿宋" w:eastAsia="仿宋" w:cs="宋体"/>
          <w:sz w:val="24"/>
        </w:rPr>
        <w:t>乙方应加强安全管理，出现违章行为，甲方有权采取约谈、罚款或终止合同等措施。</w:t>
      </w:r>
    </w:p>
    <w:p w14:paraId="20E30D1D">
      <w:pPr>
        <w:snapToGrid w:val="0"/>
        <w:spacing w:line="360" w:lineRule="auto"/>
        <w:ind w:firstLine="482" w:firstLineChars="200"/>
        <w:contextualSpacing/>
        <w:rPr>
          <w:rFonts w:hint="eastAsia" w:ascii="仿宋" w:hAnsi="仿宋" w:eastAsia="仿宋" w:cs="宋体"/>
          <w:b/>
          <w:sz w:val="24"/>
        </w:rPr>
      </w:pPr>
      <w:r>
        <w:rPr>
          <w:rFonts w:hint="eastAsia" w:ascii="仿宋" w:hAnsi="仿宋" w:eastAsia="仿宋" w:cs="宋体"/>
          <w:b/>
          <w:sz w:val="24"/>
        </w:rPr>
        <w:t>1</w:t>
      </w:r>
      <w:r>
        <w:rPr>
          <w:rFonts w:ascii="仿宋" w:hAnsi="仿宋" w:eastAsia="仿宋" w:cs="宋体"/>
          <w:b/>
          <w:sz w:val="24"/>
        </w:rPr>
        <w:t>5.</w:t>
      </w:r>
      <w:r>
        <w:rPr>
          <w:rFonts w:hint="eastAsia" w:ascii="仿宋" w:hAnsi="仿宋" w:eastAsia="仿宋" w:cs="宋体"/>
          <w:b/>
          <w:sz w:val="24"/>
        </w:rPr>
        <w:t>违约责任追究</w:t>
      </w:r>
    </w:p>
    <w:p w14:paraId="417AD439">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5.1</w:t>
      </w:r>
      <w:r>
        <w:rPr>
          <w:rFonts w:hint="eastAsia" w:ascii="仿宋" w:hAnsi="仿宋" w:eastAsia="仿宋" w:cs="宋体"/>
          <w:sz w:val="24"/>
        </w:rPr>
        <w:t>对乙方不遵守甲方安全管理的行为，甲方有权对乙方进行约谈，并根据情节严重性处以</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u w:val="single"/>
        </w:rPr>
        <w:t xml:space="preserve">元至 </w:t>
      </w:r>
      <w:r>
        <w:rPr>
          <w:rFonts w:ascii="仿宋" w:hAnsi="仿宋" w:eastAsia="仿宋" w:cs="宋体"/>
          <w:sz w:val="24"/>
          <w:u w:val="single"/>
        </w:rPr>
        <w:t xml:space="preserve">     </w:t>
      </w:r>
      <w:r>
        <w:rPr>
          <w:rFonts w:hint="eastAsia" w:ascii="仿宋" w:hAnsi="仿宋" w:eastAsia="仿宋" w:cs="宋体"/>
          <w:sz w:val="24"/>
          <w:u w:val="single"/>
        </w:rPr>
        <w:t>元的罚款。</w:t>
      </w:r>
    </w:p>
    <w:p w14:paraId="202C5B83">
      <w:pPr>
        <w:snapToGrid w:val="0"/>
        <w:spacing w:line="360" w:lineRule="auto"/>
        <w:ind w:firstLine="480" w:firstLineChars="200"/>
        <w:rPr>
          <w:rFonts w:hint="eastAsia" w:ascii="仿宋" w:hAnsi="仿宋" w:eastAsia="仿宋" w:cs="宋体"/>
          <w:sz w:val="24"/>
        </w:rPr>
      </w:pPr>
      <w:r>
        <w:rPr>
          <w:rFonts w:ascii="仿宋" w:hAnsi="仿宋" w:eastAsia="仿宋" w:cs="宋体"/>
          <w:sz w:val="24"/>
        </w:rPr>
        <w:t>15.2</w:t>
      </w:r>
      <w:r>
        <w:rPr>
          <w:rFonts w:hint="eastAsia" w:ascii="仿宋" w:hAnsi="仿宋" w:eastAsia="仿宋" w:cs="宋体"/>
          <w:sz w:val="24"/>
        </w:rPr>
        <w:t>对乙方所导致事故的处罚，根据事故后果严重性处以</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万元以上罚款，相关责任人构成犯罪事实的，依法追究刑事、民事或行政责任。</w:t>
      </w:r>
    </w:p>
    <w:p w14:paraId="60BF6B08">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5.3</w:t>
      </w:r>
      <w:r>
        <w:rPr>
          <w:rFonts w:hint="eastAsia" w:ascii="仿宋" w:hAnsi="仿宋" w:eastAsia="仿宋" w:cs="宋体"/>
          <w:sz w:val="24"/>
        </w:rPr>
        <w:t>其他违约责任严格按照合同约定的条款执行。</w:t>
      </w:r>
    </w:p>
    <w:p w14:paraId="2A7A05D2">
      <w:pPr>
        <w:snapToGrid w:val="0"/>
        <w:spacing w:line="360" w:lineRule="auto"/>
        <w:ind w:firstLine="482" w:firstLineChars="200"/>
        <w:rPr>
          <w:rFonts w:hint="eastAsia" w:ascii="仿宋" w:hAnsi="仿宋" w:eastAsia="仿宋" w:cs="宋体"/>
          <w:b/>
          <w:sz w:val="24"/>
        </w:rPr>
      </w:pPr>
      <w:r>
        <w:rPr>
          <w:rFonts w:hint="eastAsia" w:ascii="仿宋" w:hAnsi="仿宋" w:eastAsia="仿宋" w:cs="宋体"/>
          <w:b/>
          <w:sz w:val="24"/>
        </w:rPr>
        <w:t>1</w:t>
      </w:r>
      <w:r>
        <w:rPr>
          <w:rFonts w:ascii="仿宋" w:hAnsi="仿宋" w:eastAsia="仿宋" w:cs="宋体"/>
          <w:b/>
          <w:sz w:val="24"/>
        </w:rPr>
        <w:t>6</w:t>
      </w:r>
      <w:r>
        <w:rPr>
          <w:rFonts w:hint="eastAsia" w:ascii="仿宋" w:hAnsi="仿宋" w:eastAsia="仿宋" w:cs="宋体"/>
          <w:b/>
          <w:sz w:val="24"/>
        </w:rPr>
        <w:t>.考核和合同终止</w:t>
      </w:r>
    </w:p>
    <w:p w14:paraId="263E230E">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6.1</w:t>
      </w:r>
      <w:r>
        <w:rPr>
          <w:rFonts w:hint="eastAsia" w:ascii="仿宋" w:hAnsi="仿宋" w:eastAsia="仿宋" w:cs="宋体"/>
          <w:sz w:val="24"/>
        </w:rPr>
        <w:t>乙方违反此协议的，考核扣款在支付结算时兑现。</w:t>
      </w:r>
    </w:p>
    <w:p w14:paraId="38D39ACA">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6.2</w:t>
      </w:r>
      <w:r>
        <w:rPr>
          <w:rFonts w:hint="eastAsia" w:ascii="仿宋" w:hAnsi="仿宋" w:eastAsia="仿宋" w:cs="宋体"/>
          <w:sz w:val="24"/>
        </w:rPr>
        <w:t>乙方出现约谈次数达到</w:t>
      </w:r>
      <w:r>
        <w:rPr>
          <w:rFonts w:ascii="仿宋" w:hAnsi="仿宋" w:eastAsia="仿宋" w:cs="宋体"/>
          <w:sz w:val="24"/>
          <w:u w:val="single"/>
        </w:rPr>
        <w:t xml:space="preserve">     </w:t>
      </w:r>
      <w:r>
        <w:rPr>
          <w:rFonts w:hint="eastAsia" w:ascii="仿宋" w:hAnsi="仿宋" w:eastAsia="仿宋" w:cs="宋体"/>
          <w:sz w:val="24"/>
        </w:rPr>
        <w:t>次，或发生</w:t>
      </w:r>
      <w:r>
        <w:rPr>
          <w:rFonts w:hint="eastAsia" w:ascii="仿宋" w:hAnsi="仿宋" w:eastAsia="仿宋" w:cs="宋体"/>
          <w:sz w:val="24"/>
          <w:u w:val="single"/>
        </w:rPr>
        <w:t xml:space="preserve"> </w:t>
      </w:r>
      <w:r>
        <w:rPr>
          <w:rFonts w:ascii="仿宋" w:hAnsi="仿宋" w:eastAsia="仿宋" w:cs="宋体"/>
          <w:sz w:val="24"/>
          <w:u w:val="single"/>
        </w:rPr>
        <w:t xml:space="preserve">    </w:t>
      </w:r>
      <w:r>
        <w:rPr>
          <w:rFonts w:hint="eastAsia" w:ascii="仿宋" w:hAnsi="仿宋" w:eastAsia="仿宋" w:cs="宋体"/>
          <w:sz w:val="24"/>
        </w:rPr>
        <w:t>及以上事故（一般/较大/重大/特别重大），甲方有权解除合同。</w:t>
      </w:r>
    </w:p>
    <w:p w14:paraId="28E614E5">
      <w:pPr>
        <w:snapToGrid w:val="0"/>
        <w:spacing w:line="360" w:lineRule="auto"/>
        <w:ind w:firstLine="480" w:firstLineChars="200"/>
        <w:rPr>
          <w:rFonts w:hint="eastAsia" w:ascii="仿宋" w:hAnsi="仿宋" w:eastAsia="仿宋" w:cs="宋体"/>
          <w:sz w:val="24"/>
        </w:rPr>
      </w:pPr>
      <w:r>
        <w:rPr>
          <w:rFonts w:hint="eastAsia" w:ascii="仿宋" w:hAnsi="仿宋" w:eastAsia="仿宋" w:cs="宋体"/>
          <w:sz w:val="24"/>
        </w:rPr>
        <w:t>1</w:t>
      </w:r>
      <w:r>
        <w:rPr>
          <w:rFonts w:ascii="仿宋" w:hAnsi="仿宋" w:eastAsia="仿宋" w:cs="宋体"/>
          <w:sz w:val="24"/>
        </w:rPr>
        <w:t>6.3</w:t>
      </w:r>
      <w:r>
        <w:rPr>
          <w:rFonts w:hint="eastAsia" w:ascii="仿宋" w:hAnsi="仿宋" w:eastAsia="仿宋" w:cs="宋体"/>
          <w:sz w:val="24"/>
        </w:rPr>
        <w:t>本协议作为合同的附件，与合同具有同等法律效力,合同期满，协议与合同同时终止。</w:t>
      </w:r>
    </w:p>
    <w:tbl>
      <w:tblPr>
        <w:tblStyle w:val="2"/>
        <w:tblW w:w="54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2499"/>
        <w:gridCol w:w="2330"/>
        <w:gridCol w:w="2162"/>
      </w:tblGrid>
      <w:tr w14:paraId="4FA32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1DBC630B">
            <w:pPr>
              <w:spacing w:before="156" w:beforeLines="50" w:after="156" w:afterLines="50" w:line="360" w:lineRule="auto"/>
              <w:ind w:firstLine="720" w:firstLineChars="300"/>
              <w:rPr>
                <w:rFonts w:hint="eastAsia" w:ascii="仿宋" w:hAnsi="仿宋" w:eastAsia="仿宋" w:cs="宋体"/>
                <w:bCs/>
                <w:sz w:val="24"/>
              </w:rPr>
            </w:pPr>
            <w:r>
              <w:rPr>
                <w:rFonts w:hint="eastAsia" w:ascii="仿宋" w:hAnsi="仿宋" w:eastAsia="仿宋" w:cs="宋体"/>
                <w:bCs/>
                <w:sz w:val="24"/>
              </w:rPr>
              <w:t>甲方</w:t>
            </w:r>
          </w:p>
          <w:p w14:paraId="5F306C45">
            <w:pPr>
              <w:spacing w:before="156" w:beforeLines="50" w:after="156" w:afterLines="50" w:line="360" w:lineRule="auto"/>
              <w:jc w:val="center"/>
              <w:rPr>
                <w:rFonts w:hint="eastAsia" w:ascii="仿宋" w:hAnsi="仿宋" w:eastAsia="仿宋" w:cs="宋体"/>
                <w:bCs/>
                <w:sz w:val="24"/>
              </w:rPr>
            </w:pPr>
            <w:r>
              <w:rPr>
                <w:rFonts w:hint="eastAsia" w:ascii="仿宋" w:hAnsi="仿宋" w:eastAsia="仿宋" w:cs="宋体"/>
                <w:bCs/>
                <w:sz w:val="24"/>
              </w:rPr>
              <w:t>（合同章或公章）</w:t>
            </w:r>
          </w:p>
        </w:tc>
        <w:tc>
          <w:tcPr>
            <w:tcW w:w="1345" w:type="pct"/>
            <w:tcBorders>
              <w:top w:val="single" w:color="auto" w:sz="4" w:space="0"/>
              <w:left w:val="single" w:color="auto" w:sz="4" w:space="0"/>
              <w:bottom w:val="single" w:color="auto" w:sz="4" w:space="0"/>
              <w:right w:val="single" w:color="auto" w:sz="4" w:space="0"/>
            </w:tcBorders>
            <w:vAlign w:val="center"/>
          </w:tcPr>
          <w:p w14:paraId="5FB673A6">
            <w:pPr>
              <w:spacing w:before="156" w:beforeLines="50" w:after="156" w:afterLines="50" w:line="360" w:lineRule="auto"/>
              <w:jc w:val="center"/>
              <w:rPr>
                <w:rFonts w:hint="eastAsia" w:ascii="仿宋" w:hAnsi="仿宋" w:eastAsia="仿宋" w:cs="宋体"/>
                <w:sz w:val="24"/>
              </w:rPr>
            </w:pPr>
            <w:r>
              <w:rPr>
                <w:rFonts w:hint="eastAsia" w:ascii="仿宋" w:hAnsi="仿宋" w:eastAsia="仿宋" w:cs="宋体"/>
                <w:sz w:val="24"/>
              </w:rPr>
              <w:t>湖北宜昌金丝烟草有限公司</w:t>
            </w:r>
          </w:p>
        </w:tc>
        <w:tc>
          <w:tcPr>
            <w:tcW w:w="1254" w:type="pct"/>
            <w:tcBorders>
              <w:top w:val="single" w:color="auto" w:sz="4" w:space="0"/>
              <w:left w:val="single" w:color="auto" w:sz="4" w:space="0"/>
              <w:bottom w:val="single" w:color="auto" w:sz="4" w:space="0"/>
              <w:right w:val="single" w:color="auto" w:sz="4" w:space="0"/>
            </w:tcBorders>
            <w:vAlign w:val="center"/>
          </w:tcPr>
          <w:p w14:paraId="15C30316">
            <w:pPr>
              <w:spacing w:before="156" w:beforeLines="50" w:after="156" w:afterLines="50" w:line="360" w:lineRule="auto"/>
              <w:ind w:firstLine="720" w:firstLineChars="300"/>
              <w:rPr>
                <w:rFonts w:hint="eastAsia" w:ascii="仿宋" w:hAnsi="仿宋" w:eastAsia="仿宋" w:cs="宋体"/>
                <w:bCs/>
                <w:sz w:val="24"/>
              </w:rPr>
            </w:pPr>
            <w:r>
              <w:rPr>
                <w:rFonts w:hint="eastAsia" w:ascii="仿宋" w:hAnsi="仿宋" w:eastAsia="仿宋" w:cs="宋体"/>
                <w:bCs/>
                <w:sz w:val="24"/>
              </w:rPr>
              <w:t>乙方</w:t>
            </w:r>
          </w:p>
          <w:p w14:paraId="38509131">
            <w:pPr>
              <w:spacing w:before="156" w:beforeLines="50" w:after="156" w:afterLines="50" w:line="360" w:lineRule="auto"/>
              <w:jc w:val="center"/>
              <w:rPr>
                <w:rFonts w:hint="eastAsia" w:ascii="仿宋" w:hAnsi="仿宋" w:eastAsia="仿宋" w:cs="宋体"/>
                <w:bCs/>
                <w:sz w:val="24"/>
              </w:rPr>
            </w:pPr>
            <w:r>
              <w:rPr>
                <w:rFonts w:hint="eastAsia" w:ascii="仿宋" w:hAnsi="仿宋" w:eastAsia="仿宋" w:cs="宋体"/>
                <w:bCs/>
                <w:sz w:val="24"/>
              </w:rPr>
              <w:t>（合同章或公章）</w:t>
            </w:r>
          </w:p>
        </w:tc>
        <w:tc>
          <w:tcPr>
            <w:tcW w:w="1163" w:type="pct"/>
            <w:tcBorders>
              <w:top w:val="single" w:color="auto" w:sz="4" w:space="0"/>
              <w:left w:val="single" w:color="auto" w:sz="4" w:space="0"/>
              <w:bottom w:val="single" w:color="auto" w:sz="4" w:space="0"/>
              <w:right w:val="single" w:color="auto" w:sz="4" w:space="0"/>
            </w:tcBorders>
            <w:vAlign w:val="center"/>
          </w:tcPr>
          <w:p w14:paraId="05DECE76">
            <w:pPr>
              <w:spacing w:before="156" w:beforeLines="50" w:after="156" w:afterLines="50" w:line="360" w:lineRule="auto"/>
              <w:ind w:firstLine="240" w:firstLineChars="100"/>
              <w:jc w:val="center"/>
              <w:rPr>
                <w:rFonts w:hint="eastAsia" w:ascii="仿宋" w:hAnsi="仿宋" w:eastAsia="仿宋" w:cs="宋体"/>
                <w:sz w:val="24"/>
              </w:rPr>
            </w:pPr>
          </w:p>
        </w:tc>
      </w:tr>
      <w:tr w14:paraId="5530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41231742">
            <w:pPr>
              <w:spacing w:before="156" w:beforeLines="50" w:after="156" w:afterLines="50" w:line="360" w:lineRule="auto"/>
              <w:ind w:firstLine="240" w:firstLineChars="100"/>
              <w:jc w:val="center"/>
              <w:rPr>
                <w:rFonts w:hint="eastAsia" w:ascii="仿宋" w:hAnsi="仿宋" w:eastAsia="仿宋" w:cs="宋体"/>
                <w:bCs/>
                <w:sz w:val="24"/>
              </w:rPr>
            </w:pPr>
            <w:r>
              <w:rPr>
                <w:rFonts w:hint="eastAsia" w:ascii="仿宋" w:hAnsi="仿宋" w:eastAsia="仿宋" w:cs="宋体"/>
                <w:bCs/>
                <w:sz w:val="24"/>
              </w:rPr>
              <w:t>法定代表人、负责人或委托代理人（签名）</w:t>
            </w:r>
          </w:p>
        </w:tc>
        <w:tc>
          <w:tcPr>
            <w:tcW w:w="1345" w:type="pct"/>
            <w:tcBorders>
              <w:top w:val="single" w:color="auto" w:sz="4" w:space="0"/>
              <w:left w:val="single" w:color="auto" w:sz="4" w:space="0"/>
              <w:bottom w:val="single" w:color="auto" w:sz="4" w:space="0"/>
              <w:right w:val="single" w:color="auto" w:sz="4" w:space="0"/>
            </w:tcBorders>
            <w:vAlign w:val="center"/>
          </w:tcPr>
          <w:p w14:paraId="7A400901">
            <w:pPr>
              <w:spacing w:before="156" w:beforeLines="50" w:after="156" w:afterLines="50" w:line="360" w:lineRule="auto"/>
              <w:ind w:firstLine="240" w:firstLineChars="100"/>
              <w:jc w:val="center"/>
              <w:rPr>
                <w:rFonts w:hint="eastAsia" w:ascii="仿宋" w:hAnsi="仿宋" w:eastAsia="仿宋" w:cs="宋体"/>
                <w:sz w:val="24"/>
              </w:rPr>
            </w:pPr>
          </w:p>
        </w:tc>
        <w:tc>
          <w:tcPr>
            <w:tcW w:w="1254" w:type="pct"/>
            <w:tcBorders>
              <w:top w:val="single" w:color="auto" w:sz="4" w:space="0"/>
              <w:left w:val="single" w:color="auto" w:sz="4" w:space="0"/>
              <w:bottom w:val="single" w:color="auto" w:sz="4" w:space="0"/>
              <w:right w:val="single" w:color="auto" w:sz="4" w:space="0"/>
            </w:tcBorders>
            <w:vAlign w:val="center"/>
          </w:tcPr>
          <w:p w14:paraId="05A656E4">
            <w:pPr>
              <w:spacing w:before="156" w:beforeLines="50" w:after="156" w:afterLines="50" w:line="360" w:lineRule="auto"/>
              <w:ind w:firstLine="240" w:firstLineChars="100"/>
              <w:jc w:val="center"/>
              <w:rPr>
                <w:rFonts w:hint="eastAsia" w:ascii="仿宋" w:hAnsi="仿宋" w:eastAsia="仿宋" w:cs="宋体"/>
                <w:bCs/>
                <w:sz w:val="24"/>
              </w:rPr>
            </w:pPr>
            <w:r>
              <w:rPr>
                <w:rFonts w:hint="eastAsia" w:ascii="仿宋" w:hAnsi="仿宋" w:eastAsia="仿宋" w:cs="宋体"/>
                <w:bCs/>
                <w:sz w:val="24"/>
              </w:rPr>
              <w:t>法定代表人、负责人或委托代理人（签名）</w:t>
            </w:r>
          </w:p>
        </w:tc>
        <w:tc>
          <w:tcPr>
            <w:tcW w:w="1163" w:type="pct"/>
            <w:tcBorders>
              <w:top w:val="single" w:color="auto" w:sz="4" w:space="0"/>
              <w:left w:val="single" w:color="auto" w:sz="4" w:space="0"/>
              <w:bottom w:val="single" w:color="auto" w:sz="4" w:space="0"/>
              <w:right w:val="single" w:color="auto" w:sz="4" w:space="0"/>
            </w:tcBorders>
            <w:vAlign w:val="center"/>
          </w:tcPr>
          <w:p w14:paraId="59600F1E">
            <w:pPr>
              <w:spacing w:before="156" w:beforeLines="50" w:after="156" w:afterLines="50" w:line="360" w:lineRule="auto"/>
              <w:ind w:firstLine="240" w:firstLineChars="100"/>
              <w:jc w:val="center"/>
              <w:rPr>
                <w:rFonts w:hint="eastAsia" w:ascii="仿宋" w:hAnsi="仿宋" w:eastAsia="仿宋" w:cs="宋体"/>
                <w:sz w:val="24"/>
              </w:rPr>
            </w:pPr>
          </w:p>
        </w:tc>
      </w:tr>
      <w:tr w14:paraId="3463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238" w:type="pct"/>
            <w:tcBorders>
              <w:top w:val="single" w:color="auto" w:sz="4" w:space="0"/>
              <w:left w:val="single" w:color="auto" w:sz="4" w:space="0"/>
              <w:bottom w:val="single" w:color="auto" w:sz="4" w:space="0"/>
              <w:right w:val="single" w:color="auto" w:sz="4" w:space="0"/>
            </w:tcBorders>
            <w:vAlign w:val="center"/>
          </w:tcPr>
          <w:p w14:paraId="05D6AEB0">
            <w:pPr>
              <w:spacing w:before="156" w:beforeLines="50" w:after="156" w:afterLines="50" w:line="360" w:lineRule="auto"/>
              <w:ind w:firstLine="240" w:firstLineChars="100"/>
              <w:jc w:val="center"/>
              <w:rPr>
                <w:rFonts w:hint="eastAsia" w:ascii="仿宋" w:hAnsi="仿宋" w:eastAsia="仿宋" w:cs="宋体"/>
                <w:bCs/>
                <w:sz w:val="24"/>
              </w:rPr>
            </w:pPr>
            <w:r>
              <w:rPr>
                <w:rFonts w:hint="eastAsia" w:ascii="仿宋" w:hAnsi="仿宋" w:eastAsia="仿宋" w:cs="宋体"/>
                <w:bCs/>
                <w:sz w:val="24"/>
              </w:rPr>
              <w:t>签订日期</w:t>
            </w:r>
          </w:p>
        </w:tc>
        <w:tc>
          <w:tcPr>
            <w:tcW w:w="1345" w:type="pct"/>
            <w:tcBorders>
              <w:top w:val="single" w:color="auto" w:sz="4" w:space="0"/>
              <w:left w:val="single" w:color="auto" w:sz="4" w:space="0"/>
              <w:bottom w:val="single" w:color="auto" w:sz="4" w:space="0"/>
              <w:right w:val="single" w:color="auto" w:sz="4" w:space="0"/>
            </w:tcBorders>
            <w:vAlign w:val="center"/>
          </w:tcPr>
          <w:p w14:paraId="17F857A7">
            <w:pPr>
              <w:spacing w:before="156" w:beforeLines="50" w:after="156" w:afterLines="50" w:line="360" w:lineRule="auto"/>
              <w:ind w:firstLine="240" w:firstLineChars="100"/>
              <w:jc w:val="center"/>
              <w:rPr>
                <w:rFonts w:hint="eastAsia" w:ascii="仿宋" w:hAnsi="仿宋" w:eastAsia="仿宋" w:cs="宋体"/>
                <w:sz w:val="24"/>
              </w:rPr>
            </w:pPr>
          </w:p>
        </w:tc>
        <w:tc>
          <w:tcPr>
            <w:tcW w:w="1254" w:type="pct"/>
            <w:tcBorders>
              <w:top w:val="single" w:color="auto" w:sz="4" w:space="0"/>
              <w:left w:val="single" w:color="auto" w:sz="4" w:space="0"/>
              <w:bottom w:val="single" w:color="auto" w:sz="4" w:space="0"/>
              <w:right w:val="single" w:color="auto" w:sz="4" w:space="0"/>
            </w:tcBorders>
            <w:vAlign w:val="center"/>
          </w:tcPr>
          <w:p w14:paraId="2D47609C">
            <w:pPr>
              <w:spacing w:before="156" w:beforeLines="50" w:after="156" w:afterLines="50" w:line="360" w:lineRule="auto"/>
              <w:ind w:firstLine="240" w:firstLineChars="100"/>
              <w:jc w:val="center"/>
              <w:rPr>
                <w:rFonts w:hint="eastAsia" w:ascii="仿宋" w:hAnsi="仿宋" w:eastAsia="仿宋" w:cs="宋体"/>
                <w:bCs/>
                <w:sz w:val="24"/>
              </w:rPr>
            </w:pPr>
            <w:r>
              <w:rPr>
                <w:rFonts w:hint="eastAsia" w:ascii="仿宋" w:hAnsi="仿宋" w:eastAsia="仿宋" w:cs="宋体"/>
                <w:bCs/>
                <w:sz w:val="24"/>
              </w:rPr>
              <w:t>签订日期</w:t>
            </w:r>
          </w:p>
        </w:tc>
        <w:tc>
          <w:tcPr>
            <w:tcW w:w="1163" w:type="pct"/>
            <w:tcBorders>
              <w:top w:val="single" w:color="auto" w:sz="4" w:space="0"/>
              <w:left w:val="single" w:color="auto" w:sz="4" w:space="0"/>
              <w:bottom w:val="single" w:color="auto" w:sz="4" w:space="0"/>
              <w:right w:val="single" w:color="auto" w:sz="4" w:space="0"/>
            </w:tcBorders>
            <w:vAlign w:val="center"/>
          </w:tcPr>
          <w:p w14:paraId="26520A54">
            <w:pPr>
              <w:spacing w:before="156" w:beforeLines="50" w:after="156" w:afterLines="50" w:line="360" w:lineRule="auto"/>
              <w:ind w:firstLine="240" w:firstLineChars="100"/>
              <w:jc w:val="center"/>
              <w:rPr>
                <w:rFonts w:hint="eastAsia" w:ascii="仿宋" w:hAnsi="仿宋" w:eastAsia="仿宋" w:cs="宋体"/>
                <w:sz w:val="24"/>
              </w:rPr>
            </w:pPr>
          </w:p>
        </w:tc>
      </w:tr>
    </w:tbl>
    <w:p w14:paraId="74D571AE">
      <w:pPr>
        <w:spacing w:line="360" w:lineRule="auto"/>
      </w:pPr>
    </w:p>
    <w:p w14:paraId="4EEBB1F7">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5541D"/>
    <w:rsid w:val="49F55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2025-04-22T00:29:00Z</dcterms:created>
  <dc:creator>南方荼</dc:creator>
  <cp:lastModifiedBy>南方荼</cp:lastModifiedBy>
  <dcterms:modified xsi:type="dcterms:W3CDTF">2025-04-22T00:30:57Z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9CA585ECC1B44EEFBFB3100BBDC5AB80_11</vt:lpwstr>
  </property>
  <property fmtid="{D5CDD505-2E9C-101B-9397-08002B2CF9AE}" pid="4" name="KSOTemplateDocerSaveRecord">
    <vt:lpwstr>eyJoZGlkIjoiOTFjODIzODdlODk3MmJmMTk1MDFiMWU0ZTVhM2Q1ZTIiLCJ1c2VySWQiOiIxMTU3MTkzODE0In0=</vt:lpwstr>
  </property>
</Properties>
</file>