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8300F">
      <w:pPr>
        <w:jc w:val="center"/>
        <w:rPr>
          <w:rFonts w:ascii="微软雅黑" w:hAnsi="微软雅黑" w:eastAsia="微软雅黑"/>
          <w:b/>
          <w:sz w:val="32"/>
          <w:szCs w:val="32"/>
          <w:highlight w:val="none"/>
        </w:rPr>
      </w:pPr>
      <w:r>
        <w:rPr>
          <w:rFonts w:hint="eastAsia" w:ascii="微软雅黑" w:hAnsi="微软雅黑" w:eastAsia="微软雅黑"/>
          <w:b/>
          <w:sz w:val="32"/>
          <w:szCs w:val="32"/>
          <w:highlight w:val="none"/>
        </w:rPr>
        <w:t>货物类</w:t>
      </w:r>
      <w:r>
        <w:rPr>
          <w:rFonts w:ascii="微软雅黑" w:hAnsi="微软雅黑" w:eastAsia="微软雅黑"/>
          <w:b/>
          <w:sz w:val="32"/>
          <w:szCs w:val="32"/>
          <w:highlight w:val="none"/>
        </w:rPr>
        <w:t>/</w:t>
      </w:r>
      <w:r>
        <w:rPr>
          <w:rFonts w:hint="eastAsia" w:ascii="微软雅黑" w:hAnsi="微软雅黑" w:eastAsia="微软雅黑"/>
          <w:b/>
          <w:sz w:val="32"/>
          <w:szCs w:val="32"/>
          <w:highlight w:val="none"/>
        </w:rPr>
        <w:t>服务类项目 采购需求信息填报表</w:t>
      </w:r>
    </w:p>
    <w:p w14:paraId="2B0A974D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采购标的需实现的功能或者目标：</w:t>
      </w:r>
    </w:p>
    <w:p w14:paraId="290D8B24">
      <w:pPr>
        <w:ind w:left="420" w:firstLine="360" w:firstLineChars="200"/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sz w:val="18"/>
          <w:szCs w:val="18"/>
          <w:highlight w:val="none"/>
        </w:rPr>
        <w:t>为顺应能源动力类专业应用技术发展趋势，全力打造燃烧学模块化实验室。一方面，对老旧设备进行系统性更新换代，以先进智能设备替代传统仪器，确保实验数据精准度与时效性；另一方面，优化现有实验设备布局与功能，融入数据化技术，大幅提升实验教学的便捷性与高效性。通过改造与设备升级，构建起功能完备、操作便捷的现代化实验教学平台，为培养高素质专业人才筑牢坚实基础。</w:t>
      </w:r>
    </w:p>
    <w:p w14:paraId="1916EA42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采购标的明细（名称、数量、单位）：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513"/>
        <w:gridCol w:w="2513"/>
      </w:tblGrid>
      <w:tr w14:paraId="633D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 w14:paraId="2AB3B0B5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  <w:highlight w:val="none"/>
              </w:rPr>
              <w:t>标的名称</w:t>
            </w:r>
          </w:p>
        </w:tc>
        <w:tc>
          <w:tcPr>
            <w:tcW w:w="2513" w:type="dxa"/>
            <w:vAlign w:val="center"/>
          </w:tcPr>
          <w:p w14:paraId="53860676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2513" w:type="dxa"/>
            <w:vAlign w:val="center"/>
          </w:tcPr>
          <w:p w14:paraId="1EF0F61B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  <w:highlight w:val="none"/>
              </w:rPr>
              <w:t>单位</w:t>
            </w:r>
          </w:p>
        </w:tc>
      </w:tr>
      <w:tr w14:paraId="0F67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512" w:type="dxa"/>
            <w:vAlign w:val="center"/>
          </w:tcPr>
          <w:p w14:paraId="73DCDE10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燃烧学基本实验台</w:t>
            </w:r>
          </w:p>
        </w:tc>
        <w:tc>
          <w:tcPr>
            <w:tcW w:w="2513" w:type="dxa"/>
            <w:vAlign w:val="center"/>
          </w:tcPr>
          <w:p w14:paraId="24D74F6C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513" w:type="dxa"/>
            <w:vAlign w:val="center"/>
          </w:tcPr>
          <w:p w14:paraId="0A414DAD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50D9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12" w:type="dxa"/>
            <w:vAlign w:val="center"/>
          </w:tcPr>
          <w:p w14:paraId="6F48398F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火焰对冲实验模块</w:t>
            </w:r>
          </w:p>
        </w:tc>
        <w:tc>
          <w:tcPr>
            <w:tcW w:w="2513" w:type="dxa"/>
            <w:vAlign w:val="center"/>
          </w:tcPr>
          <w:p w14:paraId="393DF654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513" w:type="dxa"/>
            <w:vAlign w:val="center"/>
          </w:tcPr>
          <w:p w14:paraId="22682C46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3013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512" w:type="dxa"/>
            <w:vAlign w:val="center"/>
          </w:tcPr>
          <w:p w14:paraId="242CEA11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火焰传播实验模块</w:t>
            </w:r>
          </w:p>
        </w:tc>
        <w:tc>
          <w:tcPr>
            <w:tcW w:w="2513" w:type="dxa"/>
            <w:vAlign w:val="center"/>
          </w:tcPr>
          <w:p w14:paraId="0347E46F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513" w:type="dxa"/>
            <w:vAlign w:val="center"/>
          </w:tcPr>
          <w:p w14:paraId="569E68A5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 w14:paraId="0E51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 w14:paraId="469A152E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平焰燃烧器</w:t>
            </w:r>
          </w:p>
        </w:tc>
        <w:tc>
          <w:tcPr>
            <w:tcW w:w="2513" w:type="dxa"/>
            <w:vAlign w:val="center"/>
          </w:tcPr>
          <w:p w14:paraId="2F72798F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513" w:type="dxa"/>
            <w:vAlign w:val="center"/>
          </w:tcPr>
          <w:p w14:paraId="29C3698E">
            <w:pPr>
              <w:pStyle w:val="22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</w:tbl>
    <w:p w14:paraId="58BF47A8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需执行的相关政策合规要求、执行标准和规范要求：</w:t>
      </w:r>
    </w:p>
    <w:p w14:paraId="18D3D0CC">
      <w:pPr>
        <w:ind w:left="851"/>
        <w:jc w:val="left"/>
        <w:rPr>
          <w:rFonts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(1) GB 12136-1989《溶解乙炔气瓶用回火防止器》</w:t>
      </w:r>
    </w:p>
    <w:p w14:paraId="10FDE180">
      <w:pPr>
        <w:ind w:left="851"/>
        <w:jc w:val="left"/>
        <w:rPr>
          <w:rFonts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(2) GB/T20801.6-2020《压力管道规范工业管道 第6部分:安全防护》</w:t>
      </w:r>
    </w:p>
    <w:p w14:paraId="76C0B899">
      <w:pPr>
        <w:ind w:left="851"/>
        <w:jc w:val="left"/>
        <w:rPr>
          <w:rFonts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(3) GB/T 31130-2014《科里奥利质量流量计》</w:t>
      </w:r>
    </w:p>
    <w:p w14:paraId="5A76C243">
      <w:pPr>
        <w:ind w:left="851"/>
        <w:jc w:val="left"/>
        <w:rPr>
          <w:rFonts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(4) GB/T 37391-2019《可编程序控制器的成套控制设备规范》</w:t>
      </w:r>
    </w:p>
    <w:p w14:paraId="190767C6">
      <w:pPr>
        <w:ind w:left="851"/>
        <w:jc w:val="left"/>
        <w:rPr>
          <w:rFonts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书宋简体" w:hAnsi="宋体" w:eastAsia="方正书宋简体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(5) GB/T 5141-2019《一般工业用温度计》</w:t>
      </w:r>
    </w:p>
    <w:p w14:paraId="2B9D7C9C">
      <w:pPr>
        <w:ind w:left="420" w:firstLine="361" w:firstLineChars="200"/>
        <w:jc w:val="left"/>
        <w:rPr>
          <w:rFonts w:ascii="方正书宋简体" w:hAnsi="宋体" w:eastAsia="方正书宋简体"/>
          <w:b/>
          <w:sz w:val="18"/>
          <w:szCs w:val="18"/>
          <w:highlight w:val="none"/>
        </w:rPr>
      </w:pPr>
    </w:p>
    <w:p w14:paraId="3578434B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供应商资格要求</w:t>
      </w:r>
    </w:p>
    <w:p w14:paraId="1DD68320">
      <w:pPr>
        <w:ind w:left="840"/>
        <w:jc w:val="left"/>
        <w:rPr>
          <w:rFonts w:ascii="华文仿宋" w:hAnsi="华文仿宋" w:eastAsia="华文仿宋"/>
          <w:b/>
          <w:color w:val="FF0000"/>
          <w:sz w:val="18"/>
          <w:szCs w:val="18"/>
          <w:highlight w:val="none"/>
        </w:rPr>
      </w:pPr>
      <w:r>
        <w:rPr>
          <w:rFonts w:hint="eastAsia" w:ascii="华文仿宋" w:hAnsi="华文仿宋" w:eastAsia="华文仿宋"/>
          <w:b/>
          <w:sz w:val="18"/>
          <w:szCs w:val="18"/>
          <w:highlight w:val="none"/>
        </w:rPr>
        <w:t>需符合《政府采购法》第二十二条要求。（具有独立承担民事责任的能力（法人/组织/自然人）、良好商业信誉与健全财务制度、履行合同所需的设备与技术能力、有依法缴纳税收和社会保障资金的良好记录，前三年内在经营活动中没有重大违法记录。）</w:t>
      </w:r>
    </w:p>
    <w:p w14:paraId="532B03F9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项目技术/服务要求</w:t>
      </w:r>
    </w:p>
    <w:p w14:paraId="28F84AA8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▲控制系统：处理速度与延迟：要求实时数据处理延迟≤1微秒，单通道吞吐量≥10Gbps；并行处理能力：需支持至少16路独立信号通道的同步并行处理，各通道逻辑可独立配置；动态重构能力：系统需支持运行时逻辑功能动态重配置，无需停机更新；定制化硬件需求：需支持基于硬件描述语言开发的定制化逻辑核，支持与ASIC/SoC协同设计；高速接口协议：需原生支持JESD204B、PCIe Gen3或10G以太网协议硬件加速；数据处理单元需支持纳秒级实时响应，单周期内完成32位浮点运算； 提供硬件级信号处理流水线设计，支持至少8级并行流水线架构； 主控芯片需具备≥500k逻辑单元资源，支持通过JTAG或SelectMAP接口进行在线部分重配置；开发工具需支持时序收敛分析、功耗优化及RTL级综合；</w:t>
      </w:r>
    </w:p>
    <w:p w14:paraId="485CD8AA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▲配备控制系统原理图；（提供原理图截图）</w:t>
      </w:r>
    </w:p>
    <w:p w14:paraId="62C4C641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湿度测量范围：0～99%；</w:t>
      </w:r>
    </w:p>
    <w:p w14:paraId="7EF8767E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温度测量范围：4路，K型，量程0-1200℃；</w:t>
      </w:r>
    </w:p>
    <w:p w14:paraId="1434306B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燃气质量流量：精度≤1%，可设置控制输出;</w:t>
      </w:r>
    </w:p>
    <w:p w14:paraId="40B4E944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空气体积流量：0～50L/min，精度≤1%；</w:t>
      </w:r>
    </w:p>
    <w:p w14:paraId="15256625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▲配备燃烧系统原理图；（提供原理图截图）</w:t>
      </w:r>
    </w:p>
    <w:p w14:paraId="6210D68A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火焰高度尺：0-600mm；</w:t>
      </w:r>
    </w:p>
    <w:p w14:paraId="3E351182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▲石英管：3根（为确保实验的合理性，需石英管的类型和尺寸等指标）；</w:t>
      </w:r>
    </w:p>
    <w:p w14:paraId="440A5573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可接保护气体：氮气；</w:t>
      </w:r>
    </w:p>
    <w:p w14:paraId="5E754A46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燃烧气体种类：甲烷、丙烷和乙炔等；</w:t>
      </w:r>
    </w:p>
    <w:p w14:paraId="054A09B8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三维位移精度：0.1mm；</w:t>
      </w:r>
    </w:p>
    <w:p w14:paraId="00923167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燃料预混：燃气和氧气可以配比后进入烧结的预混腔；</w:t>
      </w:r>
    </w:p>
    <w:p w14:paraId="54660F35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预混腔：青铜颗粒烧结</w:t>
      </w:r>
    </w:p>
    <w:p w14:paraId="7597C0C5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冷却介质：水；冷却流量：10L/min；</w:t>
      </w:r>
    </w:p>
    <w:p w14:paraId="3F5FD372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中心燃气管路：紫铜管，内径5mm；</w:t>
      </w:r>
    </w:p>
    <w:p w14:paraId="3C5257CC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可通过介质：气体、液体、固体颗粒；</w:t>
      </w:r>
    </w:p>
    <w:p w14:paraId="30DE97DF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保护气路：紫铜管，内径2mm，</w:t>
      </w:r>
    </w:p>
    <w:p w14:paraId="0F0C042C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保护混合燃烧气平滑流动，稳定燃烧，流量：0.5L/min；</w:t>
      </w:r>
    </w:p>
    <w:p w14:paraId="79A2E38F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▲保护气环：厚度5mm,孔径0.05mm，耐温2000℃合金烧结；（提供燃烧器设计图纸）；</w:t>
      </w:r>
    </w:p>
    <w:p w14:paraId="01CCFBE9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实验功能：Bensun火焰及Smithell法火焰分离、预混火焰稳定浓度界限测定、气体燃料的射流燃烧火焰长度及火焰温度的测定、静压法气体燃料火焰传播速度测定、云雾状煤粉的燃烧实验</w:t>
      </w:r>
    </w:p>
    <w:p w14:paraId="7E6BC589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▲提供符合实验要求的实验指导书（至少包含预习内容、运行维护、实验目的、实验原理、实验步骤等）</w:t>
      </w:r>
    </w:p>
    <w:p w14:paraId="122E14A7">
      <w:pPr>
        <w:numPr>
          <w:ilvl w:val="0"/>
          <w:numId w:val="2"/>
        </w:numPr>
        <w:ind w:left="1260"/>
        <w:jc w:val="left"/>
        <w:rPr>
          <w:rFonts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▲屏幕带有数据采集具有系统原理、实验数据、实时曲线显示等多项功能，其中实验数据显示包括：温度、体积流量和质量流量等（为了保证本产品为成熟产品和未来的拓展性，</w:t>
      </w:r>
      <w:r>
        <w:rPr>
          <w:rFonts w:hint="eastAsia" w:ascii="仿宋" w:hAnsi="仿宋" w:eastAsia="仿宋" w:cs="仿宋"/>
          <w:b/>
          <w:sz w:val="18"/>
          <w:szCs w:val="1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需提供功能模块原理界面、曲线界面和数据采集截图佐证）。</w:t>
      </w:r>
    </w:p>
    <w:p w14:paraId="6B6D50FB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项目实施要求</w:t>
      </w:r>
    </w:p>
    <w:p w14:paraId="6305E84F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发货要求：</w:t>
      </w:r>
    </w:p>
    <w:p w14:paraId="467B9C91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1.货物的包装均应有良好的防湿、防锈、防潮、防雨、防腐及防碰撞的措施。凡由于包装不良造成的损失和由此产生的费用均由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承担。 </w:t>
      </w:r>
    </w:p>
    <w:p w14:paraId="1D2051C5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负责货物的全部运输，包括装卸车、货物现场的搬运。</w:t>
      </w:r>
    </w:p>
    <w:p w14:paraId="4BD3D27C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3.货物在现场的保管由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负责，直至项目安装、验收完毕。</w:t>
      </w:r>
    </w:p>
    <w:p w14:paraId="0D1F1426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4.货物在安装调试验收合格前的保险由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负责，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负责其派出的现场服务人员人身意外保险。 </w:t>
      </w:r>
    </w:p>
    <w:p w14:paraId="79FFDA9F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5.货物至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指定的使用现场的包装、保险及发运等环节和费用均由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负责。</w:t>
      </w:r>
    </w:p>
    <w:p w14:paraId="5B47DB59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安装调试要求：</w:t>
      </w:r>
    </w:p>
    <w:p w14:paraId="26C115DF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必须免费送货上门并负责安装调试。货物及订制所需材料在实施订制及安装前需通知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代表查验相关货物的出厂合格证、序列号、包装箱号与出厂批号等资料，并可追溯查阅。所有随设备的附件必须齐全，以备验收使用。</w:t>
      </w:r>
    </w:p>
    <w:p w14:paraId="164181D4">
      <w:pPr>
        <w:ind w:left="420" w:firstLine="541" w:firstLineChars="3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2.调试：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必须依照招标文件的要求和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的承诺，将各个工作站及整线安装并调试至正常运行的最佳状态；在质保期内，如货物非因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的人为原因而出现的质量问题由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负责免费维修或更换。</w:t>
      </w:r>
    </w:p>
    <w:p w14:paraId="1CFA9A33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2.项目质保期内要求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提供设备报修服务、保养服务、定期巡检和清洁服务、重大事件时的应急保障服务等，对于质保期内的系统维护保养工作需提供详尽的维护保养计划，报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审批核准后，按计划落实维护保养工作。</w:t>
      </w:r>
    </w:p>
    <w:p w14:paraId="56FC666E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 售后服务要求：</w:t>
      </w:r>
    </w:p>
    <w:p w14:paraId="3ED2DB6B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1.在质保期内，如货物非因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的人为原因而出现的质量问题由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负责免费维修或更换。</w:t>
      </w:r>
    </w:p>
    <w:p w14:paraId="53BEB4E2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2.项目质保期内要求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提供设备报修服务、保养服务、定期巡检和清洁服务、重大事件时的应急保障服务等，对于质保期内的系统维护保养工作需提供详尽的维护保养计划，报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审批核准后，按计划落实维护保养工作。</w:t>
      </w:r>
    </w:p>
    <w:p w14:paraId="5E1279F3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3.服务响应时间为：包括节假日及夜间等非工作时间在内，立即电话响应，4小时内响应，24小时内保证故障排除，若24小时内不能排除故障，则需提供备用产品替换故障设备，确保系统正常工作，备用产品性能不低于故障产品，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负责所有因设备质量问题而产生的费用。</w:t>
      </w:r>
    </w:p>
    <w:p w14:paraId="21030BFA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4.服务方式为专人为该项目进行现场服务，要求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为该项目配置专门的售后服务负责人，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需提供服务人员的配置情况，针对该项目的专职售后服务人员原则上不能随意更换，若要更换需经过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书面批准。</w:t>
      </w:r>
    </w:p>
    <w:p w14:paraId="2E1D058B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5.根据本项目的售后服务要求，制定好售后服务响应计划。</w:t>
      </w:r>
    </w:p>
    <w:p w14:paraId="3823F609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培训要求：</w:t>
      </w:r>
    </w:p>
    <w:p w14:paraId="0F5C8D6B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1.基础操作培训：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需提供全面的燃烧综合实验装置基础操作培训，确保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操作人员能够熟练掌握系统的开机、关机、日常检查与维护等基本操作流程，以及安全规范和紧急处理措施。</w:t>
      </w:r>
    </w:p>
    <w:p w14:paraId="17B65315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2.专业技术培训：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应针对燃烧综合实验装置的特殊功能和技术指标，进行深入的技术培训。培训内容应包括设备基本操作、测试参数设置与调整、数据采集与处理方法等，使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技术人员能够独立完成使用任务，并准确分析测试结果。</w:t>
      </w:r>
    </w:p>
    <w:p w14:paraId="161494EE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3.软件操作培训：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应对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技术人员进行燃烧设备的使用培训。培训内容包括软件安装、界面操作、参数配置、数据采集与分析软件的使用等，确保人员能够熟练掌握软件技能，提高测试效率和数据准确性。</w:t>
      </w:r>
    </w:p>
    <w:p w14:paraId="34858322">
      <w:pPr>
        <w:ind w:left="420" w:firstLine="360" w:firstLineChars="20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</w:p>
    <w:p w14:paraId="652CFAB1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验收方式</w:t>
      </w:r>
    </w:p>
    <w:p w14:paraId="3C1C3B6F">
      <w:pPr>
        <w:ind w:left="420" w:firstLine="42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各方面符合教学需求、连续72小时无故障运行、年度达标率≥90%、验收达到合同需求标准</w:t>
      </w:r>
    </w:p>
    <w:p w14:paraId="51416439">
      <w:pPr>
        <w:numPr>
          <w:ilvl w:val="0"/>
          <w:numId w:val="1"/>
        </w:numPr>
        <w:jc w:val="left"/>
        <w:rPr>
          <w:rFonts w:ascii="方正书宋简体" w:hAnsi="宋体" w:eastAsia="方正书宋简体"/>
          <w:b/>
          <w:szCs w:val="21"/>
          <w:highlight w:val="none"/>
        </w:rPr>
      </w:pPr>
      <w:r>
        <w:rPr>
          <w:rFonts w:hint="eastAsia" w:ascii="方正书宋简体" w:hAnsi="宋体" w:eastAsia="方正书宋简体"/>
          <w:b/>
          <w:szCs w:val="21"/>
          <w:highlight w:val="none"/>
        </w:rPr>
        <w:t>其他技术、服务相关要求。</w:t>
      </w:r>
    </w:p>
    <w:p w14:paraId="76323BAA">
      <w:pPr>
        <w:ind w:left="420" w:firstLine="420"/>
        <w:jc w:val="left"/>
        <w:rPr>
          <w:rFonts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实验设备配件供应年限不少于5年，随机配备实验指导书及实验所需操作资料</w:t>
      </w:r>
    </w:p>
    <w:p w14:paraId="66DB5017">
      <w:pPr>
        <w:ind w:left="840"/>
        <w:jc w:val="left"/>
        <w:rPr>
          <w:rFonts w:ascii="方正书宋简体" w:hAnsi="宋体" w:eastAsia="方正书宋简体"/>
          <w:b/>
          <w:szCs w:val="21"/>
          <w:highlight w:val="none"/>
        </w:rPr>
      </w:pP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5AC8A"/>
    <w:multiLevelType w:val="singleLevel"/>
    <w:tmpl w:val="A8F5AC8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67587722"/>
    <w:multiLevelType w:val="multilevel"/>
    <w:tmpl w:val="6758772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zBhMzQ0NjllNjg5ZDg1NWMxOWQwMWJkNDdjNzcifQ=="/>
  </w:docVars>
  <w:rsids>
    <w:rsidRoot w:val="00172A27"/>
    <w:rsid w:val="00000C51"/>
    <w:rsid w:val="000108CA"/>
    <w:rsid w:val="00014BE7"/>
    <w:rsid w:val="00027E06"/>
    <w:rsid w:val="00030591"/>
    <w:rsid w:val="00030BA1"/>
    <w:rsid w:val="00032BB5"/>
    <w:rsid w:val="00036451"/>
    <w:rsid w:val="00046784"/>
    <w:rsid w:val="000509D6"/>
    <w:rsid w:val="0005340E"/>
    <w:rsid w:val="00053646"/>
    <w:rsid w:val="000634A1"/>
    <w:rsid w:val="00075E39"/>
    <w:rsid w:val="00083886"/>
    <w:rsid w:val="0009129F"/>
    <w:rsid w:val="000933E4"/>
    <w:rsid w:val="00093C77"/>
    <w:rsid w:val="000950C8"/>
    <w:rsid w:val="000A1E31"/>
    <w:rsid w:val="000B4507"/>
    <w:rsid w:val="000B4B54"/>
    <w:rsid w:val="000B7FA1"/>
    <w:rsid w:val="000C7B1A"/>
    <w:rsid w:val="000D0BBB"/>
    <w:rsid w:val="000D1B60"/>
    <w:rsid w:val="000D3FF7"/>
    <w:rsid w:val="000E00FF"/>
    <w:rsid w:val="000E5A84"/>
    <w:rsid w:val="000E6EAF"/>
    <w:rsid w:val="000E7218"/>
    <w:rsid w:val="000F43E7"/>
    <w:rsid w:val="0011610C"/>
    <w:rsid w:val="00122535"/>
    <w:rsid w:val="001245B3"/>
    <w:rsid w:val="001246F2"/>
    <w:rsid w:val="00124A02"/>
    <w:rsid w:val="00131E0F"/>
    <w:rsid w:val="00140269"/>
    <w:rsid w:val="0014200B"/>
    <w:rsid w:val="00172A27"/>
    <w:rsid w:val="00174C47"/>
    <w:rsid w:val="00177A73"/>
    <w:rsid w:val="0018052E"/>
    <w:rsid w:val="0019010C"/>
    <w:rsid w:val="001A0E8A"/>
    <w:rsid w:val="001A2B0B"/>
    <w:rsid w:val="001C01D2"/>
    <w:rsid w:val="001C1775"/>
    <w:rsid w:val="001D0CC5"/>
    <w:rsid w:val="001D4936"/>
    <w:rsid w:val="001D595B"/>
    <w:rsid w:val="001E1098"/>
    <w:rsid w:val="001E3019"/>
    <w:rsid w:val="001E512D"/>
    <w:rsid w:val="001F10FE"/>
    <w:rsid w:val="001F24E3"/>
    <w:rsid w:val="001F3C78"/>
    <w:rsid w:val="001F598D"/>
    <w:rsid w:val="00200DE6"/>
    <w:rsid w:val="00202B63"/>
    <w:rsid w:val="00216AC7"/>
    <w:rsid w:val="00230F5B"/>
    <w:rsid w:val="0023162A"/>
    <w:rsid w:val="0023478A"/>
    <w:rsid w:val="0023623D"/>
    <w:rsid w:val="002407FC"/>
    <w:rsid w:val="00244F9B"/>
    <w:rsid w:val="00245C74"/>
    <w:rsid w:val="0025250D"/>
    <w:rsid w:val="00263E32"/>
    <w:rsid w:val="002654E2"/>
    <w:rsid w:val="00267C45"/>
    <w:rsid w:val="00270AF8"/>
    <w:rsid w:val="00270F32"/>
    <w:rsid w:val="00274FC2"/>
    <w:rsid w:val="00296C13"/>
    <w:rsid w:val="002B5EBC"/>
    <w:rsid w:val="002C2876"/>
    <w:rsid w:val="002D514B"/>
    <w:rsid w:val="002F2D28"/>
    <w:rsid w:val="002F3391"/>
    <w:rsid w:val="00304465"/>
    <w:rsid w:val="0030537A"/>
    <w:rsid w:val="0031188D"/>
    <w:rsid w:val="00314921"/>
    <w:rsid w:val="00317326"/>
    <w:rsid w:val="00317BAB"/>
    <w:rsid w:val="00320DCA"/>
    <w:rsid w:val="00323BF4"/>
    <w:rsid w:val="003240BE"/>
    <w:rsid w:val="00326740"/>
    <w:rsid w:val="00334020"/>
    <w:rsid w:val="00335098"/>
    <w:rsid w:val="00336DEA"/>
    <w:rsid w:val="00342AE1"/>
    <w:rsid w:val="00343677"/>
    <w:rsid w:val="0034545A"/>
    <w:rsid w:val="0035152B"/>
    <w:rsid w:val="00357A1F"/>
    <w:rsid w:val="00365D86"/>
    <w:rsid w:val="00371C2D"/>
    <w:rsid w:val="003815E8"/>
    <w:rsid w:val="00387BA9"/>
    <w:rsid w:val="00396A65"/>
    <w:rsid w:val="003A1239"/>
    <w:rsid w:val="003A1DAC"/>
    <w:rsid w:val="003B01C8"/>
    <w:rsid w:val="003C5007"/>
    <w:rsid w:val="003D25D3"/>
    <w:rsid w:val="003D422A"/>
    <w:rsid w:val="003D70D3"/>
    <w:rsid w:val="003D7A7D"/>
    <w:rsid w:val="003F142D"/>
    <w:rsid w:val="003F2B14"/>
    <w:rsid w:val="00404583"/>
    <w:rsid w:val="0041040D"/>
    <w:rsid w:val="00411658"/>
    <w:rsid w:val="0041744B"/>
    <w:rsid w:val="004202F3"/>
    <w:rsid w:val="004219AB"/>
    <w:rsid w:val="00425A12"/>
    <w:rsid w:val="00425D1D"/>
    <w:rsid w:val="00430F2C"/>
    <w:rsid w:val="004407D9"/>
    <w:rsid w:val="00441077"/>
    <w:rsid w:val="0045292E"/>
    <w:rsid w:val="004555CC"/>
    <w:rsid w:val="00461FCC"/>
    <w:rsid w:val="004625D7"/>
    <w:rsid w:val="00466042"/>
    <w:rsid w:val="00467804"/>
    <w:rsid w:val="00474C54"/>
    <w:rsid w:val="004819EB"/>
    <w:rsid w:val="00492AAE"/>
    <w:rsid w:val="00497C5A"/>
    <w:rsid w:val="004A1D9E"/>
    <w:rsid w:val="004A6B6E"/>
    <w:rsid w:val="004A7B5F"/>
    <w:rsid w:val="004B70F9"/>
    <w:rsid w:val="004D0840"/>
    <w:rsid w:val="004D7B8E"/>
    <w:rsid w:val="004E1EDD"/>
    <w:rsid w:val="004E3D63"/>
    <w:rsid w:val="004E4AFF"/>
    <w:rsid w:val="004F04EC"/>
    <w:rsid w:val="004F1C33"/>
    <w:rsid w:val="00500508"/>
    <w:rsid w:val="00507DFD"/>
    <w:rsid w:val="00515AFB"/>
    <w:rsid w:val="005236AF"/>
    <w:rsid w:val="00535902"/>
    <w:rsid w:val="00546A9F"/>
    <w:rsid w:val="00550099"/>
    <w:rsid w:val="005546AD"/>
    <w:rsid w:val="00564491"/>
    <w:rsid w:val="00566FBA"/>
    <w:rsid w:val="00571965"/>
    <w:rsid w:val="00580869"/>
    <w:rsid w:val="00580CEF"/>
    <w:rsid w:val="00582929"/>
    <w:rsid w:val="0059399C"/>
    <w:rsid w:val="005B7754"/>
    <w:rsid w:val="005B7BAC"/>
    <w:rsid w:val="005C1B38"/>
    <w:rsid w:val="005D1037"/>
    <w:rsid w:val="005E314D"/>
    <w:rsid w:val="005E387F"/>
    <w:rsid w:val="005E7D5A"/>
    <w:rsid w:val="005F1D66"/>
    <w:rsid w:val="0060271E"/>
    <w:rsid w:val="00602E4A"/>
    <w:rsid w:val="00605C22"/>
    <w:rsid w:val="00614A21"/>
    <w:rsid w:val="00630C37"/>
    <w:rsid w:val="00634DEC"/>
    <w:rsid w:val="006549F6"/>
    <w:rsid w:val="00660D2D"/>
    <w:rsid w:val="00666DE3"/>
    <w:rsid w:val="006673A4"/>
    <w:rsid w:val="00672C9C"/>
    <w:rsid w:val="00675D20"/>
    <w:rsid w:val="00683874"/>
    <w:rsid w:val="006845C0"/>
    <w:rsid w:val="006877FF"/>
    <w:rsid w:val="00692483"/>
    <w:rsid w:val="006A2B4B"/>
    <w:rsid w:val="006A6B9F"/>
    <w:rsid w:val="006C435F"/>
    <w:rsid w:val="006C6A7C"/>
    <w:rsid w:val="006D085F"/>
    <w:rsid w:val="006D71B0"/>
    <w:rsid w:val="006E33B5"/>
    <w:rsid w:val="00704493"/>
    <w:rsid w:val="00705D7F"/>
    <w:rsid w:val="0070661D"/>
    <w:rsid w:val="007067AC"/>
    <w:rsid w:val="007131E7"/>
    <w:rsid w:val="00723DDD"/>
    <w:rsid w:val="00726905"/>
    <w:rsid w:val="0073152B"/>
    <w:rsid w:val="00753D9D"/>
    <w:rsid w:val="00774235"/>
    <w:rsid w:val="00774D03"/>
    <w:rsid w:val="00777740"/>
    <w:rsid w:val="00780A04"/>
    <w:rsid w:val="007820ED"/>
    <w:rsid w:val="007876CB"/>
    <w:rsid w:val="007968A4"/>
    <w:rsid w:val="00796B84"/>
    <w:rsid w:val="007A4892"/>
    <w:rsid w:val="007B399E"/>
    <w:rsid w:val="007C0D4B"/>
    <w:rsid w:val="007C4A7B"/>
    <w:rsid w:val="007C5F54"/>
    <w:rsid w:val="007D0C0C"/>
    <w:rsid w:val="007D3CA2"/>
    <w:rsid w:val="007D3FA3"/>
    <w:rsid w:val="007E5E04"/>
    <w:rsid w:val="007F1BEF"/>
    <w:rsid w:val="008020D5"/>
    <w:rsid w:val="00813CD3"/>
    <w:rsid w:val="0081634D"/>
    <w:rsid w:val="00816D98"/>
    <w:rsid w:val="008321EB"/>
    <w:rsid w:val="00834635"/>
    <w:rsid w:val="00840B10"/>
    <w:rsid w:val="00842BFA"/>
    <w:rsid w:val="00852DA6"/>
    <w:rsid w:val="008539FC"/>
    <w:rsid w:val="00863B58"/>
    <w:rsid w:val="008645AE"/>
    <w:rsid w:val="008725E9"/>
    <w:rsid w:val="00876530"/>
    <w:rsid w:val="008775E6"/>
    <w:rsid w:val="008A29EC"/>
    <w:rsid w:val="008A33ED"/>
    <w:rsid w:val="008B1E76"/>
    <w:rsid w:val="008B6AB6"/>
    <w:rsid w:val="008C2879"/>
    <w:rsid w:val="008C51F5"/>
    <w:rsid w:val="008C63D0"/>
    <w:rsid w:val="008D28FD"/>
    <w:rsid w:val="008D2CE0"/>
    <w:rsid w:val="008D4DF3"/>
    <w:rsid w:val="008D731E"/>
    <w:rsid w:val="008F4352"/>
    <w:rsid w:val="00902EA9"/>
    <w:rsid w:val="00902F82"/>
    <w:rsid w:val="00903590"/>
    <w:rsid w:val="00907705"/>
    <w:rsid w:val="009105A0"/>
    <w:rsid w:val="00910DC5"/>
    <w:rsid w:val="00914A48"/>
    <w:rsid w:val="009167F4"/>
    <w:rsid w:val="0093475B"/>
    <w:rsid w:val="00946B65"/>
    <w:rsid w:val="00946E76"/>
    <w:rsid w:val="00961D5A"/>
    <w:rsid w:val="0097222F"/>
    <w:rsid w:val="00975595"/>
    <w:rsid w:val="009813EB"/>
    <w:rsid w:val="0098391B"/>
    <w:rsid w:val="00985F61"/>
    <w:rsid w:val="00993408"/>
    <w:rsid w:val="009958AB"/>
    <w:rsid w:val="009A5DA7"/>
    <w:rsid w:val="009A6FE3"/>
    <w:rsid w:val="009A7E53"/>
    <w:rsid w:val="009B0B8E"/>
    <w:rsid w:val="009B3397"/>
    <w:rsid w:val="009B385F"/>
    <w:rsid w:val="009C28A2"/>
    <w:rsid w:val="009C4A63"/>
    <w:rsid w:val="009C657C"/>
    <w:rsid w:val="009C7936"/>
    <w:rsid w:val="009D684F"/>
    <w:rsid w:val="009D754F"/>
    <w:rsid w:val="009F229B"/>
    <w:rsid w:val="00A03997"/>
    <w:rsid w:val="00A068D0"/>
    <w:rsid w:val="00A14FC0"/>
    <w:rsid w:val="00A21FB1"/>
    <w:rsid w:val="00A27387"/>
    <w:rsid w:val="00A32E0E"/>
    <w:rsid w:val="00A40B1A"/>
    <w:rsid w:val="00A416FF"/>
    <w:rsid w:val="00A50083"/>
    <w:rsid w:val="00A53687"/>
    <w:rsid w:val="00A61EC4"/>
    <w:rsid w:val="00A6292B"/>
    <w:rsid w:val="00A64FD1"/>
    <w:rsid w:val="00A65569"/>
    <w:rsid w:val="00A804EC"/>
    <w:rsid w:val="00A823AD"/>
    <w:rsid w:val="00A84468"/>
    <w:rsid w:val="00A84F20"/>
    <w:rsid w:val="00A8789E"/>
    <w:rsid w:val="00A900B8"/>
    <w:rsid w:val="00A915BC"/>
    <w:rsid w:val="00A91770"/>
    <w:rsid w:val="00A9701D"/>
    <w:rsid w:val="00A97F46"/>
    <w:rsid w:val="00AA3010"/>
    <w:rsid w:val="00AA6D55"/>
    <w:rsid w:val="00AB09D5"/>
    <w:rsid w:val="00AB19EA"/>
    <w:rsid w:val="00AB3356"/>
    <w:rsid w:val="00AD2D71"/>
    <w:rsid w:val="00AD2DC5"/>
    <w:rsid w:val="00AE089F"/>
    <w:rsid w:val="00AE4533"/>
    <w:rsid w:val="00AE7A9E"/>
    <w:rsid w:val="00AF3AE5"/>
    <w:rsid w:val="00AF6A2F"/>
    <w:rsid w:val="00AF7B70"/>
    <w:rsid w:val="00B05252"/>
    <w:rsid w:val="00B14F7B"/>
    <w:rsid w:val="00B15989"/>
    <w:rsid w:val="00B17802"/>
    <w:rsid w:val="00B20FF0"/>
    <w:rsid w:val="00B224C0"/>
    <w:rsid w:val="00B264EA"/>
    <w:rsid w:val="00B3422B"/>
    <w:rsid w:val="00B351BE"/>
    <w:rsid w:val="00B35F76"/>
    <w:rsid w:val="00B36936"/>
    <w:rsid w:val="00B412B4"/>
    <w:rsid w:val="00B4289E"/>
    <w:rsid w:val="00B44078"/>
    <w:rsid w:val="00B47FD0"/>
    <w:rsid w:val="00B508F7"/>
    <w:rsid w:val="00B52AC0"/>
    <w:rsid w:val="00B61BCE"/>
    <w:rsid w:val="00B61ED4"/>
    <w:rsid w:val="00B638CF"/>
    <w:rsid w:val="00B6592B"/>
    <w:rsid w:val="00B677D9"/>
    <w:rsid w:val="00B77BB2"/>
    <w:rsid w:val="00B929BC"/>
    <w:rsid w:val="00B94EF1"/>
    <w:rsid w:val="00BA0D0A"/>
    <w:rsid w:val="00BA1216"/>
    <w:rsid w:val="00BB4743"/>
    <w:rsid w:val="00BC3A92"/>
    <w:rsid w:val="00BC748C"/>
    <w:rsid w:val="00BD1DBF"/>
    <w:rsid w:val="00BD6102"/>
    <w:rsid w:val="00BD6EA7"/>
    <w:rsid w:val="00BE0C0C"/>
    <w:rsid w:val="00BE3A54"/>
    <w:rsid w:val="00BE6129"/>
    <w:rsid w:val="00BE72FB"/>
    <w:rsid w:val="00C16D29"/>
    <w:rsid w:val="00C237C2"/>
    <w:rsid w:val="00C26387"/>
    <w:rsid w:val="00C504CA"/>
    <w:rsid w:val="00C53B4B"/>
    <w:rsid w:val="00C546F9"/>
    <w:rsid w:val="00C5767E"/>
    <w:rsid w:val="00C57FF9"/>
    <w:rsid w:val="00C6517D"/>
    <w:rsid w:val="00C71474"/>
    <w:rsid w:val="00C75686"/>
    <w:rsid w:val="00C76C61"/>
    <w:rsid w:val="00C77CEE"/>
    <w:rsid w:val="00C802C8"/>
    <w:rsid w:val="00C811D6"/>
    <w:rsid w:val="00C83355"/>
    <w:rsid w:val="00C8375D"/>
    <w:rsid w:val="00C84424"/>
    <w:rsid w:val="00C84CE0"/>
    <w:rsid w:val="00C8733B"/>
    <w:rsid w:val="00C877A0"/>
    <w:rsid w:val="00C97ABC"/>
    <w:rsid w:val="00CA0269"/>
    <w:rsid w:val="00CA73BE"/>
    <w:rsid w:val="00CB4B35"/>
    <w:rsid w:val="00CD3B15"/>
    <w:rsid w:val="00CE5CDD"/>
    <w:rsid w:val="00CF12A1"/>
    <w:rsid w:val="00CF4A1A"/>
    <w:rsid w:val="00CF7107"/>
    <w:rsid w:val="00D017C4"/>
    <w:rsid w:val="00D02435"/>
    <w:rsid w:val="00D02915"/>
    <w:rsid w:val="00D075A8"/>
    <w:rsid w:val="00D21D7B"/>
    <w:rsid w:val="00D3104F"/>
    <w:rsid w:val="00D32725"/>
    <w:rsid w:val="00D32FBB"/>
    <w:rsid w:val="00D35DF5"/>
    <w:rsid w:val="00D4012F"/>
    <w:rsid w:val="00D450B2"/>
    <w:rsid w:val="00D511E6"/>
    <w:rsid w:val="00D5388B"/>
    <w:rsid w:val="00D62539"/>
    <w:rsid w:val="00D64006"/>
    <w:rsid w:val="00D667F3"/>
    <w:rsid w:val="00D67F04"/>
    <w:rsid w:val="00D705ED"/>
    <w:rsid w:val="00D8072D"/>
    <w:rsid w:val="00D81838"/>
    <w:rsid w:val="00D82AEE"/>
    <w:rsid w:val="00D90833"/>
    <w:rsid w:val="00DA32C0"/>
    <w:rsid w:val="00DB09F3"/>
    <w:rsid w:val="00DB0EB8"/>
    <w:rsid w:val="00DB1C8A"/>
    <w:rsid w:val="00DB3BF6"/>
    <w:rsid w:val="00DB4693"/>
    <w:rsid w:val="00DC1AFD"/>
    <w:rsid w:val="00DC4B03"/>
    <w:rsid w:val="00DC4B23"/>
    <w:rsid w:val="00DC5EA8"/>
    <w:rsid w:val="00DD0B0B"/>
    <w:rsid w:val="00DD1803"/>
    <w:rsid w:val="00DE1FD6"/>
    <w:rsid w:val="00DE3EB8"/>
    <w:rsid w:val="00DE7414"/>
    <w:rsid w:val="00DF55FB"/>
    <w:rsid w:val="00E03A6D"/>
    <w:rsid w:val="00E24FBF"/>
    <w:rsid w:val="00E258BC"/>
    <w:rsid w:val="00E31C6B"/>
    <w:rsid w:val="00E338FD"/>
    <w:rsid w:val="00E340BD"/>
    <w:rsid w:val="00E373C5"/>
    <w:rsid w:val="00E42BAE"/>
    <w:rsid w:val="00E440D1"/>
    <w:rsid w:val="00E460BB"/>
    <w:rsid w:val="00E57730"/>
    <w:rsid w:val="00E623E3"/>
    <w:rsid w:val="00E63015"/>
    <w:rsid w:val="00E63932"/>
    <w:rsid w:val="00E71AC8"/>
    <w:rsid w:val="00E816B8"/>
    <w:rsid w:val="00E83F18"/>
    <w:rsid w:val="00E9060B"/>
    <w:rsid w:val="00E93CAA"/>
    <w:rsid w:val="00E9706A"/>
    <w:rsid w:val="00EA7844"/>
    <w:rsid w:val="00EB2E7D"/>
    <w:rsid w:val="00EB61A8"/>
    <w:rsid w:val="00EB7531"/>
    <w:rsid w:val="00ED0302"/>
    <w:rsid w:val="00ED6B4F"/>
    <w:rsid w:val="00EE7DBB"/>
    <w:rsid w:val="00EF273F"/>
    <w:rsid w:val="00EF7766"/>
    <w:rsid w:val="00F012EE"/>
    <w:rsid w:val="00F02ACD"/>
    <w:rsid w:val="00F1343F"/>
    <w:rsid w:val="00F20F7E"/>
    <w:rsid w:val="00F25A8B"/>
    <w:rsid w:val="00F25F5E"/>
    <w:rsid w:val="00F265BC"/>
    <w:rsid w:val="00F357E6"/>
    <w:rsid w:val="00F371E3"/>
    <w:rsid w:val="00F40859"/>
    <w:rsid w:val="00F47D35"/>
    <w:rsid w:val="00F5140B"/>
    <w:rsid w:val="00F55D34"/>
    <w:rsid w:val="00F56C19"/>
    <w:rsid w:val="00F571C6"/>
    <w:rsid w:val="00F62B16"/>
    <w:rsid w:val="00F726CE"/>
    <w:rsid w:val="00F72BA4"/>
    <w:rsid w:val="00F73F8F"/>
    <w:rsid w:val="00F74019"/>
    <w:rsid w:val="00F75437"/>
    <w:rsid w:val="00F8289B"/>
    <w:rsid w:val="00F8399F"/>
    <w:rsid w:val="00F86175"/>
    <w:rsid w:val="00FA27AF"/>
    <w:rsid w:val="00FA6E05"/>
    <w:rsid w:val="00FC1448"/>
    <w:rsid w:val="00FC1A45"/>
    <w:rsid w:val="00FC474E"/>
    <w:rsid w:val="00FD7BAB"/>
    <w:rsid w:val="00FE2A03"/>
    <w:rsid w:val="00FE712C"/>
    <w:rsid w:val="00FF5967"/>
    <w:rsid w:val="00FF7F1D"/>
    <w:rsid w:val="02BA4D88"/>
    <w:rsid w:val="086D5ABE"/>
    <w:rsid w:val="09187F83"/>
    <w:rsid w:val="0D86245E"/>
    <w:rsid w:val="0E5A499A"/>
    <w:rsid w:val="1F856229"/>
    <w:rsid w:val="23414C40"/>
    <w:rsid w:val="24BB1FDD"/>
    <w:rsid w:val="289D4D41"/>
    <w:rsid w:val="297E6770"/>
    <w:rsid w:val="36FA559D"/>
    <w:rsid w:val="3DB52DBE"/>
    <w:rsid w:val="41A05B22"/>
    <w:rsid w:val="41B03F53"/>
    <w:rsid w:val="49117305"/>
    <w:rsid w:val="4B713F58"/>
    <w:rsid w:val="57F86260"/>
    <w:rsid w:val="59023C0E"/>
    <w:rsid w:val="5BEA4111"/>
    <w:rsid w:val="62260D36"/>
    <w:rsid w:val="62951E3F"/>
    <w:rsid w:val="63D3192F"/>
    <w:rsid w:val="6A8D1585"/>
    <w:rsid w:val="71A7504B"/>
    <w:rsid w:val="77E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qFormat/>
    <w:uiPriority w:val="0"/>
    <w:rPr>
      <w:color w:val="954F72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6">
    <w:name w:val="fnxuls44um2"/>
    <w:qFormat/>
    <w:uiPriority w:val="0"/>
  </w:style>
  <w:style w:type="character" w:customStyle="1" w:styleId="17">
    <w:name w:val="su4uxpcl717"/>
    <w:qFormat/>
    <w:uiPriority w:val="0"/>
  </w:style>
  <w:style w:type="character" w:customStyle="1" w:styleId="18">
    <w:name w:val="l6zjm5yei97"/>
    <w:qFormat/>
    <w:uiPriority w:val="0"/>
  </w:style>
  <w:style w:type="character" w:customStyle="1" w:styleId="19">
    <w:name w:val="zm6olrabive"/>
    <w:qFormat/>
    <w:uiPriority w:val="0"/>
  </w:style>
  <w:style w:type="character" w:customStyle="1" w:styleId="20">
    <w:name w:val="eldr9rc29f2"/>
    <w:qFormat/>
    <w:uiPriority w:val="0"/>
  </w:style>
  <w:style w:type="character" w:customStyle="1" w:styleId="21">
    <w:name w:val="efhma5eze1q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3</Pages>
  <Words>3001</Words>
  <Characters>3216</Characters>
  <Lines>125</Lines>
  <Paragraphs>164</Paragraphs>
  <TotalTime>150</TotalTime>
  <ScaleCrop>false</ScaleCrop>
  <LinksUpToDate>false</LinksUpToDate>
  <CharactersWithSpaces>3252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2024-10-16T03:16:00Z</dcterms:created>
  <dc:creator>*</dc:creator>
  <cp:lastModifiedBy>陈旭楠</cp:lastModifiedBy>
  <cp:lastPrinted>2015-05-20T01:50:00Z</cp:lastPrinted>
  <dcterms:modified xsi:type="dcterms:W3CDTF">2025-05-27T03:48:30Z</dcterms:modified>
  <dc:title> 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ContentTypeId">
    <vt:lpwstr>0x010100ACE7DBE525A3E443AA3B4E3ACD60823A</vt:lpwstr>
  </property>
  <property fmtid="{D5CDD505-2E9C-101B-9397-08002B2CF9AE}" pid="4" name="ICV">
    <vt:lpwstr>2211DA9A82594A39993E495767FEF469_13</vt:lpwstr>
  </property>
  <property fmtid="{D5CDD505-2E9C-101B-9397-08002B2CF9AE}" pid="5" name="KSOTemplateDocerSaveRecord">
    <vt:lpwstr>eyJoZGlkIjoiMDZiOWQ2MTJiMjEwOTZiNWM5OTQzNjZlNzRhZWNkNDYiLCJ1c2VySWQiOiIyNTU0NDAwMzEifQ==</vt:lpwstr>
  </property>
</Properties>
</file>