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A159">
      <w:pPr>
        <w:pStyle w:val="2"/>
        <w:rPr>
          <w:color w:val="auto"/>
          <w:highlight w:val="none"/>
        </w:rPr>
      </w:pPr>
      <w:r>
        <w:rPr>
          <w:rFonts w:hint="eastAsia"/>
          <w:color w:val="auto"/>
          <w:highlight w:val="none"/>
        </w:rPr>
        <w:t>技术文件</w:t>
      </w:r>
      <w:r>
        <w:rPr>
          <w:rFonts w:hint="eastAsia"/>
          <w:color w:val="auto"/>
          <w:highlight w:val="none"/>
          <w:lang w:eastAsia="zh-CN"/>
        </w:rPr>
        <w:t>标</w:t>
      </w:r>
      <w:r>
        <w:rPr>
          <w:rFonts w:hint="eastAsia"/>
          <w:color w:val="auto"/>
          <w:highlight w:val="none"/>
        </w:rPr>
        <w:t>准和要求</w:t>
      </w:r>
    </w:p>
    <w:p w14:paraId="2ABF22BC">
      <w:pPr>
        <w:spacing w:line="276" w:lineRule="auto"/>
        <w:rPr>
          <w:rFonts w:ascii="仿宋" w:hAnsi="仿宋" w:eastAsia="仿宋" w:cs="宋体"/>
          <w:color w:val="auto"/>
          <w:sz w:val="28"/>
          <w:szCs w:val="28"/>
          <w:highlight w:val="none"/>
        </w:rPr>
      </w:pPr>
    </w:p>
    <w:p w14:paraId="5CCE263E">
      <w:pPr>
        <w:numPr>
          <w:ilvl w:val="0"/>
          <w:numId w:val="1"/>
        </w:numPr>
        <w:spacing w:before="100" w:after="100" w:line="440" w:lineRule="exact"/>
        <w:outlineLvl w:val="1"/>
        <w:rPr>
          <w:rFonts w:ascii="微软雅黑" w:hAnsi="微软雅黑" w:cs="宋体"/>
          <w:b/>
          <w:sz w:val="28"/>
          <w:szCs w:val="28"/>
          <w:highlight w:val="none"/>
        </w:rPr>
      </w:pPr>
      <w:bookmarkStart w:id="0" w:name="_Toc128210810"/>
      <w:r>
        <w:rPr>
          <w:rFonts w:hint="eastAsia" w:ascii="微软雅黑" w:hAnsi="微软雅黑" w:cs="宋体"/>
          <w:b/>
          <w:sz w:val="28"/>
          <w:szCs w:val="28"/>
          <w:highlight w:val="none"/>
        </w:rPr>
        <w:t>技术及质量要求</w:t>
      </w:r>
      <w:bookmarkEnd w:id="0"/>
    </w:p>
    <w:p w14:paraId="7C68745F">
      <w:pPr>
        <w:pStyle w:val="8"/>
        <w:numPr>
          <w:ilvl w:val="0"/>
          <w:numId w:val="2"/>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所有材料、半成品、成品及设备须按照采购人给定的范围选购，材料、半成品、成品和设备的选购必须符合此表述和设计图纸要求，须保证没有缺陷的优等品。</w:t>
      </w:r>
    </w:p>
    <w:p w14:paraId="3BD1FAE6">
      <w:pPr>
        <w:pStyle w:val="8"/>
        <w:numPr>
          <w:ilvl w:val="0"/>
          <w:numId w:val="2"/>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工期：</w:t>
      </w:r>
      <w:r>
        <w:rPr>
          <w:rFonts w:hint="eastAsia" w:ascii="宋体" w:hAnsi="宋体" w:eastAsia="宋体" w:cs="宋体"/>
          <w:bCs/>
          <w:color w:val="000000"/>
          <w:sz w:val="21"/>
          <w:szCs w:val="21"/>
          <w:highlight w:val="none"/>
        </w:rPr>
        <w:t>供应商要合理的计划工期，充分考虑冬雨季及恶劣气候（如大风、沙尘、冰雹、暴雨、持续高温等）、政府政治性会议或其他事件（如高考、运动会、重大节假日、疫情）等因素对工期的影响。</w:t>
      </w:r>
    </w:p>
    <w:p w14:paraId="14B7DA16">
      <w:pPr>
        <w:pStyle w:val="8"/>
        <w:numPr>
          <w:ilvl w:val="0"/>
          <w:numId w:val="2"/>
        </w:numPr>
        <w:spacing w:line="400" w:lineRule="exact"/>
        <w:ind w:firstLine="422"/>
        <w:rPr>
          <w:rFonts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施工单位在进场后，由于现场</w:t>
      </w:r>
      <w:r>
        <w:rPr>
          <w:rFonts w:ascii="宋体" w:hAnsi="宋体" w:eastAsia="宋体" w:cs="宋体"/>
          <w:b/>
          <w:color w:val="000000"/>
          <w:sz w:val="21"/>
          <w:szCs w:val="21"/>
          <w:highlight w:val="none"/>
          <w:u w:val="single"/>
        </w:rPr>
        <w:t>施工作业、</w:t>
      </w:r>
      <w:r>
        <w:rPr>
          <w:rFonts w:hint="eastAsia" w:ascii="宋体" w:hAnsi="宋体" w:eastAsia="宋体" w:cs="宋体"/>
          <w:b/>
          <w:color w:val="000000"/>
          <w:sz w:val="21"/>
          <w:szCs w:val="21"/>
          <w:highlight w:val="none"/>
          <w:u w:val="single"/>
        </w:rPr>
        <w:t>材料进场、垃圾外运及材料或建筑垃圾的堆放对校内环境、道路造成的破坏由施工单位负责无偿恢复。</w:t>
      </w:r>
    </w:p>
    <w:p w14:paraId="00957D25">
      <w:pPr>
        <w:pStyle w:val="8"/>
        <w:numPr>
          <w:ilvl w:val="0"/>
          <w:numId w:val="2"/>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校内既有校园道路即为本工程的场内道路，具体路段现场确定，工程车辆应严格按照校园道路限制荷载行驶，道路及交通设施损坏赔偿按照原标准恢复，费用由承包人承担。</w:t>
      </w:r>
    </w:p>
    <w:p w14:paraId="1BBA61BA">
      <w:pPr>
        <w:pStyle w:val="8"/>
        <w:numPr>
          <w:ilvl w:val="0"/>
          <w:numId w:val="2"/>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采购人组织现场踏勘，供应商需充分了解现场情况。未经采购人认可，任何原因的工期延误都不被允许。</w:t>
      </w:r>
    </w:p>
    <w:p w14:paraId="0B5AD440">
      <w:pPr>
        <w:pStyle w:val="8"/>
        <w:numPr>
          <w:ilvl w:val="0"/>
          <w:numId w:val="2"/>
        </w:numPr>
        <w:spacing w:line="400" w:lineRule="exact"/>
        <w:rPr>
          <w:rFonts w:ascii="宋体" w:hAnsi="宋体" w:eastAsia="宋体" w:cs="宋体"/>
          <w:color w:val="0009C0"/>
          <w:sz w:val="21"/>
          <w:szCs w:val="21"/>
          <w:highlight w:val="none"/>
        </w:rPr>
      </w:pPr>
      <w:r>
        <w:rPr>
          <w:rFonts w:hint="eastAsia" w:ascii="宋体" w:hAnsi="宋体" w:eastAsia="宋体" w:cs="宋体"/>
          <w:color w:val="0009C0"/>
          <w:sz w:val="21"/>
          <w:szCs w:val="21"/>
          <w:highlight w:val="none"/>
        </w:rPr>
        <w:t>供应商需在施工组织设计中制定详尽的分部分项工程进度计划，编制施工进度横道图。施工过程中，供应商原因造成的分部分项工程工期拖延，每拖延一天扣除分部分项工程费用</w:t>
      </w:r>
      <w:r>
        <w:rPr>
          <w:rFonts w:ascii="宋体" w:hAnsi="宋体" w:eastAsia="宋体" w:cs="宋体"/>
          <w:color w:val="0009C0"/>
          <w:sz w:val="21"/>
          <w:szCs w:val="21"/>
          <w:highlight w:val="none"/>
        </w:rPr>
        <w:t>1%，最多扣除30%。分部分项工程需经监理及供应商验收确认。因投采购人造成的分部分项工程工期延误，分部分项工期顺延。</w:t>
      </w:r>
    </w:p>
    <w:p w14:paraId="1CD1BCEF">
      <w:pPr>
        <w:pStyle w:val="8"/>
        <w:numPr>
          <w:ilvl w:val="0"/>
          <w:numId w:val="2"/>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施工过程中签证变更，中标人需在</w:t>
      </w:r>
      <w:r>
        <w:rPr>
          <w:rFonts w:ascii="宋体" w:hAnsi="宋体" w:eastAsia="宋体" w:cs="宋体"/>
          <w:color w:val="000000"/>
          <w:sz w:val="21"/>
          <w:szCs w:val="21"/>
          <w:highlight w:val="none"/>
        </w:rPr>
        <w:t>2日内提供造价清单，如延误每天罚款2000元；</w:t>
      </w:r>
    </w:p>
    <w:p w14:paraId="7C8225E8">
      <w:pPr>
        <w:pStyle w:val="8"/>
        <w:numPr>
          <w:ilvl w:val="0"/>
          <w:numId w:val="2"/>
        </w:numPr>
        <w:spacing w:line="400" w:lineRule="exact"/>
        <w:ind w:firstLine="422"/>
        <w:rPr>
          <w:rFonts w:ascii="宋体" w:hAnsi="宋体" w:eastAsia="宋体" w:cs="宋体"/>
          <w:b/>
          <w:bCs/>
          <w:color w:val="C00000"/>
          <w:sz w:val="21"/>
          <w:szCs w:val="21"/>
          <w:highlight w:val="none"/>
        </w:rPr>
      </w:pPr>
      <w:r>
        <w:rPr>
          <w:rFonts w:hint="eastAsia" w:ascii="宋体" w:hAnsi="宋体" w:eastAsia="宋体" w:cs="宋体"/>
          <w:b/>
          <w:bCs/>
          <w:color w:val="C00000"/>
          <w:sz w:val="21"/>
          <w:szCs w:val="21"/>
          <w:highlight w:val="none"/>
        </w:rPr>
        <w:t>供应商需对整体工程造价进行把控，如清单外项目导致总造价超出合同金额，清单外超出部分工程量，无论是否得到采购人确认，都不被认可，其费用都将视为中标人的无偿让利。</w:t>
      </w:r>
    </w:p>
    <w:p w14:paraId="1AE9A82E">
      <w:pPr>
        <w:numPr>
          <w:ilvl w:val="0"/>
          <w:numId w:val="2"/>
        </w:numPr>
        <w:spacing w:line="400" w:lineRule="exact"/>
        <w:ind w:firstLine="420" w:firstLineChars="200"/>
        <w:rPr>
          <w:rFonts w:ascii="宋体" w:hAnsi="宋体" w:eastAsia="宋体" w:cs="宋体"/>
          <w:color w:val="000000"/>
          <w:sz w:val="21"/>
          <w:szCs w:val="21"/>
          <w:highlight w:val="none"/>
        </w:rPr>
      </w:pPr>
      <w:r>
        <w:rPr>
          <w:rFonts w:hint="eastAsia" w:ascii="宋体" w:hAnsi="宋体" w:eastAsia="宋体" w:cs="宋体"/>
          <w:sz w:val="21"/>
          <w:szCs w:val="21"/>
          <w:highlight w:val="none"/>
        </w:rPr>
        <w:t>中标人需保证竣工时室内环境空气指标符合国家相应标准。中标人需按采购人要求进行环境监测，提供真实有效的环境检测报告，检测费用由中标人承担。</w:t>
      </w:r>
    </w:p>
    <w:p w14:paraId="10B02AE7">
      <w:pPr>
        <w:numPr>
          <w:ilvl w:val="0"/>
          <w:numId w:val="1"/>
        </w:numPr>
        <w:spacing w:before="160" w:after="100" w:line="440" w:lineRule="exact"/>
        <w:outlineLvl w:val="1"/>
        <w:rPr>
          <w:rFonts w:ascii="微软雅黑" w:hAnsi="微软雅黑" w:cs="宋体"/>
          <w:b/>
          <w:sz w:val="28"/>
          <w:szCs w:val="28"/>
          <w:highlight w:val="none"/>
        </w:rPr>
      </w:pPr>
      <w:bookmarkStart w:id="1" w:name="_Toc128210811"/>
      <w:r>
        <w:rPr>
          <w:rFonts w:hint="eastAsia" w:ascii="微软雅黑" w:hAnsi="微软雅黑" w:cs="宋体"/>
          <w:b/>
          <w:sz w:val="28"/>
          <w:szCs w:val="28"/>
          <w:highlight w:val="none"/>
        </w:rPr>
        <w:t>材料及设备要求</w:t>
      </w:r>
      <w:bookmarkEnd w:id="1"/>
    </w:p>
    <w:p w14:paraId="6D5926AB">
      <w:pPr>
        <w:pStyle w:val="9"/>
        <w:numPr>
          <w:ilvl w:val="0"/>
          <w:numId w:val="3"/>
        </w:numPr>
        <w:spacing w:line="400" w:lineRule="exact"/>
        <w:ind w:left="0" w:firstLine="420"/>
        <w:rPr>
          <w:rFonts w:ascii="宋体" w:hAnsi="宋体" w:eastAsia="宋体" w:cs="宋体"/>
          <w:color w:val="000000"/>
          <w:szCs w:val="21"/>
          <w:highlight w:val="none"/>
        </w:rPr>
      </w:pPr>
      <w:r>
        <w:rPr>
          <w:rFonts w:hint="eastAsia"/>
          <w:highlight w:val="none"/>
        </w:rPr>
        <w:t>常规</w:t>
      </w:r>
      <w:r>
        <w:rPr>
          <w:highlight w:val="none"/>
        </w:rPr>
        <w:t>要求</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7580"/>
      </w:tblGrid>
      <w:tr w14:paraId="1142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center"/>
          </w:tcPr>
          <w:p w14:paraId="37464B8F">
            <w:pPr>
              <w:pStyle w:val="9"/>
              <w:jc w:val="center"/>
              <w:rPr>
                <w:b/>
                <w:highlight w:val="none"/>
              </w:rPr>
            </w:pPr>
            <w:r>
              <w:rPr>
                <w:rFonts w:hint="eastAsia"/>
                <w:b/>
                <w:highlight w:val="none"/>
              </w:rPr>
              <w:t>序号</w:t>
            </w:r>
          </w:p>
        </w:tc>
        <w:tc>
          <w:tcPr>
            <w:tcW w:w="7580" w:type="dxa"/>
            <w:noWrap w:val="0"/>
            <w:vAlign w:val="center"/>
          </w:tcPr>
          <w:p w14:paraId="4C50DD95">
            <w:pPr>
              <w:pStyle w:val="9"/>
              <w:jc w:val="center"/>
              <w:rPr>
                <w:rFonts w:ascii="宋体" w:hAnsi="宋体" w:eastAsia="宋体" w:cs="宋体"/>
                <w:b/>
                <w:szCs w:val="21"/>
                <w:highlight w:val="none"/>
              </w:rPr>
            </w:pPr>
            <w:r>
              <w:rPr>
                <w:rFonts w:hint="eastAsia" w:ascii="宋体" w:hAnsi="宋体" w:eastAsia="宋体" w:cs="宋体"/>
                <w:b/>
                <w:szCs w:val="21"/>
                <w:highlight w:val="none"/>
              </w:rPr>
              <w:t>材料</w:t>
            </w:r>
            <w:r>
              <w:rPr>
                <w:rFonts w:ascii="宋体" w:hAnsi="宋体" w:eastAsia="宋体" w:cs="宋体"/>
                <w:b/>
                <w:szCs w:val="21"/>
                <w:highlight w:val="none"/>
              </w:rPr>
              <w:t>和设备要求</w:t>
            </w:r>
          </w:p>
        </w:tc>
      </w:tr>
      <w:tr w14:paraId="10B8C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B0AB786">
            <w:pPr>
              <w:pStyle w:val="9"/>
              <w:numPr>
                <w:ilvl w:val="0"/>
                <w:numId w:val="4"/>
              </w:numPr>
              <w:rPr>
                <w:highlight w:val="none"/>
              </w:rPr>
            </w:pPr>
          </w:p>
        </w:tc>
        <w:tc>
          <w:tcPr>
            <w:tcW w:w="7580" w:type="dxa"/>
            <w:noWrap w:val="0"/>
            <w:vAlign w:val="top"/>
          </w:tcPr>
          <w:p w14:paraId="411F0318">
            <w:pPr>
              <w:pStyle w:val="9"/>
              <w:rPr>
                <w:highlight w:val="none"/>
              </w:rPr>
            </w:pPr>
            <w:r>
              <w:rPr>
                <w:rFonts w:hint="eastAsia" w:ascii="宋体" w:hAnsi="宋体" w:eastAsia="宋体" w:cs="宋体"/>
                <w:szCs w:val="21"/>
                <w:highlight w:val="none"/>
              </w:rPr>
              <w:t>内墙涂料</w:t>
            </w:r>
            <w:r>
              <w:rPr>
                <w:rFonts w:ascii="宋体" w:hAnsi="宋体" w:cs="宋体"/>
                <w:szCs w:val="21"/>
                <w:highlight w:val="none"/>
              </w:rPr>
              <w:t>性能指标参照或相当于</w:t>
            </w:r>
            <w:r>
              <w:rPr>
                <w:rFonts w:hint="eastAsia" w:ascii="宋体" w:hAnsi="宋体" w:eastAsia="宋体" w:cs="宋体"/>
                <w:szCs w:val="21"/>
                <w:highlight w:val="none"/>
              </w:rPr>
              <w:t>电视塔、立邦、多乐士等品牌质量标准；</w:t>
            </w:r>
          </w:p>
        </w:tc>
      </w:tr>
      <w:tr w14:paraId="02C93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8DC849E">
            <w:pPr>
              <w:pStyle w:val="9"/>
              <w:numPr>
                <w:ilvl w:val="0"/>
                <w:numId w:val="4"/>
              </w:numPr>
              <w:rPr>
                <w:highlight w:val="none"/>
              </w:rPr>
            </w:pPr>
          </w:p>
        </w:tc>
        <w:tc>
          <w:tcPr>
            <w:tcW w:w="7580" w:type="dxa"/>
            <w:noWrap w:val="0"/>
            <w:vAlign w:val="top"/>
          </w:tcPr>
          <w:p w14:paraId="6B2579BD">
            <w:pPr>
              <w:pStyle w:val="9"/>
              <w:rPr>
                <w:highlight w:val="none"/>
              </w:rPr>
            </w:pPr>
            <w:r>
              <w:rPr>
                <w:rFonts w:hint="eastAsia" w:ascii="宋体" w:hAnsi="宋体" w:eastAsia="宋体" w:cs="宋体"/>
                <w:szCs w:val="21"/>
                <w:highlight w:val="none"/>
              </w:rPr>
              <w:t>外墙真石漆</w:t>
            </w:r>
            <w:r>
              <w:rPr>
                <w:rFonts w:ascii="宋体" w:hAnsi="宋体" w:cs="宋体"/>
                <w:szCs w:val="21"/>
                <w:highlight w:val="none"/>
              </w:rPr>
              <w:t>性能指标参照或相当于</w:t>
            </w:r>
            <w:r>
              <w:rPr>
                <w:rFonts w:hint="eastAsia" w:ascii="宋体" w:hAnsi="宋体" w:eastAsia="宋体" w:cs="宋体"/>
                <w:szCs w:val="21"/>
                <w:highlight w:val="none"/>
              </w:rPr>
              <w:t>飞马、华润、墙特等品牌质量标准</w:t>
            </w:r>
          </w:p>
        </w:tc>
      </w:tr>
      <w:tr w14:paraId="6816C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86D518F">
            <w:pPr>
              <w:pStyle w:val="9"/>
              <w:numPr>
                <w:ilvl w:val="0"/>
                <w:numId w:val="4"/>
              </w:numPr>
              <w:rPr>
                <w:highlight w:val="none"/>
              </w:rPr>
            </w:pPr>
          </w:p>
        </w:tc>
        <w:tc>
          <w:tcPr>
            <w:tcW w:w="7580" w:type="dxa"/>
            <w:noWrap w:val="0"/>
            <w:vAlign w:val="top"/>
          </w:tcPr>
          <w:p w14:paraId="32CC16A0">
            <w:pPr>
              <w:pStyle w:val="9"/>
              <w:rPr>
                <w:highlight w:val="none"/>
              </w:rPr>
            </w:pPr>
            <w:r>
              <w:rPr>
                <w:rFonts w:hint="eastAsia" w:ascii="宋体" w:hAnsi="宋体" w:eastAsia="宋体" w:cs="宋体"/>
                <w:szCs w:val="21"/>
                <w:highlight w:val="none"/>
              </w:rPr>
              <w:t>外墙涂料</w:t>
            </w:r>
            <w:r>
              <w:rPr>
                <w:rFonts w:ascii="宋体" w:hAnsi="宋体" w:cs="宋体"/>
                <w:szCs w:val="21"/>
                <w:highlight w:val="none"/>
              </w:rPr>
              <w:t>性能指标参照或相当于</w:t>
            </w:r>
            <w:r>
              <w:rPr>
                <w:rFonts w:hint="eastAsia" w:ascii="宋体" w:hAnsi="宋体" w:eastAsia="宋体" w:cs="宋体"/>
                <w:szCs w:val="21"/>
                <w:highlight w:val="none"/>
              </w:rPr>
              <w:t>固莱、德高、科顺等品牌质量标准</w:t>
            </w:r>
          </w:p>
        </w:tc>
      </w:tr>
      <w:tr w14:paraId="0CBF0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FD67A8A">
            <w:pPr>
              <w:pStyle w:val="9"/>
              <w:numPr>
                <w:ilvl w:val="0"/>
                <w:numId w:val="4"/>
              </w:numPr>
              <w:rPr>
                <w:highlight w:val="none"/>
              </w:rPr>
            </w:pPr>
          </w:p>
        </w:tc>
        <w:tc>
          <w:tcPr>
            <w:tcW w:w="7580" w:type="dxa"/>
            <w:noWrap w:val="0"/>
            <w:vAlign w:val="top"/>
          </w:tcPr>
          <w:p w14:paraId="6A4644B8">
            <w:pPr>
              <w:pStyle w:val="9"/>
              <w:rPr>
                <w:highlight w:val="none"/>
              </w:rPr>
            </w:pPr>
            <w:r>
              <w:rPr>
                <w:rFonts w:hint="eastAsia" w:ascii="宋体" w:hAnsi="宋体" w:eastAsia="宋体" w:cs="宋体"/>
                <w:szCs w:val="21"/>
                <w:highlight w:val="none"/>
              </w:rPr>
              <w:t>龙骨</w:t>
            </w:r>
            <w:r>
              <w:rPr>
                <w:rFonts w:ascii="宋体" w:hAnsi="宋体" w:cs="宋体"/>
                <w:szCs w:val="21"/>
                <w:highlight w:val="none"/>
              </w:rPr>
              <w:t>性能指标参照或相当于</w:t>
            </w:r>
            <w:r>
              <w:rPr>
                <w:rFonts w:hint="eastAsia" w:ascii="宋体" w:hAnsi="宋体" w:eastAsia="宋体" w:cs="宋体"/>
                <w:szCs w:val="21"/>
                <w:highlight w:val="none"/>
              </w:rPr>
              <w:t>哈尔滨泰山龙骨、龙牌、杰森等品牌质量标准</w:t>
            </w:r>
          </w:p>
        </w:tc>
      </w:tr>
      <w:tr w14:paraId="11498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3A6C511">
            <w:pPr>
              <w:pStyle w:val="9"/>
              <w:numPr>
                <w:ilvl w:val="0"/>
                <w:numId w:val="4"/>
              </w:numPr>
              <w:rPr>
                <w:highlight w:val="none"/>
              </w:rPr>
            </w:pPr>
          </w:p>
        </w:tc>
        <w:tc>
          <w:tcPr>
            <w:tcW w:w="7580" w:type="dxa"/>
            <w:noWrap w:val="0"/>
            <w:vAlign w:val="top"/>
          </w:tcPr>
          <w:p w14:paraId="2EC67611">
            <w:pPr>
              <w:pStyle w:val="9"/>
              <w:rPr>
                <w:highlight w:val="none"/>
              </w:rPr>
            </w:pPr>
            <w:r>
              <w:rPr>
                <w:rFonts w:hint="eastAsia" w:ascii="宋体" w:hAnsi="宋体" w:eastAsia="宋体" w:cs="宋体"/>
                <w:szCs w:val="21"/>
                <w:highlight w:val="none"/>
              </w:rPr>
              <w:t>石膏板</w:t>
            </w:r>
            <w:r>
              <w:rPr>
                <w:rFonts w:ascii="宋体" w:hAnsi="宋体" w:cs="宋体"/>
                <w:szCs w:val="21"/>
                <w:highlight w:val="none"/>
              </w:rPr>
              <w:t>性能指标参照或相当于</w:t>
            </w:r>
            <w:r>
              <w:rPr>
                <w:rFonts w:hint="eastAsia" w:ascii="宋体" w:hAnsi="宋体" w:eastAsia="宋体" w:cs="宋体"/>
                <w:szCs w:val="21"/>
                <w:highlight w:val="none"/>
              </w:rPr>
              <w:t>泰山、杰森、龙牌等品牌质量标准</w:t>
            </w:r>
          </w:p>
        </w:tc>
      </w:tr>
      <w:tr w14:paraId="6BB1B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134BFBA">
            <w:pPr>
              <w:pStyle w:val="9"/>
              <w:numPr>
                <w:ilvl w:val="0"/>
                <w:numId w:val="4"/>
              </w:numPr>
              <w:rPr>
                <w:highlight w:val="none"/>
              </w:rPr>
            </w:pPr>
          </w:p>
        </w:tc>
        <w:tc>
          <w:tcPr>
            <w:tcW w:w="7580" w:type="dxa"/>
            <w:noWrap w:val="0"/>
            <w:vAlign w:val="top"/>
          </w:tcPr>
          <w:p w14:paraId="4B920175">
            <w:pPr>
              <w:pStyle w:val="9"/>
              <w:rPr>
                <w:highlight w:val="none"/>
              </w:rPr>
            </w:pPr>
            <w:r>
              <w:rPr>
                <w:rFonts w:hint="eastAsia" w:ascii="宋体" w:hAnsi="宋体" w:eastAsia="宋体" w:cs="宋体"/>
                <w:szCs w:val="21"/>
                <w:highlight w:val="none"/>
              </w:rPr>
              <w:t>铝塑板</w:t>
            </w:r>
            <w:r>
              <w:rPr>
                <w:rFonts w:ascii="宋体" w:hAnsi="宋体" w:cs="宋体"/>
                <w:szCs w:val="21"/>
                <w:highlight w:val="none"/>
              </w:rPr>
              <w:t>性能指标参照或相当于</w:t>
            </w:r>
            <w:r>
              <w:rPr>
                <w:rFonts w:hint="eastAsia" w:ascii="宋体" w:hAnsi="宋体" w:eastAsia="宋体" w:cs="宋体"/>
                <w:szCs w:val="21"/>
                <w:highlight w:val="none"/>
              </w:rPr>
              <w:t>奥利威、吉祥、亚盛等品牌质量标准</w:t>
            </w:r>
          </w:p>
        </w:tc>
      </w:tr>
      <w:tr w14:paraId="0BCAB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335DA1B2">
            <w:pPr>
              <w:pStyle w:val="9"/>
              <w:numPr>
                <w:ilvl w:val="0"/>
                <w:numId w:val="4"/>
              </w:numPr>
              <w:rPr>
                <w:highlight w:val="none"/>
              </w:rPr>
            </w:pPr>
          </w:p>
        </w:tc>
        <w:tc>
          <w:tcPr>
            <w:tcW w:w="7580" w:type="dxa"/>
            <w:noWrap w:val="0"/>
            <w:vAlign w:val="top"/>
          </w:tcPr>
          <w:p w14:paraId="7221B059">
            <w:pPr>
              <w:pStyle w:val="9"/>
              <w:rPr>
                <w:highlight w:val="none"/>
              </w:rPr>
            </w:pPr>
            <w:r>
              <w:rPr>
                <w:rFonts w:hint="eastAsia" w:ascii="宋体" w:hAnsi="宋体" w:eastAsia="宋体" w:cs="宋体"/>
                <w:szCs w:val="21"/>
                <w:highlight w:val="none"/>
              </w:rPr>
              <w:t>瓷砖</w:t>
            </w:r>
            <w:r>
              <w:rPr>
                <w:rFonts w:ascii="宋体" w:hAnsi="宋体" w:cs="宋体"/>
                <w:szCs w:val="21"/>
                <w:highlight w:val="none"/>
              </w:rPr>
              <w:t>性能指标参照或相当于</w:t>
            </w:r>
            <w:r>
              <w:rPr>
                <w:rFonts w:hint="eastAsia" w:ascii="宋体" w:hAnsi="宋体" w:eastAsia="宋体" w:cs="宋体"/>
                <w:szCs w:val="21"/>
                <w:highlight w:val="none"/>
              </w:rPr>
              <w:t>宏陶、博德、美陶等品牌质量标准</w:t>
            </w:r>
          </w:p>
        </w:tc>
      </w:tr>
      <w:tr w14:paraId="39F18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FECF264">
            <w:pPr>
              <w:pStyle w:val="9"/>
              <w:numPr>
                <w:ilvl w:val="0"/>
                <w:numId w:val="4"/>
              </w:numPr>
              <w:rPr>
                <w:highlight w:val="none"/>
              </w:rPr>
            </w:pPr>
          </w:p>
        </w:tc>
        <w:tc>
          <w:tcPr>
            <w:tcW w:w="7580" w:type="dxa"/>
            <w:noWrap w:val="0"/>
            <w:vAlign w:val="top"/>
          </w:tcPr>
          <w:p w14:paraId="1A3753D1">
            <w:pPr>
              <w:pStyle w:val="9"/>
              <w:rPr>
                <w:highlight w:val="none"/>
              </w:rPr>
            </w:pPr>
            <w:r>
              <w:rPr>
                <w:rFonts w:hint="eastAsia" w:ascii="宋体" w:hAnsi="宋体" w:eastAsia="宋体" w:cs="宋体"/>
                <w:szCs w:val="21"/>
                <w:highlight w:val="none"/>
              </w:rPr>
              <w:t>理石施工时封样</w:t>
            </w:r>
          </w:p>
        </w:tc>
      </w:tr>
      <w:tr w14:paraId="2753A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E572B2E">
            <w:pPr>
              <w:pStyle w:val="9"/>
              <w:numPr>
                <w:ilvl w:val="0"/>
                <w:numId w:val="4"/>
              </w:numPr>
              <w:rPr>
                <w:highlight w:val="none"/>
              </w:rPr>
            </w:pPr>
          </w:p>
        </w:tc>
        <w:tc>
          <w:tcPr>
            <w:tcW w:w="7580" w:type="dxa"/>
            <w:noWrap w:val="0"/>
            <w:vAlign w:val="top"/>
          </w:tcPr>
          <w:p w14:paraId="530DDFCD">
            <w:pPr>
              <w:pStyle w:val="9"/>
              <w:rPr>
                <w:highlight w:val="none"/>
              </w:rPr>
            </w:pPr>
            <w:r>
              <w:rPr>
                <w:rFonts w:hint="eastAsia" w:ascii="宋体" w:hAnsi="宋体" w:eastAsia="宋体" w:cs="宋体"/>
                <w:szCs w:val="21"/>
                <w:highlight w:val="none"/>
              </w:rPr>
              <w:t>细木工板</w:t>
            </w:r>
            <w:r>
              <w:rPr>
                <w:rFonts w:ascii="宋体" w:hAnsi="宋体" w:cs="宋体"/>
                <w:szCs w:val="21"/>
                <w:highlight w:val="none"/>
              </w:rPr>
              <w:t>性能指标参照或相当于</w:t>
            </w:r>
            <w:r>
              <w:rPr>
                <w:rFonts w:hint="eastAsia" w:ascii="宋体" w:hAnsi="宋体" w:eastAsia="宋体" w:cs="宋体"/>
                <w:szCs w:val="21"/>
                <w:highlight w:val="none"/>
              </w:rPr>
              <w:t>凯达、鹏鸿、泰山等品牌质量标准</w:t>
            </w:r>
          </w:p>
        </w:tc>
      </w:tr>
      <w:tr w14:paraId="26FCF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703" w:type="dxa"/>
            <w:noWrap w:val="0"/>
            <w:vAlign w:val="top"/>
          </w:tcPr>
          <w:p w14:paraId="520231BE">
            <w:pPr>
              <w:pStyle w:val="9"/>
              <w:numPr>
                <w:ilvl w:val="0"/>
                <w:numId w:val="4"/>
              </w:numPr>
              <w:rPr>
                <w:highlight w:val="none"/>
              </w:rPr>
            </w:pPr>
          </w:p>
        </w:tc>
        <w:tc>
          <w:tcPr>
            <w:tcW w:w="7580" w:type="dxa"/>
            <w:noWrap w:val="0"/>
            <w:vAlign w:val="top"/>
          </w:tcPr>
          <w:p w14:paraId="557C6015">
            <w:pPr>
              <w:pStyle w:val="9"/>
              <w:rPr>
                <w:highlight w:val="none"/>
              </w:rPr>
            </w:pPr>
            <w:r>
              <w:rPr>
                <w:rFonts w:hint="eastAsia" w:ascii="宋体" w:hAnsi="宋体" w:eastAsia="宋体" w:cs="宋体"/>
                <w:szCs w:val="21"/>
                <w:highlight w:val="none"/>
              </w:rPr>
              <w:t>阻燃板</w:t>
            </w:r>
            <w:r>
              <w:rPr>
                <w:rFonts w:ascii="宋体" w:hAnsi="宋体" w:cs="宋体"/>
                <w:szCs w:val="21"/>
                <w:highlight w:val="none"/>
              </w:rPr>
              <w:t>性能指标参照或相当于</w:t>
            </w:r>
            <w:r>
              <w:rPr>
                <w:rFonts w:hint="eastAsia" w:ascii="宋体" w:hAnsi="宋体" w:eastAsia="宋体" w:cs="宋体"/>
                <w:szCs w:val="21"/>
                <w:highlight w:val="none"/>
              </w:rPr>
              <w:t>保和祥、芭蕉扇、林海等品牌质量标准</w:t>
            </w:r>
          </w:p>
        </w:tc>
      </w:tr>
      <w:tr w14:paraId="265D9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26B6B1A7">
            <w:pPr>
              <w:pStyle w:val="9"/>
              <w:numPr>
                <w:ilvl w:val="0"/>
                <w:numId w:val="4"/>
              </w:numPr>
              <w:rPr>
                <w:highlight w:val="none"/>
              </w:rPr>
            </w:pPr>
          </w:p>
        </w:tc>
        <w:tc>
          <w:tcPr>
            <w:tcW w:w="7580" w:type="dxa"/>
            <w:noWrap w:val="0"/>
            <w:vAlign w:val="top"/>
          </w:tcPr>
          <w:p w14:paraId="67AFDD20">
            <w:pPr>
              <w:pStyle w:val="9"/>
              <w:rPr>
                <w:highlight w:val="none"/>
              </w:rPr>
            </w:pPr>
            <w:r>
              <w:rPr>
                <w:rFonts w:hint="eastAsia" w:ascii="宋体" w:hAnsi="宋体" w:eastAsia="宋体" w:cs="宋体"/>
                <w:szCs w:val="21"/>
                <w:highlight w:val="none"/>
              </w:rPr>
              <w:t>地板性能指标参照或相当于圣象、大自然、生活家等品牌质量标准</w:t>
            </w:r>
          </w:p>
        </w:tc>
      </w:tr>
      <w:tr w14:paraId="7A3B4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06E41438">
            <w:pPr>
              <w:pStyle w:val="9"/>
              <w:numPr>
                <w:ilvl w:val="0"/>
                <w:numId w:val="4"/>
              </w:numPr>
              <w:rPr>
                <w:highlight w:val="none"/>
              </w:rPr>
            </w:pPr>
          </w:p>
        </w:tc>
        <w:tc>
          <w:tcPr>
            <w:tcW w:w="7580" w:type="dxa"/>
            <w:noWrap w:val="0"/>
            <w:vAlign w:val="top"/>
          </w:tcPr>
          <w:p w14:paraId="68FBDB39">
            <w:pPr>
              <w:pStyle w:val="9"/>
              <w:rPr>
                <w:highlight w:val="none"/>
              </w:rPr>
            </w:pPr>
            <w:r>
              <w:rPr>
                <w:rFonts w:hint="eastAsia" w:ascii="宋体" w:hAnsi="宋体" w:eastAsia="宋体" w:cs="宋体"/>
                <w:szCs w:val="21"/>
                <w:highlight w:val="none"/>
              </w:rPr>
              <w:t>矿棉板</w:t>
            </w:r>
            <w:r>
              <w:rPr>
                <w:rFonts w:ascii="宋体" w:hAnsi="宋体" w:cs="宋体"/>
                <w:szCs w:val="21"/>
                <w:highlight w:val="none"/>
              </w:rPr>
              <w:t>性能指标参照或相当于</w:t>
            </w:r>
            <w:r>
              <w:rPr>
                <w:rFonts w:hint="eastAsia" w:ascii="宋体" w:hAnsi="宋体" w:eastAsia="宋体" w:cs="宋体"/>
                <w:szCs w:val="21"/>
                <w:highlight w:val="none"/>
              </w:rPr>
              <w:t>京牌、泰山阿姆斯状、星牌等品牌质量标准</w:t>
            </w:r>
          </w:p>
        </w:tc>
      </w:tr>
      <w:tr w14:paraId="40335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1F647D1E">
            <w:pPr>
              <w:pStyle w:val="9"/>
              <w:numPr>
                <w:ilvl w:val="0"/>
                <w:numId w:val="4"/>
              </w:numPr>
              <w:rPr>
                <w:highlight w:val="none"/>
              </w:rPr>
            </w:pPr>
          </w:p>
        </w:tc>
        <w:tc>
          <w:tcPr>
            <w:tcW w:w="7580" w:type="dxa"/>
            <w:noWrap w:val="0"/>
            <w:vAlign w:val="top"/>
          </w:tcPr>
          <w:p w14:paraId="02A35585">
            <w:pPr>
              <w:pStyle w:val="9"/>
              <w:rPr>
                <w:highlight w:val="none"/>
              </w:rPr>
            </w:pPr>
            <w:r>
              <w:rPr>
                <w:rFonts w:hint="eastAsia" w:ascii="宋体" w:hAnsi="宋体" w:eastAsia="宋体" w:cs="宋体"/>
                <w:szCs w:val="21"/>
                <w:highlight w:val="none"/>
              </w:rPr>
              <w:t>柱面铝单板施工时封样</w:t>
            </w:r>
          </w:p>
        </w:tc>
      </w:tr>
      <w:tr w14:paraId="2910F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1DC82A53">
            <w:pPr>
              <w:pStyle w:val="9"/>
              <w:numPr>
                <w:ilvl w:val="0"/>
                <w:numId w:val="4"/>
              </w:numPr>
              <w:rPr>
                <w:highlight w:val="none"/>
              </w:rPr>
            </w:pPr>
          </w:p>
        </w:tc>
        <w:tc>
          <w:tcPr>
            <w:tcW w:w="7580" w:type="dxa"/>
            <w:noWrap w:val="0"/>
            <w:vAlign w:val="top"/>
          </w:tcPr>
          <w:p w14:paraId="6D49F509">
            <w:pPr>
              <w:pStyle w:val="9"/>
              <w:rPr>
                <w:highlight w:val="none"/>
              </w:rPr>
            </w:pPr>
            <w:r>
              <w:rPr>
                <w:rFonts w:hint="eastAsia" w:ascii="宋体" w:hAnsi="宋体" w:eastAsia="宋体" w:cs="宋体"/>
                <w:szCs w:val="21"/>
                <w:highlight w:val="none"/>
              </w:rPr>
              <w:t>卷材防水</w:t>
            </w:r>
            <w:r>
              <w:rPr>
                <w:rFonts w:ascii="宋体" w:hAnsi="宋体" w:cs="宋体"/>
                <w:szCs w:val="21"/>
                <w:highlight w:val="none"/>
              </w:rPr>
              <w:t>性能指标参照或相当于</w:t>
            </w:r>
            <w:r>
              <w:rPr>
                <w:rFonts w:hint="eastAsia" w:ascii="宋体" w:hAnsi="宋体" w:eastAsia="宋体" w:cs="宋体"/>
                <w:szCs w:val="21"/>
                <w:highlight w:val="none"/>
              </w:rPr>
              <w:t>东方雨虹、大禹、东方宝红等品牌质量标准；</w:t>
            </w:r>
          </w:p>
        </w:tc>
      </w:tr>
      <w:tr w14:paraId="71C07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14A3631">
            <w:pPr>
              <w:pStyle w:val="9"/>
              <w:numPr>
                <w:ilvl w:val="0"/>
                <w:numId w:val="4"/>
              </w:numPr>
              <w:rPr>
                <w:highlight w:val="none"/>
              </w:rPr>
            </w:pPr>
          </w:p>
        </w:tc>
        <w:tc>
          <w:tcPr>
            <w:tcW w:w="7580" w:type="dxa"/>
            <w:noWrap w:val="0"/>
            <w:vAlign w:val="top"/>
          </w:tcPr>
          <w:p w14:paraId="35A86290">
            <w:pPr>
              <w:pStyle w:val="9"/>
              <w:rPr>
                <w:highlight w:val="none"/>
              </w:rPr>
            </w:pPr>
            <w:r>
              <w:rPr>
                <w:rFonts w:hint="eastAsia" w:ascii="宋体" w:hAnsi="宋体" w:eastAsia="宋体" w:cs="宋体"/>
                <w:szCs w:val="21"/>
                <w:highlight w:val="none"/>
              </w:rPr>
              <w:t>塑钢窗</w:t>
            </w:r>
            <w:r>
              <w:rPr>
                <w:rFonts w:ascii="宋体" w:hAnsi="宋体" w:cs="宋体"/>
                <w:szCs w:val="21"/>
                <w:highlight w:val="none"/>
              </w:rPr>
              <w:t>性能指标参照或相当于</w:t>
            </w:r>
            <w:r>
              <w:rPr>
                <w:rFonts w:hint="eastAsia" w:ascii="宋体" w:hAnsi="宋体" w:eastAsia="宋体" w:cs="宋体"/>
                <w:szCs w:val="21"/>
                <w:highlight w:val="none"/>
              </w:rPr>
              <w:t>中大、实德、海螺等品牌质量标准；铝塑铝窗</w:t>
            </w:r>
            <w:r>
              <w:rPr>
                <w:rFonts w:ascii="宋体" w:hAnsi="宋体" w:cs="宋体"/>
                <w:szCs w:val="21"/>
                <w:highlight w:val="none"/>
              </w:rPr>
              <w:t>性能指标参照或相当于</w:t>
            </w:r>
            <w:r>
              <w:rPr>
                <w:rFonts w:hint="eastAsia" w:ascii="宋体" w:hAnsi="宋体" w:eastAsia="宋体" w:cs="宋体"/>
                <w:szCs w:val="21"/>
                <w:highlight w:val="none"/>
              </w:rPr>
              <w:t>华加、达兴、海螺等品牌质量标准；;</w:t>
            </w:r>
          </w:p>
        </w:tc>
      </w:tr>
      <w:tr w14:paraId="1792A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0010F50D">
            <w:pPr>
              <w:pStyle w:val="9"/>
              <w:numPr>
                <w:ilvl w:val="0"/>
                <w:numId w:val="4"/>
              </w:numPr>
              <w:rPr>
                <w:highlight w:val="none"/>
              </w:rPr>
            </w:pPr>
          </w:p>
        </w:tc>
        <w:tc>
          <w:tcPr>
            <w:tcW w:w="7580" w:type="dxa"/>
            <w:noWrap w:val="0"/>
            <w:vAlign w:val="top"/>
          </w:tcPr>
          <w:p w14:paraId="0A81B679">
            <w:pPr>
              <w:pStyle w:val="9"/>
              <w:rPr>
                <w:highlight w:val="none"/>
              </w:rPr>
            </w:pPr>
            <w:r>
              <w:rPr>
                <w:rFonts w:hint="eastAsia" w:ascii="宋体" w:hAnsi="宋体" w:eastAsia="宋体" w:cs="宋体"/>
                <w:szCs w:val="21"/>
                <w:highlight w:val="none"/>
              </w:rPr>
              <w:t>PVC塑胶地板</w:t>
            </w:r>
            <w:r>
              <w:rPr>
                <w:rFonts w:ascii="宋体" w:hAnsi="宋体" w:cs="宋体"/>
                <w:szCs w:val="21"/>
                <w:highlight w:val="none"/>
              </w:rPr>
              <w:t>性能指标参照或相当于</w:t>
            </w:r>
            <w:r>
              <w:rPr>
                <w:rFonts w:hint="eastAsia" w:ascii="宋体" w:hAnsi="宋体" w:eastAsia="宋体" w:cs="宋体"/>
                <w:szCs w:val="21"/>
                <w:highlight w:val="none"/>
              </w:rPr>
              <w:t>阿姆斯壮、得嘉、保丽等品牌质量标准；</w:t>
            </w:r>
          </w:p>
        </w:tc>
      </w:tr>
      <w:tr w14:paraId="72181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77DB14B">
            <w:pPr>
              <w:pStyle w:val="9"/>
              <w:numPr>
                <w:ilvl w:val="0"/>
                <w:numId w:val="4"/>
              </w:numPr>
              <w:rPr>
                <w:highlight w:val="none"/>
              </w:rPr>
            </w:pPr>
          </w:p>
        </w:tc>
        <w:tc>
          <w:tcPr>
            <w:tcW w:w="7580" w:type="dxa"/>
            <w:noWrap w:val="0"/>
            <w:vAlign w:val="top"/>
          </w:tcPr>
          <w:p w14:paraId="3BFBDEFD">
            <w:pPr>
              <w:pStyle w:val="9"/>
              <w:rPr>
                <w:highlight w:val="none"/>
              </w:rPr>
            </w:pPr>
            <w:r>
              <w:rPr>
                <w:rFonts w:hint="eastAsia" w:ascii="宋体" w:hAnsi="宋体" w:eastAsia="宋体" w:cs="宋体"/>
                <w:szCs w:val="21"/>
                <w:highlight w:val="none"/>
              </w:rPr>
              <w:t>钢化玻璃</w:t>
            </w:r>
            <w:r>
              <w:rPr>
                <w:rFonts w:ascii="宋体" w:hAnsi="宋体" w:cs="宋体"/>
                <w:szCs w:val="21"/>
                <w:highlight w:val="none"/>
              </w:rPr>
              <w:t>性能指标参照或相当于</w:t>
            </w:r>
            <w:r>
              <w:rPr>
                <w:rFonts w:hint="eastAsia" w:ascii="宋体" w:hAnsi="宋体" w:eastAsia="宋体" w:cs="宋体"/>
                <w:szCs w:val="21"/>
                <w:highlight w:val="none"/>
              </w:rPr>
              <w:t>蓝星（威海蓝星）、南玻（广东南玻集团）、耀玻（上海耀华集团）等品牌质量标准。</w:t>
            </w:r>
          </w:p>
        </w:tc>
      </w:tr>
      <w:tr w14:paraId="33F92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27EAB19">
            <w:pPr>
              <w:pStyle w:val="9"/>
              <w:numPr>
                <w:ilvl w:val="0"/>
                <w:numId w:val="4"/>
              </w:numPr>
              <w:rPr>
                <w:highlight w:val="none"/>
              </w:rPr>
            </w:pPr>
          </w:p>
        </w:tc>
        <w:tc>
          <w:tcPr>
            <w:tcW w:w="7580" w:type="dxa"/>
            <w:noWrap w:val="0"/>
            <w:vAlign w:val="top"/>
          </w:tcPr>
          <w:p w14:paraId="242BB664">
            <w:pPr>
              <w:pStyle w:val="9"/>
              <w:rPr>
                <w:highlight w:val="none"/>
              </w:rPr>
            </w:pPr>
            <w:r>
              <w:rPr>
                <w:rFonts w:hint="eastAsia" w:ascii="宋体" w:hAnsi="宋体" w:eastAsia="宋体" w:cs="宋体"/>
                <w:szCs w:val="21"/>
                <w:highlight w:val="none"/>
              </w:rPr>
              <w:t>PP-R给排水管道及</w:t>
            </w:r>
            <w:r>
              <w:rPr>
                <w:rFonts w:ascii="宋体" w:hAnsi="宋体" w:eastAsia="宋体" w:cs="宋体"/>
                <w:szCs w:val="21"/>
                <w:highlight w:val="none"/>
              </w:rPr>
              <w:t>阀门、管件</w:t>
            </w:r>
            <w:r>
              <w:rPr>
                <w:rFonts w:hint="eastAsia" w:ascii="宋体" w:hAnsi="宋体" w:eastAsia="宋体" w:cs="宋体"/>
                <w:szCs w:val="21"/>
                <w:highlight w:val="none"/>
              </w:rPr>
              <w:t>等管道</w:t>
            </w:r>
            <w:r>
              <w:rPr>
                <w:rFonts w:ascii="宋体" w:hAnsi="宋体" w:eastAsia="宋体" w:cs="宋体"/>
                <w:szCs w:val="21"/>
                <w:highlight w:val="none"/>
              </w:rPr>
              <w:t>附件</w:t>
            </w:r>
            <w:r>
              <w:rPr>
                <w:rFonts w:ascii="宋体" w:hAnsi="宋体" w:cs="宋体"/>
                <w:szCs w:val="21"/>
                <w:highlight w:val="none"/>
              </w:rPr>
              <w:t>性能指标参照或相当于</w:t>
            </w:r>
            <w:r>
              <w:rPr>
                <w:rFonts w:hint="eastAsia" w:ascii="宋体" w:hAnsi="宋体" w:eastAsia="宋体" w:cs="宋体"/>
                <w:szCs w:val="21"/>
                <w:highlight w:val="none"/>
              </w:rPr>
              <w:t>金牛、伟星、联塑等品牌质量标准；</w:t>
            </w:r>
          </w:p>
        </w:tc>
      </w:tr>
      <w:tr w14:paraId="66B39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202F699">
            <w:pPr>
              <w:pStyle w:val="9"/>
              <w:numPr>
                <w:ilvl w:val="0"/>
                <w:numId w:val="4"/>
              </w:numPr>
              <w:rPr>
                <w:highlight w:val="none"/>
              </w:rPr>
            </w:pPr>
          </w:p>
        </w:tc>
        <w:tc>
          <w:tcPr>
            <w:tcW w:w="7580" w:type="dxa"/>
            <w:noWrap w:val="0"/>
            <w:vAlign w:val="top"/>
          </w:tcPr>
          <w:p w14:paraId="7FF4E620">
            <w:pPr>
              <w:pStyle w:val="9"/>
              <w:rPr>
                <w:highlight w:val="none"/>
              </w:rPr>
            </w:pPr>
            <w:r>
              <w:rPr>
                <w:rFonts w:hint="eastAsia" w:ascii="宋体" w:hAnsi="宋体" w:eastAsia="宋体" w:cs="宋体"/>
                <w:szCs w:val="21"/>
                <w:highlight w:val="none"/>
              </w:rPr>
              <w:t>钢管</w:t>
            </w:r>
            <w:r>
              <w:rPr>
                <w:rFonts w:ascii="宋体" w:hAnsi="宋体" w:cs="宋体"/>
                <w:szCs w:val="21"/>
                <w:highlight w:val="none"/>
              </w:rPr>
              <w:t>性能指标参照或相当于</w:t>
            </w:r>
            <w:r>
              <w:rPr>
                <w:rFonts w:hint="eastAsia" w:ascii="宋体" w:hAnsi="宋体" w:eastAsia="宋体" w:cs="宋体"/>
                <w:szCs w:val="21"/>
                <w:highlight w:val="none"/>
              </w:rPr>
              <w:t>华岐、首钢、白桦林等品牌质量标准；</w:t>
            </w:r>
          </w:p>
        </w:tc>
      </w:tr>
      <w:tr w14:paraId="07FDA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3B1C006A">
            <w:pPr>
              <w:pStyle w:val="9"/>
              <w:numPr>
                <w:ilvl w:val="0"/>
                <w:numId w:val="4"/>
              </w:numPr>
              <w:rPr>
                <w:highlight w:val="none"/>
              </w:rPr>
            </w:pPr>
          </w:p>
        </w:tc>
        <w:tc>
          <w:tcPr>
            <w:tcW w:w="7580" w:type="dxa"/>
            <w:noWrap w:val="0"/>
            <w:vAlign w:val="top"/>
          </w:tcPr>
          <w:p w14:paraId="2EC19AC2">
            <w:pPr>
              <w:pStyle w:val="9"/>
              <w:rPr>
                <w:highlight w:val="none"/>
              </w:rPr>
            </w:pPr>
            <w:r>
              <w:rPr>
                <w:rFonts w:hint="eastAsia" w:ascii="宋体" w:hAnsi="宋体" w:eastAsia="宋体" w:cs="宋体"/>
                <w:szCs w:val="21"/>
                <w:highlight w:val="none"/>
              </w:rPr>
              <w:t>阀门</w:t>
            </w:r>
            <w:r>
              <w:rPr>
                <w:rFonts w:ascii="宋体" w:hAnsi="宋体" w:cs="宋体"/>
                <w:szCs w:val="21"/>
                <w:highlight w:val="none"/>
              </w:rPr>
              <w:t>性能指标参照或相当于</w:t>
            </w:r>
            <w:r>
              <w:rPr>
                <w:rFonts w:hint="eastAsia" w:ascii="宋体" w:hAnsi="宋体" w:eastAsia="宋体" w:cs="宋体"/>
                <w:szCs w:val="21"/>
                <w:highlight w:val="none"/>
              </w:rPr>
              <w:t>埃美柯、大站、宇明、远大等品牌质量标准；</w:t>
            </w:r>
          </w:p>
        </w:tc>
      </w:tr>
      <w:tr w14:paraId="607E6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0AADFB73">
            <w:pPr>
              <w:pStyle w:val="9"/>
              <w:numPr>
                <w:ilvl w:val="0"/>
                <w:numId w:val="4"/>
              </w:numPr>
              <w:rPr>
                <w:highlight w:val="none"/>
              </w:rPr>
            </w:pPr>
          </w:p>
        </w:tc>
        <w:tc>
          <w:tcPr>
            <w:tcW w:w="7580" w:type="dxa"/>
            <w:noWrap w:val="0"/>
            <w:vAlign w:val="top"/>
          </w:tcPr>
          <w:p w14:paraId="0F209FB7">
            <w:pPr>
              <w:pStyle w:val="9"/>
              <w:rPr>
                <w:highlight w:val="none"/>
              </w:rPr>
            </w:pPr>
            <w:r>
              <w:rPr>
                <w:rFonts w:hint="eastAsia" w:ascii="宋体" w:hAnsi="宋体" w:eastAsia="宋体" w:cs="宋体"/>
                <w:szCs w:val="21"/>
                <w:highlight w:val="none"/>
              </w:rPr>
              <w:t>卫生器具：大便器、小便器、拖布池、洗手盆</w:t>
            </w:r>
            <w:r>
              <w:rPr>
                <w:rFonts w:ascii="宋体" w:hAnsi="宋体" w:cs="宋体"/>
                <w:szCs w:val="21"/>
                <w:highlight w:val="none"/>
              </w:rPr>
              <w:t>性能指标参照或相当于</w:t>
            </w:r>
            <w:r>
              <w:rPr>
                <w:rFonts w:hint="eastAsia" w:ascii="宋体" w:hAnsi="宋体" w:eastAsia="宋体" w:cs="宋体"/>
                <w:szCs w:val="21"/>
                <w:highlight w:val="none"/>
              </w:rPr>
              <w:t>惠达、TOTO、美标、科勒等品牌质量标准；水龙头、感应器</w:t>
            </w:r>
            <w:r>
              <w:rPr>
                <w:rFonts w:ascii="宋体" w:hAnsi="宋体" w:cs="宋体"/>
                <w:szCs w:val="21"/>
                <w:highlight w:val="none"/>
              </w:rPr>
              <w:t>性能指标参照或相当于</w:t>
            </w:r>
            <w:r>
              <w:rPr>
                <w:rFonts w:hint="eastAsia" w:ascii="宋体" w:hAnsi="宋体" w:eastAsia="宋体" w:cs="宋体"/>
                <w:szCs w:val="21"/>
                <w:highlight w:val="none"/>
              </w:rPr>
              <w:t>龙尔、惠达、美标、TOTO等品牌质量标准；</w:t>
            </w:r>
          </w:p>
        </w:tc>
      </w:tr>
      <w:tr w14:paraId="640E7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14DC7478">
            <w:pPr>
              <w:pStyle w:val="9"/>
              <w:numPr>
                <w:ilvl w:val="0"/>
                <w:numId w:val="4"/>
              </w:numPr>
              <w:rPr>
                <w:highlight w:val="none"/>
              </w:rPr>
            </w:pPr>
          </w:p>
        </w:tc>
        <w:tc>
          <w:tcPr>
            <w:tcW w:w="7580" w:type="dxa"/>
            <w:noWrap w:val="0"/>
            <w:vAlign w:val="top"/>
          </w:tcPr>
          <w:p w14:paraId="5F2F6C01">
            <w:pPr>
              <w:pStyle w:val="9"/>
              <w:rPr>
                <w:rFonts w:ascii="宋体" w:hAnsi="宋体" w:eastAsia="宋体" w:cs="宋体"/>
                <w:szCs w:val="21"/>
                <w:highlight w:val="none"/>
              </w:rPr>
            </w:pPr>
            <w:r>
              <w:rPr>
                <w:rFonts w:hint="eastAsia" w:ascii="宋体" w:hAnsi="宋体" w:eastAsia="宋体" w:cs="宋体"/>
                <w:szCs w:val="21"/>
                <w:highlight w:val="none"/>
              </w:rPr>
              <w:t>铸铁</w:t>
            </w:r>
            <w:r>
              <w:rPr>
                <w:rFonts w:ascii="宋体" w:hAnsi="宋体" w:eastAsia="宋体" w:cs="宋体"/>
                <w:szCs w:val="21"/>
                <w:highlight w:val="none"/>
              </w:rPr>
              <w:t>及钢制</w:t>
            </w:r>
            <w:r>
              <w:rPr>
                <w:rFonts w:hint="eastAsia" w:ascii="宋体" w:hAnsi="宋体" w:eastAsia="宋体" w:cs="宋体"/>
                <w:szCs w:val="21"/>
                <w:highlight w:val="none"/>
              </w:rPr>
              <w:t>柱式散热器</w:t>
            </w:r>
            <w:r>
              <w:rPr>
                <w:rFonts w:ascii="宋体" w:hAnsi="宋体" w:cs="宋体"/>
                <w:szCs w:val="21"/>
                <w:highlight w:val="none"/>
              </w:rPr>
              <w:t>性能指标参照或相当于</w:t>
            </w:r>
            <w:r>
              <w:rPr>
                <w:rFonts w:hint="eastAsia" w:ascii="宋体" w:hAnsi="宋体" w:eastAsia="宋体" w:cs="宋体"/>
                <w:szCs w:val="21"/>
                <w:highlight w:val="none"/>
              </w:rPr>
              <w:t>帽儿山、圣春、北禄树等品牌质量标准</w:t>
            </w:r>
          </w:p>
          <w:p w14:paraId="025A3E38">
            <w:pPr>
              <w:pStyle w:val="9"/>
              <w:rPr>
                <w:highlight w:val="none"/>
              </w:rPr>
            </w:pPr>
            <w:r>
              <w:rPr>
                <w:rFonts w:hint="eastAsia" w:ascii="宋体" w:hAnsi="宋体" w:eastAsia="宋体" w:cs="宋体"/>
                <w:szCs w:val="21"/>
                <w:highlight w:val="none"/>
              </w:rPr>
              <w:t>压铸铝散热器</w:t>
            </w:r>
            <w:r>
              <w:rPr>
                <w:rFonts w:ascii="宋体" w:hAnsi="宋体" w:cs="宋体"/>
                <w:szCs w:val="21"/>
                <w:highlight w:val="none"/>
              </w:rPr>
              <w:t>性能指标参照或相当于</w:t>
            </w:r>
            <w:r>
              <w:rPr>
                <w:rFonts w:hint="eastAsia" w:ascii="宋体" w:hAnsi="宋体" w:eastAsia="宋体" w:cs="宋体"/>
                <w:szCs w:val="21"/>
                <w:highlight w:val="none"/>
              </w:rPr>
              <w:t>昂彼特堡、旺达、</w:t>
            </w:r>
            <w:r>
              <w:rPr>
                <w:rFonts w:ascii="宋体" w:hAnsi="宋体" w:eastAsia="宋体" w:cs="宋体"/>
                <w:szCs w:val="21"/>
                <w:highlight w:val="none"/>
              </w:rPr>
              <w:t>圣春</w:t>
            </w:r>
            <w:r>
              <w:rPr>
                <w:rFonts w:hint="eastAsia" w:ascii="宋体" w:hAnsi="宋体" w:eastAsia="宋体" w:cs="宋体"/>
                <w:szCs w:val="21"/>
                <w:highlight w:val="none"/>
              </w:rPr>
              <w:t>等品牌质量标准</w:t>
            </w:r>
          </w:p>
        </w:tc>
      </w:tr>
      <w:tr w14:paraId="2DDDD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8D85468">
            <w:pPr>
              <w:pStyle w:val="9"/>
              <w:numPr>
                <w:ilvl w:val="0"/>
                <w:numId w:val="4"/>
              </w:numPr>
              <w:rPr>
                <w:highlight w:val="none"/>
              </w:rPr>
            </w:pPr>
          </w:p>
        </w:tc>
        <w:tc>
          <w:tcPr>
            <w:tcW w:w="7580" w:type="dxa"/>
            <w:noWrap w:val="0"/>
            <w:vAlign w:val="top"/>
          </w:tcPr>
          <w:p w14:paraId="3600C636">
            <w:pPr>
              <w:pStyle w:val="9"/>
              <w:rPr>
                <w:highlight w:val="none"/>
              </w:rPr>
            </w:pPr>
            <w:r>
              <w:rPr>
                <w:rFonts w:hint="eastAsia" w:ascii="宋体" w:hAnsi="宋体" w:eastAsia="宋体" w:cs="宋体"/>
                <w:szCs w:val="21"/>
                <w:highlight w:val="none"/>
              </w:rPr>
              <w:t>空调设备含材料</w:t>
            </w:r>
            <w:r>
              <w:rPr>
                <w:rFonts w:ascii="宋体" w:hAnsi="宋体" w:cs="宋体"/>
                <w:szCs w:val="21"/>
                <w:highlight w:val="none"/>
              </w:rPr>
              <w:t>性能指标参照或相当于</w:t>
            </w:r>
            <w:r>
              <w:rPr>
                <w:rFonts w:hint="eastAsia" w:ascii="宋体" w:hAnsi="宋体" w:eastAsia="宋体" w:cs="宋体"/>
                <w:szCs w:val="21"/>
                <w:highlight w:val="none"/>
              </w:rPr>
              <w:t>海信、海尔、格力、美的、奥克斯等品牌质量标准。</w:t>
            </w:r>
          </w:p>
        </w:tc>
      </w:tr>
      <w:tr w14:paraId="7D58A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3A822A97">
            <w:pPr>
              <w:pStyle w:val="9"/>
              <w:numPr>
                <w:ilvl w:val="0"/>
                <w:numId w:val="4"/>
              </w:numPr>
              <w:rPr>
                <w:highlight w:val="none"/>
              </w:rPr>
            </w:pPr>
          </w:p>
        </w:tc>
        <w:tc>
          <w:tcPr>
            <w:tcW w:w="7580" w:type="dxa"/>
            <w:noWrap w:val="0"/>
            <w:vAlign w:val="top"/>
          </w:tcPr>
          <w:p w14:paraId="24E1DE1E">
            <w:pPr>
              <w:pStyle w:val="9"/>
              <w:rPr>
                <w:highlight w:val="none"/>
              </w:rPr>
            </w:pPr>
            <w:r>
              <w:rPr>
                <w:rFonts w:hint="eastAsia" w:ascii="宋体" w:hAnsi="宋体" w:eastAsia="宋体" w:cs="宋体"/>
                <w:szCs w:val="21"/>
                <w:highlight w:val="none"/>
              </w:rPr>
              <w:t>风机</w:t>
            </w:r>
            <w:r>
              <w:rPr>
                <w:rFonts w:ascii="宋体" w:hAnsi="宋体" w:cs="宋体"/>
                <w:szCs w:val="21"/>
                <w:highlight w:val="none"/>
              </w:rPr>
              <w:t>性能指标参照或相当于</w:t>
            </w:r>
            <w:r>
              <w:rPr>
                <w:rFonts w:hint="eastAsia" w:ascii="宋体" w:hAnsi="宋体" w:eastAsia="宋体" w:cs="宋体"/>
                <w:szCs w:val="21"/>
                <w:highlight w:val="none"/>
              </w:rPr>
              <w:t>金盾、章丘、章源机械等品牌质量标准</w:t>
            </w:r>
          </w:p>
        </w:tc>
      </w:tr>
      <w:tr w14:paraId="240B6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786838C4">
            <w:pPr>
              <w:pStyle w:val="9"/>
              <w:numPr>
                <w:ilvl w:val="0"/>
                <w:numId w:val="4"/>
              </w:numPr>
              <w:rPr>
                <w:highlight w:val="none"/>
              </w:rPr>
            </w:pPr>
          </w:p>
        </w:tc>
        <w:tc>
          <w:tcPr>
            <w:tcW w:w="7580" w:type="dxa"/>
            <w:noWrap w:val="0"/>
            <w:vAlign w:val="top"/>
          </w:tcPr>
          <w:p w14:paraId="5482012A">
            <w:pPr>
              <w:pStyle w:val="9"/>
              <w:rPr>
                <w:highlight w:val="none"/>
              </w:rPr>
            </w:pPr>
            <w:r>
              <w:rPr>
                <w:rFonts w:hint="eastAsia" w:ascii="宋体" w:hAnsi="宋体" w:eastAsia="宋体" w:cs="宋体"/>
                <w:szCs w:val="21"/>
                <w:highlight w:val="none"/>
              </w:rPr>
              <w:t>电缆、电线达到国标，</w:t>
            </w:r>
            <w:r>
              <w:rPr>
                <w:rFonts w:ascii="宋体" w:hAnsi="宋体" w:cs="宋体"/>
                <w:szCs w:val="21"/>
                <w:highlight w:val="none"/>
              </w:rPr>
              <w:t>性能指标参照或相当于</w:t>
            </w:r>
            <w:r>
              <w:rPr>
                <w:rFonts w:hint="eastAsia" w:ascii="宋体" w:hAnsi="宋体" w:eastAsia="宋体" w:cs="宋体"/>
                <w:szCs w:val="21"/>
                <w:highlight w:val="none"/>
              </w:rPr>
              <w:t>津达、金桥、远东电缆等品牌质量标准；</w:t>
            </w:r>
          </w:p>
        </w:tc>
      </w:tr>
      <w:tr w14:paraId="25705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CE99E8C">
            <w:pPr>
              <w:pStyle w:val="9"/>
              <w:numPr>
                <w:ilvl w:val="0"/>
                <w:numId w:val="4"/>
              </w:numPr>
              <w:rPr>
                <w:highlight w:val="none"/>
              </w:rPr>
            </w:pPr>
          </w:p>
        </w:tc>
        <w:tc>
          <w:tcPr>
            <w:tcW w:w="7580" w:type="dxa"/>
            <w:noWrap w:val="0"/>
            <w:vAlign w:val="top"/>
          </w:tcPr>
          <w:p w14:paraId="32C83C15">
            <w:pPr>
              <w:pStyle w:val="9"/>
              <w:rPr>
                <w:highlight w:val="none"/>
              </w:rPr>
            </w:pPr>
            <w:r>
              <w:rPr>
                <w:rFonts w:hint="eastAsia" w:ascii="宋体" w:hAnsi="宋体" w:eastAsia="宋体" w:cs="宋体"/>
                <w:szCs w:val="21"/>
                <w:highlight w:val="none"/>
              </w:rPr>
              <w:t>灯具</w:t>
            </w:r>
            <w:r>
              <w:rPr>
                <w:rFonts w:ascii="宋体" w:hAnsi="宋体" w:cs="宋体"/>
                <w:szCs w:val="21"/>
                <w:highlight w:val="none"/>
              </w:rPr>
              <w:t>性能指标参照或相当于</w:t>
            </w:r>
            <w:r>
              <w:rPr>
                <w:rFonts w:hint="eastAsia" w:ascii="宋体" w:hAnsi="宋体" w:eastAsia="宋体" w:cs="宋体"/>
                <w:szCs w:val="21"/>
                <w:highlight w:val="none"/>
              </w:rPr>
              <w:t>西顿、飞利浦、欧普等品牌质量标准；</w:t>
            </w:r>
          </w:p>
        </w:tc>
      </w:tr>
      <w:tr w14:paraId="6E252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2421065A">
            <w:pPr>
              <w:pStyle w:val="9"/>
              <w:numPr>
                <w:ilvl w:val="0"/>
                <w:numId w:val="4"/>
              </w:numPr>
              <w:rPr>
                <w:highlight w:val="none"/>
              </w:rPr>
            </w:pPr>
          </w:p>
        </w:tc>
        <w:tc>
          <w:tcPr>
            <w:tcW w:w="7580" w:type="dxa"/>
            <w:noWrap w:val="0"/>
            <w:vAlign w:val="top"/>
          </w:tcPr>
          <w:p w14:paraId="67EF6CAB">
            <w:pPr>
              <w:pStyle w:val="9"/>
              <w:rPr>
                <w:highlight w:val="none"/>
              </w:rPr>
            </w:pPr>
            <w:r>
              <w:rPr>
                <w:rFonts w:hint="eastAsia" w:ascii="宋体" w:hAnsi="宋体" w:eastAsia="宋体" w:cs="宋体"/>
                <w:szCs w:val="21"/>
                <w:highlight w:val="none"/>
              </w:rPr>
              <w:t>开关插座等电器器件</w:t>
            </w:r>
            <w:r>
              <w:rPr>
                <w:rFonts w:ascii="宋体" w:hAnsi="宋体" w:cs="宋体"/>
                <w:szCs w:val="21"/>
                <w:highlight w:val="none"/>
              </w:rPr>
              <w:t>性能指标参照或相当于</w:t>
            </w:r>
            <w:r>
              <w:rPr>
                <w:rFonts w:hint="eastAsia" w:ascii="宋体" w:hAnsi="宋体" w:eastAsia="宋体" w:cs="宋体"/>
                <w:szCs w:val="21"/>
                <w:highlight w:val="none"/>
              </w:rPr>
              <w:t>德力西、施耐德、西顿等品牌质量标准；</w:t>
            </w:r>
          </w:p>
        </w:tc>
      </w:tr>
      <w:tr w14:paraId="26C68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600D81A">
            <w:pPr>
              <w:pStyle w:val="9"/>
              <w:numPr>
                <w:ilvl w:val="0"/>
                <w:numId w:val="4"/>
              </w:numPr>
              <w:rPr>
                <w:highlight w:val="none"/>
              </w:rPr>
            </w:pPr>
          </w:p>
        </w:tc>
        <w:tc>
          <w:tcPr>
            <w:tcW w:w="7580" w:type="dxa"/>
            <w:noWrap w:val="0"/>
            <w:vAlign w:val="top"/>
          </w:tcPr>
          <w:p w14:paraId="46DFD9F1">
            <w:pPr>
              <w:pStyle w:val="9"/>
              <w:rPr>
                <w:highlight w:val="none"/>
              </w:rPr>
            </w:pPr>
            <w:r>
              <w:rPr>
                <w:rFonts w:hint="eastAsia" w:ascii="宋体" w:hAnsi="宋体" w:eastAsia="宋体" w:cs="宋体"/>
                <w:szCs w:val="21"/>
                <w:highlight w:val="none"/>
              </w:rPr>
              <w:t>配电箱、柜及内部元器件</w:t>
            </w:r>
            <w:r>
              <w:rPr>
                <w:rFonts w:ascii="宋体" w:hAnsi="宋体" w:cs="宋体"/>
                <w:szCs w:val="21"/>
                <w:highlight w:val="none"/>
              </w:rPr>
              <w:t>性能指标参照或相当于</w:t>
            </w:r>
            <w:r>
              <w:rPr>
                <w:rFonts w:hint="eastAsia" w:ascii="宋体" w:hAnsi="宋体" w:eastAsia="宋体" w:cs="宋体"/>
                <w:szCs w:val="21"/>
                <w:highlight w:val="none"/>
              </w:rPr>
              <w:t>正泰、德力西、上海人民等品牌质量标准。</w:t>
            </w:r>
          </w:p>
        </w:tc>
      </w:tr>
      <w:tr w14:paraId="1EA3A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219AB362">
            <w:pPr>
              <w:pStyle w:val="9"/>
              <w:numPr>
                <w:ilvl w:val="0"/>
                <w:numId w:val="4"/>
              </w:numPr>
              <w:rPr>
                <w:highlight w:val="none"/>
              </w:rPr>
            </w:pPr>
          </w:p>
        </w:tc>
        <w:tc>
          <w:tcPr>
            <w:tcW w:w="7580" w:type="dxa"/>
            <w:noWrap w:val="0"/>
            <w:vAlign w:val="top"/>
          </w:tcPr>
          <w:p w14:paraId="313F6A82">
            <w:pPr>
              <w:pStyle w:val="9"/>
              <w:rPr>
                <w:rFonts w:ascii="宋体" w:hAnsi="宋体" w:eastAsia="宋体" w:cs="宋体"/>
                <w:szCs w:val="21"/>
                <w:highlight w:val="none"/>
              </w:rPr>
            </w:pPr>
            <w:r>
              <w:rPr>
                <w:rFonts w:hint="eastAsia" w:ascii="宋体" w:hAnsi="宋体" w:eastAsia="宋体" w:cs="宋体"/>
                <w:szCs w:val="21"/>
                <w:highlight w:val="none"/>
              </w:rPr>
              <w:t>变压器</w:t>
            </w:r>
            <w:r>
              <w:rPr>
                <w:rFonts w:ascii="宋体" w:hAnsi="宋体" w:eastAsia="宋体" w:cs="宋体"/>
                <w:szCs w:val="21"/>
                <w:highlight w:val="none"/>
              </w:rPr>
              <w:t>性能指标参照或相当于</w:t>
            </w:r>
            <w:r>
              <w:rPr>
                <w:rFonts w:hint="eastAsia" w:ascii="宋体" w:hAnsi="宋体" w:eastAsia="宋体" w:cs="宋体"/>
                <w:szCs w:val="21"/>
                <w:highlight w:val="none"/>
              </w:rPr>
              <w:t>中变集团上海变压器、哈尔滨北方特力电力设备有限公司、南京大全变压器有限公司等品牌质量标准。</w:t>
            </w:r>
          </w:p>
        </w:tc>
      </w:tr>
      <w:tr w14:paraId="3BE59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94BD644">
            <w:pPr>
              <w:pStyle w:val="9"/>
              <w:numPr>
                <w:ilvl w:val="0"/>
                <w:numId w:val="4"/>
              </w:numPr>
              <w:rPr>
                <w:highlight w:val="none"/>
              </w:rPr>
            </w:pPr>
          </w:p>
        </w:tc>
        <w:tc>
          <w:tcPr>
            <w:tcW w:w="7580" w:type="dxa"/>
            <w:noWrap w:val="0"/>
            <w:vAlign w:val="top"/>
          </w:tcPr>
          <w:p w14:paraId="02B0EBAB">
            <w:pPr>
              <w:pStyle w:val="9"/>
              <w:rPr>
                <w:highlight w:val="none"/>
              </w:rPr>
            </w:pPr>
            <w:r>
              <w:rPr>
                <w:rFonts w:hint="eastAsia" w:ascii="宋体" w:hAnsi="宋体" w:eastAsia="宋体" w:cs="宋体"/>
                <w:szCs w:val="21"/>
                <w:highlight w:val="none"/>
              </w:rPr>
              <w:t>消防设备</w:t>
            </w:r>
            <w:r>
              <w:rPr>
                <w:rFonts w:ascii="宋体" w:hAnsi="宋体" w:cs="宋体"/>
                <w:szCs w:val="21"/>
                <w:highlight w:val="none"/>
              </w:rPr>
              <w:t>性能指标参照或相当于</w:t>
            </w:r>
            <w:r>
              <w:rPr>
                <w:rFonts w:hint="eastAsia" w:ascii="宋体" w:hAnsi="宋体" w:eastAsia="宋体" w:cs="宋体"/>
                <w:szCs w:val="21"/>
                <w:highlight w:val="none"/>
              </w:rPr>
              <w:t>海湾、利达、泛海三江等品牌质量标准。</w:t>
            </w:r>
          </w:p>
        </w:tc>
      </w:tr>
      <w:tr w14:paraId="28070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F22585A">
            <w:pPr>
              <w:pStyle w:val="9"/>
              <w:numPr>
                <w:ilvl w:val="0"/>
                <w:numId w:val="4"/>
              </w:numPr>
              <w:rPr>
                <w:highlight w:val="none"/>
              </w:rPr>
            </w:pPr>
          </w:p>
        </w:tc>
        <w:tc>
          <w:tcPr>
            <w:tcW w:w="7580" w:type="dxa"/>
            <w:noWrap w:val="0"/>
            <w:vAlign w:val="top"/>
          </w:tcPr>
          <w:p w14:paraId="4F917365">
            <w:pPr>
              <w:pStyle w:val="9"/>
              <w:rPr>
                <w:highlight w:val="none"/>
              </w:rPr>
            </w:pPr>
            <w:r>
              <w:rPr>
                <w:rFonts w:hint="eastAsia" w:ascii="宋体" w:hAnsi="宋体" w:eastAsia="宋体" w:cs="宋体"/>
                <w:szCs w:val="21"/>
                <w:highlight w:val="none"/>
              </w:rPr>
              <w:t>金属桥架</w:t>
            </w:r>
            <w:r>
              <w:rPr>
                <w:rFonts w:ascii="宋体" w:hAnsi="宋体" w:cs="宋体"/>
                <w:szCs w:val="21"/>
                <w:highlight w:val="none"/>
              </w:rPr>
              <w:t>性能指标参照或相当于</w:t>
            </w:r>
            <w:r>
              <w:rPr>
                <w:rFonts w:hint="eastAsia" w:ascii="宋体" w:hAnsi="宋体" w:eastAsia="宋体" w:cs="宋体"/>
                <w:szCs w:val="21"/>
                <w:highlight w:val="none"/>
              </w:rPr>
              <w:t>万奇、振大、有能等品牌质量标准。</w:t>
            </w:r>
          </w:p>
        </w:tc>
      </w:tr>
      <w:tr w14:paraId="4221F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02BB3DE9">
            <w:pPr>
              <w:pStyle w:val="9"/>
              <w:numPr>
                <w:ilvl w:val="0"/>
                <w:numId w:val="4"/>
              </w:numPr>
              <w:rPr>
                <w:highlight w:val="none"/>
              </w:rPr>
            </w:pPr>
          </w:p>
        </w:tc>
        <w:tc>
          <w:tcPr>
            <w:tcW w:w="7580" w:type="dxa"/>
            <w:noWrap w:val="0"/>
            <w:vAlign w:val="top"/>
          </w:tcPr>
          <w:p w14:paraId="699BF870">
            <w:pPr>
              <w:pStyle w:val="9"/>
              <w:rPr>
                <w:highlight w:val="none"/>
              </w:rPr>
            </w:pPr>
            <w:r>
              <w:rPr>
                <w:rFonts w:hint="eastAsia" w:ascii="宋体" w:hAnsi="宋体" w:eastAsia="宋体" w:cs="宋体"/>
                <w:szCs w:val="21"/>
                <w:highlight w:val="none"/>
              </w:rPr>
              <w:t>弱电设备含材料</w:t>
            </w:r>
            <w:r>
              <w:rPr>
                <w:rFonts w:ascii="宋体" w:hAnsi="宋体" w:cs="宋体"/>
                <w:szCs w:val="21"/>
                <w:highlight w:val="none"/>
              </w:rPr>
              <w:t>性能指标参照或相当于</w:t>
            </w:r>
            <w:r>
              <w:rPr>
                <w:rFonts w:hint="eastAsia" w:ascii="宋体" w:hAnsi="宋体" w:eastAsia="宋体" w:cs="宋体"/>
                <w:szCs w:val="21"/>
                <w:highlight w:val="none"/>
              </w:rPr>
              <w:t>西蒙、TCL、岳丰等品牌质量标准。</w:t>
            </w:r>
          </w:p>
        </w:tc>
      </w:tr>
      <w:tr w14:paraId="6C59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883A497">
            <w:pPr>
              <w:pStyle w:val="9"/>
              <w:numPr>
                <w:ilvl w:val="0"/>
                <w:numId w:val="4"/>
              </w:numPr>
              <w:rPr>
                <w:highlight w:val="none"/>
              </w:rPr>
            </w:pPr>
          </w:p>
        </w:tc>
        <w:tc>
          <w:tcPr>
            <w:tcW w:w="7580" w:type="dxa"/>
            <w:noWrap w:val="0"/>
            <w:vAlign w:val="top"/>
          </w:tcPr>
          <w:p w14:paraId="4F2435FF">
            <w:pPr>
              <w:pStyle w:val="9"/>
              <w:rPr>
                <w:highlight w:val="none"/>
              </w:rPr>
            </w:pPr>
            <w:r>
              <w:rPr>
                <w:rFonts w:hint="eastAsia" w:ascii="宋体" w:hAnsi="宋体" w:eastAsia="宋体" w:cs="宋体"/>
                <w:szCs w:val="21"/>
                <w:highlight w:val="none"/>
              </w:rPr>
              <w:t>监控设备含材料</w:t>
            </w:r>
            <w:r>
              <w:rPr>
                <w:rFonts w:ascii="宋体" w:hAnsi="宋体" w:cs="宋体"/>
                <w:szCs w:val="21"/>
                <w:highlight w:val="none"/>
              </w:rPr>
              <w:t>性能指标参照或相当于</w:t>
            </w:r>
            <w:r>
              <w:rPr>
                <w:rFonts w:hint="eastAsia" w:ascii="宋体" w:hAnsi="宋体" w:eastAsia="宋体" w:cs="宋体"/>
                <w:szCs w:val="21"/>
                <w:highlight w:val="none"/>
              </w:rPr>
              <w:t>松下、宇视、海康威视等品牌质量标准。</w:t>
            </w:r>
          </w:p>
        </w:tc>
      </w:tr>
      <w:tr w14:paraId="5D077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4399D7F3">
            <w:pPr>
              <w:pStyle w:val="9"/>
              <w:numPr>
                <w:ilvl w:val="0"/>
                <w:numId w:val="4"/>
              </w:numPr>
              <w:rPr>
                <w:highlight w:val="none"/>
              </w:rPr>
            </w:pPr>
          </w:p>
        </w:tc>
        <w:tc>
          <w:tcPr>
            <w:tcW w:w="7580" w:type="dxa"/>
            <w:noWrap w:val="0"/>
            <w:vAlign w:val="top"/>
          </w:tcPr>
          <w:p w14:paraId="038C9C0A">
            <w:pPr>
              <w:pStyle w:val="9"/>
              <w:rPr>
                <w:highlight w:val="none"/>
              </w:rPr>
            </w:pPr>
            <w:r>
              <w:rPr>
                <w:rFonts w:hint="eastAsia" w:ascii="宋体" w:hAnsi="宋体" w:eastAsia="宋体" w:cs="宋体"/>
                <w:szCs w:val="21"/>
                <w:highlight w:val="none"/>
              </w:rPr>
              <w:t>电梯</w:t>
            </w:r>
            <w:r>
              <w:rPr>
                <w:rFonts w:ascii="宋体" w:hAnsi="宋体" w:cs="宋体"/>
                <w:szCs w:val="21"/>
                <w:highlight w:val="none"/>
              </w:rPr>
              <w:t>性能指标参照或相当于</w:t>
            </w:r>
            <w:r>
              <w:rPr>
                <w:rFonts w:hint="eastAsia" w:ascii="宋体" w:hAnsi="宋体" w:eastAsia="宋体" w:cs="宋体"/>
                <w:szCs w:val="21"/>
                <w:highlight w:val="none"/>
              </w:rPr>
              <w:t>三菱、奥的斯、蒂森等客梯品牌质量标准。</w:t>
            </w:r>
          </w:p>
        </w:tc>
      </w:tr>
      <w:tr w14:paraId="55AC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noWrap w:val="0"/>
            <w:vAlign w:val="top"/>
          </w:tcPr>
          <w:p w14:paraId="569F6767">
            <w:pPr>
              <w:pStyle w:val="9"/>
              <w:numPr>
                <w:ilvl w:val="0"/>
                <w:numId w:val="4"/>
              </w:numPr>
              <w:rPr>
                <w:highlight w:val="none"/>
              </w:rPr>
            </w:pPr>
          </w:p>
        </w:tc>
        <w:tc>
          <w:tcPr>
            <w:tcW w:w="7580" w:type="dxa"/>
            <w:noWrap w:val="0"/>
            <w:vAlign w:val="top"/>
          </w:tcPr>
          <w:p w14:paraId="705CFC70">
            <w:pPr>
              <w:pStyle w:val="9"/>
              <w:rPr>
                <w:rFonts w:ascii="宋体" w:hAnsi="宋体" w:eastAsia="宋体" w:cs="宋体"/>
                <w:szCs w:val="21"/>
                <w:highlight w:val="none"/>
              </w:rPr>
            </w:pPr>
            <w:r>
              <w:rPr>
                <w:rFonts w:hint="eastAsia" w:ascii="宋体" w:hAnsi="宋体" w:eastAsia="宋体" w:cs="宋体"/>
                <w:szCs w:val="21"/>
                <w:highlight w:val="none"/>
              </w:rPr>
              <w:t>PVC地板（塑胶地板）</w:t>
            </w:r>
            <w:r>
              <w:rPr>
                <w:rFonts w:ascii="宋体" w:hAnsi="宋体" w:cs="宋体"/>
                <w:szCs w:val="21"/>
                <w:highlight w:val="none"/>
              </w:rPr>
              <w:t>性能指标参照或相当于</w:t>
            </w:r>
            <w:r>
              <w:rPr>
                <w:rFonts w:hint="eastAsia" w:ascii="宋体" w:hAnsi="宋体" w:cs="宋体"/>
                <w:szCs w:val="21"/>
                <w:highlight w:val="none"/>
              </w:rPr>
              <w:t>Armstrong阿姆斯壮</w:t>
            </w:r>
            <w:r>
              <w:rPr>
                <w:rFonts w:hint="eastAsia" w:ascii="宋体" w:hAnsi="宋体" w:eastAsia="宋体" w:cs="宋体"/>
                <w:szCs w:val="21"/>
                <w:highlight w:val="none"/>
              </w:rPr>
              <w:t>、LX Hausys、Gerflor洁福等品牌质量标准。</w:t>
            </w:r>
          </w:p>
        </w:tc>
      </w:tr>
      <w:tr w14:paraId="0D08F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noWrap w:val="0"/>
            <w:vAlign w:val="top"/>
          </w:tcPr>
          <w:p w14:paraId="415FC45C">
            <w:pPr>
              <w:pStyle w:val="9"/>
              <w:numPr>
                <w:ilvl w:val="0"/>
                <w:numId w:val="4"/>
              </w:numPr>
              <w:rPr>
                <w:highlight w:val="none"/>
              </w:rPr>
            </w:pPr>
          </w:p>
        </w:tc>
        <w:tc>
          <w:tcPr>
            <w:tcW w:w="7580" w:type="dxa"/>
            <w:noWrap w:val="0"/>
            <w:vAlign w:val="top"/>
          </w:tcPr>
          <w:p w14:paraId="1ADA6594">
            <w:pPr>
              <w:pStyle w:val="9"/>
              <w:rPr>
                <w:rFonts w:ascii="宋体" w:hAnsi="宋体" w:eastAsia="宋体" w:cs="宋体"/>
                <w:szCs w:val="21"/>
                <w:highlight w:val="none"/>
              </w:rPr>
            </w:pPr>
            <w:r>
              <w:rPr>
                <w:rFonts w:hint="eastAsia" w:ascii="宋体" w:hAnsi="宋体" w:eastAsia="宋体" w:cs="宋体"/>
                <w:szCs w:val="21"/>
                <w:highlight w:val="none"/>
              </w:rPr>
              <w:t>岩棉保温材料</w:t>
            </w:r>
            <w:r>
              <w:rPr>
                <w:rFonts w:ascii="宋体" w:hAnsi="宋体" w:cs="宋体"/>
                <w:szCs w:val="21"/>
                <w:highlight w:val="none"/>
              </w:rPr>
              <w:t>性能指标参照或相当于</w:t>
            </w:r>
            <w:r>
              <w:rPr>
                <w:rFonts w:hint="eastAsia" w:ascii="宋体" w:hAnsi="宋体" w:cs="宋体"/>
                <w:szCs w:val="21"/>
                <w:highlight w:val="none"/>
              </w:rPr>
              <w:t>樱花、泰石、泰和尼科、雅士</w:t>
            </w:r>
            <w:r>
              <w:rPr>
                <w:rFonts w:hint="eastAsia" w:ascii="宋体" w:hAnsi="宋体" w:eastAsia="宋体" w:cs="宋体"/>
                <w:szCs w:val="21"/>
                <w:highlight w:val="none"/>
              </w:rPr>
              <w:t>等品牌质量标准。</w:t>
            </w:r>
          </w:p>
        </w:tc>
      </w:tr>
      <w:tr w14:paraId="0C351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C280A0D">
            <w:pPr>
              <w:pStyle w:val="9"/>
              <w:numPr>
                <w:ilvl w:val="0"/>
                <w:numId w:val="4"/>
              </w:numPr>
              <w:rPr>
                <w:highlight w:val="none"/>
              </w:rPr>
            </w:pPr>
          </w:p>
        </w:tc>
        <w:tc>
          <w:tcPr>
            <w:tcW w:w="7580" w:type="dxa"/>
            <w:noWrap w:val="0"/>
            <w:vAlign w:val="top"/>
          </w:tcPr>
          <w:p w14:paraId="6BD79A5B">
            <w:pPr>
              <w:pStyle w:val="9"/>
              <w:rPr>
                <w:highlight w:val="none"/>
              </w:rPr>
            </w:pPr>
            <w:r>
              <w:rPr>
                <w:rFonts w:hint="eastAsia" w:ascii="宋体" w:hAnsi="宋体" w:eastAsia="宋体" w:cs="宋体"/>
                <w:szCs w:val="21"/>
                <w:highlight w:val="none"/>
              </w:rPr>
              <w:t>幕墙型材</w:t>
            </w:r>
            <w:r>
              <w:rPr>
                <w:rFonts w:ascii="宋体" w:hAnsi="宋体" w:cs="宋体"/>
                <w:szCs w:val="21"/>
                <w:highlight w:val="none"/>
              </w:rPr>
              <w:t>性能指标参照或相当于</w:t>
            </w:r>
            <w:r>
              <w:rPr>
                <w:rFonts w:hint="eastAsia" w:ascii="宋体" w:hAnsi="宋体" w:cs="宋体"/>
                <w:color w:val="C00000"/>
                <w:szCs w:val="21"/>
                <w:highlight w:val="none"/>
              </w:rPr>
              <w:t>丽格、渤海、亚铝、兴发、忠旺</w:t>
            </w:r>
            <w:r>
              <w:rPr>
                <w:rFonts w:hint="eastAsia" w:ascii="宋体" w:hAnsi="宋体" w:eastAsia="宋体" w:cs="宋体"/>
                <w:szCs w:val="21"/>
                <w:highlight w:val="none"/>
              </w:rPr>
              <w:t>等品牌质量标准。</w:t>
            </w:r>
          </w:p>
        </w:tc>
      </w:tr>
      <w:tr w14:paraId="6041F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004840A5">
            <w:pPr>
              <w:pStyle w:val="9"/>
              <w:numPr>
                <w:ilvl w:val="0"/>
                <w:numId w:val="4"/>
              </w:numPr>
              <w:rPr>
                <w:highlight w:val="none"/>
              </w:rPr>
            </w:pPr>
          </w:p>
        </w:tc>
        <w:tc>
          <w:tcPr>
            <w:tcW w:w="7580" w:type="dxa"/>
            <w:noWrap w:val="0"/>
            <w:vAlign w:val="top"/>
          </w:tcPr>
          <w:p w14:paraId="51CB8B88">
            <w:pPr>
              <w:pStyle w:val="9"/>
              <w:rPr>
                <w:rFonts w:ascii="宋体" w:hAnsi="宋体" w:cs="宋体"/>
                <w:szCs w:val="21"/>
                <w:highlight w:val="none"/>
              </w:rPr>
            </w:pPr>
            <w:r>
              <w:rPr>
                <w:rFonts w:hint="eastAsia" w:ascii="宋体" w:hAnsi="宋体" w:eastAsia="宋体" w:cs="宋体"/>
                <w:szCs w:val="21"/>
                <w:highlight w:val="none"/>
              </w:rPr>
              <w:t>工程涉及到监控系统的，改造后的监控系统需能够接入校内监控系统。</w:t>
            </w:r>
          </w:p>
        </w:tc>
      </w:tr>
      <w:tr w14:paraId="7AA53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FBB845A">
            <w:pPr>
              <w:pStyle w:val="9"/>
              <w:numPr>
                <w:ilvl w:val="0"/>
                <w:numId w:val="4"/>
              </w:numPr>
              <w:rPr>
                <w:highlight w:val="none"/>
              </w:rPr>
            </w:pPr>
          </w:p>
        </w:tc>
        <w:tc>
          <w:tcPr>
            <w:tcW w:w="7580" w:type="dxa"/>
            <w:noWrap w:val="0"/>
            <w:vAlign w:val="top"/>
          </w:tcPr>
          <w:p w14:paraId="23090DE7">
            <w:pPr>
              <w:pStyle w:val="9"/>
              <w:rPr>
                <w:highlight w:val="none"/>
              </w:rPr>
            </w:pPr>
            <w:r>
              <w:rPr>
                <w:rFonts w:hint="eastAsia" w:ascii="宋体" w:hAnsi="宋体" w:eastAsia="宋体" w:cs="宋体"/>
                <w:szCs w:val="21"/>
                <w:highlight w:val="none"/>
              </w:rPr>
              <w:t>工程涉及到消防系统的，改造后的消防系统需能够接入校内集中消防控制系统。</w:t>
            </w:r>
          </w:p>
        </w:tc>
      </w:tr>
      <w:tr w14:paraId="69063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5A018290">
            <w:pPr>
              <w:pStyle w:val="9"/>
              <w:numPr>
                <w:ilvl w:val="0"/>
                <w:numId w:val="4"/>
              </w:numPr>
              <w:rPr>
                <w:highlight w:val="none"/>
              </w:rPr>
            </w:pPr>
          </w:p>
        </w:tc>
        <w:tc>
          <w:tcPr>
            <w:tcW w:w="7580" w:type="dxa"/>
            <w:noWrap w:val="0"/>
            <w:vAlign w:val="top"/>
          </w:tcPr>
          <w:p w14:paraId="1929EBFC">
            <w:pPr>
              <w:pStyle w:val="9"/>
              <w:rPr>
                <w:rFonts w:ascii="宋体" w:hAnsi="宋体" w:eastAsia="宋体" w:cs="宋体"/>
                <w:szCs w:val="21"/>
                <w:highlight w:val="none"/>
              </w:rPr>
            </w:pPr>
            <w:r>
              <w:rPr>
                <w:rFonts w:hint="eastAsia" w:ascii="宋体" w:hAnsi="宋体" w:eastAsia="宋体" w:cs="宋体"/>
                <w:szCs w:val="21"/>
                <w:highlight w:val="none"/>
              </w:rPr>
              <w:t>工程涉及到电计量</w:t>
            </w:r>
            <w:r>
              <w:rPr>
                <w:rFonts w:ascii="宋体" w:hAnsi="宋体" w:eastAsia="宋体" w:cs="宋体"/>
                <w:szCs w:val="21"/>
                <w:highlight w:val="none"/>
              </w:rPr>
              <w:t>系统</w:t>
            </w:r>
            <w:r>
              <w:rPr>
                <w:rFonts w:hint="eastAsia" w:ascii="宋体" w:hAnsi="宋体" w:eastAsia="宋体" w:cs="宋体"/>
                <w:szCs w:val="21"/>
                <w:highlight w:val="none"/>
              </w:rPr>
              <w:t>的，改造后的电表需能够接入到校内既有电计量</w:t>
            </w:r>
            <w:r>
              <w:rPr>
                <w:rFonts w:ascii="宋体" w:hAnsi="宋体" w:eastAsia="宋体" w:cs="宋体"/>
                <w:szCs w:val="21"/>
                <w:highlight w:val="none"/>
              </w:rPr>
              <w:t>收费系统</w:t>
            </w:r>
            <w:r>
              <w:rPr>
                <w:rFonts w:hint="eastAsia" w:ascii="宋体" w:hAnsi="宋体" w:eastAsia="宋体" w:cs="宋体"/>
                <w:szCs w:val="21"/>
                <w:highlight w:val="none"/>
              </w:rPr>
              <w:t>。</w:t>
            </w:r>
          </w:p>
        </w:tc>
      </w:tr>
      <w:tr w14:paraId="0372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2D3FE339">
            <w:pPr>
              <w:pStyle w:val="9"/>
              <w:numPr>
                <w:ilvl w:val="0"/>
                <w:numId w:val="4"/>
              </w:numPr>
              <w:rPr>
                <w:highlight w:val="none"/>
              </w:rPr>
            </w:pPr>
          </w:p>
        </w:tc>
        <w:tc>
          <w:tcPr>
            <w:tcW w:w="7580" w:type="dxa"/>
            <w:noWrap w:val="0"/>
            <w:vAlign w:val="top"/>
          </w:tcPr>
          <w:p w14:paraId="09F4FA7C">
            <w:pPr>
              <w:pStyle w:val="9"/>
              <w:rPr>
                <w:rFonts w:ascii="宋体" w:hAnsi="宋体" w:eastAsia="宋体" w:cs="宋体"/>
                <w:szCs w:val="21"/>
                <w:highlight w:val="none"/>
              </w:rPr>
            </w:pPr>
            <w:r>
              <w:rPr>
                <w:rFonts w:hint="eastAsia" w:ascii="宋体" w:hAnsi="宋体" w:eastAsia="宋体" w:cs="宋体"/>
                <w:szCs w:val="21"/>
                <w:highlight w:val="none"/>
              </w:rPr>
              <w:t>防火门、钢质门性能指标参照或相当于飞云、步阳、群升、王力、美心等品牌质量标准。</w:t>
            </w:r>
          </w:p>
        </w:tc>
      </w:tr>
      <w:tr w14:paraId="4D5F5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noWrap w:val="0"/>
            <w:vAlign w:val="top"/>
          </w:tcPr>
          <w:p w14:paraId="61D13E2A">
            <w:pPr>
              <w:pStyle w:val="9"/>
              <w:numPr>
                <w:ilvl w:val="0"/>
                <w:numId w:val="4"/>
              </w:numPr>
              <w:rPr>
                <w:highlight w:val="none"/>
              </w:rPr>
            </w:pPr>
          </w:p>
        </w:tc>
        <w:tc>
          <w:tcPr>
            <w:tcW w:w="7580" w:type="dxa"/>
            <w:noWrap w:val="0"/>
            <w:vAlign w:val="top"/>
          </w:tcPr>
          <w:p w14:paraId="3305A459">
            <w:pPr>
              <w:pStyle w:val="9"/>
              <w:rPr>
                <w:rFonts w:ascii="宋体" w:hAnsi="宋体" w:eastAsia="宋体" w:cs="宋体"/>
                <w:szCs w:val="21"/>
                <w:highlight w:val="none"/>
              </w:rPr>
            </w:pPr>
            <w:r>
              <w:rPr>
                <w:rFonts w:hint="eastAsia" w:ascii="宋体" w:hAnsi="宋体" w:eastAsia="宋体" w:cs="宋体"/>
                <w:szCs w:val="21"/>
                <w:highlight w:val="none"/>
              </w:rPr>
              <w:t>消防管件性能指标参照或相当于华盛、鼎梁、龙成等品牌质量标准。</w:t>
            </w:r>
          </w:p>
        </w:tc>
      </w:tr>
    </w:tbl>
    <w:p w14:paraId="125CD443">
      <w:pPr>
        <w:spacing w:line="400" w:lineRule="exact"/>
        <w:ind w:firstLine="420"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以上主要材料品牌厂商参考范围为采购人对于同类产品质量档次衡量标准，各供应商选用的材料</w:t>
      </w:r>
      <w:r>
        <w:rPr>
          <w:rFonts w:ascii="宋体" w:hAnsi="宋体" w:eastAsia="宋体" w:cs="宋体"/>
          <w:color w:val="000000"/>
          <w:sz w:val="21"/>
          <w:szCs w:val="21"/>
          <w:highlight w:val="none"/>
        </w:rPr>
        <w:t>性能指标参照或相当于</w:t>
      </w:r>
      <w:r>
        <w:rPr>
          <w:rFonts w:hint="eastAsia" w:ascii="宋体" w:hAnsi="宋体" w:eastAsia="宋体" w:cs="宋体"/>
          <w:color w:val="000000"/>
          <w:sz w:val="21"/>
          <w:szCs w:val="21"/>
          <w:highlight w:val="none"/>
        </w:rPr>
        <w:t>此档次标准且应优先考虑参考范围内的品牌厂商。材料质量标准及性能指标是否“参照或相当于品牌质量标准”，在施工进场阶段须经采购人确认，如中标人所供材料不符合采购人质量档次要求，采购人将要求中标人更换材料品牌厂商直至满足采购人质量档次要求为止，</w:t>
      </w:r>
      <w:r>
        <w:rPr>
          <w:rFonts w:hint="eastAsia" w:ascii="宋体" w:hAnsi="宋体" w:eastAsia="宋体" w:cs="宋体"/>
          <w:b/>
          <w:bCs/>
          <w:color w:val="000000"/>
          <w:sz w:val="21"/>
          <w:szCs w:val="21"/>
          <w:highlight w:val="none"/>
        </w:rPr>
        <w:t>由此导致的工期延长责任由中标人承担。</w:t>
      </w:r>
    </w:p>
    <w:p w14:paraId="28101F0B">
      <w:pPr>
        <w:numPr>
          <w:ilvl w:val="0"/>
          <w:numId w:val="1"/>
        </w:numPr>
        <w:spacing w:before="100" w:after="100" w:line="440" w:lineRule="exact"/>
        <w:outlineLvl w:val="1"/>
        <w:rPr>
          <w:rFonts w:ascii="微软雅黑" w:hAnsi="微软雅黑" w:cs="宋体"/>
          <w:b/>
          <w:sz w:val="28"/>
          <w:szCs w:val="28"/>
          <w:highlight w:val="none"/>
        </w:rPr>
      </w:pPr>
      <w:bookmarkStart w:id="2" w:name="_Toc128210812"/>
      <w:r>
        <w:rPr>
          <w:rFonts w:hint="eastAsia" w:ascii="微软雅黑" w:hAnsi="微软雅黑" w:cs="宋体"/>
          <w:b/>
          <w:sz w:val="28"/>
          <w:szCs w:val="28"/>
          <w:highlight w:val="none"/>
        </w:rPr>
        <w:t>现场施工及安全文明施工要求</w:t>
      </w:r>
      <w:bookmarkEnd w:id="2"/>
    </w:p>
    <w:p w14:paraId="49DE59F2">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场容场貌：现场明显处设立按国家建设</w:t>
      </w:r>
      <w:r>
        <w:rPr>
          <w:rFonts w:ascii="宋体" w:hAnsi="宋体" w:eastAsia="宋体" w:cs="宋体"/>
          <w:color w:val="000000"/>
          <w:sz w:val="21"/>
          <w:szCs w:val="21"/>
          <w:highlight w:val="none"/>
        </w:rPr>
        <w:t>主管部门</w:t>
      </w:r>
      <w:r>
        <w:rPr>
          <w:rFonts w:hint="eastAsia" w:ascii="宋体" w:hAnsi="宋体" w:eastAsia="宋体" w:cs="宋体"/>
          <w:color w:val="000000"/>
          <w:sz w:val="21"/>
          <w:szCs w:val="21"/>
          <w:highlight w:val="none"/>
        </w:rPr>
        <w:t>规定的五牌一图（施工现场平面布置图、工程概况牌，管理人员名单及监督电话牌，消防保卫，〈防火责任〉安全生产记录牌，文明施工牌），严格按施工组织设计平面布置图施工。</w:t>
      </w:r>
    </w:p>
    <w:p w14:paraId="0D6604D5">
      <w:pPr>
        <w:pStyle w:val="8"/>
        <w:numPr>
          <w:ilvl w:val="0"/>
          <w:numId w:val="0"/>
        </w:numPr>
        <w:spacing w:line="400" w:lineRule="exact"/>
        <w:ind w:firstLine="413" w:firstLineChars="196"/>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严格遵守《哈尔滨工业大学总务处工程施工现场管理办法》、《哈尔滨工业大学总务处工程施工现场管理细则》、《哈工大施工现场安全隐患处罚条例》、《施工企业校园管理承诺书》及学校有关规章制度，进场施工进入校区，严格按校保卫处进出校园管理及入校园收费的有关规定执行。（相关规章制度附合同后）</w:t>
      </w:r>
    </w:p>
    <w:p w14:paraId="32A27540">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施工计划安排须考虑周全，并经采购人、监理方审核后方可实施。</w:t>
      </w:r>
    </w:p>
    <w:p w14:paraId="20D138BE">
      <w:pPr>
        <w:pStyle w:val="8"/>
        <w:numPr>
          <w:ilvl w:val="0"/>
          <w:numId w:val="5"/>
        </w:numPr>
        <w:spacing w:line="400" w:lineRule="exact"/>
        <w:rPr>
          <w:rFonts w:ascii="宋体" w:hAnsi="宋体" w:eastAsia="宋体" w:cs="宋体"/>
          <w:sz w:val="21"/>
          <w:szCs w:val="21"/>
          <w:highlight w:val="none"/>
        </w:rPr>
      </w:pPr>
      <w:r>
        <w:rPr>
          <w:rFonts w:hint="eastAsia" w:ascii="宋体" w:hAnsi="宋体" w:eastAsia="宋体" w:cs="宋体"/>
          <w:color w:val="000000"/>
          <w:sz w:val="21"/>
          <w:szCs w:val="21"/>
          <w:highlight w:val="none"/>
        </w:rPr>
        <w:t>本工程施工管理，供应商应严格遵守国家及地方政府颁发的安全施工、文明施工等规范、条例，遵守采购人的现场管理规定。达不到文明工地标准，采购人即可勒令供应商</w:t>
      </w:r>
      <w:r>
        <w:rPr>
          <w:rFonts w:hint="eastAsia" w:ascii="宋体" w:hAnsi="宋体" w:eastAsia="宋体" w:cs="宋体"/>
          <w:sz w:val="21"/>
          <w:szCs w:val="21"/>
          <w:highlight w:val="none"/>
        </w:rPr>
        <w:t>停工整改。</w:t>
      </w:r>
    </w:p>
    <w:p w14:paraId="11FF6D30">
      <w:pPr>
        <w:pStyle w:val="8"/>
        <w:numPr>
          <w:ilvl w:val="0"/>
          <w:numId w:val="5"/>
        </w:numPr>
        <w:spacing w:line="400" w:lineRule="exact"/>
        <w:rPr>
          <w:rFonts w:ascii="宋体" w:hAnsi="宋体" w:eastAsia="宋体" w:cs="宋体"/>
          <w:bCs/>
          <w:sz w:val="21"/>
          <w:szCs w:val="21"/>
          <w:highlight w:val="none"/>
        </w:rPr>
      </w:pPr>
      <w:r>
        <w:rPr>
          <w:rFonts w:hint="eastAsia" w:ascii="宋体" w:hAnsi="宋体" w:eastAsia="宋体" w:cs="宋体"/>
          <w:sz w:val="21"/>
          <w:szCs w:val="21"/>
          <w:highlight w:val="none"/>
        </w:rPr>
        <w:t>供应商现场办公室应配置齐全、完好的办公设备。</w:t>
      </w:r>
      <w:r>
        <w:rPr>
          <w:rFonts w:hint="eastAsia" w:ascii="宋体" w:hAnsi="宋体" w:eastAsia="宋体" w:cs="宋体"/>
          <w:bCs/>
          <w:sz w:val="21"/>
          <w:szCs w:val="21"/>
          <w:highlight w:val="none"/>
        </w:rPr>
        <w:t>为建设单位代表及监理工程师提供独立办公场所。</w:t>
      </w:r>
    </w:p>
    <w:p w14:paraId="34B21A24">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供应商在危险环境下施工之前，应制订完善的安全保护措施，经采购人及监理批准后实施。</w:t>
      </w:r>
    </w:p>
    <w:p w14:paraId="50B814F0">
      <w:pPr>
        <w:pStyle w:val="8"/>
        <w:numPr>
          <w:ilvl w:val="0"/>
          <w:numId w:val="5"/>
        </w:numPr>
        <w:spacing w:line="400" w:lineRule="exact"/>
        <w:ind w:firstLine="422"/>
        <w:rPr>
          <w:rFonts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施工期间，供应商应及时整理和安排所有机械、工具、材料等，工程建设的多余材料、建筑垃圾必须及时清理。否则，每次扣工程款</w:t>
      </w:r>
      <w:r>
        <w:rPr>
          <w:rFonts w:ascii="宋体" w:hAnsi="宋体" w:eastAsia="宋体" w:cs="宋体"/>
          <w:b/>
          <w:color w:val="000000"/>
          <w:sz w:val="21"/>
          <w:szCs w:val="21"/>
          <w:highlight w:val="none"/>
          <w:u w:val="single"/>
        </w:rPr>
        <w:t>1000</w:t>
      </w:r>
      <w:r>
        <w:rPr>
          <w:rFonts w:hint="eastAsia" w:ascii="宋体" w:hAnsi="宋体" w:eastAsia="宋体" w:cs="宋体"/>
          <w:b/>
          <w:color w:val="000000"/>
          <w:sz w:val="21"/>
          <w:szCs w:val="21"/>
          <w:highlight w:val="none"/>
          <w:u w:val="single"/>
        </w:rPr>
        <w:t>元。</w:t>
      </w:r>
    </w:p>
    <w:p w14:paraId="434A0302">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遵守建设方对施工场地交通、施工噪声、施工现场环境卫生和场外污染管理规定并办理有关手续，供应商造成的罚款等全部责任由供应商自行承担。</w:t>
      </w:r>
    </w:p>
    <w:p w14:paraId="2F3D69BF">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施工中发生的一切安全事故，除系因采购人过错造成的外，均由供应商承担全部责任。</w:t>
      </w:r>
    </w:p>
    <w:p w14:paraId="3A272AB1">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本项目将按照《建筑工人实名制管理办法（试行）》（建市【2019】18号）文件要求，对项目管理人员及施工现场建筑工人进行实名制管理。</w:t>
      </w:r>
    </w:p>
    <w:p w14:paraId="1713430A">
      <w:pPr>
        <w:pStyle w:val="8"/>
        <w:numPr>
          <w:ilvl w:val="0"/>
          <w:numId w:val="5"/>
        </w:numPr>
        <w:spacing w:line="400" w:lineRule="exact"/>
        <w:ind w:firstLine="422"/>
        <w:rPr>
          <w:rFonts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报名、投标时拟派的项目班子成员必须一致，且不能中途更换，项目经理每天务必到施工现场严格管理，未经采购人同意不到施工现场每次罚款1000元。</w:t>
      </w:r>
    </w:p>
    <w:p w14:paraId="2F534614">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严格遵守建设方的招标要求，工程质量合格。在工程施工过程中，要充分考虑到学校的实际情况和学的日常作息问题，做好安全文明施工。尽量减少粉尘和噪音，安全文明施工要严格按照建设方的管理要求，采取必要的措施。若供应商达到以上规定，则采购人按相关文件规定之安全文明施工费全额给予供应商，若供应商未达到以上规定，则采购人按相关文件规定之安全文明施工费的50%给予扣除。安全文明施工费的取费标准按照黑龙江省建设行政主管部门颁发的相关文件执行。</w:t>
      </w:r>
    </w:p>
    <w:p w14:paraId="72FB6531">
      <w:pPr>
        <w:pStyle w:val="8"/>
        <w:spacing w:line="400" w:lineRule="exact"/>
        <w:ind w:firstLine="422"/>
        <w:rPr>
          <w:rFonts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u w:val="single"/>
        </w:rPr>
        <w:t>原则上每天施工时间为上午8:00-12:00，下午13:30-19:00。特殊情况下，经工程管理部批准才可超出时间段施工。施工单位违反规定，每次罚款1000元。遭到师生投诉，视情节每次罚款2000-10000元。</w:t>
      </w:r>
    </w:p>
    <w:p w14:paraId="31EB7E0C">
      <w:pPr>
        <w:pStyle w:val="8"/>
        <w:numPr>
          <w:ilvl w:val="0"/>
          <w:numId w:val="5"/>
        </w:numPr>
        <w:spacing w:line="400" w:lineRule="exact"/>
        <w:rPr>
          <w:rFonts w:ascii="宋体" w:hAnsi="宋体" w:eastAsia="宋体" w:cs="宋体"/>
          <w:sz w:val="21"/>
          <w:szCs w:val="21"/>
          <w:highlight w:val="none"/>
        </w:rPr>
      </w:pPr>
      <w:r>
        <w:rPr>
          <w:rFonts w:hint="eastAsia" w:ascii="宋体" w:hAnsi="宋体" w:eastAsia="宋体" w:cs="宋体"/>
          <w:sz w:val="21"/>
          <w:szCs w:val="21"/>
          <w:highlight w:val="none"/>
        </w:rPr>
        <w:t>供应商施工人员进入校园内</w:t>
      </w:r>
      <w:r>
        <w:rPr>
          <w:rFonts w:ascii="宋体" w:hAnsi="宋体" w:eastAsia="宋体" w:cs="宋体"/>
          <w:sz w:val="21"/>
          <w:szCs w:val="21"/>
          <w:highlight w:val="none"/>
        </w:rPr>
        <w:t>需</w:t>
      </w:r>
      <w:r>
        <w:rPr>
          <w:rFonts w:hint="eastAsia" w:ascii="宋体" w:hAnsi="宋体" w:eastAsia="宋体" w:cs="宋体"/>
          <w:sz w:val="21"/>
          <w:szCs w:val="21"/>
          <w:highlight w:val="none"/>
        </w:rPr>
        <w:t>统一</w:t>
      </w:r>
      <w:r>
        <w:rPr>
          <w:rFonts w:ascii="宋体" w:hAnsi="宋体" w:eastAsia="宋体" w:cs="宋体"/>
          <w:sz w:val="21"/>
          <w:szCs w:val="21"/>
          <w:highlight w:val="none"/>
        </w:rPr>
        <w:t>着装，佩戴能够表明人员身份的胸卡，</w:t>
      </w:r>
      <w:r>
        <w:rPr>
          <w:rFonts w:hint="eastAsia" w:ascii="宋体" w:hAnsi="宋体" w:eastAsia="宋体" w:cs="宋体"/>
          <w:sz w:val="21"/>
          <w:szCs w:val="21"/>
          <w:highlight w:val="none"/>
        </w:rPr>
        <w:t>集中</w:t>
      </w:r>
      <w:r>
        <w:rPr>
          <w:rFonts w:ascii="宋体" w:hAnsi="宋体" w:eastAsia="宋体" w:cs="宋体"/>
          <w:sz w:val="21"/>
          <w:szCs w:val="21"/>
          <w:highlight w:val="none"/>
        </w:rPr>
        <w:t>进出校园</w:t>
      </w:r>
      <w:r>
        <w:rPr>
          <w:rFonts w:hint="eastAsia" w:ascii="宋体" w:hAnsi="宋体" w:eastAsia="宋体" w:cs="宋体"/>
          <w:sz w:val="21"/>
          <w:szCs w:val="21"/>
          <w:highlight w:val="none"/>
        </w:rPr>
        <w:t>和工地</w:t>
      </w:r>
      <w:r>
        <w:rPr>
          <w:rFonts w:ascii="宋体" w:hAnsi="宋体" w:eastAsia="宋体" w:cs="宋体"/>
          <w:sz w:val="21"/>
          <w:szCs w:val="21"/>
          <w:highlight w:val="none"/>
        </w:rPr>
        <w:t>。</w:t>
      </w:r>
      <w:r>
        <w:rPr>
          <w:rFonts w:hint="eastAsia" w:ascii="宋体" w:hAnsi="宋体" w:eastAsia="宋体" w:cs="宋体"/>
          <w:sz w:val="21"/>
          <w:szCs w:val="21"/>
          <w:highlight w:val="none"/>
        </w:rPr>
        <w:t>供应商</w:t>
      </w:r>
      <w:r>
        <w:rPr>
          <w:rFonts w:ascii="宋体" w:hAnsi="宋体" w:eastAsia="宋体" w:cs="宋体"/>
          <w:sz w:val="21"/>
          <w:szCs w:val="21"/>
          <w:highlight w:val="none"/>
        </w:rPr>
        <w:t>施工期间</w:t>
      </w:r>
      <w:r>
        <w:rPr>
          <w:rFonts w:hint="eastAsia" w:ascii="宋体" w:hAnsi="宋体" w:eastAsia="宋体" w:cs="宋体"/>
          <w:sz w:val="21"/>
          <w:szCs w:val="21"/>
          <w:highlight w:val="none"/>
        </w:rPr>
        <w:t>应</w:t>
      </w:r>
      <w:r>
        <w:rPr>
          <w:rFonts w:ascii="宋体" w:hAnsi="宋体" w:eastAsia="宋体" w:cs="宋体"/>
          <w:sz w:val="21"/>
          <w:szCs w:val="21"/>
          <w:highlight w:val="none"/>
        </w:rPr>
        <w:t>严格按照学生公寓管理要求进行施工</w:t>
      </w:r>
      <w:r>
        <w:rPr>
          <w:rFonts w:hint="eastAsia" w:ascii="宋体" w:hAnsi="宋体" w:eastAsia="宋体" w:cs="宋体"/>
          <w:sz w:val="21"/>
          <w:szCs w:val="21"/>
          <w:highlight w:val="none"/>
        </w:rPr>
        <w:t>，</w:t>
      </w:r>
      <w:r>
        <w:rPr>
          <w:rFonts w:ascii="宋体" w:hAnsi="宋体" w:eastAsia="宋体" w:cs="宋体"/>
          <w:sz w:val="21"/>
          <w:szCs w:val="21"/>
          <w:highlight w:val="none"/>
        </w:rPr>
        <w:t>严禁</w:t>
      </w:r>
      <w:r>
        <w:rPr>
          <w:rFonts w:hint="eastAsia" w:ascii="宋体" w:hAnsi="宋体" w:eastAsia="宋体" w:cs="宋体"/>
          <w:sz w:val="21"/>
          <w:szCs w:val="21"/>
          <w:highlight w:val="none"/>
        </w:rPr>
        <w:t>偷盗</w:t>
      </w:r>
      <w:r>
        <w:rPr>
          <w:rFonts w:ascii="宋体" w:hAnsi="宋体" w:eastAsia="宋体" w:cs="宋体"/>
          <w:sz w:val="21"/>
          <w:szCs w:val="21"/>
          <w:highlight w:val="none"/>
        </w:rPr>
        <w:t>，</w:t>
      </w:r>
      <w:r>
        <w:rPr>
          <w:rFonts w:hint="eastAsia" w:ascii="宋体" w:hAnsi="宋体" w:eastAsia="宋体" w:cs="宋体"/>
          <w:sz w:val="21"/>
          <w:szCs w:val="21"/>
          <w:highlight w:val="none"/>
        </w:rPr>
        <w:t>如</w:t>
      </w:r>
      <w:r>
        <w:rPr>
          <w:rFonts w:ascii="宋体" w:hAnsi="宋体" w:eastAsia="宋体" w:cs="宋体"/>
          <w:sz w:val="21"/>
          <w:szCs w:val="21"/>
          <w:highlight w:val="none"/>
        </w:rPr>
        <w:t>发现</w:t>
      </w:r>
      <w:r>
        <w:rPr>
          <w:rFonts w:hint="eastAsia" w:ascii="宋体" w:hAnsi="宋体" w:eastAsia="宋体" w:cs="宋体"/>
          <w:sz w:val="21"/>
          <w:szCs w:val="21"/>
          <w:highlight w:val="none"/>
        </w:rPr>
        <w:t>供应商</w:t>
      </w:r>
      <w:r>
        <w:rPr>
          <w:rFonts w:ascii="宋体" w:hAnsi="宋体" w:eastAsia="宋体" w:cs="宋体"/>
          <w:sz w:val="21"/>
          <w:szCs w:val="21"/>
          <w:highlight w:val="none"/>
        </w:rPr>
        <w:t>施工人员有</w:t>
      </w:r>
      <w:r>
        <w:rPr>
          <w:rFonts w:hint="eastAsia" w:ascii="宋体" w:hAnsi="宋体" w:eastAsia="宋体" w:cs="宋体"/>
          <w:sz w:val="21"/>
          <w:szCs w:val="21"/>
          <w:highlight w:val="none"/>
        </w:rPr>
        <w:t>偷盗行为</w:t>
      </w:r>
      <w:r>
        <w:rPr>
          <w:rFonts w:ascii="宋体" w:hAnsi="宋体" w:eastAsia="宋体" w:cs="宋体"/>
          <w:sz w:val="21"/>
          <w:szCs w:val="21"/>
          <w:highlight w:val="none"/>
        </w:rPr>
        <w:t>的，</w:t>
      </w:r>
      <w:r>
        <w:rPr>
          <w:rFonts w:hint="eastAsia" w:ascii="宋体" w:hAnsi="宋体" w:eastAsia="宋体" w:cs="宋体"/>
          <w:sz w:val="21"/>
          <w:szCs w:val="21"/>
          <w:highlight w:val="none"/>
        </w:rPr>
        <w:t>供应商负责全额赔偿</w:t>
      </w:r>
      <w:r>
        <w:rPr>
          <w:rFonts w:ascii="宋体" w:hAnsi="宋体" w:eastAsia="宋体" w:cs="宋体"/>
          <w:sz w:val="21"/>
          <w:szCs w:val="21"/>
          <w:highlight w:val="none"/>
        </w:rPr>
        <w:t>，</w:t>
      </w:r>
      <w:r>
        <w:rPr>
          <w:rFonts w:hint="eastAsia" w:ascii="宋体" w:hAnsi="宋体" w:eastAsia="宋体" w:cs="宋体"/>
          <w:sz w:val="21"/>
          <w:szCs w:val="21"/>
          <w:highlight w:val="none"/>
        </w:rPr>
        <w:t>同时学校将对</w:t>
      </w:r>
      <w:r>
        <w:rPr>
          <w:rFonts w:ascii="宋体" w:hAnsi="宋体" w:eastAsia="宋体" w:cs="宋体"/>
          <w:sz w:val="21"/>
          <w:szCs w:val="21"/>
          <w:highlight w:val="none"/>
        </w:rPr>
        <w:t>供应商处以罚款</w:t>
      </w:r>
      <w:r>
        <w:rPr>
          <w:rFonts w:hint="eastAsia" w:ascii="宋体" w:hAnsi="宋体" w:eastAsia="宋体" w:cs="宋体"/>
          <w:sz w:val="21"/>
          <w:szCs w:val="21"/>
          <w:highlight w:val="none"/>
        </w:rPr>
        <w:t>1万元/次</w:t>
      </w:r>
      <w:r>
        <w:rPr>
          <w:rFonts w:ascii="宋体" w:hAnsi="宋体" w:eastAsia="宋体" w:cs="宋体"/>
          <w:sz w:val="21"/>
          <w:szCs w:val="21"/>
          <w:highlight w:val="none"/>
        </w:rPr>
        <w:t>。</w:t>
      </w:r>
    </w:p>
    <w:p w14:paraId="23DCC90F">
      <w:pPr>
        <w:pStyle w:val="8"/>
        <w:numPr>
          <w:ilvl w:val="0"/>
          <w:numId w:val="5"/>
        </w:numPr>
        <w:spacing w:line="400" w:lineRule="exact"/>
        <w:rPr>
          <w:rFonts w:ascii="宋体" w:hAnsi="宋体" w:eastAsia="宋体" w:cs="宋体"/>
          <w:sz w:val="21"/>
          <w:szCs w:val="21"/>
          <w:highlight w:val="none"/>
        </w:rPr>
      </w:pPr>
      <w:r>
        <w:rPr>
          <w:rFonts w:hint="eastAsia" w:ascii="宋体" w:hAnsi="宋体" w:eastAsia="宋体" w:cs="宋体"/>
          <w:sz w:val="21"/>
          <w:szCs w:val="21"/>
          <w:highlight w:val="none"/>
        </w:rPr>
        <w:t>承包人需按时支付工人劳动报酬，履约期内因承包人原因引起投诉、上访等群体事件，每次承包人须向发包人支违约金10</w:t>
      </w:r>
      <w:r>
        <w:rPr>
          <w:rFonts w:ascii="宋体" w:hAnsi="宋体" w:eastAsia="宋体" w:cs="宋体"/>
          <w:sz w:val="21"/>
          <w:szCs w:val="21"/>
          <w:highlight w:val="none"/>
        </w:rPr>
        <w:t>000</w:t>
      </w:r>
      <w:r>
        <w:rPr>
          <w:rFonts w:hint="eastAsia" w:ascii="宋体" w:hAnsi="宋体" w:eastAsia="宋体" w:cs="宋体"/>
          <w:sz w:val="21"/>
          <w:szCs w:val="21"/>
          <w:highlight w:val="none"/>
        </w:rPr>
        <w:t>元，同时发包人保留解除合同的权利。</w:t>
      </w:r>
    </w:p>
    <w:p w14:paraId="44B30D71">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承包人应按有关规范、设计要求及采购人代表和监理的指令进行施工，随时接受检查，为检查提供便利条件，及时根据要求向采购人代表及监理提供与工程质量有关的技术资料；并按检查结果进行整改。</w:t>
      </w:r>
    </w:p>
    <w:p w14:paraId="1120E5C0">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分部分项工程达到隐蔽验收时，承包人自检合格后，于验收前24小时通知采购人代表和监理，并提供有关合格资料，经验收合格并签字后方可进行隐蔽。如果发现承包人在验收合格后到隐蔽施工前，对合格部分做任何改动，应重新进行验收；重要的工程隐蔽验收应通知质量监督及设计单位共同参加验收。隐蔽工程无论采购人是否进行验收，当其要求对已经隐蔽的工程重新检验时，承包人应按要求进行剥离或开孔，并在检验后重新覆盖或修复。检验合格，采购人承担由此发生的全部费用并相应顺延工期。检验不合格的，承包人承担发生的全部费用，工期不予顺延。关键工序施工完毕后，须经监理、采购人代表验收合格签字后（承包人应在验收前向采购人及监理提交三检记录、施工交底记录等资料），方可进行下道工序施工，否则每次承包人支付违约金1000元，并且采购人有权暂停支付该部分进度款，直至确认该部分工程合格为止。</w:t>
      </w:r>
    </w:p>
    <w:p w14:paraId="4D078E81">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现场用水用电管理：</w:t>
      </w:r>
    </w:p>
    <w:p w14:paraId="026FB413">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承包人应严格遵循《总务处/后勤集团校园修缮工程代收水、电费会签制度》、《哈尔滨工业大学用电管理制度》。</w:t>
      </w:r>
    </w:p>
    <w:p w14:paraId="6D7B7FDD">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1、费用计量及收取</w:t>
      </w:r>
    </w:p>
    <w:p w14:paraId="74F2E261">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（1）承包人用电、用水须安装电表、水表计量，承包人水表电表安装及移位须报采购人同意，安装完成后双方共同抄底度数，并签字认可，电表及水表须经过有关部门检测；</w:t>
      </w:r>
    </w:p>
    <w:p w14:paraId="3221ED40">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（2）承包人用电、用水未挂表计量的，采购人在竣工结算时扣除水电费，金额按签约合同价格的1.05%计算。</w:t>
      </w:r>
    </w:p>
    <w:p w14:paraId="6C7B6590">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2、承包人负责从采购人指定的水电接驳点装箱、接表、敷管、敷线至用水用电地点，费用由承包人承担（注：距离施工部位外边线水平距离150米范围内为承包人承担范围）。</w:t>
      </w:r>
    </w:p>
    <w:p w14:paraId="2B509CD8">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3、对计量计费的水、电费的支付由承包人向学校收费部门交付，保留收据，工程结算时提供。</w:t>
      </w:r>
    </w:p>
    <w:p w14:paraId="22143794">
      <w:pPr>
        <w:pStyle w:val="8"/>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4.承包人在施工过程的临时用水用电违反相关规定，采购人有权进行处罚；</w:t>
      </w:r>
    </w:p>
    <w:p w14:paraId="55066238">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承包人有义务接受监管部门监督，不得阻碍持证监管人员检查水、电使用情况。</w:t>
      </w:r>
    </w:p>
    <w:p w14:paraId="3170A156">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承包人未按学校临时用水用电程序办理审批手续、未通过审批或审批程序未完成即私自用水用电的，采购人扣罚签约合同价的2%作为违约金。</w:t>
      </w:r>
    </w:p>
    <w:p w14:paraId="090C28D1">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采用挂表计量方式用水用电的，水表电表需由学校动力与维修中心统一安装和移动。承包人未经动力与维修中心许可私自安装表具用水用电的，私自移动、改装或改动计量表具的，每发现一次将处以5000元罚款。承包人未安装水表或电表用水用电的，采购人扣罚签约合同价的2%作为违约金。</w:t>
      </w:r>
    </w:p>
    <w:p w14:paraId="60FB3BA9">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采用挂表计量方式用水用电的，承包人故意损坏合法安装的计量装置或使其计量不准、失效的，每发现一次将处以5000元罚款。</w:t>
      </w:r>
    </w:p>
    <w:p w14:paraId="383F38F6">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承包人使用伪造、变造或非法充值的电费卡充值用电的，每发现一次采购人扣罚签约合同价的2%作为违约金。</w:t>
      </w:r>
    </w:p>
    <w:p w14:paraId="1D4C47E5">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采用挂表计量方式用水用电的，承包人未经允许私自开启电能表铅封或伪造铅封的，采购人每发现一次扣罚签约合同价的2%作为违约金。</w:t>
      </w:r>
    </w:p>
    <w:p w14:paraId="5CC79810">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采用挂表计量方式用水用电的，承包人绕越合法安装的计量装置用水用电的（包括但不限于绕越电表在学校电气线路、断路器或插座等供电设施接线用电的；绕越水表从学校供水管线或水龙头等处接水使用的），采购人每发现一次扣罚签约合同价的2%作为违约金。</w:t>
      </w:r>
    </w:p>
    <w:p w14:paraId="7D14DF0E">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承包人选择不使用学校水、电资源的，未经采购人同意承包人擅自使用学校水、电资源（包括但不限于在学校电气线路、断路器或插座等供电设施接线用电的；从学校供水管线或水龙头等处接水使用的），采购人每发现一次扣罚签约合同价的2%作为违约金。</w:t>
      </w:r>
    </w:p>
    <w:p w14:paraId="10DDF422">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项目竣工验收合格后，动力与维修中心、计划财务部双方均同意拆除计量装置并出具书面许可意见，方可拆除电表、水表计量装置。承包人未经许可私自拆除水表或电表的，采购人将扣罚签约合同价的2%作为违约金。</w:t>
      </w:r>
    </w:p>
    <w:p w14:paraId="6E315A7F">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电表设备使用后需归还动力与维修中心，如出现电表设备损坏、改装、改动、破坏铅封或电表不能正常使用等情况的，表具押金不予退还，并按相关条款进行处罚。同时承包人需将电表修复，由此产生的费用由承包人承担。</w:t>
      </w:r>
    </w:p>
    <w:p w14:paraId="483DAD9B">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未尽事宜按照《哈尔滨工业大学用电管理制度》处理。如承包人出现上述违规行为，学校将停止供水供电，承包人必须立即整改，整改合格后方可恢复供水供电。</w:t>
      </w:r>
    </w:p>
    <w:p w14:paraId="757365F4">
      <w:pPr>
        <w:pStyle w:val="10"/>
        <w:numPr>
          <w:ilvl w:val="0"/>
          <w:numId w:val="6"/>
        </w:numPr>
        <w:spacing w:line="40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承包人罚款缴纳有两种方案：方案一是在项目竣工结算时从合同价款中直接扣除；方案二是承包人现金缴纳至总务处计财部。采用哪种方案需进一步协商。</w:t>
      </w:r>
    </w:p>
    <w:p w14:paraId="022528BE">
      <w:pPr>
        <w:pStyle w:val="8"/>
        <w:numPr>
          <w:ilvl w:val="0"/>
          <w:numId w:val="5"/>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p w14:paraId="4CD5DBF7">
      <w:pPr>
        <w:pStyle w:val="8"/>
        <w:numPr>
          <w:ilvl w:val="0"/>
          <w:numId w:val="7"/>
        </w:numPr>
        <w:spacing w:line="400" w:lineRule="exact"/>
        <w:ind w:firstLine="420"/>
        <w:rPr>
          <w:rFonts w:ascii="宋体" w:hAnsi="宋体" w:eastAsia="宋体" w:cs="宋体"/>
          <w:b/>
          <w:sz w:val="21"/>
          <w:szCs w:val="21"/>
          <w:highlight w:val="none"/>
          <w:u w:val="single"/>
        </w:rPr>
      </w:pPr>
      <w:bookmarkStart w:id="3" w:name="_Toc128210813"/>
      <w:r>
        <w:rPr>
          <w:rFonts w:hint="eastAsia" w:ascii="宋体" w:hAnsi="宋体" w:eastAsia="宋体" w:cs="宋体"/>
          <w:color w:val="000000"/>
          <w:sz w:val="21"/>
          <w:szCs w:val="21"/>
          <w:highlight w:val="none"/>
        </w:rPr>
        <w:t>采购人对施工质量有疑问，而要求承包人复测时，承包人应给予积极配合。</w:t>
      </w:r>
    </w:p>
    <w:p w14:paraId="5841E534">
      <w:pPr>
        <w:pStyle w:val="8"/>
        <w:numPr>
          <w:ilvl w:val="0"/>
          <w:numId w:val="7"/>
        </w:numPr>
        <w:spacing w:line="400" w:lineRule="exact"/>
        <w:ind w:firstLine="420"/>
        <w:rPr>
          <w:rFonts w:ascii="宋体" w:hAnsi="宋体" w:eastAsia="宋体" w:cs="宋体"/>
          <w:bCs/>
          <w:sz w:val="21"/>
          <w:szCs w:val="21"/>
          <w:highlight w:val="none"/>
        </w:rPr>
      </w:pPr>
      <w:r>
        <w:rPr>
          <w:rFonts w:hint="eastAsia" w:ascii="宋体" w:hAnsi="宋体" w:eastAsia="宋体" w:cs="宋体"/>
          <w:sz w:val="21"/>
          <w:szCs w:val="21"/>
          <w:highlight w:val="none"/>
        </w:rPr>
        <w:t>为保证施工质量，施工难点以及容易发生质量通病的地方，承包人应先报施工方案经采购人确认。采购人可根据实际情况要求承包人做施工样板方可施工；</w:t>
      </w:r>
      <w:r>
        <w:rPr>
          <w:rFonts w:hint="eastAsia" w:ascii="宋体" w:hAnsi="宋体" w:eastAsia="宋体" w:cs="宋体"/>
          <w:bCs/>
          <w:sz w:val="21"/>
          <w:szCs w:val="21"/>
          <w:highlight w:val="none"/>
        </w:rPr>
        <w:t>因施工现场条件复杂，承包人须按采购人要求进行挖掘探坑、拆除障碍等作业。上述内容除招标工程量清单中已列项外，其余费用全部由承包人承担，采购人不再另行支付费用，请承包人在测算报价时充分考虑以上因素。</w:t>
      </w:r>
    </w:p>
    <w:p w14:paraId="2D65063A">
      <w:pPr>
        <w:pStyle w:val="8"/>
        <w:numPr>
          <w:ilvl w:val="0"/>
          <w:numId w:val="7"/>
        </w:numPr>
        <w:spacing w:line="400" w:lineRule="exact"/>
        <w:ind w:firstLine="42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由于承包人施工质量原因，出现质量问题，承包人除按要求进行整改并承担相应费用和责任外，每次出现质量问题扣工程款0.5万元。</w:t>
      </w:r>
    </w:p>
    <w:p w14:paraId="75F5AF9D">
      <w:pPr>
        <w:pStyle w:val="8"/>
        <w:numPr>
          <w:ilvl w:val="0"/>
          <w:numId w:val="7"/>
        </w:numPr>
        <w:spacing w:line="400" w:lineRule="exact"/>
        <w:ind w:firstLine="42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承包人不按合同约定施工，或违反正常施工程序、施工工艺进行野蛮施工，或施工质量、安全、环保等达不到有关要求，或施工用材料设备不合规定，采购人有权勒令承包人暂停施工，承包人必须立即停工整改，一切责任由承包人负责。</w:t>
      </w:r>
    </w:p>
    <w:p w14:paraId="4AEB5C28">
      <w:pPr>
        <w:pStyle w:val="8"/>
        <w:numPr>
          <w:ilvl w:val="0"/>
          <w:numId w:val="7"/>
        </w:numPr>
        <w:spacing w:line="400" w:lineRule="exact"/>
        <w:ind w:firstLine="420"/>
        <w:rPr>
          <w:rFonts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因承包人原因造成工期延误，逾期竣工违约金的上限：</w:t>
      </w:r>
      <w:r>
        <w:rPr>
          <w:rFonts w:hint="eastAsia" w:ascii="宋体" w:hAnsi="宋体" w:eastAsia="宋体" w:cs="宋体"/>
          <w:color w:val="000000"/>
          <w:sz w:val="21"/>
          <w:szCs w:val="21"/>
          <w:highlight w:val="none"/>
          <w:u w:val="single"/>
        </w:rPr>
        <w:t xml:space="preserve">无  </w:t>
      </w:r>
    </w:p>
    <w:p w14:paraId="7FD201C6">
      <w:pPr>
        <w:pStyle w:val="8"/>
        <w:numPr>
          <w:ilvl w:val="0"/>
          <w:numId w:val="7"/>
        </w:numPr>
        <w:spacing w:line="400" w:lineRule="exact"/>
        <w:ind w:firstLine="422"/>
        <w:rPr>
          <w:rFonts w:ascii="宋体" w:hAnsi="宋体" w:eastAsia="宋体" w:cs="宋体"/>
          <w:b/>
          <w:sz w:val="21"/>
          <w:szCs w:val="21"/>
          <w:highlight w:val="none"/>
          <w:u w:val="single"/>
        </w:rPr>
      </w:pPr>
      <w:r>
        <w:rPr>
          <w:rFonts w:hint="eastAsia" w:ascii="宋体" w:hAnsi="宋体" w:eastAsia="宋体" w:cs="宋体"/>
          <w:b/>
          <w:sz w:val="21"/>
          <w:szCs w:val="21"/>
          <w:highlight w:val="none"/>
          <w:u w:val="single"/>
        </w:rPr>
        <w:t>因本项目为维修改造项目，现场情况复杂，采购人有权在总工程造价</w:t>
      </w:r>
      <w:r>
        <w:rPr>
          <w:rFonts w:hint="eastAsia" w:ascii="宋体" w:hAnsi="宋体" w:eastAsia="宋体" w:cs="宋体"/>
          <w:b/>
          <w:color w:val="FF0000"/>
          <w:sz w:val="21"/>
          <w:szCs w:val="21"/>
          <w:highlight w:val="none"/>
          <w:u w:val="single"/>
        </w:rPr>
        <w:t>10%</w:t>
      </w:r>
      <w:r>
        <w:rPr>
          <w:rFonts w:hint="eastAsia" w:ascii="宋体" w:hAnsi="宋体" w:eastAsia="宋体" w:cs="宋体"/>
          <w:b/>
          <w:sz w:val="21"/>
          <w:szCs w:val="21"/>
          <w:highlight w:val="none"/>
          <w:u w:val="single"/>
        </w:rPr>
        <w:t>内，对招标清单内容及工程量</w:t>
      </w:r>
      <w:r>
        <w:rPr>
          <w:rFonts w:hint="eastAsia" w:ascii="宋体" w:hAnsi="宋体" w:eastAsia="宋体" w:cs="宋体"/>
          <w:b/>
          <w:color w:val="0000FF"/>
          <w:sz w:val="21"/>
          <w:szCs w:val="21"/>
          <w:highlight w:val="none"/>
          <w:u w:val="single"/>
        </w:rPr>
        <w:t>进行</w:t>
      </w:r>
      <w:r>
        <w:rPr>
          <w:rFonts w:hint="eastAsia" w:ascii="宋体" w:hAnsi="宋体" w:eastAsia="宋体" w:cs="宋体"/>
          <w:b/>
          <w:sz w:val="21"/>
          <w:szCs w:val="21"/>
          <w:highlight w:val="none"/>
          <w:u w:val="single"/>
        </w:rPr>
        <w:t>调整，中标单位应无条件配合。</w:t>
      </w:r>
    </w:p>
    <w:p w14:paraId="6711AB31">
      <w:pPr>
        <w:pStyle w:val="8"/>
        <w:numPr>
          <w:ilvl w:val="0"/>
          <w:numId w:val="7"/>
        </w:numPr>
        <w:spacing w:line="400" w:lineRule="exact"/>
        <w:ind w:firstLine="42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施工在哈工大校园内，存在诸多不确定因素，具体开工及施工日期由采购人确认。要求中标人无条件服从采购人工期及施工区域安排，采购人视中标人对此情况已了解，如有不服从安排或者合同违约情况，采购人可立即停止合同，扣留履约保证金，采购人将依次选择预中标候选第二为中标人，第二名无法按要求履约，将选择第三名为中标人。</w:t>
      </w:r>
    </w:p>
    <w:p w14:paraId="3D39D448">
      <w:pPr>
        <w:pStyle w:val="8"/>
        <w:numPr>
          <w:ilvl w:val="0"/>
          <w:numId w:val="7"/>
        </w:numPr>
        <w:spacing w:line="400" w:lineRule="exact"/>
        <w:ind w:firstLine="422"/>
        <w:rPr>
          <w:rFonts w:ascii="宋体" w:hAnsi="宋体" w:eastAsia="宋体" w:cs="宋体"/>
          <w:b/>
          <w:sz w:val="21"/>
          <w:szCs w:val="21"/>
          <w:highlight w:val="none"/>
          <w:u w:val="single"/>
        </w:rPr>
      </w:pPr>
      <w:r>
        <w:rPr>
          <w:rFonts w:hint="eastAsia" w:ascii="宋体" w:hAnsi="宋体" w:eastAsia="宋体" w:cs="宋体"/>
          <w:b/>
          <w:sz w:val="21"/>
          <w:szCs w:val="21"/>
          <w:highlight w:val="none"/>
          <w:u w:val="single"/>
        </w:rPr>
        <w:t>本工程为维修工程，部分材料、设备利旧，竣工验收时，中标人应保证利旧材料、设备干净整洁，满足使用单位要求，符合使用条件。</w:t>
      </w:r>
    </w:p>
    <w:p w14:paraId="6387781C">
      <w:pPr>
        <w:pStyle w:val="8"/>
        <w:numPr>
          <w:ilvl w:val="0"/>
          <w:numId w:val="7"/>
        </w:numPr>
        <w:spacing w:line="400" w:lineRule="exact"/>
        <w:ind w:firstLine="420"/>
        <w:rPr>
          <w:rFonts w:ascii="Times New Roman" w:hAnsi="Times New Roman" w:eastAsia="宋体"/>
          <w:color w:val="000000"/>
          <w:sz w:val="21"/>
          <w:szCs w:val="21"/>
          <w:highlight w:val="none"/>
        </w:rPr>
      </w:pPr>
      <w:r>
        <w:rPr>
          <w:rFonts w:hint="eastAsia" w:ascii="宋体" w:hAnsi="宋体" w:eastAsia="宋体" w:cs="宋体"/>
          <w:color w:val="000000"/>
          <w:sz w:val="21"/>
          <w:szCs w:val="21"/>
          <w:highlight w:val="none"/>
        </w:rPr>
        <w:t>合同终止：如承包人施工过程中出现的问题已经严重影响工程进度和工程质量，采购人有权终止合同并追究承包人的违约责任。</w:t>
      </w:r>
    </w:p>
    <w:p w14:paraId="3AE235D4">
      <w:pPr>
        <w:numPr>
          <w:ilvl w:val="0"/>
          <w:numId w:val="1"/>
        </w:numPr>
        <w:spacing w:before="100" w:after="100" w:line="440" w:lineRule="exact"/>
        <w:outlineLvl w:val="1"/>
        <w:rPr>
          <w:rFonts w:ascii="微软雅黑" w:hAnsi="微软雅黑" w:cs="宋体"/>
          <w:b/>
          <w:sz w:val="28"/>
          <w:szCs w:val="28"/>
          <w:highlight w:val="none"/>
        </w:rPr>
      </w:pPr>
      <w:r>
        <w:rPr>
          <w:rFonts w:hint="eastAsia" w:ascii="微软雅黑" w:hAnsi="微软雅黑" w:cs="宋体"/>
          <w:b/>
          <w:sz w:val="28"/>
          <w:szCs w:val="28"/>
          <w:highlight w:val="none"/>
        </w:rPr>
        <w:t>竣工验收及工程移交</w:t>
      </w:r>
      <w:bookmarkEnd w:id="3"/>
    </w:p>
    <w:p w14:paraId="385C6102">
      <w:pPr>
        <w:pStyle w:val="8"/>
        <w:spacing w:line="400" w:lineRule="exact"/>
        <w:ind w:firstLineChars="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竣工验收以合同、施工及验收规范、验收标准、政府有关规定及施工图纸等为依据。</w:t>
      </w:r>
    </w:p>
    <w:p w14:paraId="4A11376C">
      <w:pPr>
        <w:pStyle w:val="8"/>
        <w:numPr>
          <w:ilvl w:val="0"/>
          <w:numId w:val="8"/>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初步验收：</w:t>
      </w:r>
    </w:p>
    <w:p w14:paraId="79AD552B">
      <w:pPr>
        <w:pStyle w:val="8"/>
        <w:numPr>
          <w:ilvl w:val="0"/>
          <w:numId w:val="0"/>
        </w:numPr>
        <w:spacing w:line="400" w:lineRule="exact"/>
        <w:ind w:firstLine="420"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在施工结束后、且自检合格后，向采购人提供一套完整的竣工验收所需资料和竣工验收申请。竣工资料审核通过后，约定初验时间，采购人收到申请后应在48小时内组织初步验收，初验由监理方、采购人和承包人共同参加，初验提出的整改要求全部完成并经初验小组核定后（需在初验后7日内完成整改），采购人在3日内，批复承包人工程核验申请。</w:t>
      </w:r>
    </w:p>
    <w:p w14:paraId="4E41CF6A">
      <w:pPr>
        <w:pStyle w:val="8"/>
        <w:numPr>
          <w:ilvl w:val="0"/>
          <w:numId w:val="8"/>
        </w:numPr>
        <w:spacing w:line="400" w:lineRule="exact"/>
        <w:ind w:firstLine="480" w:firstLineChars="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竣工验收：承包人应在竣工验收前7天内，提交1套竣工资料正本。承包人应联系有关部门进行验收（如：学校土建、水、电、暖消防、电梯运行管理单位及使用单位参加）。验收时有采购人、监理人及承包人组成工程验收小组，对本项目工程进行全面的检查验收，验收合格后办理移交手续。竣工验收合格后14天内，承包人需提交2套完整的竣工资料给采购人归档（即：满足质监、档案馆要求的竣工资料）两套（正本一套，由原件组成；副本一套）。</w:t>
      </w:r>
    </w:p>
    <w:p w14:paraId="19D67A9D">
      <w:pPr>
        <w:pStyle w:val="8"/>
        <w:numPr>
          <w:ilvl w:val="0"/>
          <w:numId w:val="8"/>
        </w:numPr>
        <w:spacing w:line="400" w:lineRule="exact"/>
        <w:ind w:firstLineChars="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本工程竣工验收需一次性合格，并达到规定验收标准。</w:t>
      </w:r>
    </w:p>
    <w:p w14:paraId="316FC194">
      <w:pPr>
        <w:numPr>
          <w:ilvl w:val="0"/>
          <w:numId w:val="1"/>
        </w:numPr>
        <w:spacing w:before="100" w:after="100" w:line="440" w:lineRule="exact"/>
        <w:outlineLvl w:val="1"/>
        <w:rPr>
          <w:rFonts w:ascii="微软雅黑" w:hAnsi="微软雅黑" w:cs="宋体"/>
          <w:b/>
          <w:sz w:val="28"/>
          <w:szCs w:val="28"/>
          <w:highlight w:val="none"/>
        </w:rPr>
      </w:pPr>
      <w:bookmarkStart w:id="4" w:name="_Toc128210814"/>
      <w:r>
        <w:rPr>
          <w:rFonts w:hint="eastAsia" w:ascii="微软雅黑" w:hAnsi="微软雅黑" w:cs="宋体"/>
          <w:b/>
          <w:sz w:val="28"/>
          <w:szCs w:val="28"/>
          <w:highlight w:val="none"/>
        </w:rPr>
        <w:t>工程质量保修</w:t>
      </w:r>
      <w:bookmarkEnd w:id="4"/>
    </w:p>
    <w:p w14:paraId="73D47613">
      <w:pPr>
        <w:pStyle w:val="8"/>
        <w:numPr>
          <w:ilvl w:val="0"/>
          <w:numId w:val="9"/>
        </w:numPr>
        <w:spacing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保修范围：承包人承包范围内工程项目，由于承包人施工质量问题和材料设备质量问题，均属承包人保修范围。</w:t>
      </w:r>
    </w:p>
    <w:p w14:paraId="6612D213">
      <w:pPr>
        <w:pStyle w:val="8"/>
        <w:numPr>
          <w:ilvl w:val="0"/>
          <w:numId w:val="9"/>
        </w:numPr>
        <w:spacing w:line="400" w:lineRule="exact"/>
        <w:ind w:firstLine="425" w:firstLineChars="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保修期限：在正常使用条件下，承包人承诺的质量保修期不得低于《建设工程质量管理条例》规定的最低保修期限，建设工程的保修期自竣工验收合格之日起计算。</w:t>
      </w:r>
      <w:r>
        <w:rPr>
          <w:rFonts w:hint="eastAsia" w:ascii="宋体" w:hAnsi="宋体" w:eastAsia="宋体" w:cs="宋体"/>
          <w:b/>
          <w:color w:val="000000"/>
          <w:sz w:val="21"/>
          <w:szCs w:val="21"/>
          <w:highlight w:val="none"/>
        </w:rPr>
        <w:t>承包人须在响应文件中明确质量保修期限。</w:t>
      </w:r>
    </w:p>
    <w:p w14:paraId="2225BC29">
      <w:pPr>
        <w:pStyle w:val="4"/>
        <w:ind w:firstLine="630" w:firstLineChars="300"/>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保修响应时间：承包人</w:t>
      </w:r>
      <w:r>
        <w:rPr>
          <w:rFonts w:ascii="宋体" w:hAnsi="宋体" w:eastAsia="宋体" w:cs="宋体"/>
          <w:color w:val="000000"/>
          <w:sz w:val="21"/>
          <w:szCs w:val="21"/>
          <w:highlight w:val="none"/>
        </w:rPr>
        <w:t>收到保修通知并到达工程现场的合理时间</w:t>
      </w:r>
      <w:r>
        <w:rPr>
          <w:rFonts w:hint="eastAsia" w:ascii="宋体" w:hAnsi="宋体" w:eastAsia="宋体" w:cs="宋体"/>
          <w:color w:val="000000"/>
          <w:sz w:val="21"/>
          <w:szCs w:val="21"/>
          <w:highlight w:val="none"/>
        </w:rPr>
        <w:t>，</w:t>
      </w:r>
      <w:r>
        <w:rPr>
          <w:rFonts w:ascii="宋体" w:hAnsi="宋体" w:eastAsia="宋体" w:cs="宋体"/>
          <w:color w:val="000000"/>
          <w:sz w:val="21"/>
          <w:szCs w:val="21"/>
          <w:highlight w:val="none"/>
        </w:rPr>
        <w:t>售后服务响应时间小于24小时。</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412FB"/>
    <w:multiLevelType w:val="singleLevel"/>
    <w:tmpl w:val="E89412FB"/>
    <w:lvl w:ilvl="0" w:tentative="0">
      <w:start w:val="1"/>
      <w:numFmt w:val="decimal"/>
      <w:suff w:val="nothing"/>
      <w:lvlText w:val="（%1）"/>
      <w:lvlJc w:val="left"/>
    </w:lvl>
  </w:abstractNum>
  <w:abstractNum w:abstractNumId="1">
    <w:nsid w:val="12A15431"/>
    <w:multiLevelType w:val="multilevel"/>
    <w:tmpl w:val="12A1543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8B6051"/>
    <w:multiLevelType w:val="multilevel"/>
    <w:tmpl w:val="178B605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ED328B"/>
    <w:multiLevelType w:val="singleLevel"/>
    <w:tmpl w:val="4EED328B"/>
    <w:lvl w:ilvl="0" w:tentative="0">
      <w:start w:val="1"/>
      <w:numFmt w:val="decimal"/>
      <w:lvlText w:val="%1."/>
      <w:lvlJc w:val="left"/>
      <w:pPr>
        <w:tabs>
          <w:tab w:val="left" w:pos="312"/>
        </w:tabs>
        <w:ind w:left="0" w:firstLine="0"/>
      </w:pPr>
      <w:rPr>
        <w:rFonts w:hint="eastAsia"/>
      </w:rPr>
    </w:lvl>
  </w:abstractNum>
  <w:abstractNum w:abstractNumId="4">
    <w:nsid w:val="58CF71B9"/>
    <w:multiLevelType w:val="singleLevel"/>
    <w:tmpl w:val="58CF71B9"/>
    <w:lvl w:ilvl="0" w:tentative="0">
      <w:start w:val="1"/>
      <w:numFmt w:val="chineseCounting"/>
      <w:suff w:val="nothing"/>
      <w:lvlText w:val="（%1）"/>
      <w:lvlJc w:val="left"/>
    </w:lvl>
  </w:abstractNum>
  <w:abstractNum w:abstractNumId="5">
    <w:nsid w:val="58CF7217"/>
    <w:multiLevelType w:val="singleLevel"/>
    <w:tmpl w:val="58CF7217"/>
    <w:lvl w:ilvl="0" w:tentative="0">
      <w:start w:val="1"/>
      <w:numFmt w:val="chineseCounting"/>
      <w:suff w:val="nothing"/>
      <w:lvlText w:val="（%1）"/>
      <w:lvlJc w:val="left"/>
    </w:lvl>
  </w:abstractNum>
  <w:abstractNum w:abstractNumId="6">
    <w:nsid w:val="58CF726B"/>
    <w:multiLevelType w:val="singleLevel"/>
    <w:tmpl w:val="58CF726B"/>
    <w:lvl w:ilvl="0" w:tentative="0">
      <w:start w:val="1"/>
      <w:numFmt w:val="chineseCounting"/>
      <w:suff w:val="nothing"/>
      <w:lvlText w:val="（%1）"/>
      <w:lvlJc w:val="left"/>
    </w:lvl>
  </w:abstractNum>
  <w:abstractNum w:abstractNumId="7">
    <w:nsid w:val="58CF7294"/>
    <w:multiLevelType w:val="singleLevel"/>
    <w:tmpl w:val="58CF7294"/>
    <w:lvl w:ilvl="0" w:tentative="0">
      <w:start w:val="1"/>
      <w:numFmt w:val="chineseCounting"/>
      <w:suff w:val="nothing"/>
      <w:lvlText w:val="（%1）"/>
      <w:lvlJc w:val="left"/>
    </w:lvl>
  </w:abstractNum>
  <w:abstractNum w:abstractNumId="8">
    <w:nsid w:val="61E72B81"/>
    <w:multiLevelType w:val="multilevel"/>
    <w:tmpl w:val="61E72B81"/>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4"/>
  </w:num>
  <w:num w:numId="3">
    <w:abstractNumId w:val="2"/>
  </w:num>
  <w:num w:numId="4">
    <w:abstractNumId w:val="1"/>
  </w:num>
  <w:num w:numId="5">
    <w:abstractNumId w:val="5"/>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A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6" w:lineRule="auto"/>
      <w:jc w:val="center"/>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 w:type="paragraph" w:styleId="4">
    <w:name w:val="Body Text First Indent"/>
    <w:basedOn w:val="3"/>
    <w:unhideWhenUsed/>
    <w:uiPriority w:val="0"/>
    <w:pPr>
      <w:ind w:firstLine="420" w:firstLineChars="100"/>
    </w:pPr>
    <w:rPr>
      <w:rFonts w:ascii="Calibri" w:hAnsi="Calibri"/>
      <w:kern w:val="2"/>
      <w:sz w:val="21"/>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列出段落1"/>
    <w:basedOn w:val="1"/>
    <w:qFormat/>
    <w:uiPriority w:val="34"/>
    <w:pPr>
      <w:ind w:firstLine="420" w:firstLineChars="200"/>
    </w:pPr>
    <w:rPr>
      <w:rFonts w:ascii="Calibri" w:hAnsi="Calibri"/>
      <w:szCs w:val="22"/>
    </w:rPr>
  </w:style>
  <w:style w:type="paragraph" w:customStyle="1" w:styleId="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列出段落4"/>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2025-06-13T08:02:37Z</dcterms:created>
  <dc:creator>Administrator</dc:creator>
  <cp:lastModifiedBy>微信用户</cp:lastModifiedBy>
  <dcterms:modified xsi:type="dcterms:W3CDTF">2025-06-13T08:02:47Z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eyJoZGlkIjoiOTI5YjBlNWU0ZGZjYTMyYTFkMmVlYzc0YzkzZmFjNTUiLCJ1c2VySWQiOiIxMjExNzkxNzI5In0=</vt:lpwstr>
  </property>
  <property fmtid="{D5CDD505-2E9C-101B-9397-08002B2CF9AE}" pid="4" name="ICV">
    <vt:lpwstr>4B0142A740054537BC791B49336F6DE2_12</vt:lpwstr>
  </property>
</Properties>
</file>