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E6BE1">
      <w:pPr>
        <w:jc w:val="center"/>
        <w:outlineLvl w:val="0"/>
        <w:rPr>
          <w:rFonts w:ascii="黑体" w:eastAsia="黑体"/>
          <w:sz w:val="44"/>
          <w:szCs w:val="22"/>
          <w:highlight w:val="none"/>
        </w:rPr>
      </w:pPr>
      <w:r>
        <w:rPr>
          <w:rFonts w:hint="eastAsia" w:ascii="黑体" w:eastAsia="黑体"/>
          <w:sz w:val="44"/>
          <w:szCs w:val="22"/>
          <w:highlight w:val="none"/>
        </w:rPr>
        <w:t>采购（</w:t>
      </w:r>
      <w:bookmarkStart w:id="1" w:name="_GoBack"/>
      <w:bookmarkEnd w:id="1"/>
      <w:r>
        <w:rPr>
          <w:rFonts w:hint="eastAsia" w:ascii="黑体" w:eastAsia="黑体"/>
          <w:sz w:val="44"/>
          <w:szCs w:val="22"/>
          <w:highlight w:val="none"/>
        </w:rPr>
        <w:t>服务）需求</w:t>
      </w:r>
    </w:p>
    <w:p w14:paraId="2098E54B">
      <w:pPr>
        <w:spacing w:line="360" w:lineRule="auto"/>
        <w:ind w:left="782"/>
        <w:jc w:val="left"/>
        <w:rPr>
          <w:rFonts w:ascii="宋体" w:hAnsi="宋体" w:cs="宋体"/>
          <w:bCs/>
          <w:sz w:val="24"/>
          <w:szCs w:val="24"/>
          <w:highlight w:val="none"/>
        </w:rPr>
      </w:pPr>
      <w:bookmarkStart w:id="0" w:name="_Hlk194998476"/>
    </w:p>
    <w:p w14:paraId="3AB25DB9">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1、采购标的需实现的功能或者目标：</w:t>
      </w:r>
    </w:p>
    <w:p w14:paraId="51D28605">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乙方按照甲方技术要求搭建半实物仿真试验系统，依照甲方提供的试验设计结果，完成飞行器半实物仿真试验，并提交仿真试验结果数据文件。</w:t>
      </w:r>
    </w:p>
    <w:p w14:paraId="25D0E621">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2、采购标的明细（名称、数量、单位）：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513"/>
        <w:gridCol w:w="2513"/>
      </w:tblGrid>
      <w:tr w14:paraId="25A9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0319F475">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标的名称</w:t>
            </w:r>
          </w:p>
        </w:tc>
        <w:tc>
          <w:tcPr>
            <w:tcW w:w="2513" w:type="dxa"/>
            <w:vAlign w:val="center"/>
          </w:tcPr>
          <w:p w14:paraId="68D71E9B">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数量</w:t>
            </w:r>
          </w:p>
        </w:tc>
        <w:tc>
          <w:tcPr>
            <w:tcW w:w="2513" w:type="dxa"/>
            <w:vAlign w:val="center"/>
          </w:tcPr>
          <w:p w14:paraId="3D9F755B">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单位</w:t>
            </w:r>
          </w:p>
        </w:tc>
      </w:tr>
      <w:tr w14:paraId="419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6E60AEF5">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半实物仿真试验服务</w:t>
            </w:r>
          </w:p>
        </w:tc>
        <w:tc>
          <w:tcPr>
            <w:tcW w:w="2513" w:type="dxa"/>
            <w:vAlign w:val="center"/>
          </w:tcPr>
          <w:p w14:paraId="31CB004A">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1</w:t>
            </w:r>
          </w:p>
        </w:tc>
        <w:tc>
          <w:tcPr>
            <w:tcW w:w="2513" w:type="dxa"/>
            <w:vAlign w:val="center"/>
          </w:tcPr>
          <w:p w14:paraId="08C77DF8">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次</w:t>
            </w:r>
          </w:p>
        </w:tc>
      </w:tr>
    </w:tbl>
    <w:p w14:paraId="1DAF8CDC">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3、需执行的相关政策合规要求、执行标准和规范要求：</w:t>
      </w:r>
    </w:p>
    <w:p w14:paraId="315E2213">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无。</w:t>
      </w:r>
    </w:p>
    <w:p w14:paraId="5A4C170F">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4、供应商资格要求</w:t>
      </w:r>
    </w:p>
    <w:p w14:paraId="6FA7B71F">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455F5FD">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具有承担飞行器半实物仿真试验服务的相关业绩，或具备飞行器半实物仿真试验项目的相关业绩。</w:t>
      </w:r>
    </w:p>
    <w:p w14:paraId="0B3AE314">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5、项目技术/服务要求</w:t>
      </w:r>
    </w:p>
    <w:p w14:paraId="40AEE0A5">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参见附件《半实物仿真试验服务技术要求》。</w:t>
      </w:r>
    </w:p>
    <w:p w14:paraId="1989B302">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6、项目实施要求</w:t>
      </w:r>
    </w:p>
    <w:p w14:paraId="0DB11F1F">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（1）自签订合同之日起，2个月之内完成仿真试验，试验总天数不少于25天；</w:t>
      </w:r>
    </w:p>
    <w:p w14:paraId="22D2513D">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（2）提供试验人员保障，负责完成试验环境的搭建、负责完成转台等试验设备的操作，配合完成试验过程的组织协调与管理、配合完成试验故障的分析和排查等；</w:t>
      </w:r>
    </w:p>
    <w:p w14:paraId="6442AEBA">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（3）提供良好的防触电、防机械伤害等必要安全保护措施，确保甲方参试人员的安全；</w:t>
      </w:r>
    </w:p>
    <w:p w14:paraId="596CB631">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7、验收方式</w:t>
      </w:r>
    </w:p>
    <w:p w14:paraId="4EA713C5">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提供仿真试验结果数据不少于30条，数据格式由甲方指定。</w:t>
      </w:r>
    </w:p>
    <w:p w14:paraId="6AF0B07A">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8、其他技术、服务相关要求。</w:t>
      </w:r>
    </w:p>
    <w:p w14:paraId="36C5A8C4">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为保障试验如期完成，乙方在试验人员紧缺或非工作时间开展试验期间，依据人员替补机制提供试验保障。</w:t>
      </w:r>
    </w:p>
    <w:p w14:paraId="6092556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53E291B6">
      <w:pPr>
        <w:pStyle w:val="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半实物仿真试验服务技术要求</w:t>
      </w:r>
    </w:p>
    <w:p w14:paraId="7383B552">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1.任务概述</w:t>
      </w:r>
    </w:p>
    <w:p w14:paraId="7B7E151E">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乙方按照甲方技术要求搭建仿真系统，并依照甲方提供的试验设计结果，完成飞行器半实物仿真试验，提交仿真结果数据文件。</w:t>
      </w:r>
    </w:p>
    <w:p w14:paraId="6D92FCCF">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2.项目交付物</w:t>
      </w:r>
    </w:p>
    <w:p w14:paraId="19BEBB00">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乙方向甲方交付仿真试验结果数据。</w:t>
      </w:r>
    </w:p>
    <w:p w14:paraId="74793C1E">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3.半实物仿真环境搭建要求</w:t>
      </w:r>
    </w:p>
    <w:p w14:paraId="40E43AA9">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为满足甲方仿真验证任务需求，乙方须利用乙方自有的仿真设备完成半实物仿真环境的搭建与调试，确保仿真系统可满足甲方试验设计条件的仿真约束。</w:t>
      </w:r>
    </w:p>
    <w:p w14:paraId="7DEB9B64">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搭建环境的技术要求详见附件1《半实物仿真环境搭建技术要求》。</w:t>
      </w:r>
    </w:p>
    <w:p w14:paraId="438FC4CA">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4.功能性能要求</w:t>
      </w:r>
    </w:p>
    <w:p w14:paraId="3D0DAE7A">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a.提供仿真模型转换服务，可将甲方提供的仿真模型转换为满足实时性计算需求的实时仿真模型，转换后的实时仿真模型计算周期可调，最小实时解算周期不大于1ms；</w:t>
      </w:r>
    </w:p>
    <w:p w14:paraId="2B3C4ECA">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b.提供仿真参数调节功能，开放拉偏参数接口，可支持用户对仿真参数进行拉偏设置；</w:t>
      </w:r>
    </w:p>
    <w:p w14:paraId="5A96D9F1">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c.提供不少于2个试验场景想定，可支持用户在对应的试验想定场景下完成飞行器航迹仿真提供；</w:t>
      </w:r>
    </w:p>
    <w:p w14:paraId="44765EE8">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e.提供急停保护功能，支持软急停与硬急停两种控制模式；</w:t>
      </w:r>
    </w:p>
    <w:p w14:paraId="3FDA29DD">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f.提供数据记录与存储功能，支持现场对数据进行查看与分析；</w:t>
      </w:r>
    </w:p>
    <w:p w14:paraId="7855B1F6">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g.提供仿真数据实时显示功能，方便甲方在试验过程中查看关键数据运行曲线；</w:t>
      </w:r>
    </w:p>
    <w:p w14:paraId="2AC26F87">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h.提供仿真试验结果数据不少于30条。</w:t>
      </w:r>
    </w:p>
    <w:p w14:paraId="4D3773BE">
      <w:pPr>
        <w:pStyle w:val="2"/>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5.乙方提交报价文件时，同时提供半实物仿真实验方案报告，内容需涵盖半实物仿真实验设备，可开展的半实物仿真实验类型等。</w:t>
      </w:r>
    </w:p>
    <w:p w14:paraId="6D1B09A5">
      <w:pPr>
        <w:pStyle w:val="2"/>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其他要求</w:t>
      </w:r>
    </w:p>
    <w:p w14:paraId="34C7EB62">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eastAsia="宋体" w:cs="宋体"/>
          <w:bCs/>
          <w:color w:val="000000" w:themeColor="text1"/>
          <w:sz w:val="24"/>
          <w:szCs w:val="24"/>
          <w:highlight w:val="none"/>
          <w14:textFill>
            <w14:solidFill>
              <w14:schemeClr w14:val="tx1"/>
            </w14:solidFill>
          </w14:textFill>
        </w:rPr>
        <w:t>自签订合同之日起，2个月之内完成仿真试验，试验总天数不少于25天；</w:t>
      </w:r>
    </w:p>
    <w:p w14:paraId="5670908A">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w:t>
      </w:r>
      <w:r>
        <w:rPr>
          <w:rFonts w:hint="eastAsia" w:ascii="宋体" w:hAnsi="宋体" w:eastAsia="宋体" w:cs="宋体"/>
          <w:bCs/>
          <w:color w:val="000000" w:themeColor="text1"/>
          <w:sz w:val="24"/>
          <w:szCs w:val="24"/>
          <w:highlight w:val="none"/>
          <w14:textFill>
            <w14:solidFill>
              <w14:schemeClr w14:val="tx1"/>
            </w14:solidFill>
          </w14:textFill>
        </w:rPr>
        <w:t>提供仿真专业工程师及以上级别的专业试验</w:t>
      </w:r>
      <w:r>
        <w:rPr>
          <w:rFonts w:hint="eastAsia" w:ascii="宋体" w:hAnsi="宋体" w:eastAsia="宋体" w:cs="宋体"/>
          <w:color w:val="000000" w:themeColor="text1"/>
          <w:sz w:val="24"/>
          <w:szCs w:val="24"/>
          <w:highlight w:val="none"/>
          <w14:textFill>
            <w14:solidFill>
              <w14:schemeClr w14:val="tx1"/>
            </w14:solidFill>
          </w14:textFill>
        </w:rPr>
        <w:t>人员保障，负责完成试验环境的搭建、负责完成转台等试验设备的操作，配合完成试验过程的组织协调与管理、配合完成试验故障的分析和排查等；</w:t>
      </w:r>
    </w:p>
    <w:p w14:paraId="79D3D70D">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c.提供良好的防触电、防机械伤害等安全保护措施，确保甲方参试人员的安全；</w:t>
      </w:r>
    </w:p>
    <w:p w14:paraId="143BB378">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d.工作温度：5℃~40℃。</w:t>
      </w:r>
    </w:p>
    <w:p w14:paraId="5C44760F">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6.知识产权条款</w:t>
      </w:r>
    </w:p>
    <w:p w14:paraId="5FDA4750">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甲方在试验期间产生的数据知识产权归甲方所有，未经书面许可不得向第三方透露，否则追究法律责任。</w:t>
      </w:r>
    </w:p>
    <w:p w14:paraId="087DB891">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7.违约赔偿责任</w:t>
      </w:r>
    </w:p>
    <w:p w14:paraId="62E120D7">
      <w:pPr>
        <w:spacing w:line="360" w:lineRule="auto"/>
        <w:ind w:left="215" w:firstLine="480" w:firstLineChars="200"/>
        <w:jc w:val="left"/>
        <w:rPr>
          <w:rFonts w:ascii="宋体" w:hAnsi="宋体" w:cs="宋体"/>
          <w:bCs/>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若出现试验严重超期或者试验数据不合格等违约情况，超期完成1天扣合同金额1%，累计扣罚不超过10%；如数据不合格且无法修正时，全额退还已付款并赔偿合同金额2%违约金。</w:t>
      </w:r>
    </w:p>
    <w:p w14:paraId="3CD63291">
      <w:pPr>
        <w:spacing w:line="360" w:lineRule="auto"/>
        <w:ind w:left="782"/>
        <w:jc w:val="left"/>
        <w:rPr>
          <w:rFonts w:ascii="宋体" w:hAnsi="宋体" w:cs="宋体"/>
          <w:bCs/>
          <w:sz w:val="24"/>
          <w:szCs w:val="24"/>
          <w:highlight w:val="none"/>
        </w:rPr>
      </w:pPr>
    </w:p>
    <w:bookmarkEnd w:id="0"/>
    <w:p w14:paraId="4744EA0C">
      <w:pPr>
        <w:rPr>
          <w:rFonts w:ascii="宋体" w:hAnsi="宋体" w:cs="宋体"/>
          <w:color w:val="000000" w:themeColor="text1"/>
          <w:sz w:val="32"/>
          <w:szCs w:val="24"/>
          <w:highlight w:val="none"/>
          <w14:textFill>
            <w14:solidFill>
              <w14:schemeClr w14:val="tx1"/>
            </w14:solidFill>
          </w14:textFill>
        </w:rPr>
      </w:pPr>
      <w:r>
        <w:rPr>
          <w:rFonts w:hint="eastAsia" w:ascii="宋体" w:hAnsi="宋体" w:cs="宋体"/>
          <w:color w:val="000000" w:themeColor="text1"/>
          <w:sz w:val="32"/>
          <w:szCs w:val="24"/>
          <w:highlight w:val="none"/>
          <w14:textFill>
            <w14:solidFill>
              <w14:schemeClr w14:val="tx1"/>
            </w14:solidFill>
          </w14:textFill>
        </w:rPr>
        <w:br w:type="page"/>
      </w:r>
    </w:p>
    <w:p w14:paraId="1F9F56A6">
      <w:pPr>
        <w:pStyle w:val="7"/>
        <w:overflowPunct w:val="0"/>
        <w:jc w:val="left"/>
        <w:rPr>
          <w:rFonts w:ascii="宋体" w:hAnsi="宋体" w:eastAsia="宋体" w:cs="宋体"/>
          <w:color w:val="000000" w:themeColor="text1"/>
          <w:sz w:val="32"/>
          <w:szCs w:val="24"/>
          <w:highlight w:val="none"/>
          <w14:textFill>
            <w14:solidFill>
              <w14:schemeClr w14:val="tx1"/>
            </w14:solidFill>
          </w14:textFill>
        </w:rPr>
      </w:pPr>
      <w:r>
        <w:rPr>
          <w:rFonts w:hint="eastAsia" w:ascii="宋体" w:hAnsi="宋体" w:eastAsia="宋体" w:cs="宋体"/>
          <w:color w:val="000000" w:themeColor="text1"/>
          <w:sz w:val="32"/>
          <w:szCs w:val="24"/>
          <w:highlight w:val="none"/>
          <w14:textFill>
            <w14:solidFill>
              <w14:schemeClr w14:val="tx1"/>
            </w14:solidFill>
          </w14:textFill>
        </w:rPr>
        <w:t>附件：</w:t>
      </w:r>
    </w:p>
    <w:p w14:paraId="3829BA32">
      <w:pPr>
        <w:pStyle w:val="7"/>
        <w:overflowPunct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半实物仿真环境搭建技术要求</w:t>
      </w:r>
    </w:p>
    <w:p w14:paraId="5AD9C0EF">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1.系统组成</w:t>
      </w:r>
    </w:p>
    <w:p w14:paraId="0A72C872">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系统主要包括目标模拟器、场景生成系统、五轴转台、实时仿真计算机、IO接口、光纤网络等，如图1所示。</w:t>
      </w:r>
    </w:p>
    <w:p w14:paraId="6820F977">
      <w:pPr>
        <w:jc w:val="center"/>
        <w:rPr>
          <w:rFonts w:eastAsia="楷体"/>
          <w:color w:val="000000" w:themeColor="text1"/>
          <w:sz w:val="24"/>
          <w:highlight w:val="none"/>
          <w14:textFill>
            <w14:solidFill>
              <w14:schemeClr w14:val="tx1"/>
            </w14:solidFill>
          </w14:textFill>
        </w:rPr>
      </w:pPr>
      <w:r>
        <w:rPr>
          <w:rFonts w:eastAsia="楷体"/>
          <w:color w:val="000000" w:themeColor="text1"/>
          <w:sz w:val="24"/>
          <w:highlight w:val="none"/>
          <w14:textFill>
            <w14:solidFill>
              <w14:schemeClr w14:val="tx1"/>
            </w14:solidFill>
          </w14:textFill>
        </w:rPr>
        <w:object>
          <v:shape id="_x0000_i1025" o:spt="75" type="#_x0000_t75" style="height:413.65pt;width:427.9pt;" o:ole="t" filled="f" o:preferrelative="t" stroked="f" coordsize="21600,21600">
            <v:path/>
            <v:fill on="f" focussize="0,0"/>
            <v:stroke on="f" joinstyle="miter"/>
            <v:imagedata r:id="rId5" o:title=""/>
            <o:lock v:ext="edit" aspectratio="f"/>
            <w10:wrap type="none"/>
            <w10:anchorlock/>
          </v:shape>
          <o:OLEObject Type="Embed" ProgID="Visio.Drawing.11" ShapeID="_x0000_i1025" DrawAspect="Content" ObjectID="_1468075725" r:id="rId4">
            <o:LockedField>false</o:LockedField>
          </o:OLEObject>
        </w:object>
      </w:r>
    </w:p>
    <w:p w14:paraId="7400E9CA">
      <w:pPr>
        <w:pStyle w:val="14"/>
        <w:rPr>
          <w:rFonts w:eastAsia="楷体" w:cs="Times New Roman"/>
          <w:color w:val="000000" w:themeColor="text1"/>
          <w:sz w:val="24"/>
          <w:szCs w:val="24"/>
          <w:highlight w:val="none"/>
          <w14:textFill>
            <w14:solidFill>
              <w14:schemeClr w14:val="tx1"/>
            </w14:solidFill>
          </w14:textFill>
        </w:rPr>
      </w:pPr>
      <w:r>
        <w:rPr>
          <w:rFonts w:eastAsia="楷体" w:cs="Times New Roman"/>
          <w:color w:val="000000" w:themeColor="text1"/>
          <w:sz w:val="24"/>
          <w:szCs w:val="24"/>
          <w:highlight w:val="none"/>
          <w14:textFill>
            <w14:solidFill>
              <w14:schemeClr w14:val="tx1"/>
            </w14:solidFill>
          </w14:textFill>
        </w:rPr>
        <w:t>图1  半实物仿真系统组成图</w:t>
      </w:r>
    </w:p>
    <w:p w14:paraId="7D7A1DA6">
      <w:pPr>
        <w:pStyle w:val="2"/>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2.系统功能及技术指标要求</w:t>
      </w:r>
    </w:p>
    <w:p w14:paraId="2EB0AB41">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2.1目标模拟器</w:t>
      </w:r>
    </w:p>
    <w:p w14:paraId="65CCCC73">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2.1.1主要功能</w:t>
      </w:r>
    </w:p>
    <w:p w14:paraId="14333DB1">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具备向探测器提供可见光图像模拟功能；</w:t>
      </w:r>
    </w:p>
    <w:p w14:paraId="3D51950B">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2.1.2技术指标要求</w:t>
      </w:r>
    </w:p>
    <w:p w14:paraId="5D7B8ED8">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（1）分辨率：≥640×512；</w:t>
      </w:r>
    </w:p>
    <w:p w14:paraId="62D0945A">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（2）视场：不低于±2.5°；</w:t>
      </w:r>
    </w:p>
    <w:p w14:paraId="05A50136">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2.2场景生成系统</w:t>
      </w:r>
    </w:p>
    <w:p w14:paraId="7647272E">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2.2.1主要功能</w:t>
      </w:r>
    </w:p>
    <w:p w14:paraId="07602230">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（1）具备典型建筑物、车辆、舰船、飞行器模拟功能；</w:t>
      </w:r>
    </w:p>
    <w:p w14:paraId="0FA6708C">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（2）具备对天空背景、地物/海面背景模拟功能。</w:t>
      </w:r>
    </w:p>
    <w:p w14:paraId="1975090D">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2.2.2技术指标要求</w:t>
      </w:r>
    </w:p>
    <w:p w14:paraId="0634E063">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（1）目标类型：预存不少于2型建筑物、2型飞行器、2型车辆、2型舰船；</w:t>
      </w:r>
    </w:p>
    <w:p w14:paraId="658F846F">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（2）天空背景包含：天空、阳光、云/雨/雪/雾/霾等；</w:t>
      </w:r>
    </w:p>
    <w:p w14:paraId="7B6F8053">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（3）地物/海面背景包含：城市、森林、戈壁、海面等；</w:t>
      </w:r>
    </w:p>
    <w:p w14:paraId="420096CD">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2.3五轴转台</w:t>
      </w:r>
    </w:p>
    <w:p w14:paraId="65A7CF7C">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2.3.1主要功能</w:t>
      </w:r>
    </w:p>
    <w:p w14:paraId="59E0E32D">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（1）具备飞行器姿态运动模拟功能；</w:t>
      </w:r>
    </w:p>
    <w:p w14:paraId="28170E55">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（2）具备实时显示、记录和输出五轴角运动数据功能；</w:t>
      </w:r>
    </w:p>
    <w:p w14:paraId="730C84AD">
      <w:pPr>
        <w:pStyle w:val="3"/>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（3）具备自检、故障报警、应急处理等功能。</w:t>
      </w:r>
    </w:p>
    <w:p w14:paraId="703B8F45">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2.3.2技术指标要求</w:t>
      </w:r>
    </w:p>
    <w:p w14:paraId="64290EFA">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角加速度：内三环，内框≥5000°/s</w:t>
      </w:r>
      <w:r>
        <w:rPr>
          <w:rFonts w:hint="eastAsia" w:ascii="宋体" w:hAnsi="宋体" w:cs="宋体"/>
          <w:color w:val="000000" w:themeColor="text1"/>
          <w:sz w:val="24"/>
          <w:highlight w:val="none"/>
          <w:vertAlign w:val="super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，中框≥2500°/s</w:t>
      </w:r>
      <w:r>
        <w:rPr>
          <w:rFonts w:hint="eastAsia" w:ascii="宋体" w:hAnsi="宋体" w:cs="宋体"/>
          <w:color w:val="000000" w:themeColor="text1"/>
          <w:sz w:val="24"/>
          <w:highlight w:val="none"/>
          <w:vertAlign w:val="super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，外框≥2500°/s</w:t>
      </w:r>
      <w:r>
        <w:rPr>
          <w:rFonts w:hint="eastAsia" w:ascii="宋体" w:hAnsi="宋体" w:cs="宋体"/>
          <w:color w:val="000000" w:themeColor="text1"/>
          <w:sz w:val="24"/>
          <w:highlight w:val="none"/>
          <w:vertAlign w:val="super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；外两环，中框/外框≥550°/s</w:t>
      </w:r>
      <w:r>
        <w:rPr>
          <w:rFonts w:hint="eastAsia" w:ascii="宋体" w:hAnsi="宋体" w:cs="宋体"/>
          <w:color w:val="000000" w:themeColor="text1"/>
          <w:sz w:val="24"/>
          <w:highlight w:val="none"/>
          <w:vertAlign w:val="super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14:paraId="4F6F8E99">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频带：内三环，内框≥12Hz，中框≥11Hz，外框≥11Hz；外两环，中框/外框≥5Hz。</w:t>
      </w:r>
    </w:p>
    <w:p w14:paraId="45D6A8B1">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2.4仿真计算机</w:t>
      </w:r>
    </w:p>
    <w:p w14:paraId="0D874BD2">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2.4.1主要功能</w:t>
      </w:r>
    </w:p>
    <w:p w14:paraId="08D8ADCF">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（1）具备飞行器动力学和运动学模型解算功能；</w:t>
      </w:r>
    </w:p>
    <w:p w14:paraId="2EBF686E">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（2）具备五轴转台、场景生成系统等驱动信号生成功能；</w:t>
      </w:r>
    </w:p>
    <w:p w14:paraId="1524297C">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（3）具备仿真试验帧周期控制功能。</w:t>
      </w:r>
    </w:p>
    <w:p w14:paraId="26E59FDD">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2.4.2技术指标要求</w:t>
      </w:r>
    </w:p>
    <w:p w14:paraId="04965440">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（1）最小仿真帧周期：≤1ms；</w:t>
      </w:r>
    </w:p>
    <w:p w14:paraId="10535CCB">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（2）具备上下位机架构，上位机模型可自动下载到下位机。</w:t>
      </w:r>
    </w:p>
    <w:p w14:paraId="60C21F83">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2.5IO接口</w:t>
      </w:r>
    </w:p>
    <w:p w14:paraId="6E6483DD">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2.5.1主要功能</w:t>
      </w:r>
    </w:p>
    <w:p w14:paraId="11AA3A86">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（1）具备模拟信号实时传输功能；</w:t>
      </w:r>
    </w:p>
    <w:p w14:paraId="0639DB21">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（2）具备和探测器交互功能；</w:t>
      </w:r>
    </w:p>
    <w:p w14:paraId="22204F4C">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（3）具备和仿真计算机交互功能。</w:t>
      </w:r>
    </w:p>
    <w:p w14:paraId="52789289">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2.5.2技术指标要求</w:t>
      </w:r>
    </w:p>
    <w:p w14:paraId="365B0112">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接口类型至少包含422、开关量、模拟量接口等。</w:t>
      </w:r>
    </w:p>
    <w:p w14:paraId="7A5CAC9C">
      <w:pPr>
        <w:pStyle w:val="4"/>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2.6光纤网络</w:t>
      </w:r>
    </w:p>
    <w:p w14:paraId="4B775112">
      <w:pPr>
        <w:pStyle w:val="5"/>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2.6.1主要功能</w:t>
      </w:r>
    </w:p>
    <w:p w14:paraId="1C2A0AAB">
      <w:pPr>
        <w:overflowPunct w:val="0"/>
        <w:spacing w:line="57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（1）联通各试验设备，实现各设备间的数据实时通讯。</w:t>
      </w:r>
    </w:p>
    <w:p w14:paraId="01735AA3">
      <w:pPr>
        <w:spacing w:line="360" w:lineRule="auto"/>
        <w:ind w:firstLine="480" w:firstLineChars="200"/>
      </w:pPr>
      <w:r>
        <w:rPr>
          <w:rFonts w:hint="eastAsia" w:ascii="宋体" w:hAnsi="宋体" w:cs="宋体"/>
          <w:color w:val="000000" w:themeColor="text1"/>
          <w:sz w:val="24"/>
          <w:szCs w:val="24"/>
          <w:highlight w:val="none"/>
          <w14:textFill>
            <w14:solidFill>
              <w14:schemeClr w14:val="tx1"/>
            </w14:solidFill>
          </w14:textFill>
        </w:rPr>
        <w:t>2.6.2技术指标要求：光纤HUB的通道数量不少于8个。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OWQ2MTJiMjEwOTZiNWM5OTQzNjZlNzRhZWNkNDYifQ=="/>
  </w:docVars>
  <w:rsids>
    <w:rsidRoot w:val="00000000"/>
    <w:rsid w:val="01B61700"/>
    <w:rsid w:val="05AC51CB"/>
    <w:rsid w:val="08F70864"/>
    <w:rsid w:val="092C05EB"/>
    <w:rsid w:val="09BA2AC6"/>
    <w:rsid w:val="0C7A60C3"/>
    <w:rsid w:val="0CDB64B4"/>
    <w:rsid w:val="12B070E5"/>
    <w:rsid w:val="12ED49ED"/>
    <w:rsid w:val="16223BC9"/>
    <w:rsid w:val="1F0825FF"/>
    <w:rsid w:val="1FE22CF6"/>
    <w:rsid w:val="20A827F1"/>
    <w:rsid w:val="21AE5666"/>
    <w:rsid w:val="25C535D0"/>
    <w:rsid w:val="25F66B83"/>
    <w:rsid w:val="28CF07C7"/>
    <w:rsid w:val="28DE3DA4"/>
    <w:rsid w:val="29CD517B"/>
    <w:rsid w:val="313E6B38"/>
    <w:rsid w:val="35E67AD1"/>
    <w:rsid w:val="3647363D"/>
    <w:rsid w:val="41AC3BB0"/>
    <w:rsid w:val="43D07B0F"/>
    <w:rsid w:val="468B5487"/>
    <w:rsid w:val="47754389"/>
    <w:rsid w:val="4C642F91"/>
    <w:rsid w:val="514A0A23"/>
    <w:rsid w:val="52DA7A8E"/>
    <w:rsid w:val="533B47AC"/>
    <w:rsid w:val="568862AC"/>
    <w:rsid w:val="586076A0"/>
    <w:rsid w:val="58725625"/>
    <w:rsid w:val="5A012C53"/>
    <w:rsid w:val="5B5635FF"/>
    <w:rsid w:val="5F986FF0"/>
    <w:rsid w:val="5FB21EBA"/>
    <w:rsid w:val="62611E8A"/>
    <w:rsid w:val="6C493CC8"/>
    <w:rsid w:val="738007DB"/>
    <w:rsid w:val="752733BA"/>
    <w:rsid w:val="7B4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3"/>
    <w:qFormat/>
    <w:uiPriority w:val="9"/>
    <w:pPr>
      <w:keepNext/>
      <w:keepLines/>
      <w:spacing w:before="240" w:after="240" w:line="408" w:lineRule="auto"/>
      <w:jc w:val="left"/>
      <w:outlineLvl w:val="0"/>
    </w:pPr>
    <w:rPr>
      <w:b/>
      <w:bCs/>
      <w:color w:val="000000"/>
      <w:kern w:val="44"/>
      <w:sz w:val="44"/>
      <w:szCs w:val="44"/>
    </w:rPr>
  </w:style>
  <w:style w:type="paragraph" w:styleId="4">
    <w:name w:val="heading 2"/>
    <w:basedOn w:val="1"/>
    <w:next w:val="3"/>
    <w:qFormat/>
    <w:uiPriority w:val="9"/>
    <w:pPr>
      <w:keepNext/>
      <w:keepLines/>
      <w:outlineLvl w:val="1"/>
    </w:pPr>
    <w:rPr>
      <w:rFonts w:ascii="Arial" w:hAnsi="Arial" w:eastAsia="黑体"/>
      <w:bCs/>
      <w:sz w:val="28"/>
      <w:szCs w:val="32"/>
    </w:rPr>
  </w:style>
  <w:style w:type="paragraph" w:styleId="5">
    <w:name w:val="heading 3"/>
    <w:basedOn w:val="1"/>
    <w:next w:val="1"/>
    <w:unhideWhenUsed/>
    <w:qFormat/>
    <w:uiPriority w:val="0"/>
    <w:pPr>
      <w:keepNext/>
      <w:keepLines/>
      <w:spacing w:before="200" w:after="200" w:line="360" w:lineRule="auto"/>
      <w:jc w:val="left"/>
      <w:outlineLvl w:val="2"/>
    </w:pPr>
    <w:rPr>
      <w:b/>
      <w:bCs/>
      <w:color w:val="000000"/>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正文文本1"/>
    <w:qFormat/>
    <w:uiPriority w:val="0"/>
    <w:pPr>
      <w:widowControl w:val="0"/>
      <w:spacing w:line="579" w:lineRule="exact"/>
      <w:ind w:firstLine="200" w:firstLineChars="200"/>
      <w:jc w:val="both"/>
    </w:pPr>
    <w:rPr>
      <w:rFonts w:ascii="Times New Roman" w:hAnsi="Times New Roman" w:eastAsia="仿宋_GB2312" w:cs="Times New Roman"/>
      <w:snapToGrid w:val="0"/>
      <w:sz w:val="32"/>
      <w:szCs w:val="32"/>
      <w:lang w:val="en-US" w:eastAsia="zh-CN" w:bidi="ar-SA"/>
    </w:rPr>
  </w:style>
  <w:style w:type="paragraph" w:styleId="6">
    <w:name w:val="Body Text Indent"/>
    <w:basedOn w:val="1"/>
    <w:autoRedefine/>
    <w:qFormat/>
    <w:uiPriority w:val="0"/>
    <w:pPr>
      <w:spacing w:after="120" w:afterLines="0" w:afterAutospacing="0"/>
      <w:ind w:left="420" w:leftChars="200"/>
    </w:pPr>
  </w:style>
  <w:style w:type="paragraph" w:styleId="7">
    <w:name w:val="Title"/>
    <w:basedOn w:val="1"/>
    <w:next w:val="3"/>
    <w:qFormat/>
    <w:uiPriority w:val="10"/>
    <w:pPr>
      <w:spacing w:line="579" w:lineRule="exact"/>
      <w:jc w:val="center"/>
      <w:outlineLvl w:val="0"/>
    </w:pPr>
    <w:rPr>
      <w:rFonts w:eastAsia="方正小标宋简体"/>
      <w:bCs/>
      <w:snapToGrid w:val="0"/>
      <w:sz w:val="44"/>
      <w:szCs w:val="32"/>
    </w:rPr>
  </w:style>
  <w:style w:type="paragraph" w:styleId="8">
    <w:name w:val="Body Text First Indent 2"/>
    <w:basedOn w:val="6"/>
    <w:qFormat/>
    <w:uiPriority w:val="0"/>
    <w:pPr>
      <w:ind w:firstLine="420" w:firstLineChars="200"/>
    </w:pPr>
  </w:style>
  <w:style w:type="paragraph" w:customStyle="1" w:styleId="11">
    <w:name w:val="列出段落1"/>
    <w:basedOn w:val="1"/>
    <w:autoRedefine/>
    <w:qFormat/>
    <w:uiPriority w:val="0"/>
    <w:pPr>
      <w:ind w:firstLine="420" w:firstLineChars="200"/>
    </w:pPr>
  </w:style>
  <w:style w:type="paragraph" w:customStyle="1" w:styleId="1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34"/>
    <w:pPr>
      <w:ind w:firstLine="420" w:firstLineChars="200"/>
    </w:pPr>
  </w:style>
  <w:style w:type="paragraph" w:customStyle="1" w:styleId="14">
    <w:name w:val="图标题"/>
    <w:next w:val="3"/>
    <w:qFormat/>
    <w:uiPriority w:val="0"/>
    <w:pPr>
      <w:adjustRightInd w:val="0"/>
      <w:snapToGrid w:val="0"/>
      <w:jc w:val="center"/>
    </w:pPr>
    <w:rPr>
      <w:rFonts w:ascii="Times New Roman" w:hAnsi="Times New Roman" w:eastAsia="黑体" w:cs="黑体"/>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1780</Words>
  <Characters>2055</Characters>
  <Lines>0</Lines>
  <Paragraphs>0</Paragraphs>
  <TotalTime>0</TotalTime>
  <ScaleCrop>false</ScaleCrop>
  <LinksUpToDate>false</LinksUpToDate>
  <CharactersWithSpaces>2061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2022-12-15T09:19:00Z</dcterms:created>
  <dc:creator>Administrator</dc:creator>
  <cp:lastModifiedBy>陈旭楠</cp:lastModifiedBy>
  <dcterms:modified xsi:type="dcterms:W3CDTF">2025-06-25T08:25:49Z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0D26761406574683A28C4D3D5C720964</vt:lpwstr>
  </property>
  <property fmtid="{D5CDD505-2E9C-101B-9397-08002B2CF9AE}" pid="4" name="KSOTemplateDocerSaveRecord">
    <vt:lpwstr>eyJoZGlkIjoiNjQwM2EzNzU2NThlYmM2YTk3ZDQ3NTc0ZmNiMmJjOWUiLCJ1c2VySWQiOiI0NDkxNDI0OTQifQ==</vt:lpwstr>
  </property>
</Properties>
</file>