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6E56A">
      <w:pPr>
        <w:jc w:val="center"/>
        <w:rPr>
          <w:rFonts w:asciiTheme="minorEastAsia" w:hAnsiTheme="minorEastAsia"/>
          <w:b/>
          <w:sz w:val="32"/>
          <w:szCs w:val="32"/>
          <w:highlight w:val="none"/>
        </w:rPr>
      </w:pPr>
      <w:bookmarkStart w:id="3" w:name="_GoBack"/>
      <w:r>
        <w:rPr>
          <w:rFonts w:hint="eastAsia" w:asciiTheme="minorEastAsia" w:hAnsiTheme="minorEastAsia"/>
          <w:b/>
          <w:sz w:val="32"/>
          <w:szCs w:val="32"/>
          <w:highlight w:val="none"/>
        </w:rPr>
        <w:t>江苏移动信息系统集成有限公司</w:t>
      </w:r>
    </w:p>
    <w:p w14:paraId="550D6F72">
      <w:pPr>
        <w:jc w:val="center"/>
        <w:rPr>
          <w:rFonts w:asciiTheme="minorEastAsia" w:hAnsiTheme="minorEastAsia"/>
          <w:b/>
          <w:sz w:val="32"/>
          <w:szCs w:val="32"/>
          <w:highlight w:val="none"/>
          <w:lang w:eastAsia="zh-Hans"/>
        </w:rPr>
      </w:pPr>
      <w:r>
        <w:rPr>
          <w:rFonts w:hint="eastAsia" w:asciiTheme="minorEastAsia" w:hAnsiTheme="minorEastAsia"/>
          <w:b/>
          <w:sz w:val="32"/>
          <w:szCs w:val="32"/>
          <w:highlight w:val="none"/>
        </w:rPr>
        <w:t>DICT集成服务产品生态合作伙伴引入实施细则</w:t>
      </w:r>
    </w:p>
    <w:p w14:paraId="10093583">
      <w:pPr>
        <w:pStyle w:val="5"/>
        <w:rPr>
          <w:rFonts w:cs="仿宋_GB2312" w:asciiTheme="minorEastAsia" w:hAnsiTheme="minorEastAsia"/>
          <w:kern w:val="0"/>
          <w:sz w:val="28"/>
          <w:szCs w:val="28"/>
          <w:highlight w:val="none"/>
        </w:rPr>
      </w:pPr>
    </w:p>
    <w:p w14:paraId="29ABC3AF">
      <w:pPr>
        <w:pStyle w:val="5"/>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DICT集成服务产品是基于标准业务，将相对标准、小金额的轻量定制集成服务（如平台入驻、功能定制、对接调试、重点保障等）打包成产品，上架至业务支撑系统，供一线订购的业务模式。</w:t>
      </w:r>
    </w:p>
    <w:p w14:paraId="57BCAA34">
      <w:pPr>
        <w:pStyle w:val="5"/>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江苏移动信息系统集成有限公司（以下简称“江苏移动集成公司”）通过集中框架引入行业合作伙伴打造标准化核心产品服务。为扩大产品服务能力覆盖面，加强DICT集成服务产品属地生态合作，充分满足分公司本地客情与定制化需求，为地市需求提供专属定制服务，计划引入DICT集成服务产品合作伙伴，形成短名单合作伙伴资源库（以下简称“短名单”），作为省级标准化核心产品服务的有效补充。</w:t>
      </w:r>
    </w:p>
    <w:p w14:paraId="249EC2D4">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短名单引入实施细则内容主要包括合作范围、入围管理、入库使用、考核管理、退出（灰名单）管理、基础管理及问责管理。国家法律法规已明确必须采用招标或竞争性方式采购的服务，应从其规定。</w:t>
      </w:r>
    </w:p>
    <w:p w14:paraId="4D49240D">
      <w:pPr>
        <w:pStyle w:val="3"/>
        <w:spacing w:before="40" w:after="4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一、合作范围</w:t>
      </w:r>
    </w:p>
    <w:p w14:paraId="6FC06743">
      <w:pPr>
        <w:pStyle w:val="5"/>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本细则短名单合作范围是指服务专线+安全、安全标品、智慧社区、智慧园区、智慧工地、智慧教育、城市物联网、大数据、云视讯、和对讲、企业视频彩铃</w:t>
      </w:r>
      <w:r>
        <w:rPr>
          <w:rFonts w:hint="eastAsia" w:cs="仿宋_GB2312" w:asciiTheme="minorEastAsia" w:hAnsiTheme="minorEastAsia"/>
          <w:kern w:val="0"/>
          <w:sz w:val="28"/>
          <w:szCs w:val="28"/>
          <w:highlight w:val="none"/>
          <w:lang w:eastAsia="zh-CN"/>
        </w:rPr>
        <w:t>、</w:t>
      </w:r>
      <w:r>
        <w:rPr>
          <w:rFonts w:hint="eastAsia" w:cs="仿宋_GB2312" w:asciiTheme="minorEastAsia" w:hAnsiTheme="minorEastAsia"/>
          <w:kern w:val="0"/>
          <w:sz w:val="28"/>
          <w:szCs w:val="28"/>
          <w:highlight w:val="none"/>
          <w:lang w:val="en-US" w:eastAsia="zh-CN"/>
        </w:rPr>
        <w:t>人工智能类</w:t>
      </w:r>
      <w:r>
        <w:rPr>
          <w:rFonts w:hint="eastAsia" w:cs="仿宋_GB2312" w:asciiTheme="minorEastAsia" w:hAnsiTheme="minorEastAsia"/>
          <w:kern w:val="0"/>
          <w:sz w:val="28"/>
          <w:szCs w:val="28"/>
          <w:highlight w:val="none"/>
          <w:lang w:val="en-US" w:eastAsia="zh-CN"/>
        </w:rPr>
        <w:t>及商客SAAS</w:t>
      </w:r>
      <w:r>
        <w:rPr>
          <w:rFonts w:hint="eastAsia" w:cs="仿宋_GB2312" w:asciiTheme="minorEastAsia" w:hAnsiTheme="minorEastAsia"/>
          <w:kern w:val="0"/>
          <w:sz w:val="28"/>
          <w:szCs w:val="28"/>
          <w:highlight w:val="none"/>
        </w:rPr>
        <w:t>等各类DICT集成服务产品的合作伙伴，包括但不限于面向安全类、智慧社区、园区、城市、工地等物联网类、教育类、</w:t>
      </w:r>
      <w:r>
        <w:rPr>
          <w:rFonts w:hint="eastAsia" w:cs="仿宋_GB2312" w:asciiTheme="minorEastAsia" w:hAnsiTheme="minorEastAsia"/>
          <w:kern w:val="0"/>
          <w:sz w:val="28"/>
          <w:szCs w:val="28"/>
          <w:highlight w:val="none"/>
        </w:rPr>
        <w:t>智能音视频</w:t>
      </w:r>
      <w:r>
        <w:rPr>
          <w:rFonts w:hint="eastAsia" w:cs="仿宋_GB2312" w:asciiTheme="minorEastAsia" w:hAnsiTheme="minorEastAsia"/>
          <w:kern w:val="0"/>
          <w:sz w:val="28"/>
          <w:szCs w:val="28"/>
          <w:highlight w:val="none"/>
          <w:lang w:eastAsia="zh-CN"/>
        </w:rPr>
        <w:t>、</w:t>
      </w:r>
      <w:r>
        <w:rPr>
          <w:rFonts w:hint="eastAsia" w:cs="仿宋_GB2312" w:asciiTheme="minorEastAsia" w:hAnsiTheme="minorEastAsia"/>
          <w:kern w:val="0"/>
          <w:sz w:val="28"/>
          <w:szCs w:val="28"/>
          <w:highlight w:val="none"/>
          <w:lang w:val="en-US" w:eastAsia="zh-CN"/>
        </w:rPr>
        <w:t>商客</w:t>
      </w:r>
      <w:r>
        <w:rPr>
          <w:rFonts w:hint="eastAsia" w:cs="仿宋_GB2312" w:asciiTheme="minorEastAsia" w:hAnsiTheme="minorEastAsia"/>
          <w:kern w:val="0"/>
          <w:sz w:val="28"/>
          <w:szCs w:val="28"/>
          <w:highlight w:val="none"/>
        </w:rPr>
        <w:t>类</w:t>
      </w:r>
      <w:r>
        <w:rPr>
          <w:rFonts w:hint="eastAsia" w:cs="仿宋_GB2312" w:asciiTheme="minorEastAsia" w:hAnsiTheme="minorEastAsia"/>
          <w:kern w:val="0"/>
          <w:sz w:val="28"/>
          <w:szCs w:val="28"/>
          <w:highlight w:val="none"/>
        </w:rPr>
        <w:t>等领域，提供平台入驻、功能定制、对接调试、重点保障等支撑服务。各产品条线可根据本细则规范要求，形成相应产品短名单。</w:t>
      </w:r>
    </w:p>
    <w:p w14:paraId="66D53035">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短名单是江苏移动集成公司</w:t>
      </w:r>
      <w:r>
        <w:rPr>
          <w:rFonts w:cs="仿宋_GB2312" w:asciiTheme="minorEastAsia" w:hAnsiTheme="minorEastAsia"/>
          <w:kern w:val="0"/>
          <w:sz w:val="28"/>
          <w:szCs w:val="28"/>
          <w:highlight w:val="none"/>
        </w:rPr>
        <w:t>行业核心产品服务的有效补充</w:t>
      </w:r>
      <w:r>
        <w:rPr>
          <w:rFonts w:hint="eastAsia" w:cs="仿宋_GB2312" w:asciiTheme="minorEastAsia" w:hAnsiTheme="minorEastAsia"/>
          <w:kern w:val="0"/>
          <w:sz w:val="28"/>
          <w:szCs w:val="28"/>
          <w:highlight w:val="none"/>
        </w:rPr>
        <w:t>，是采购中选择、使用合作伙伴的主要依据；除临时性合作伙伴入围按照相关审批流程确定外，原则上必须在资源库中选择合作方。</w:t>
      </w:r>
    </w:p>
    <w:p w14:paraId="7E3753A6">
      <w:pPr>
        <w:tabs>
          <w:tab w:val="left" w:pos="2468"/>
        </w:tabs>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短名单选择采用“两段式”公开采购方式。第一阶段公开发布资格预审公告信息，开展集中资格预审（合格制），建立短名单合作伙伴资源库（以下简称“资源库”），不分配份额，只作为某类采购标的的潜在合作伙伴；第二阶段在出现具体项目服务产品需求后，按照已明确的采购需求，针对合作伙伴资源库内的合作伙伴，以比选、询价等方式进行采购，并在确认采购结果后签订合同。</w:t>
      </w:r>
    </w:p>
    <w:p w14:paraId="00EF88B2">
      <w:pPr>
        <w:pStyle w:val="3"/>
        <w:spacing w:before="40" w:after="4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二、入围管理</w:t>
      </w:r>
    </w:p>
    <w:p w14:paraId="2A069D01">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所涉及的角色有：需求部门、实施部门、财务部门、法律综合管理部门等。</w:t>
      </w:r>
    </w:p>
    <w:p w14:paraId="009FEAD4">
      <w:pPr>
        <w:pStyle w:val="3"/>
        <w:spacing w:before="60" w:after="60" w:line="360" w:lineRule="auto"/>
        <w:ind w:firstLine="562" w:firstLineChars="200"/>
        <w:rPr>
          <w:highlight w:val="none"/>
        </w:rPr>
      </w:pPr>
      <w:r>
        <w:rPr>
          <w:rFonts w:hint="eastAsia" w:cs="仿宋_GB2312" w:asciiTheme="minorEastAsia" w:hAnsiTheme="minorEastAsia"/>
          <w:kern w:val="0"/>
          <w:sz w:val="28"/>
          <w:szCs w:val="28"/>
          <w:highlight w:val="none"/>
        </w:rPr>
        <w:t>2.1职责分工</w:t>
      </w:r>
    </w:p>
    <w:p w14:paraId="00420A8F">
      <w:pPr>
        <w:pStyle w:val="3"/>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2.1.1需求部门（</w:t>
      </w:r>
      <w:r>
        <w:rPr>
          <w:rFonts w:hint="eastAsia" w:cs="仿宋_GB2312" w:asciiTheme="minorEastAsia" w:hAnsiTheme="minorEastAsia"/>
          <w:kern w:val="0"/>
          <w:sz w:val="28"/>
          <w:szCs w:val="28"/>
          <w:highlight w:val="none"/>
          <w:lang w:val="en-US" w:eastAsia="zh-CN"/>
        </w:rPr>
        <w:t>产品研发二</w:t>
      </w:r>
      <w:r>
        <w:rPr>
          <w:rFonts w:hint="eastAsia" w:cs="仿宋_GB2312" w:asciiTheme="minorEastAsia" w:hAnsiTheme="minorEastAsia"/>
          <w:kern w:val="0"/>
          <w:sz w:val="28"/>
          <w:szCs w:val="28"/>
          <w:highlight w:val="none"/>
        </w:rPr>
        <w:t>部）职责如下：</w:t>
      </w:r>
    </w:p>
    <w:p w14:paraId="106B066A">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（1）负责提交资源库引入需求，参与合作伙伴入围评审；</w:t>
      </w:r>
    </w:p>
    <w:p w14:paraId="03BD690F">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（2）根据具体项目，负责发起明确的采购需求，参与采购的评审；</w:t>
      </w:r>
    </w:p>
    <w:p w14:paraId="14EFAEA1">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（3）负责在项目实施过程中跟进、考核合作伙伴工作表现，记录合作伙伴问题；</w:t>
      </w:r>
    </w:p>
    <w:p w14:paraId="503253F4">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（4）负责开展合作伙伴后评估工作。</w:t>
      </w:r>
    </w:p>
    <w:p w14:paraId="0A141BCE">
      <w:pPr>
        <w:pStyle w:val="3"/>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2.1.2实施部门（综合采购部）职责如下：</w:t>
      </w:r>
    </w:p>
    <w:p w14:paraId="18F7CE2B">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（1）负责征集并资源库引入需求，编制资源库招募方案，组织资源库入围评审；</w:t>
      </w:r>
    </w:p>
    <w:p w14:paraId="312135C4">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（2）负责参与审核具体项目采购需求及方案；</w:t>
      </w:r>
    </w:p>
    <w:p w14:paraId="4ABD3C7E">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（3）负责发布具体项目采购公告、采购邀请、收取应答、组织采购评审；</w:t>
      </w:r>
    </w:p>
    <w:p w14:paraId="44726F8C">
      <w:pPr>
        <w:pStyle w:val="2"/>
        <w:ind w:left="0" w:leftChars="0" w:firstLine="560" w:firstLineChars="200"/>
        <w:rPr>
          <w:highlight w:val="none"/>
        </w:rPr>
      </w:pPr>
      <w:r>
        <w:rPr>
          <w:rFonts w:hint="eastAsia" w:cs="仿宋_GB2312" w:asciiTheme="minorEastAsia" w:hAnsiTheme="minorEastAsia"/>
          <w:kern w:val="0"/>
          <w:sz w:val="28"/>
          <w:szCs w:val="28"/>
          <w:highlight w:val="none"/>
        </w:rPr>
        <w:t>（4）提请采购结果的决策，并依据决策后的采购结果签署具体项目合作合同；</w:t>
      </w:r>
    </w:p>
    <w:p w14:paraId="1C54975E">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（5）负责资源库信息维护、负面行为处理、清退出库等管理工作。</w:t>
      </w:r>
    </w:p>
    <w:p w14:paraId="0E155746">
      <w:pPr>
        <w:pStyle w:val="3"/>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2.1.3财务部门（财务部）职责如下：</w:t>
      </w:r>
    </w:p>
    <w:p w14:paraId="096622FB">
      <w:pPr>
        <w:pStyle w:val="2"/>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（1）负责参与资源库入围方案、具体项目采购结果、问题处理的评审工作。</w:t>
      </w:r>
    </w:p>
    <w:p w14:paraId="46BB6EB6">
      <w:pPr>
        <w:pStyle w:val="2"/>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（2）负责参与合作协议、项目合作合同、报账等流程的审核工作；</w:t>
      </w:r>
    </w:p>
    <w:p w14:paraId="5A66AD06">
      <w:pPr>
        <w:pStyle w:val="3"/>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2.1.4法律综合管理部门（综合部）职责如下：</w:t>
      </w:r>
    </w:p>
    <w:p w14:paraId="56273B0E">
      <w:pPr>
        <w:pStyle w:val="2"/>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（1）负责参与合作协议、项目合作合同的审核工作；</w:t>
      </w:r>
    </w:p>
    <w:p w14:paraId="4335AF42">
      <w:pPr>
        <w:pStyle w:val="2"/>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（2）负责参与合作伙伴问题处理及合作法律纠纷处理等工作。</w:t>
      </w:r>
    </w:p>
    <w:p w14:paraId="1D19D45F">
      <w:pPr>
        <w:pStyle w:val="3"/>
        <w:snapToGrid w:val="0"/>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2.2入围方式</w:t>
      </w:r>
    </w:p>
    <w:p w14:paraId="294D1760">
      <w:pPr>
        <w:autoSpaceDE w:val="0"/>
        <w:autoSpaceDN w:val="0"/>
        <w:adjustRightInd w:val="0"/>
        <w:spacing w:line="360" w:lineRule="auto"/>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 xml:space="preserve"> 江苏移动集成公司每年以公开渠道发布信息的方式，定期开展年度资源库入围工作；同时可根据业务发展的需要，临时开展合作伙伴补充入围工作。具体</w:t>
      </w:r>
      <w:r>
        <w:rPr>
          <w:rFonts w:cs="仿宋_GB2312" w:asciiTheme="minorEastAsia" w:hAnsiTheme="minorEastAsia"/>
          <w:kern w:val="0"/>
          <w:sz w:val="28"/>
          <w:szCs w:val="28"/>
          <w:highlight w:val="none"/>
        </w:rPr>
        <w:t>征集的</w:t>
      </w:r>
      <w:r>
        <w:rPr>
          <w:rFonts w:hint="eastAsia" w:cs="仿宋_GB2312" w:asciiTheme="minorEastAsia" w:hAnsiTheme="minorEastAsia"/>
          <w:kern w:val="0"/>
          <w:sz w:val="28"/>
          <w:szCs w:val="28"/>
          <w:highlight w:val="none"/>
        </w:rPr>
        <w:t>DICT集成服务产品</w:t>
      </w:r>
      <w:r>
        <w:rPr>
          <w:rFonts w:cs="仿宋_GB2312" w:asciiTheme="minorEastAsia" w:hAnsiTheme="minorEastAsia"/>
          <w:kern w:val="0"/>
          <w:sz w:val="28"/>
          <w:szCs w:val="28"/>
          <w:highlight w:val="none"/>
        </w:rPr>
        <w:t>的名录</w:t>
      </w:r>
      <w:r>
        <w:rPr>
          <w:rFonts w:hint="eastAsia" w:cs="仿宋_GB2312" w:asciiTheme="minorEastAsia" w:hAnsiTheme="minorEastAsia"/>
          <w:kern w:val="0"/>
          <w:sz w:val="28"/>
          <w:szCs w:val="28"/>
          <w:highlight w:val="none"/>
        </w:rPr>
        <w:t>以江苏移动</w:t>
      </w:r>
      <w:r>
        <w:rPr>
          <w:rFonts w:cs="仿宋_GB2312" w:asciiTheme="minorEastAsia" w:hAnsiTheme="minorEastAsia"/>
          <w:kern w:val="0"/>
          <w:sz w:val="28"/>
          <w:szCs w:val="28"/>
          <w:highlight w:val="none"/>
        </w:rPr>
        <w:t>集成公司</w:t>
      </w:r>
      <w:r>
        <w:rPr>
          <w:rFonts w:hint="eastAsia" w:cs="仿宋_GB2312" w:asciiTheme="minorEastAsia" w:hAnsiTheme="minorEastAsia"/>
          <w:kern w:val="0"/>
          <w:sz w:val="28"/>
          <w:szCs w:val="28"/>
          <w:highlight w:val="none"/>
        </w:rPr>
        <w:t>发布的征集公告为准</w:t>
      </w:r>
      <w:r>
        <w:rPr>
          <w:rFonts w:cs="仿宋_GB2312" w:asciiTheme="minorEastAsia" w:hAnsiTheme="minorEastAsia"/>
          <w:kern w:val="0"/>
          <w:sz w:val="28"/>
          <w:szCs w:val="28"/>
          <w:highlight w:val="none"/>
        </w:rPr>
        <w:t>。</w:t>
      </w:r>
    </w:p>
    <w:p w14:paraId="2F576C73">
      <w:pPr>
        <w:pStyle w:val="3"/>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2.3资格条件</w:t>
      </w:r>
    </w:p>
    <w:p w14:paraId="4C2B25D8">
      <w:pPr>
        <w:tabs>
          <w:tab w:val="left" w:pos="2468"/>
        </w:tabs>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资源库入围的具体资格条件，在公开资格预审文件中进行明确。入围有效期为一年，有效期满后，无论年度入围资格条件是否发生变化，所有入围的相应类别的合作伙伴均需全部重新参加下一年度入围。</w:t>
      </w:r>
    </w:p>
    <w:p w14:paraId="22C5A89D">
      <w:pPr>
        <w:autoSpaceDE w:val="0"/>
        <w:autoSpaceDN w:val="0"/>
        <w:adjustRightInd w:val="0"/>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资源库提交的入围申请资料应包含但不限于：企业简介、企业法人营业执照（复印件）、企业资质证书、</w:t>
      </w:r>
      <w:r>
        <w:rPr>
          <w:rFonts w:hint="eastAsia" w:cs="仿宋_GB2312" w:asciiTheme="minorEastAsia" w:hAnsiTheme="minorEastAsia"/>
          <w:kern w:val="0"/>
          <w:sz w:val="28"/>
          <w:szCs w:val="28"/>
          <w:highlight w:val="none"/>
          <w:lang w:eastAsia="zh-Hans"/>
        </w:rPr>
        <w:t>企业经营业绩</w:t>
      </w:r>
      <w:r>
        <w:rPr>
          <w:rFonts w:cs="仿宋_GB2312" w:asciiTheme="minorEastAsia" w:hAnsiTheme="minorEastAsia"/>
          <w:kern w:val="0"/>
          <w:sz w:val="28"/>
          <w:szCs w:val="28"/>
          <w:highlight w:val="none"/>
          <w:lang w:eastAsia="zh-Hans"/>
        </w:rPr>
        <w:t>、</w:t>
      </w:r>
      <w:r>
        <w:rPr>
          <w:rFonts w:hint="eastAsia" w:cs="仿宋_GB2312" w:asciiTheme="minorEastAsia" w:hAnsiTheme="minorEastAsia"/>
          <w:kern w:val="0"/>
          <w:sz w:val="28"/>
          <w:szCs w:val="28"/>
          <w:highlight w:val="none"/>
        </w:rPr>
        <w:t>最近一个会计年度的审计报告（复印件）、企业信用情况证明材料、企业</w:t>
      </w:r>
      <w:r>
        <w:rPr>
          <w:rFonts w:cs="仿宋_GB2312" w:asciiTheme="minorEastAsia" w:hAnsiTheme="minorEastAsia"/>
          <w:kern w:val="0"/>
          <w:sz w:val="28"/>
          <w:szCs w:val="28"/>
          <w:highlight w:val="none"/>
        </w:rPr>
        <w:t>行业</w:t>
      </w:r>
      <w:r>
        <w:rPr>
          <w:rFonts w:hint="eastAsia" w:cs="仿宋_GB2312" w:asciiTheme="minorEastAsia" w:hAnsiTheme="minorEastAsia"/>
          <w:kern w:val="0"/>
          <w:sz w:val="28"/>
          <w:szCs w:val="28"/>
          <w:highlight w:val="none"/>
        </w:rPr>
        <w:t>相关的产品</w:t>
      </w:r>
      <w:r>
        <w:rPr>
          <w:rFonts w:cs="仿宋_GB2312" w:asciiTheme="minorEastAsia" w:hAnsiTheme="minorEastAsia"/>
          <w:kern w:val="0"/>
          <w:sz w:val="28"/>
          <w:szCs w:val="28"/>
          <w:highlight w:val="none"/>
        </w:rPr>
        <w:t>介绍</w:t>
      </w:r>
      <w:r>
        <w:rPr>
          <w:rFonts w:hint="eastAsia" w:cs="仿宋_GB2312" w:asciiTheme="minorEastAsia" w:hAnsiTheme="minorEastAsia"/>
          <w:kern w:val="0"/>
          <w:sz w:val="28"/>
          <w:szCs w:val="28"/>
          <w:highlight w:val="none"/>
        </w:rPr>
        <w:t>、法人代表等高管人员基本信息。</w:t>
      </w:r>
    </w:p>
    <w:p w14:paraId="6F00370C">
      <w:pPr>
        <w:pStyle w:val="3"/>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2.4入围评审</w:t>
      </w:r>
    </w:p>
    <w:p w14:paraId="03C5F600">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集中资格预审由采购部门牵头组织开展，</w:t>
      </w:r>
      <w:r>
        <w:rPr>
          <w:rFonts w:cs="仿宋_GB2312" w:asciiTheme="minorEastAsia" w:hAnsiTheme="minorEastAsia"/>
          <w:kern w:val="0"/>
          <w:sz w:val="28"/>
          <w:szCs w:val="28"/>
          <w:highlight w:val="none"/>
        </w:rPr>
        <w:t>组织专家对</w:t>
      </w:r>
      <w:r>
        <w:rPr>
          <w:rFonts w:hint="eastAsia" w:cs="仿宋_GB2312" w:asciiTheme="minorEastAsia" w:hAnsiTheme="minorEastAsia"/>
          <w:kern w:val="0"/>
          <w:sz w:val="28"/>
          <w:szCs w:val="28"/>
          <w:highlight w:val="none"/>
        </w:rPr>
        <w:t>报名</w:t>
      </w:r>
      <w:r>
        <w:rPr>
          <w:rFonts w:cs="仿宋_GB2312" w:asciiTheme="minorEastAsia" w:hAnsiTheme="minorEastAsia"/>
          <w:kern w:val="0"/>
          <w:sz w:val="28"/>
          <w:szCs w:val="28"/>
          <w:highlight w:val="none"/>
        </w:rPr>
        <w:t>的厂商进行</w:t>
      </w:r>
      <w:r>
        <w:rPr>
          <w:rFonts w:hint="eastAsia" w:cs="仿宋_GB2312" w:asciiTheme="minorEastAsia" w:hAnsiTheme="minorEastAsia"/>
          <w:kern w:val="0"/>
          <w:sz w:val="28"/>
          <w:szCs w:val="28"/>
          <w:highlight w:val="none"/>
        </w:rPr>
        <w:t>资格</w:t>
      </w:r>
      <w:r>
        <w:rPr>
          <w:rFonts w:cs="仿宋_GB2312" w:asciiTheme="minorEastAsia" w:hAnsiTheme="minorEastAsia"/>
          <w:kern w:val="0"/>
          <w:sz w:val="28"/>
          <w:szCs w:val="28"/>
          <w:highlight w:val="none"/>
        </w:rPr>
        <w:t>评审，评审专家</w:t>
      </w:r>
      <w:r>
        <w:rPr>
          <w:rFonts w:hint="eastAsia" w:cs="仿宋_GB2312" w:asciiTheme="minorEastAsia" w:hAnsiTheme="minorEastAsia"/>
          <w:kern w:val="0"/>
          <w:sz w:val="28"/>
          <w:szCs w:val="28"/>
          <w:highlight w:val="none"/>
        </w:rPr>
        <w:t>组由内外部</w:t>
      </w:r>
      <w:r>
        <w:rPr>
          <w:rFonts w:cs="仿宋_GB2312" w:asciiTheme="minorEastAsia" w:hAnsiTheme="minorEastAsia"/>
          <w:kern w:val="0"/>
          <w:sz w:val="28"/>
          <w:szCs w:val="28"/>
          <w:highlight w:val="none"/>
        </w:rPr>
        <w:t>专家共同组成</w:t>
      </w:r>
      <w:r>
        <w:rPr>
          <w:rFonts w:hint="eastAsia" w:cs="仿宋_GB2312" w:asciiTheme="minorEastAsia" w:hAnsiTheme="minorEastAsia"/>
          <w:kern w:val="0"/>
          <w:sz w:val="28"/>
          <w:szCs w:val="28"/>
          <w:highlight w:val="none"/>
        </w:rPr>
        <w:t>。资格预审通过后，由采购部门牵头，财务部门及需求部门共同参加，将资格预审情况上报公司总经理办公会决策，决策通过的合作伙伴进入合作伙伴资源库。</w:t>
      </w:r>
    </w:p>
    <w:p w14:paraId="1F1F427A">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因客观条件和市场原因需新增临时合作伙伴时，由需求部门发起申请，经采购、财务部门评估后，按“一事一议”原则上报公司总经理办公会决策。</w:t>
      </w:r>
    </w:p>
    <w:p w14:paraId="156D85AD">
      <w:pPr>
        <w:pStyle w:val="3"/>
        <w:spacing w:before="40" w:after="4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三、入库使用</w:t>
      </w:r>
    </w:p>
    <w:p w14:paraId="5461C83F">
      <w:pPr>
        <w:tabs>
          <w:tab w:val="left" w:pos="2468"/>
        </w:tabs>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短名单主要应用于为满足地市需求提供专属服务场景，当地市出现具体项目服务产品需求后，按照已明确的采购需求，针对短名单内的合作伙伴，以比选、询价等方式进行采购，并在确认采购结果后签订合同。</w:t>
      </w:r>
    </w:p>
    <w:p w14:paraId="2B00441C">
      <w:pPr>
        <w:pStyle w:val="3"/>
        <w:spacing w:before="40" w:after="4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四、考核管理</w:t>
      </w:r>
    </w:p>
    <w:p w14:paraId="12477FD7">
      <w:pPr>
        <w:pStyle w:val="3"/>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4.1考核类型</w:t>
      </w:r>
    </w:p>
    <w:p w14:paraId="0740389C">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公司对合作伙伴的考核管理分为项目考核、年度考核两类。</w:t>
      </w:r>
    </w:p>
    <w:p w14:paraId="50DC6FBF">
      <w:pPr>
        <w:pStyle w:val="3"/>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4.2考核办法</w:t>
      </w:r>
    </w:p>
    <w:p w14:paraId="2B34FDB6">
      <w:pPr>
        <w:pStyle w:val="3"/>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4.2.1项目考核</w:t>
      </w:r>
    </w:p>
    <w:p w14:paraId="38E94CE8">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项目考核由需求部门负责组织，考核内容主要涉及项目产品服务技术支撑、运营维护、投诉处理等。</w:t>
      </w:r>
    </w:p>
    <w:p w14:paraId="5326017D">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需求部门及时向采购部门和合作伙伴反馈考核结果，督促合作伙伴提高服务质量，提升客户满意度。入围合作伙伴项目考核表见附件。</w:t>
      </w:r>
    </w:p>
    <w:p w14:paraId="0E88C852">
      <w:pPr>
        <w:pStyle w:val="3"/>
        <w:spacing w:before="60" w:after="60" w:line="360" w:lineRule="auto"/>
        <w:ind w:firstLine="562" w:firstLineChars="200"/>
        <w:rPr>
          <w:highlight w:val="none"/>
        </w:rPr>
      </w:pPr>
      <w:r>
        <w:rPr>
          <w:rFonts w:hint="eastAsia" w:cs="仿宋_GB2312" w:asciiTheme="minorEastAsia" w:hAnsiTheme="minorEastAsia"/>
          <w:kern w:val="0"/>
          <w:sz w:val="28"/>
          <w:szCs w:val="28"/>
          <w:highlight w:val="none"/>
        </w:rPr>
        <w:t>4.2.2年度考核</w:t>
      </w:r>
    </w:p>
    <w:p w14:paraId="75637B3D">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年度考核主要针对于上年度采购项目，考核内容可包含但不限于：资质等级、合作价格、资金能力、日常考核结果、加分项、扣分项、否决项等；其中，项目考核的权重不低于40%，以各项目的平均分计算。入围供应商年度考核表见附件。</w:t>
      </w:r>
    </w:p>
    <w:p w14:paraId="63D9DD8E">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原则上，年度考核与下一年度入围工作同步进行。年度考核由需求部门组建供应商考评小组，对所有入围供应商过去一年的情况进行综合评价。</w:t>
      </w:r>
    </w:p>
    <w:p w14:paraId="053FEC97">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依据年度综合评价结果，将合作伙伴分别划分为A、B、C、D不同级别：年度考核在95分及以上，年度综合评价为A；年度考核在76-95分（不含95分）之间，年度综合评价为B；年度考核在60-76分（不含76分）之间，年度综合评价为C；年度考核在60分以下（不含60分），年度综合评价为D。</w:t>
      </w:r>
    </w:p>
    <w:p w14:paraId="5387DE14">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因入围合作伙伴自身原因（如支撑能力、</w:t>
      </w:r>
      <w:r>
        <w:rPr>
          <w:rFonts w:hint="eastAsia" w:cs="仿宋_GB2312" w:asciiTheme="minorEastAsia" w:hAnsiTheme="minorEastAsia"/>
          <w:kern w:val="0"/>
          <w:sz w:val="28"/>
          <w:szCs w:val="28"/>
          <w:highlight w:val="none"/>
          <w:lang w:val="en-US" w:eastAsia="zh-CN"/>
        </w:rPr>
        <w:t>运营维护</w:t>
      </w:r>
      <w:r>
        <w:rPr>
          <w:rFonts w:hint="eastAsia" w:cs="仿宋_GB2312" w:asciiTheme="minorEastAsia" w:hAnsiTheme="minorEastAsia"/>
          <w:kern w:val="0"/>
          <w:sz w:val="28"/>
          <w:szCs w:val="28"/>
          <w:highlight w:val="none"/>
        </w:rPr>
        <w:t>能力等），连续6个月累计9个月未通过短名单方式达成业务合作的，当年综合评价不得高于C。</w:t>
      </w:r>
    </w:p>
    <w:p w14:paraId="78E0CDB5">
      <w:pPr>
        <w:pStyle w:val="3"/>
        <w:spacing w:before="60" w:after="6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4.2.3 考评应用</w:t>
      </w:r>
    </w:p>
    <w:p w14:paraId="7353F01E">
      <w:pPr>
        <w:autoSpaceDE w:val="0"/>
        <w:autoSpaceDN w:val="0"/>
        <w:adjustRightInd w:val="0"/>
        <w:spacing w:line="540" w:lineRule="exact"/>
        <w:ind w:firstLine="560" w:firstLineChars="200"/>
        <w:jc w:val="left"/>
        <w:rPr>
          <w:rFonts w:cs="仿宋_GB2312" w:asciiTheme="minorEastAsia" w:hAnsiTheme="minorEastAsia"/>
          <w:b/>
          <w:color w:val="0000FF"/>
          <w:kern w:val="0"/>
          <w:sz w:val="28"/>
          <w:szCs w:val="28"/>
          <w:highlight w:val="none"/>
        </w:rPr>
      </w:pPr>
      <w:r>
        <w:rPr>
          <w:rFonts w:hint="eastAsia" w:cs="仿宋_GB2312" w:asciiTheme="minorEastAsia" w:hAnsiTheme="minorEastAsia"/>
          <w:kern w:val="0"/>
          <w:sz w:val="28"/>
          <w:szCs w:val="28"/>
          <w:highlight w:val="none"/>
        </w:rPr>
        <w:t>下一轮的入围资格评分中设置与年度综合评价结果有关的考评项，具体应用如下：</w:t>
      </w:r>
      <w:r>
        <w:rPr>
          <w:rFonts w:hint="eastAsia" w:asciiTheme="minorEastAsia" w:hAnsiTheme="minorEastAsia"/>
          <w:sz w:val="28"/>
          <w:szCs w:val="28"/>
          <w:highlight w:val="none"/>
        </w:rPr>
        <w:t>对年度综合评价为A、B的合作伙伴可优先入围；连续两个年度综合评价为C的合作伙伴，不允许参加下一年度入围；年度综合评价为D的合作伙伴，两年内不允许参加入围</w:t>
      </w:r>
      <w:r>
        <w:rPr>
          <w:rFonts w:hint="eastAsia" w:cs="仿宋_GB2312" w:asciiTheme="minorEastAsia" w:hAnsiTheme="minorEastAsia"/>
          <w:kern w:val="0"/>
          <w:sz w:val="28"/>
          <w:szCs w:val="28"/>
          <w:highlight w:val="none"/>
        </w:rPr>
        <w:t>。</w:t>
      </w:r>
    </w:p>
    <w:p w14:paraId="6BF4CB45">
      <w:pPr>
        <w:pStyle w:val="3"/>
        <w:spacing w:before="40" w:after="4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五、退出管理</w:t>
      </w:r>
    </w:p>
    <w:p w14:paraId="6CD95D8D">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合作伙伴退出（灰名单）管理是根据合作伙伴考核结果、合作伙伴违反廉洁承诺以及其他特定情况，按照法律法规或合同约定，对相关合作伙伴停止采购。</w:t>
      </w:r>
    </w:p>
    <w:p w14:paraId="33DBFD10">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合作伙伴发生下列情形之一，原则上应纳入退出（灰名单）管理：</w:t>
      </w:r>
    </w:p>
    <w:p w14:paraId="34DD54BA">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（一）违反廉洁从业规定、存在利益输送等违法违纪行为；</w:t>
      </w:r>
    </w:p>
    <w:p w14:paraId="10BFF1DB">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二）若在具体服务项目中出现重大安全责任事故或质量事故并经调查确认的，或连续出现技术、管理上的差错且未及时改进的，经公司总经理办公会决策通过，立即取消其入围资格，并按照合同规定追究有关责任；</w:t>
      </w:r>
    </w:p>
    <w:p w14:paraId="4E5C181C">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（三）合作伙伴因欠薪等原因，造成所属员工群体上访或其他不利社会影响的事件发生；</w:t>
      </w:r>
    </w:p>
    <w:p w14:paraId="21A5125D">
      <w:pPr>
        <w:autoSpaceDE w:val="0"/>
        <w:autoSpaceDN w:val="0"/>
        <w:adjustRightInd w:val="0"/>
        <w:spacing w:line="540" w:lineRule="exact"/>
        <w:ind w:firstLine="560" w:firstLineChars="200"/>
        <w:jc w:val="left"/>
        <w:rPr>
          <w:highlight w:val="none"/>
        </w:rPr>
      </w:pPr>
      <w:r>
        <w:rPr>
          <w:rFonts w:hint="eastAsia" w:cs="仿宋_GB2312" w:asciiTheme="minorEastAsia" w:hAnsiTheme="minorEastAsia"/>
          <w:kern w:val="0"/>
          <w:sz w:val="28"/>
          <w:szCs w:val="28"/>
          <w:highlight w:val="none"/>
        </w:rPr>
        <w:t>（四）弄虚作假，或串标围标，或干扰采购工作秩序，或获取（含试图获取）采购过程中应当保密的信息；</w:t>
      </w:r>
    </w:p>
    <w:p w14:paraId="0BE7E780">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（五）年度综合评价得分为D的合作伙伴；</w:t>
      </w:r>
    </w:p>
    <w:p w14:paraId="42B5330F">
      <w:pPr>
        <w:spacing w:line="540" w:lineRule="exact"/>
        <w:ind w:firstLine="560"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（六）其他违反国家及企业相关规定的。</w:t>
      </w:r>
    </w:p>
    <w:p w14:paraId="4BF0C838">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发生以上情形的合作伙伴，纳入灰名单，冻结项目委托，不得发生新合作，对已发生合作尽快结算、支付款项，支付结束后退出合作伙伴资源库。</w:t>
      </w:r>
    </w:p>
    <w:p w14:paraId="700FB5B3">
      <w:pPr>
        <w:autoSpaceDE w:val="0"/>
        <w:autoSpaceDN w:val="0"/>
        <w:adjustRightInd w:val="0"/>
        <w:spacing w:line="540" w:lineRule="exact"/>
        <w:ind w:firstLine="560" w:firstLineChars="200"/>
        <w:jc w:val="left"/>
        <w:rPr>
          <w:rFonts w:cs="仿宋_GB2312" w:asciiTheme="minorEastAsia" w:hAnsiTheme="minorEastAsia"/>
          <w:color w:val="0000FF"/>
          <w:kern w:val="0"/>
          <w:sz w:val="28"/>
          <w:szCs w:val="28"/>
          <w:highlight w:val="none"/>
        </w:rPr>
      </w:pPr>
      <w:r>
        <w:rPr>
          <w:rFonts w:hint="eastAsia" w:cs="仿宋_GB2312" w:asciiTheme="minorEastAsia" w:hAnsiTheme="minorEastAsia"/>
          <w:kern w:val="0"/>
          <w:sz w:val="28"/>
          <w:szCs w:val="28"/>
          <w:highlight w:val="none"/>
        </w:rPr>
        <w:t>已退出公司合作伙伴资源库的合作伙伴，两年内不得再入围或承接对应</w:t>
      </w:r>
      <w:r>
        <w:rPr>
          <w:rFonts w:cs="仿宋_GB2312" w:asciiTheme="minorEastAsia" w:hAnsiTheme="minorEastAsia"/>
          <w:kern w:val="0"/>
          <w:sz w:val="28"/>
          <w:szCs w:val="28"/>
          <w:highlight w:val="none"/>
        </w:rPr>
        <w:t>行业</w:t>
      </w:r>
      <w:r>
        <w:rPr>
          <w:rFonts w:hint="eastAsia" w:cs="仿宋_GB2312" w:asciiTheme="minorEastAsia" w:hAnsiTheme="minorEastAsia"/>
          <w:kern w:val="0"/>
          <w:sz w:val="28"/>
          <w:szCs w:val="28"/>
          <w:highlight w:val="none"/>
        </w:rPr>
        <w:t>类相关项目。</w:t>
      </w:r>
    </w:p>
    <w:p w14:paraId="338DEEC0">
      <w:pPr>
        <w:pStyle w:val="3"/>
        <w:spacing w:before="40" w:after="4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六、基础管理</w:t>
      </w:r>
    </w:p>
    <w:p w14:paraId="76262666">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合作伙伴基础管理是为支撑合作伙伴入围、考核、退出管理等工作而进行的基础性管理工作。主要包括合作伙伴关系管理、履约投诉管理、合作伙伴履约申诉管理、合作伙伴信息管理等。</w:t>
      </w:r>
    </w:p>
    <w:p w14:paraId="4BE4499F">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公司应加强合作伙伴管理信息系统建设，将合作伙伴基本档案信息、入围资源库信息、考核信息等纳入信息化系统管理。</w:t>
      </w:r>
    </w:p>
    <w:p w14:paraId="4F43D307">
      <w:pPr>
        <w:autoSpaceDE w:val="0"/>
        <w:autoSpaceDN w:val="0"/>
        <w:adjustRightInd w:val="0"/>
        <w:spacing w:line="540" w:lineRule="exact"/>
        <w:ind w:firstLine="560" w:firstLineChars="200"/>
        <w:jc w:val="left"/>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合作伙伴信息管理应包括但不限于公司法人代表、总经理、注册资金、资质、代理证书、</w:t>
      </w:r>
      <w:r>
        <w:rPr>
          <w:rFonts w:cs="仿宋_GB2312" w:asciiTheme="minorEastAsia" w:hAnsiTheme="minorEastAsia"/>
          <w:kern w:val="0"/>
          <w:sz w:val="28"/>
          <w:szCs w:val="28"/>
          <w:highlight w:val="none"/>
        </w:rPr>
        <w:t>本公司优势产品</w:t>
      </w:r>
      <w:r>
        <w:rPr>
          <w:rFonts w:hint="eastAsia" w:cs="仿宋_GB2312" w:asciiTheme="minorEastAsia" w:hAnsiTheme="minorEastAsia"/>
          <w:kern w:val="0"/>
          <w:sz w:val="28"/>
          <w:szCs w:val="28"/>
          <w:highlight w:val="none"/>
        </w:rPr>
        <w:t>等基本信息备案及人员信息管理及维护。需求部门负责建立合作伙伴信息档案，信息变更由需求部门发起合作伙伴变更流程，经审批后完成变更。</w:t>
      </w:r>
    </w:p>
    <w:p w14:paraId="3F2355E1">
      <w:pPr>
        <w:pStyle w:val="3"/>
        <w:spacing w:before="40" w:after="40" w:line="360" w:lineRule="auto"/>
        <w:ind w:firstLine="562" w:firstLineChars="200"/>
        <w:rPr>
          <w:rFonts w:cs="仿宋_GB2312" w:asciiTheme="minorEastAsia" w:hAnsiTheme="minorEastAsia"/>
          <w:kern w:val="0"/>
          <w:sz w:val="28"/>
          <w:szCs w:val="28"/>
          <w:highlight w:val="none"/>
        </w:rPr>
      </w:pPr>
      <w:r>
        <w:rPr>
          <w:rFonts w:hint="eastAsia" w:cs="仿宋_GB2312" w:asciiTheme="minorEastAsia" w:hAnsiTheme="minorEastAsia"/>
          <w:kern w:val="0"/>
          <w:sz w:val="28"/>
          <w:szCs w:val="28"/>
          <w:highlight w:val="none"/>
        </w:rPr>
        <w:t>七、问责管理</w:t>
      </w:r>
    </w:p>
    <w:p w14:paraId="3AF463BB">
      <w:pPr>
        <w:tabs>
          <w:tab w:val="left" w:pos="1980"/>
        </w:tabs>
        <w:spacing w:line="54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在合作伙伴管理活动中，相关人员如存在违规操作、与合作伙伴串通、收受合作伙伴财物，或存在其他违反廉洁从业要求的行为，经查实，由负有管理责任的相关部门依据《中国移动通信集团有限公司员工违纪违规处分条例》（中移人〔2018〕196号）、《中国移动通信集团公司经理人员问责实施办法（试行）》（中移监察〔2012〕253号）、《中共中国移动通信集团公司党组问责工作管理办法（试行）》（中移党组〔2018〕13号）以及《中国移动通信集团江苏有限公司员工工作职责履行责任追究管理办法（试行）》（ 苏移〔2018〕368号）等相关规定对其进行处罚。构成犯罪的，移交司法机关处理。</w:t>
      </w:r>
    </w:p>
    <w:p w14:paraId="5CF7E1D0">
      <w:pPr>
        <w:rPr>
          <w:rFonts w:asciiTheme="minorEastAsia" w:hAnsiTheme="minorEastAsia"/>
          <w:color w:val="0000FF"/>
          <w:sz w:val="28"/>
          <w:szCs w:val="28"/>
          <w:highlight w:val="none"/>
        </w:rPr>
      </w:pPr>
      <w:bookmarkStart w:id="0" w:name="_MON_1684936589"/>
      <w:bookmarkEnd w:id="0"/>
    </w:p>
    <w:p w14:paraId="03462648">
      <w:pPr>
        <w:pStyle w:val="2"/>
        <w:rPr>
          <w:rFonts w:asciiTheme="minorEastAsia" w:hAnsiTheme="minorEastAsia"/>
          <w:color w:val="0000FF"/>
          <w:sz w:val="28"/>
          <w:szCs w:val="28"/>
          <w:highlight w:val="none"/>
        </w:rPr>
      </w:pPr>
    </w:p>
    <w:p w14:paraId="025C6637">
      <w:pPr>
        <w:rPr>
          <w:rFonts w:asciiTheme="minorEastAsia" w:hAnsiTheme="minorEastAsia"/>
          <w:color w:val="0000FF"/>
          <w:sz w:val="28"/>
          <w:szCs w:val="28"/>
          <w:highlight w:val="none"/>
        </w:rPr>
      </w:pPr>
    </w:p>
    <w:p w14:paraId="4612D359">
      <w:pPr>
        <w:rPr>
          <w:highlight w:val="none"/>
        </w:rPr>
      </w:pPr>
    </w:p>
    <w:p w14:paraId="2313816C">
      <w:pPr>
        <w:pStyle w:val="2"/>
        <w:rPr>
          <w:highlight w:val="none"/>
        </w:rPr>
      </w:pPr>
    </w:p>
    <w:p w14:paraId="0BD86FC8">
      <w:pPr>
        <w:rPr>
          <w:highlight w:val="none"/>
        </w:rPr>
      </w:pPr>
    </w:p>
    <w:p w14:paraId="26E3813F">
      <w:pPr>
        <w:pStyle w:val="2"/>
        <w:rPr>
          <w:rFonts w:hint="eastAsia"/>
          <w:highlight w:val="none"/>
        </w:rPr>
      </w:pPr>
    </w:p>
    <w:p w14:paraId="1D649FB8">
      <w:pPr>
        <w:pStyle w:val="2"/>
        <w:rPr>
          <w:rFonts w:hint="eastAsia"/>
          <w:highlight w:val="none"/>
        </w:rPr>
      </w:pPr>
    </w:p>
    <w:p w14:paraId="5AB8719A">
      <w:pPr>
        <w:pStyle w:val="2"/>
        <w:rPr>
          <w:highlight w:val="none"/>
        </w:rPr>
      </w:pPr>
      <w:r>
        <w:rPr>
          <w:rFonts w:hint="eastAsia"/>
          <w:highlight w:val="none"/>
        </w:rPr>
        <w:t>附件一、合作伙伴项目考核表</w:t>
      </w:r>
    </w:p>
    <w:p w14:paraId="135C70D8">
      <w:pPr>
        <w:jc w:val="center"/>
        <w:rPr>
          <w:rFonts w:hint="eastAsia" w:ascii="宋体" w:hAnsi="宋体" w:eastAsia="宋体" w:cs="宋体"/>
          <w:b/>
          <w:bCs/>
          <w:kern w:val="0"/>
          <w:sz w:val="28"/>
          <w:szCs w:val="28"/>
          <w:highlight w:val="none"/>
          <w:lang w:bidi="ar"/>
        </w:rPr>
      </w:pPr>
      <w:r>
        <w:rPr>
          <w:rFonts w:hint="eastAsia" w:ascii="宋体" w:hAnsi="宋体" w:eastAsia="宋体" w:cs="宋体"/>
          <w:b/>
          <w:bCs/>
          <w:kern w:val="0"/>
          <w:sz w:val="28"/>
          <w:szCs w:val="28"/>
          <w:highlight w:val="none"/>
          <w:lang w:bidi="ar"/>
        </w:rPr>
        <w:t>江苏移动集成公司DICT集成服务产品合作伙伴项目考核表</w:t>
      </w:r>
    </w:p>
    <w:p w14:paraId="534D18D2">
      <w:pPr>
        <w:pStyle w:val="2"/>
        <w:rPr>
          <w:highlight w:val="none"/>
        </w:rPr>
      </w:pPr>
    </w:p>
    <w:p w14:paraId="1FD05AAE">
      <w:pPr>
        <w:rPr>
          <w:highlight w:val="none"/>
        </w:rPr>
      </w:pPr>
      <w:r>
        <w:rPr>
          <w:rFonts w:hint="eastAsia"/>
          <w:highlight w:val="none"/>
        </w:rPr>
        <w:t>合作方：                                          考核期间：</w:t>
      </w:r>
    </w:p>
    <w:tbl>
      <w:tblPr>
        <w:tblStyle w:val="10"/>
        <w:tblpPr w:leftFromText="180" w:rightFromText="180" w:vertAnchor="text" w:horzAnchor="page" w:tblpX="1439" w:tblpY="614"/>
        <w:tblOverlap w:val="never"/>
        <w:tblW w:w="5544" w:type="pct"/>
        <w:tblInd w:w="0" w:type="dxa"/>
        <w:tblLayout w:type="autofit"/>
        <w:tblCellMar>
          <w:top w:w="0" w:type="dxa"/>
          <w:left w:w="0" w:type="dxa"/>
          <w:bottom w:w="0" w:type="dxa"/>
          <w:right w:w="0" w:type="dxa"/>
        </w:tblCellMar>
      </w:tblPr>
      <w:tblGrid>
        <w:gridCol w:w="720"/>
        <w:gridCol w:w="788"/>
        <w:gridCol w:w="840"/>
        <w:gridCol w:w="5750"/>
        <w:gridCol w:w="492"/>
        <w:gridCol w:w="653"/>
      </w:tblGrid>
      <w:tr w14:paraId="56A20762">
        <w:trPr>
          <w:trHeight w:val="540" w:hRule="atLeast"/>
        </w:trPr>
        <w:tc>
          <w:tcPr>
            <w:tcW w:w="39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19A1F">
            <w:pPr>
              <w:widowControl/>
              <w:jc w:val="center"/>
              <w:textAlignment w:val="center"/>
              <w:rPr>
                <w:rFonts w:hint="eastAsia" w:ascii="新宋体" w:hAnsi="新宋体" w:eastAsia="新宋体" w:cs="新宋体"/>
                <w:b/>
                <w:color w:val="000000"/>
                <w:kern w:val="0"/>
                <w:sz w:val="22"/>
                <w:highlight w:val="none"/>
                <w:lang w:bidi="ar"/>
              </w:rPr>
            </w:pPr>
            <w:bookmarkStart w:id="1" w:name="_Toc42258966"/>
            <w:bookmarkStart w:id="2" w:name="_Toc17257"/>
            <w:r>
              <w:rPr>
                <w:rFonts w:hint="eastAsia" w:ascii="新宋体" w:hAnsi="新宋体" w:eastAsia="新宋体" w:cs="新宋体"/>
                <w:b/>
                <w:color w:val="000000"/>
                <w:kern w:val="0"/>
                <w:sz w:val="22"/>
                <w:highlight w:val="none"/>
                <w:lang w:bidi="ar"/>
              </w:rPr>
              <w:t>考核</w:t>
            </w:r>
          </w:p>
          <w:p w14:paraId="4C1B0BA4">
            <w:pPr>
              <w:widowControl/>
              <w:jc w:val="center"/>
              <w:textAlignment w:val="center"/>
              <w:rPr>
                <w:rFonts w:ascii="新宋体" w:hAnsi="新宋体" w:eastAsia="新宋体" w:cs="新宋体"/>
                <w:b/>
                <w:color w:val="000000"/>
                <w:sz w:val="22"/>
                <w:highlight w:val="none"/>
              </w:rPr>
            </w:pPr>
            <w:r>
              <w:rPr>
                <w:rFonts w:hint="eastAsia" w:ascii="新宋体" w:hAnsi="新宋体" w:eastAsia="新宋体" w:cs="新宋体"/>
                <w:b/>
                <w:color w:val="000000"/>
                <w:kern w:val="0"/>
                <w:sz w:val="22"/>
                <w:highlight w:val="none"/>
                <w:lang w:bidi="ar"/>
              </w:rPr>
              <w:t>内容</w:t>
            </w:r>
          </w:p>
        </w:tc>
        <w:tc>
          <w:tcPr>
            <w:tcW w:w="4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955BD">
            <w:pPr>
              <w:widowControl/>
              <w:jc w:val="center"/>
              <w:textAlignment w:val="center"/>
              <w:rPr>
                <w:rFonts w:hint="eastAsia" w:ascii="新宋体" w:hAnsi="新宋体" w:eastAsia="新宋体" w:cs="新宋体"/>
                <w:b/>
                <w:color w:val="000000"/>
                <w:kern w:val="0"/>
                <w:sz w:val="22"/>
                <w:highlight w:val="none"/>
                <w:lang w:bidi="ar"/>
              </w:rPr>
            </w:pPr>
            <w:r>
              <w:rPr>
                <w:rFonts w:hint="eastAsia" w:ascii="新宋体" w:hAnsi="新宋体" w:eastAsia="新宋体" w:cs="新宋体"/>
                <w:b/>
                <w:color w:val="000000"/>
                <w:kern w:val="0"/>
                <w:sz w:val="22"/>
                <w:highlight w:val="none"/>
                <w:lang w:bidi="ar"/>
              </w:rPr>
              <w:t>指标</w:t>
            </w:r>
          </w:p>
          <w:p w14:paraId="12E52930">
            <w:pPr>
              <w:widowControl/>
              <w:jc w:val="center"/>
              <w:textAlignment w:val="center"/>
              <w:rPr>
                <w:rFonts w:ascii="新宋体" w:hAnsi="新宋体" w:eastAsia="新宋体" w:cs="新宋体"/>
                <w:b/>
                <w:color w:val="000000"/>
                <w:kern w:val="0"/>
                <w:sz w:val="22"/>
                <w:highlight w:val="none"/>
                <w:lang w:bidi="ar"/>
              </w:rPr>
            </w:pPr>
            <w:r>
              <w:rPr>
                <w:rFonts w:hint="eastAsia" w:ascii="新宋体" w:hAnsi="新宋体" w:eastAsia="新宋体" w:cs="新宋体"/>
                <w:b/>
                <w:color w:val="000000"/>
                <w:kern w:val="0"/>
                <w:sz w:val="22"/>
                <w:highlight w:val="none"/>
                <w:lang w:bidi="ar"/>
              </w:rPr>
              <w:t>名称</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12EC9C">
            <w:pPr>
              <w:widowControl/>
              <w:jc w:val="center"/>
              <w:textAlignment w:val="center"/>
              <w:rPr>
                <w:rFonts w:ascii="新宋体" w:hAnsi="新宋体" w:eastAsia="新宋体" w:cs="新宋体"/>
                <w:b/>
                <w:color w:val="000000"/>
                <w:kern w:val="0"/>
                <w:sz w:val="22"/>
                <w:highlight w:val="none"/>
                <w:lang w:bidi="ar"/>
              </w:rPr>
            </w:pPr>
            <w:r>
              <w:rPr>
                <w:rFonts w:hint="eastAsia" w:ascii="新宋体" w:hAnsi="新宋体" w:eastAsia="新宋体" w:cs="新宋体"/>
                <w:b/>
                <w:color w:val="000000"/>
                <w:kern w:val="0"/>
                <w:sz w:val="22"/>
                <w:highlight w:val="none"/>
                <w:lang w:bidi="ar"/>
              </w:rPr>
              <w:t>标准分</w:t>
            </w: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7D2BF3">
            <w:pPr>
              <w:widowControl/>
              <w:jc w:val="center"/>
              <w:textAlignment w:val="center"/>
              <w:rPr>
                <w:rFonts w:ascii="新宋体" w:hAnsi="新宋体" w:eastAsia="新宋体" w:cs="新宋体"/>
                <w:b/>
                <w:color w:val="000000"/>
                <w:kern w:val="0"/>
                <w:sz w:val="22"/>
                <w:highlight w:val="none"/>
                <w:lang w:bidi="ar"/>
              </w:rPr>
            </w:pPr>
            <w:r>
              <w:rPr>
                <w:rFonts w:hint="eastAsia" w:ascii="新宋体" w:hAnsi="新宋体" w:eastAsia="新宋体" w:cs="新宋体"/>
                <w:b/>
                <w:color w:val="000000"/>
                <w:kern w:val="0"/>
                <w:sz w:val="22"/>
                <w:highlight w:val="none"/>
                <w:lang w:bidi="ar"/>
              </w:rPr>
              <w:t>评分细则</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5BD94">
            <w:pPr>
              <w:widowControl/>
              <w:jc w:val="center"/>
              <w:textAlignment w:val="center"/>
              <w:rPr>
                <w:rFonts w:ascii="新宋体" w:hAnsi="新宋体" w:eastAsia="新宋体" w:cs="新宋体"/>
                <w:b/>
                <w:color w:val="000000"/>
                <w:kern w:val="0"/>
                <w:sz w:val="22"/>
                <w:highlight w:val="none"/>
                <w:lang w:bidi="ar"/>
              </w:rPr>
            </w:pPr>
            <w:r>
              <w:rPr>
                <w:rFonts w:hint="eastAsia" w:ascii="新宋体" w:hAnsi="新宋体" w:eastAsia="新宋体" w:cs="新宋体"/>
                <w:b/>
                <w:color w:val="000000"/>
                <w:kern w:val="0"/>
                <w:sz w:val="22"/>
                <w:highlight w:val="none"/>
                <w:lang w:bidi="ar"/>
              </w:rPr>
              <w:t>扣分依据</w:t>
            </w: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1C2D9">
            <w:pPr>
              <w:widowControl/>
              <w:jc w:val="center"/>
              <w:textAlignment w:val="center"/>
              <w:rPr>
                <w:rFonts w:ascii="新宋体" w:hAnsi="新宋体" w:eastAsia="新宋体" w:cs="新宋体"/>
                <w:b/>
                <w:color w:val="000000"/>
                <w:kern w:val="0"/>
                <w:sz w:val="22"/>
                <w:highlight w:val="none"/>
                <w:lang w:bidi="ar"/>
              </w:rPr>
            </w:pPr>
            <w:r>
              <w:rPr>
                <w:rFonts w:hint="eastAsia" w:ascii="新宋体" w:hAnsi="新宋体" w:eastAsia="新宋体" w:cs="新宋体"/>
                <w:b/>
                <w:color w:val="000000"/>
                <w:kern w:val="0"/>
                <w:sz w:val="22"/>
                <w:highlight w:val="none"/>
                <w:lang w:bidi="ar"/>
              </w:rPr>
              <w:t>得分</w:t>
            </w:r>
          </w:p>
        </w:tc>
      </w:tr>
      <w:tr w14:paraId="22391D46">
        <w:tblPrEx>
          <w:tblCellMar>
            <w:top w:w="0" w:type="dxa"/>
            <w:left w:w="0" w:type="dxa"/>
            <w:bottom w:w="0" w:type="dxa"/>
            <w:right w:w="0" w:type="dxa"/>
          </w:tblCellMar>
        </w:tblPrEx>
        <w:trPr>
          <w:trHeight w:val="7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30F5D0">
            <w:pPr>
              <w:widowControl/>
              <w:jc w:val="center"/>
              <w:textAlignment w:val="center"/>
              <w:rPr>
                <w:rFonts w:ascii="新宋体" w:hAnsi="新宋体" w:eastAsia="新宋体" w:cs="新宋体"/>
                <w:color w:val="000000"/>
                <w:sz w:val="22"/>
                <w:highlight w:val="none"/>
              </w:rPr>
            </w:pPr>
            <w:r>
              <w:rPr>
                <w:rFonts w:hint="eastAsia" w:ascii="新宋体" w:hAnsi="新宋体" w:eastAsia="新宋体" w:cs="新宋体"/>
                <w:color w:val="000000"/>
                <w:kern w:val="0"/>
                <w:sz w:val="22"/>
                <w:highlight w:val="none"/>
                <w:lang w:bidi="ar"/>
              </w:rPr>
              <w:t>日常维护（75分）</w:t>
            </w:r>
          </w:p>
        </w:tc>
        <w:tc>
          <w:tcPr>
            <w:tcW w:w="4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5B3E4">
            <w:pPr>
              <w:widowControl/>
              <w:jc w:val="center"/>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任务完成效率</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DE322">
            <w:pPr>
              <w:widowControl/>
              <w:jc w:val="center"/>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5</w:t>
            </w: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79D3F">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充分规划、在规定时间内提前完成甲方及客户方布置的各项工作任务；未充分规划、在规定时间内不能完成任务每次扣1分。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A8C1A">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01CBA">
            <w:pPr>
              <w:jc w:val="center"/>
              <w:rPr>
                <w:rFonts w:ascii="新宋体" w:hAnsi="新宋体" w:eastAsia="新宋体" w:cs="新宋体"/>
                <w:b/>
                <w:color w:val="000000"/>
                <w:sz w:val="20"/>
                <w:szCs w:val="20"/>
                <w:highlight w:val="none"/>
              </w:rPr>
            </w:pPr>
          </w:p>
        </w:tc>
      </w:tr>
      <w:tr w14:paraId="5C8BDE98">
        <w:tblPrEx>
          <w:tblCellMar>
            <w:top w:w="0" w:type="dxa"/>
            <w:left w:w="0" w:type="dxa"/>
            <w:bottom w:w="0" w:type="dxa"/>
            <w:right w:w="0" w:type="dxa"/>
          </w:tblCellMar>
        </w:tblPrEx>
        <w:trPr>
          <w:trHeight w:val="9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9F351">
            <w:pPr>
              <w:rPr>
                <w:rFonts w:ascii="Calibri" w:hAnsi="Calibri" w:cs="Times New Roman"/>
                <w:sz w:val="20"/>
                <w:szCs w:val="20"/>
                <w:highlight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3A577">
            <w:pPr>
              <w:widowControl/>
              <w:jc w:val="center"/>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任务完成质量</w:t>
            </w:r>
          </w:p>
        </w:tc>
        <w:tc>
          <w:tcPr>
            <w:tcW w:w="4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C30E1">
            <w:pPr>
              <w:widowControl/>
              <w:jc w:val="center"/>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5</w:t>
            </w: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8B6E4">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对于甲方及客户方布置任务，完成后出现质量异常（投诉、失误、返工），每次扣1分。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4109E">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238423">
            <w:pPr>
              <w:jc w:val="center"/>
              <w:rPr>
                <w:rFonts w:ascii="新宋体" w:hAnsi="新宋体" w:eastAsia="新宋体" w:cs="新宋体"/>
                <w:b/>
                <w:color w:val="000000"/>
                <w:sz w:val="20"/>
                <w:szCs w:val="20"/>
                <w:highlight w:val="none"/>
              </w:rPr>
            </w:pPr>
          </w:p>
        </w:tc>
      </w:tr>
      <w:tr w14:paraId="7174CE26">
        <w:tblPrEx>
          <w:tblCellMar>
            <w:top w:w="0" w:type="dxa"/>
            <w:left w:w="0" w:type="dxa"/>
            <w:bottom w:w="0" w:type="dxa"/>
            <w:right w:w="0" w:type="dxa"/>
          </w:tblCellMar>
        </w:tblPrEx>
        <w:trPr>
          <w:trHeight w:val="42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18E0F">
            <w:pPr>
              <w:rPr>
                <w:rFonts w:ascii="Calibri" w:hAnsi="Calibri" w:cs="Times New Roman"/>
                <w:sz w:val="20"/>
                <w:szCs w:val="20"/>
                <w:highlight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D55B4">
            <w:pPr>
              <w:widowControl/>
              <w:jc w:val="center"/>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系统稳定性</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6EF355">
            <w:pPr>
              <w:widowControl/>
              <w:jc w:val="center"/>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sz w:val="20"/>
                <w:szCs w:val="20"/>
                <w:highlight w:val="none"/>
              </w:rPr>
              <w:t>30</w:t>
            </w: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B8902">
            <w:pPr>
              <w:widowControl/>
              <w:jc w:val="left"/>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kern w:val="0"/>
                <w:sz w:val="20"/>
                <w:szCs w:val="20"/>
                <w:highlight w:val="none"/>
                <w:lang w:bidi="ar"/>
              </w:rPr>
              <w:t>定期进行应用系统进程健康检查、平台安全扫描；发现重大隐患及时上报，不予上报发现一次扣1分。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6E1DCA">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F8447">
            <w:pPr>
              <w:jc w:val="center"/>
              <w:rPr>
                <w:rFonts w:ascii="新宋体" w:hAnsi="新宋体" w:eastAsia="新宋体" w:cs="新宋体"/>
                <w:b/>
                <w:color w:val="000000"/>
                <w:sz w:val="20"/>
                <w:szCs w:val="20"/>
                <w:highlight w:val="none"/>
              </w:rPr>
            </w:pPr>
          </w:p>
        </w:tc>
      </w:tr>
      <w:tr w14:paraId="1B2388E1">
        <w:tblPrEx>
          <w:tblCellMar>
            <w:top w:w="0" w:type="dxa"/>
            <w:left w:w="0" w:type="dxa"/>
            <w:bottom w:w="0" w:type="dxa"/>
            <w:right w:w="0" w:type="dxa"/>
          </w:tblCellMar>
        </w:tblPrEx>
        <w:trPr>
          <w:trHeight w:val="478"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0D83C">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D63D9">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D15E0">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B6C87">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误操作，引起系统非计划中断，按照影响范围及影响层次，一般的扣1~5分。情节严重的参考重大事项一票否决。</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68AD7">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69C09">
            <w:pPr>
              <w:jc w:val="center"/>
              <w:rPr>
                <w:rFonts w:ascii="新宋体" w:hAnsi="新宋体" w:eastAsia="新宋体" w:cs="新宋体"/>
                <w:b/>
                <w:color w:val="000000"/>
                <w:sz w:val="20"/>
                <w:szCs w:val="20"/>
                <w:highlight w:val="none"/>
              </w:rPr>
            </w:pPr>
          </w:p>
        </w:tc>
      </w:tr>
      <w:tr w14:paraId="0403CEA0">
        <w:tblPrEx>
          <w:tblCellMar>
            <w:top w:w="0" w:type="dxa"/>
            <w:left w:w="0" w:type="dxa"/>
            <w:bottom w:w="0" w:type="dxa"/>
            <w:right w:w="0" w:type="dxa"/>
          </w:tblCellMar>
        </w:tblPrEx>
        <w:trPr>
          <w:trHeight w:val="503"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B53980">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CDE02">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4B25C">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00A0B">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因维护不及时或不当，导致一般故障每出现1次扣1分。因维护不及时或不当，导致严重故障每出现1次扣1~10分。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72D59">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E2066">
            <w:pPr>
              <w:jc w:val="center"/>
              <w:rPr>
                <w:rFonts w:ascii="新宋体" w:hAnsi="新宋体" w:eastAsia="新宋体" w:cs="新宋体"/>
                <w:b/>
                <w:color w:val="000000"/>
                <w:sz w:val="20"/>
                <w:szCs w:val="20"/>
                <w:highlight w:val="none"/>
              </w:rPr>
            </w:pPr>
          </w:p>
        </w:tc>
      </w:tr>
      <w:tr w14:paraId="28891971">
        <w:tblPrEx>
          <w:tblCellMar>
            <w:top w:w="0" w:type="dxa"/>
            <w:left w:w="0" w:type="dxa"/>
            <w:bottom w:w="0" w:type="dxa"/>
            <w:right w:w="0" w:type="dxa"/>
          </w:tblCellMar>
        </w:tblPrEx>
        <w:trPr>
          <w:trHeight w:val="4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715A6">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DD02B">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97B28">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F517F">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因主观因素直接导致系统软、硬件故障，影响集团考核的，扣1~5分。情节严重的参考重大事项一票否决。</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F9E8E">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F20ED">
            <w:pPr>
              <w:jc w:val="center"/>
              <w:rPr>
                <w:rFonts w:ascii="新宋体" w:hAnsi="新宋体" w:eastAsia="新宋体" w:cs="新宋体"/>
                <w:b/>
                <w:color w:val="000000"/>
                <w:sz w:val="20"/>
                <w:szCs w:val="20"/>
                <w:highlight w:val="none"/>
              </w:rPr>
            </w:pPr>
          </w:p>
        </w:tc>
      </w:tr>
      <w:tr w14:paraId="7205D0DC">
        <w:tblPrEx>
          <w:tblCellMar>
            <w:top w:w="0" w:type="dxa"/>
            <w:left w:w="0" w:type="dxa"/>
            <w:bottom w:w="0" w:type="dxa"/>
            <w:right w:w="0" w:type="dxa"/>
          </w:tblCellMar>
        </w:tblPrEx>
        <w:trPr>
          <w:trHeight w:val="7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6F478">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8EC1D">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10A14">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B549E1">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及时根据一般告警发现潜在问题。针对相同告警反复出现，要及时分析并提出解决方案。若未能主动分析：</w:t>
            </w:r>
          </w:p>
          <w:p w14:paraId="42013216">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同一个一般告警1周内出现超过10次，每发生一例扣0.1分，每月上限5分。</w:t>
            </w:r>
          </w:p>
          <w:p w14:paraId="1DFE632F">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同一个重要及以上告警1周出现内超过10次，每发生一例扣1分，每月上限10分。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BE4510">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4B39D9">
            <w:pPr>
              <w:jc w:val="center"/>
              <w:rPr>
                <w:rFonts w:ascii="新宋体" w:hAnsi="新宋体" w:eastAsia="新宋体" w:cs="新宋体"/>
                <w:b/>
                <w:color w:val="000000"/>
                <w:sz w:val="20"/>
                <w:szCs w:val="20"/>
                <w:highlight w:val="none"/>
              </w:rPr>
            </w:pPr>
          </w:p>
        </w:tc>
      </w:tr>
      <w:tr w14:paraId="5BE40DDF">
        <w:tblPrEx>
          <w:tblCellMar>
            <w:top w:w="0" w:type="dxa"/>
            <w:left w:w="0" w:type="dxa"/>
            <w:bottom w:w="0" w:type="dxa"/>
            <w:right w:w="0" w:type="dxa"/>
          </w:tblCellMar>
        </w:tblPrEx>
        <w:trPr>
          <w:trHeight w:val="9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E6153F">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7933B">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DDC20">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BB4DD">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因维护或巡检遗漏，未发现系统隐患问题，后期被发现但未引发故障的，每发现1次扣1~5分；故障严重的，视影响范围酌情扣除1~10分。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77FF8">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CB8DF">
            <w:pPr>
              <w:jc w:val="center"/>
              <w:rPr>
                <w:rFonts w:ascii="新宋体" w:hAnsi="新宋体" w:eastAsia="新宋体" w:cs="新宋体"/>
                <w:b/>
                <w:color w:val="000000"/>
                <w:sz w:val="20"/>
                <w:szCs w:val="20"/>
                <w:highlight w:val="none"/>
              </w:rPr>
            </w:pPr>
          </w:p>
        </w:tc>
      </w:tr>
      <w:tr w14:paraId="324A474E">
        <w:tblPrEx>
          <w:tblCellMar>
            <w:top w:w="0" w:type="dxa"/>
            <w:left w:w="0" w:type="dxa"/>
            <w:bottom w:w="0" w:type="dxa"/>
            <w:right w:w="0" w:type="dxa"/>
          </w:tblCellMar>
        </w:tblPrEx>
        <w:trPr>
          <w:trHeight w:val="7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84A3CC">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9CDEF">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16F45C">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FAD8B">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 xml:space="preserve">上线（含平台重大调整）当晚、第二天、月底、月初，没有认真检查流程的，导致发生大面积客户报障和业务不可用，持续时间超过1小时的，每发生一次扣4分。 </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1BD2C">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0E925">
            <w:pPr>
              <w:jc w:val="center"/>
              <w:rPr>
                <w:rFonts w:ascii="新宋体" w:hAnsi="新宋体" w:eastAsia="新宋体" w:cs="新宋体"/>
                <w:b/>
                <w:color w:val="000000"/>
                <w:sz w:val="20"/>
                <w:szCs w:val="20"/>
                <w:highlight w:val="none"/>
              </w:rPr>
            </w:pPr>
          </w:p>
        </w:tc>
      </w:tr>
      <w:tr w14:paraId="5005C8B2">
        <w:tblPrEx>
          <w:tblCellMar>
            <w:top w:w="0" w:type="dxa"/>
            <w:left w:w="0" w:type="dxa"/>
            <w:bottom w:w="0" w:type="dxa"/>
            <w:right w:w="0" w:type="dxa"/>
          </w:tblCellMar>
        </w:tblPrEx>
        <w:trPr>
          <w:trHeight w:val="7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DFC41">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EEBFB">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912B5">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A5B04">
            <w:pPr>
              <w:widowControl/>
              <w:jc w:val="left"/>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kern w:val="0"/>
                <w:sz w:val="20"/>
                <w:szCs w:val="20"/>
                <w:highlight w:val="none"/>
                <w:lang w:bidi="ar"/>
              </w:rPr>
              <w:t>对平台进行重要服务停、启、升级、发布等类似操作，及时通知业务相关方，不提前通知造成客户投诉的每发一次扣1分。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AE901">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E6A67">
            <w:pPr>
              <w:jc w:val="center"/>
              <w:rPr>
                <w:rFonts w:ascii="新宋体" w:hAnsi="新宋体" w:eastAsia="新宋体" w:cs="新宋体"/>
                <w:b/>
                <w:color w:val="000000"/>
                <w:sz w:val="20"/>
                <w:szCs w:val="20"/>
                <w:highlight w:val="none"/>
              </w:rPr>
            </w:pPr>
          </w:p>
        </w:tc>
      </w:tr>
      <w:tr w14:paraId="0B187C7C">
        <w:tblPrEx>
          <w:tblCellMar>
            <w:top w:w="0" w:type="dxa"/>
            <w:left w:w="0" w:type="dxa"/>
            <w:bottom w:w="0" w:type="dxa"/>
            <w:right w:w="0" w:type="dxa"/>
          </w:tblCellMar>
        </w:tblPrEx>
        <w:trPr>
          <w:trHeight w:val="377"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F6BD1">
            <w:pPr>
              <w:rPr>
                <w:rFonts w:ascii="Calibri" w:hAnsi="Calibri" w:cs="Times New Roman"/>
                <w:sz w:val="20"/>
                <w:szCs w:val="20"/>
                <w:highlight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D51A4">
            <w:pPr>
              <w:widowControl/>
              <w:jc w:val="center"/>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kern w:val="0"/>
                <w:sz w:val="20"/>
                <w:szCs w:val="20"/>
                <w:highlight w:val="none"/>
                <w:lang w:bidi="ar"/>
              </w:rPr>
              <w:t>值班管理</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C1E5A">
            <w:pPr>
              <w:widowControl/>
              <w:jc w:val="center"/>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sz w:val="20"/>
                <w:szCs w:val="20"/>
                <w:highlight w:val="none"/>
              </w:rPr>
              <w:t>10</w:t>
            </w: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E6CE5">
            <w:pPr>
              <w:widowControl/>
              <w:jc w:val="left"/>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kern w:val="0"/>
                <w:sz w:val="20"/>
                <w:szCs w:val="20"/>
                <w:highlight w:val="none"/>
                <w:lang w:bidi="ar"/>
              </w:rPr>
              <w:t>提供24小时值班电话，未按规定要求进行值班的，发生1次扣除1~5分。未及时整改的，每持续5天扣1分。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9D14D">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EC0C3">
            <w:pPr>
              <w:jc w:val="center"/>
              <w:rPr>
                <w:rFonts w:ascii="新宋体" w:hAnsi="新宋体" w:eastAsia="新宋体" w:cs="新宋体"/>
                <w:b/>
                <w:color w:val="000000"/>
                <w:sz w:val="20"/>
                <w:szCs w:val="20"/>
                <w:highlight w:val="none"/>
              </w:rPr>
            </w:pPr>
          </w:p>
        </w:tc>
      </w:tr>
      <w:tr w14:paraId="4C453D50">
        <w:tblPrEx>
          <w:tblCellMar>
            <w:top w:w="0" w:type="dxa"/>
            <w:left w:w="0" w:type="dxa"/>
            <w:bottom w:w="0" w:type="dxa"/>
            <w:right w:w="0" w:type="dxa"/>
          </w:tblCellMar>
        </w:tblPrEx>
        <w:trPr>
          <w:trHeight w:val="379"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8CECD">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99EDE">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74EBC">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80131">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不配合或未按要求实施工作的，发生1次扣除1~5分。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286AC">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3BA79">
            <w:pPr>
              <w:jc w:val="center"/>
              <w:rPr>
                <w:rFonts w:ascii="新宋体" w:hAnsi="新宋体" w:eastAsia="新宋体" w:cs="新宋体"/>
                <w:b/>
                <w:color w:val="000000"/>
                <w:sz w:val="20"/>
                <w:szCs w:val="20"/>
                <w:highlight w:val="none"/>
              </w:rPr>
            </w:pPr>
          </w:p>
        </w:tc>
      </w:tr>
      <w:tr w14:paraId="7109BEE2">
        <w:tblPrEx>
          <w:tblCellMar>
            <w:top w:w="0" w:type="dxa"/>
            <w:left w:w="0" w:type="dxa"/>
            <w:bottom w:w="0" w:type="dxa"/>
            <w:right w:w="0" w:type="dxa"/>
          </w:tblCellMar>
        </w:tblPrEx>
        <w:trPr>
          <w:trHeight w:val="7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B6F4C">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D37F1">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E7960">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C2C92">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工单处理简单粗暴，未能转相关人员处理的，每告警工单扣0.5~5分；</w:t>
            </w:r>
          </w:p>
          <w:p w14:paraId="50E6D1CB">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未及时处理工单，超过规定时限未响应，每发生一次扣1分；</w:t>
            </w:r>
          </w:p>
          <w:p w14:paraId="6ABE32C2">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若因工单未及时或未正确处理导致系统异常的，根据影响程度加扣1~5分。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8AB4B">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3AE3F2">
            <w:pPr>
              <w:jc w:val="center"/>
              <w:rPr>
                <w:rFonts w:ascii="新宋体" w:hAnsi="新宋体" w:eastAsia="新宋体" w:cs="新宋体"/>
                <w:b/>
                <w:color w:val="000000"/>
                <w:sz w:val="20"/>
                <w:szCs w:val="20"/>
                <w:highlight w:val="none"/>
              </w:rPr>
            </w:pPr>
          </w:p>
        </w:tc>
      </w:tr>
      <w:tr w14:paraId="33831FFB">
        <w:tblPrEx>
          <w:tblCellMar>
            <w:top w:w="0" w:type="dxa"/>
            <w:left w:w="0" w:type="dxa"/>
            <w:bottom w:w="0" w:type="dxa"/>
            <w:right w:w="0" w:type="dxa"/>
          </w:tblCellMar>
        </w:tblPrEx>
        <w:trPr>
          <w:trHeight w:val="39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10AF4">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442B3">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6F19C">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787D65">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日常工作处理及响应要及时，邮件或工作群问题需要有专人妥善处置或响应，1小时以上延误，扣0.5分。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142A3">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28377">
            <w:pPr>
              <w:jc w:val="center"/>
              <w:rPr>
                <w:rFonts w:ascii="新宋体" w:hAnsi="新宋体" w:eastAsia="新宋体" w:cs="新宋体"/>
                <w:b/>
                <w:color w:val="000000"/>
                <w:sz w:val="20"/>
                <w:szCs w:val="20"/>
                <w:highlight w:val="none"/>
              </w:rPr>
            </w:pPr>
          </w:p>
        </w:tc>
      </w:tr>
      <w:tr w14:paraId="5549B5B1">
        <w:tblPrEx>
          <w:tblCellMar>
            <w:top w:w="0" w:type="dxa"/>
            <w:left w:w="0" w:type="dxa"/>
            <w:bottom w:w="0" w:type="dxa"/>
            <w:right w:w="0" w:type="dxa"/>
          </w:tblCellMar>
        </w:tblPrEx>
        <w:trPr>
          <w:trHeight w:val="7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2D29E">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0962A">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0FD4B">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CC5CF">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服务报告需详细、准确。日报、周报及程种服务报告中反映的问题需及时跟踪状态并处理。服务报告质量及内容存在问题，每次扣1~5分。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28C14">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370F9">
            <w:pPr>
              <w:jc w:val="center"/>
              <w:rPr>
                <w:rFonts w:ascii="新宋体" w:hAnsi="新宋体" w:eastAsia="新宋体" w:cs="新宋体"/>
                <w:b/>
                <w:color w:val="000000"/>
                <w:sz w:val="20"/>
                <w:szCs w:val="20"/>
                <w:highlight w:val="none"/>
              </w:rPr>
            </w:pPr>
          </w:p>
        </w:tc>
      </w:tr>
      <w:tr w14:paraId="62AEE3DB">
        <w:tblPrEx>
          <w:tblCellMar>
            <w:top w:w="0" w:type="dxa"/>
            <w:left w:w="0" w:type="dxa"/>
            <w:bottom w:w="0" w:type="dxa"/>
            <w:right w:w="0" w:type="dxa"/>
          </w:tblCellMar>
        </w:tblPrEx>
        <w:trPr>
          <w:trHeight w:val="45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7977F">
            <w:pPr>
              <w:rPr>
                <w:rFonts w:ascii="Calibri" w:hAnsi="Calibri" w:cs="Times New Roman"/>
                <w:sz w:val="20"/>
                <w:szCs w:val="20"/>
                <w:highlight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8C2B9">
            <w:pPr>
              <w:widowControl/>
              <w:jc w:val="center"/>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服务规范性</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0E414">
            <w:pPr>
              <w:widowControl/>
              <w:jc w:val="center"/>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10</w:t>
            </w: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55D87E">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系统维护、故障处理操作和日常值班要规范，按照变更管理规定及相关规定进行，违反１次扣1分。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DC3CC">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2D698">
            <w:pPr>
              <w:jc w:val="center"/>
              <w:rPr>
                <w:rFonts w:ascii="新宋体" w:hAnsi="新宋体" w:eastAsia="新宋体" w:cs="新宋体"/>
                <w:b/>
                <w:color w:val="000000"/>
                <w:sz w:val="20"/>
                <w:szCs w:val="20"/>
                <w:highlight w:val="none"/>
              </w:rPr>
            </w:pPr>
          </w:p>
        </w:tc>
      </w:tr>
      <w:tr w14:paraId="5B70F1D9">
        <w:tblPrEx>
          <w:tblCellMar>
            <w:top w:w="0" w:type="dxa"/>
            <w:left w:w="0" w:type="dxa"/>
            <w:bottom w:w="0" w:type="dxa"/>
            <w:right w:w="0" w:type="dxa"/>
          </w:tblCellMar>
        </w:tblPrEx>
        <w:trPr>
          <w:trHeight w:val="7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2E5E3">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A1509">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C3735">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E0BE3">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维护知识库完善程度，每月必须将非重复故障事件录入维护知识库。每缺１次扣1分。若因缺失处理方式，导致相关故障延误处理或带来其他影响的，酌情扣减1~5分。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66AB8">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4B123">
            <w:pPr>
              <w:jc w:val="center"/>
              <w:rPr>
                <w:rFonts w:ascii="新宋体" w:hAnsi="新宋体" w:eastAsia="新宋体" w:cs="新宋体"/>
                <w:b/>
                <w:color w:val="000000"/>
                <w:sz w:val="20"/>
                <w:szCs w:val="20"/>
                <w:highlight w:val="none"/>
              </w:rPr>
            </w:pPr>
          </w:p>
        </w:tc>
      </w:tr>
      <w:tr w14:paraId="761EBD06">
        <w:tblPrEx>
          <w:tblCellMar>
            <w:top w:w="0" w:type="dxa"/>
            <w:left w:w="0" w:type="dxa"/>
            <w:bottom w:w="0" w:type="dxa"/>
            <w:right w:w="0" w:type="dxa"/>
          </w:tblCellMar>
        </w:tblPrEx>
        <w:trPr>
          <w:trHeight w:val="9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1C706">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6A07C">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E2C01">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0F6BD">
            <w:pPr>
              <w:widowControl/>
              <w:jc w:val="left"/>
              <w:textAlignment w:val="center"/>
              <w:rPr>
                <w:rFonts w:ascii="华文仿宋" w:hAnsi="华文仿宋" w:eastAsia="华文仿宋" w:cs="宋体"/>
                <w:kern w:val="0"/>
                <w:szCs w:val="21"/>
                <w:highlight w:val="none"/>
              </w:rPr>
            </w:pPr>
            <w:r>
              <w:rPr>
                <w:rFonts w:hint="eastAsia" w:ascii="宋体" w:hAnsi="宋体" w:eastAsia="宋体" w:cs="宋体"/>
                <w:color w:val="000000"/>
                <w:kern w:val="0"/>
                <w:sz w:val="20"/>
                <w:szCs w:val="20"/>
                <w:highlight w:val="none"/>
              </w:rPr>
              <w:t>当设备故障需更换备件，卖方所提供的备件非原厂或质量低于原厂时，每次扣2分。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0492B">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94CAB">
            <w:pPr>
              <w:jc w:val="center"/>
              <w:rPr>
                <w:rFonts w:ascii="新宋体" w:hAnsi="新宋体" w:eastAsia="新宋体" w:cs="新宋体"/>
                <w:b/>
                <w:color w:val="000000"/>
                <w:sz w:val="20"/>
                <w:szCs w:val="20"/>
                <w:highlight w:val="none"/>
              </w:rPr>
            </w:pPr>
          </w:p>
        </w:tc>
      </w:tr>
      <w:tr w14:paraId="24C06784">
        <w:tblPrEx>
          <w:tblCellMar>
            <w:top w:w="0" w:type="dxa"/>
            <w:left w:w="0" w:type="dxa"/>
            <w:bottom w:w="0" w:type="dxa"/>
            <w:right w:w="0" w:type="dxa"/>
          </w:tblCellMar>
        </w:tblPrEx>
        <w:trPr>
          <w:trHeight w:val="51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AB4F05">
            <w:pPr>
              <w:rPr>
                <w:rFonts w:ascii="Calibri" w:hAnsi="Calibri" w:cs="Times New Roman"/>
                <w:sz w:val="20"/>
                <w:szCs w:val="20"/>
                <w:highlight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CB2202">
            <w:pPr>
              <w:widowControl/>
              <w:jc w:val="center"/>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kern w:val="0"/>
                <w:sz w:val="20"/>
                <w:szCs w:val="20"/>
                <w:highlight w:val="none"/>
                <w:lang w:bidi="ar"/>
              </w:rPr>
              <w:t>假期及重要保障</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E13338">
            <w:pPr>
              <w:widowControl/>
              <w:jc w:val="center"/>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sz w:val="20"/>
                <w:szCs w:val="20"/>
                <w:highlight w:val="none"/>
              </w:rPr>
              <w:t>15</w:t>
            </w: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70164">
            <w:pPr>
              <w:widowControl/>
              <w:jc w:val="left"/>
              <w:textAlignment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重大节假日前须进行核心系统负载评估和性能预测,提前5个工作日完成,报告提交每延迟1个工作日扣1分.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D92BA">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F8B85">
            <w:pPr>
              <w:jc w:val="center"/>
              <w:rPr>
                <w:rFonts w:ascii="新宋体" w:hAnsi="新宋体" w:eastAsia="新宋体" w:cs="新宋体"/>
                <w:b/>
                <w:color w:val="000000"/>
                <w:sz w:val="20"/>
                <w:szCs w:val="20"/>
                <w:highlight w:val="none"/>
              </w:rPr>
            </w:pPr>
          </w:p>
        </w:tc>
      </w:tr>
      <w:tr w14:paraId="039553A8">
        <w:tblPrEx>
          <w:tblCellMar>
            <w:top w:w="0" w:type="dxa"/>
            <w:left w:w="0" w:type="dxa"/>
            <w:bottom w:w="0" w:type="dxa"/>
            <w:right w:w="0" w:type="dxa"/>
          </w:tblCellMar>
        </w:tblPrEx>
        <w:trPr>
          <w:trHeight w:val="7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5977F">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C29FB">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15ED12">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1E2DF1">
            <w:pPr>
              <w:widowControl/>
              <w:jc w:val="left"/>
              <w:textAlignment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一般和重大节假日前做好系统巡检工作，在节假日期间每发现一次因巡检工作不到位而引起的重要告警及以上的，扣1~10分。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BA3199">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A32DE">
            <w:pPr>
              <w:jc w:val="center"/>
              <w:rPr>
                <w:rFonts w:ascii="新宋体" w:hAnsi="新宋体" w:eastAsia="新宋体" w:cs="新宋体"/>
                <w:b/>
                <w:color w:val="000000"/>
                <w:sz w:val="20"/>
                <w:szCs w:val="20"/>
                <w:highlight w:val="none"/>
              </w:rPr>
            </w:pPr>
          </w:p>
        </w:tc>
      </w:tr>
      <w:tr w14:paraId="75E30EDB">
        <w:tblPrEx>
          <w:tblCellMar>
            <w:top w:w="0" w:type="dxa"/>
            <w:left w:w="0" w:type="dxa"/>
            <w:bottom w:w="0" w:type="dxa"/>
            <w:right w:w="0" w:type="dxa"/>
          </w:tblCellMar>
        </w:tblPrEx>
        <w:trPr>
          <w:trHeight w:val="7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9A1B95">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15825">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6DCCD">
            <w:pPr>
              <w:rPr>
                <w:rFonts w:ascii="Calibri" w:hAnsi="Calibri" w:cs="Times New Roman"/>
                <w:sz w:val="20"/>
                <w:szCs w:val="20"/>
                <w:highlight w:val="none"/>
              </w:rPr>
            </w:pPr>
          </w:p>
        </w:tc>
        <w:tc>
          <w:tcPr>
            <w:tcW w:w="3109" w:type="pc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8A0E8">
            <w:pPr>
              <w:widowControl/>
              <w:jc w:val="left"/>
              <w:textAlignment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重要保障前必须提前15个工作日制定好系统巡检计划,巡检期间，需按照计划进行巡检,对巡检结果进行核实与检查,系统巡检计划不及时，每延迟一个工作日扣0.5分。巡检结果的真实性有问题，每发现一次扣1分。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A004D">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A8D81">
            <w:pPr>
              <w:jc w:val="center"/>
              <w:rPr>
                <w:rFonts w:ascii="新宋体" w:hAnsi="新宋体" w:eastAsia="新宋体" w:cs="新宋体"/>
                <w:b/>
                <w:color w:val="000000"/>
                <w:sz w:val="20"/>
                <w:szCs w:val="20"/>
                <w:highlight w:val="none"/>
              </w:rPr>
            </w:pPr>
          </w:p>
        </w:tc>
      </w:tr>
      <w:tr w14:paraId="15E00116">
        <w:tblPrEx>
          <w:tblCellMar>
            <w:top w:w="0" w:type="dxa"/>
            <w:left w:w="0" w:type="dxa"/>
            <w:bottom w:w="0" w:type="dxa"/>
            <w:right w:w="0" w:type="dxa"/>
          </w:tblCellMar>
        </w:tblPrEx>
        <w:trPr>
          <w:trHeight w:val="7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4D8C8">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FC962">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6F705">
            <w:pPr>
              <w:rPr>
                <w:rFonts w:ascii="Calibri" w:hAnsi="Calibri" w:cs="Times New Roman"/>
                <w:sz w:val="20"/>
                <w:szCs w:val="20"/>
                <w:highlight w:val="none"/>
              </w:rPr>
            </w:pP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D5188">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周末、节假日及重要保障期间，未按要求提供现场或远程支撑，或遇障碍处理有困难时应及时协调相关人员处理，否则每出现一次扣2分，造成严重后果的，扣5分。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6C184">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8FA998">
            <w:pPr>
              <w:jc w:val="center"/>
              <w:rPr>
                <w:rFonts w:ascii="新宋体" w:hAnsi="新宋体" w:eastAsia="新宋体" w:cs="新宋体"/>
                <w:b/>
                <w:color w:val="000000"/>
                <w:sz w:val="20"/>
                <w:szCs w:val="20"/>
                <w:highlight w:val="none"/>
              </w:rPr>
            </w:pPr>
          </w:p>
        </w:tc>
      </w:tr>
      <w:tr w14:paraId="11D38B9D">
        <w:tblPrEx>
          <w:tblCellMar>
            <w:top w:w="0" w:type="dxa"/>
            <w:left w:w="0" w:type="dxa"/>
            <w:bottom w:w="0" w:type="dxa"/>
            <w:right w:w="0" w:type="dxa"/>
          </w:tblCellMar>
        </w:tblPrEx>
        <w:trPr>
          <w:trHeight w:val="480" w:hRule="atLeast"/>
        </w:trPr>
        <w:tc>
          <w:tcPr>
            <w:tcW w:w="390" w:type="pct"/>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CE2EB1C">
            <w:pPr>
              <w:widowControl/>
              <w:jc w:val="center"/>
              <w:textAlignment w:val="center"/>
              <w:rPr>
                <w:rFonts w:ascii="新宋体" w:hAnsi="新宋体" w:eastAsia="新宋体" w:cs="新宋体"/>
                <w:color w:val="000000"/>
                <w:sz w:val="22"/>
                <w:highlight w:val="none"/>
              </w:rPr>
            </w:pPr>
            <w:r>
              <w:rPr>
                <w:rFonts w:hint="eastAsia" w:ascii="新宋体" w:hAnsi="新宋体" w:eastAsia="新宋体" w:cs="新宋体"/>
                <w:color w:val="000000"/>
                <w:kern w:val="0"/>
                <w:sz w:val="22"/>
                <w:highlight w:val="none"/>
                <w:lang w:bidi="ar"/>
              </w:rPr>
              <w:t>信息安全、上线（15分）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DE7AD">
            <w:pPr>
              <w:widowControl/>
              <w:jc w:val="center"/>
              <w:textAlignment w:val="center"/>
              <w:rPr>
                <w:rFonts w:hint="eastAsia"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信息</w:t>
            </w:r>
          </w:p>
          <w:p w14:paraId="7DFBA5AC">
            <w:pPr>
              <w:widowControl/>
              <w:jc w:val="center"/>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kern w:val="0"/>
                <w:sz w:val="20"/>
                <w:szCs w:val="20"/>
                <w:highlight w:val="none"/>
                <w:lang w:bidi="ar"/>
              </w:rPr>
              <w:t>安全</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54DB4">
            <w:pPr>
              <w:widowControl/>
              <w:jc w:val="center"/>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sz w:val="20"/>
                <w:szCs w:val="20"/>
                <w:highlight w:val="none"/>
              </w:rPr>
              <w:t>15</w:t>
            </w: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A5226">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违反安全及预警等部门管理要求中规定的相关考核要求，每发现一次扣2分。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122AE">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BA0E4">
            <w:pPr>
              <w:jc w:val="center"/>
              <w:rPr>
                <w:rFonts w:ascii="新宋体" w:hAnsi="新宋体" w:eastAsia="新宋体" w:cs="新宋体"/>
                <w:b/>
                <w:color w:val="000000"/>
                <w:sz w:val="20"/>
                <w:szCs w:val="20"/>
                <w:highlight w:val="none"/>
              </w:rPr>
            </w:pPr>
          </w:p>
        </w:tc>
      </w:tr>
      <w:tr w14:paraId="33E22A85">
        <w:tblPrEx>
          <w:tblCellMar>
            <w:top w:w="0" w:type="dxa"/>
            <w:left w:w="0" w:type="dxa"/>
            <w:bottom w:w="0" w:type="dxa"/>
            <w:right w:w="0" w:type="dxa"/>
          </w:tblCellMar>
        </w:tblPrEx>
        <w:trPr>
          <w:trHeight w:val="480" w:hRule="atLeast"/>
        </w:trPr>
        <w:tc>
          <w:tcPr>
            <w:tcW w:w="39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924A1F0">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002FB">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70E75">
            <w:pPr>
              <w:rPr>
                <w:rFonts w:ascii="Calibri" w:hAnsi="Calibri" w:cs="Times New Roman"/>
                <w:sz w:val="20"/>
                <w:szCs w:val="20"/>
                <w:highlight w:val="none"/>
              </w:rPr>
            </w:pP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6E6776">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安全系统扫描检查安全漏洞，发现1次人为主观原因造成的漏洞或隐患扣1~10分。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D653F">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BBF47">
            <w:pPr>
              <w:jc w:val="center"/>
              <w:rPr>
                <w:rFonts w:ascii="新宋体" w:hAnsi="新宋体" w:eastAsia="新宋体" w:cs="新宋体"/>
                <w:b/>
                <w:color w:val="000000"/>
                <w:sz w:val="20"/>
                <w:szCs w:val="20"/>
                <w:highlight w:val="none"/>
              </w:rPr>
            </w:pPr>
          </w:p>
        </w:tc>
      </w:tr>
      <w:tr w14:paraId="1B7A7D4B">
        <w:tblPrEx>
          <w:tblCellMar>
            <w:top w:w="0" w:type="dxa"/>
            <w:left w:w="0" w:type="dxa"/>
            <w:bottom w:w="0" w:type="dxa"/>
            <w:right w:w="0" w:type="dxa"/>
          </w:tblCellMar>
        </w:tblPrEx>
        <w:trPr>
          <w:trHeight w:val="313" w:hRule="atLeast"/>
        </w:trPr>
        <w:tc>
          <w:tcPr>
            <w:tcW w:w="39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34C6B99">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2FE7E">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82D91">
            <w:pPr>
              <w:rPr>
                <w:rFonts w:ascii="Calibri" w:hAnsi="Calibri" w:cs="Times New Roman"/>
                <w:sz w:val="20"/>
                <w:szCs w:val="20"/>
                <w:highlight w:val="none"/>
              </w:rPr>
            </w:pP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56171">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办公电脑主动攻击相关系统的，发现1次扣除1分，如果影响生产系统运行，加扣5~10分。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778F8">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1338C">
            <w:pPr>
              <w:jc w:val="center"/>
              <w:rPr>
                <w:rFonts w:ascii="新宋体" w:hAnsi="新宋体" w:eastAsia="新宋体" w:cs="新宋体"/>
                <w:b/>
                <w:color w:val="000000"/>
                <w:sz w:val="20"/>
                <w:szCs w:val="20"/>
                <w:highlight w:val="none"/>
              </w:rPr>
            </w:pPr>
          </w:p>
        </w:tc>
      </w:tr>
      <w:tr w14:paraId="539B265B">
        <w:tblPrEx>
          <w:tblCellMar>
            <w:top w:w="0" w:type="dxa"/>
            <w:left w:w="0" w:type="dxa"/>
            <w:bottom w:w="0" w:type="dxa"/>
            <w:right w:w="0" w:type="dxa"/>
          </w:tblCellMar>
        </w:tblPrEx>
        <w:trPr>
          <w:trHeight w:val="480" w:hRule="atLeast"/>
        </w:trPr>
        <w:tc>
          <w:tcPr>
            <w:tcW w:w="39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A004F5D">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ACDB2">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B52945">
            <w:pPr>
              <w:rPr>
                <w:rFonts w:ascii="Calibri" w:hAnsi="Calibri" w:cs="Times New Roman"/>
                <w:sz w:val="20"/>
                <w:szCs w:val="20"/>
                <w:highlight w:val="none"/>
              </w:rPr>
            </w:pP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AD12A">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对于非法登陆生产系统操作或绕过审计系统进行非法访问操作，每发现一次扣5分。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6D592">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CEA521">
            <w:pPr>
              <w:jc w:val="center"/>
              <w:rPr>
                <w:rFonts w:ascii="新宋体" w:hAnsi="新宋体" w:eastAsia="新宋体" w:cs="新宋体"/>
                <w:b/>
                <w:color w:val="000000"/>
                <w:sz w:val="20"/>
                <w:szCs w:val="20"/>
                <w:highlight w:val="none"/>
              </w:rPr>
            </w:pPr>
          </w:p>
        </w:tc>
      </w:tr>
      <w:tr w14:paraId="4F10D412">
        <w:tblPrEx>
          <w:tblCellMar>
            <w:top w:w="0" w:type="dxa"/>
            <w:left w:w="0" w:type="dxa"/>
            <w:bottom w:w="0" w:type="dxa"/>
            <w:right w:w="0" w:type="dxa"/>
          </w:tblCellMar>
        </w:tblPrEx>
        <w:trPr>
          <w:trHeight w:val="480" w:hRule="atLeast"/>
        </w:trPr>
        <w:tc>
          <w:tcPr>
            <w:tcW w:w="39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773574F">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02BD71">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3711B0">
            <w:pPr>
              <w:rPr>
                <w:rFonts w:ascii="Calibri" w:hAnsi="Calibri" w:cs="Times New Roman"/>
                <w:sz w:val="20"/>
                <w:szCs w:val="20"/>
                <w:highlight w:val="none"/>
              </w:rPr>
            </w:pP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E2ACF">
            <w:pPr>
              <w:widowControl/>
              <w:jc w:val="left"/>
              <w:textAlignment w:val="center"/>
              <w:rPr>
                <w:rFonts w:ascii="华文仿宋" w:hAnsi="华文仿宋" w:eastAsia="华文仿宋" w:cs="宋体"/>
                <w:kern w:val="0"/>
                <w:szCs w:val="21"/>
                <w:highlight w:val="none"/>
              </w:rPr>
            </w:pPr>
            <w:r>
              <w:rPr>
                <w:rFonts w:hint="eastAsia" w:ascii="新宋体" w:hAnsi="新宋体" w:eastAsia="新宋体" w:cs="新宋体"/>
                <w:color w:val="000000"/>
                <w:kern w:val="0"/>
                <w:sz w:val="20"/>
                <w:szCs w:val="20"/>
                <w:highlight w:val="none"/>
                <w:lang w:bidi="ar"/>
              </w:rPr>
              <w:t>严禁泄露客户隐私信息，造成大量客户信息泄露，超过1万条每次扣3分。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0DE5F3">
            <w:pPr>
              <w:jc w:val="center"/>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8A86E">
            <w:pPr>
              <w:jc w:val="center"/>
              <w:rPr>
                <w:rFonts w:ascii="新宋体" w:hAnsi="新宋体" w:eastAsia="新宋体" w:cs="新宋体"/>
                <w:b/>
                <w:color w:val="000000"/>
                <w:sz w:val="20"/>
                <w:szCs w:val="20"/>
                <w:highlight w:val="none"/>
              </w:rPr>
            </w:pPr>
          </w:p>
        </w:tc>
      </w:tr>
      <w:tr w14:paraId="016571A3">
        <w:tblPrEx>
          <w:tblCellMar>
            <w:top w:w="0" w:type="dxa"/>
            <w:left w:w="0" w:type="dxa"/>
            <w:bottom w:w="0" w:type="dxa"/>
            <w:right w:w="0" w:type="dxa"/>
          </w:tblCellMar>
        </w:tblPrEx>
        <w:trPr>
          <w:trHeight w:val="846" w:hRule="atLeast"/>
        </w:trPr>
        <w:tc>
          <w:tcPr>
            <w:tcW w:w="390" w:type="pct"/>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B457A25">
            <w:pPr>
              <w:widowControl/>
              <w:jc w:val="center"/>
              <w:textAlignment w:val="center"/>
              <w:rPr>
                <w:rFonts w:ascii="新宋体" w:hAnsi="新宋体" w:eastAsia="新宋体" w:cs="新宋体"/>
                <w:color w:val="000000"/>
                <w:sz w:val="22"/>
                <w:highlight w:val="none"/>
              </w:rPr>
            </w:pPr>
            <w:r>
              <w:rPr>
                <w:rFonts w:hint="eastAsia" w:ascii="新宋体" w:hAnsi="新宋体" w:eastAsia="新宋体" w:cs="新宋体"/>
                <w:color w:val="000000"/>
                <w:kern w:val="0"/>
                <w:sz w:val="22"/>
                <w:highlight w:val="none"/>
                <w:lang w:bidi="ar"/>
              </w:rPr>
              <w:t>投诉处理（10分）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20229C">
            <w:pPr>
              <w:widowControl/>
              <w:jc w:val="center"/>
              <w:textAlignment w:val="center"/>
              <w:rPr>
                <w:rFonts w:hint="eastAsia" w:ascii="新宋体" w:hAnsi="新宋体" w:eastAsia="新宋体" w:cs="新宋体"/>
                <w:color w:val="000000"/>
                <w:sz w:val="20"/>
                <w:szCs w:val="20"/>
                <w:highlight w:val="none"/>
              </w:rPr>
            </w:pPr>
            <w:r>
              <w:rPr>
                <w:rFonts w:hint="eastAsia" w:ascii="新宋体" w:hAnsi="新宋体" w:eastAsia="新宋体" w:cs="新宋体"/>
                <w:color w:val="000000"/>
                <w:sz w:val="20"/>
                <w:szCs w:val="20"/>
                <w:highlight w:val="none"/>
              </w:rPr>
              <w:t>服务</w:t>
            </w:r>
          </w:p>
          <w:p w14:paraId="3B7A7BFE">
            <w:pPr>
              <w:widowControl/>
              <w:jc w:val="center"/>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sz w:val="20"/>
                <w:szCs w:val="20"/>
                <w:highlight w:val="none"/>
              </w:rPr>
              <w:t>质量</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A5282">
            <w:pPr>
              <w:widowControl/>
              <w:jc w:val="center"/>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sz w:val="20"/>
                <w:szCs w:val="20"/>
                <w:highlight w:val="none"/>
              </w:rPr>
              <w:t>10</w:t>
            </w: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EA1B1">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要求及时处理解答投诉，省级重要客户投诉需要在24小时内给予答复，休息日除外，不及时回复每发现一例扣0.5分；</w:t>
            </w:r>
          </w:p>
          <w:p w14:paraId="363B6621">
            <w:pPr>
              <w:widowControl/>
              <w:jc w:val="left"/>
              <w:textAlignment w:val="center"/>
              <w:rPr>
                <w:rFonts w:ascii="新宋体" w:hAnsi="新宋体" w:eastAsia="新宋体" w:cs="新宋体"/>
                <w:color w:val="000000"/>
                <w:kern w:val="0"/>
                <w:sz w:val="20"/>
                <w:szCs w:val="20"/>
                <w:highlight w:val="none"/>
                <w:lang w:bidi="ar"/>
              </w:rPr>
            </w:pPr>
            <w:r>
              <w:rPr>
                <w:rFonts w:hint="eastAsia" w:ascii="新宋体" w:hAnsi="新宋体" w:eastAsia="新宋体" w:cs="新宋体"/>
                <w:color w:val="000000"/>
                <w:kern w:val="0"/>
                <w:sz w:val="20"/>
                <w:szCs w:val="20"/>
                <w:highlight w:val="none"/>
                <w:lang w:bidi="ar"/>
              </w:rPr>
              <w:t>不注重沟通，遇到问题以强硬或回避的态度来应对，服务态度差，甲方收到投诉每发生一次扣1分。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6E7D6">
            <w:pPr>
              <w:jc w:val="left"/>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70BCA">
            <w:pPr>
              <w:jc w:val="center"/>
              <w:rPr>
                <w:rFonts w:ascii="新宋体" w:hAnsi="新宋体" w:eastAsia="新宋体" w:cs="新宋体"/>
                <w:b/>
                <w:color w:val="000000"/>
                <w:sz w:val="20"/>
                <w:szCs w:val="20"/>
                <w:highlight w:val="none"/>
              </w:rPr>
            </w:pPr>
          </w:p>
        </w:tc>
      </w:tr>
      <w:tr w14:paraId="15035234">
        <w:tblPrEx>
          <w:tblCellMar>
            <w:top w:w="0" w:type="dxa"/>
            <w:left w:w="0" w:type="dxa"/>
            <w:bottom w:w="0" w:type="dxa"/>
            <w:right w:w="0" w:type="dxa"/>
          </w:tblCellMar>
        </w:tblPrEx>
        <w:trPr>
          <w:trHeight w:val="644" w:hRule="atLeast"/>
        </w:trPr>
        <w:tc>
          <w:tcPr>
            <w:tcW w:w="39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251408E">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2217F">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CF7D0">
            <w:pPr>
              <w:rPr>
                <w:rFonts w:ascii="Calibri" w:hAnsi="Calibri" w:cs="Times New Roman"/>
                <w:sz w:val="20"/>
                <w:szCs w:val="20"/>
                <w:highlight w:val="none"/>
              </w:rPr>
            </w:pP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88F18">
            <w:pPr>
              <w:pStyle w:val="9"/>
              <w:spacing w:after="120"/>
              <w:jc w:val="left"/>
              <w:rPr>
                <w:rFonts w:ascii="新宋体" w:hAnsi="新宋体" w:eastAsia="新宋体" w:cs="新宋体"/>
                <w:color w:val="000000"/>
                <w:szCs w:val="20"/>
                <w:highlight w:val="none"/>
                <w:lang w:bidi="ar"/>
              </w:rPr>
            </w:pPr>
            <w:r>
              <w:rPr>
                <w:rFonts w:hint="eastAsia" w:ascii="新宋体" w:hAnsi="新宋体" w:eastAsia="新宋体" w:cs="新宋体"/>
                <w:color w:val="000000"/>
                <w:kern w:val="0"/>
                <w:sz w:val="20"/>
                <w:szCs w:val="20"/>
                <w:highlight w:val="none"/>
                <w:lang w:bidi="ar"/>
              </w:rPr>
              <w:t>任务(包含临时安排的工作、周计划、月计划等日常工作)完成要及时，因人为主观原因导致超时，每发现1次0.5分。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415DE">
            <w:pPr>
              <w:jc w:val="left"/>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77C85">
            <w:pPr>
              <w:jc w:val="center"/>
              <w:rPr>
                <w:rFonts w:ascii="新宋体" w:hAnsi="新宋体" w:eastAsia="新宋体" w:cs="新宋体"/>
                <w:b/>
                <w:color w:val="000000"/>
                <w:sz w:val="20"/>
                <w:szCs w:val="20"/>
                <w:highlight w:val="none"/>
              </w:rPr>
            </w:pPr>
          </w:p>
        </w:tc>
      </w:tr>
      <w:tr w14:paraId="59C3419D">
        <w:tblPrEx>
          <w:tblCellMar>
            <w:top w:w="0" w:type="dxa"/>
            <w:left w:w="0" w:type="dxa"/>
            <w:bottom w:w="0" w:type="dxa"/>
            <w:right w:w="0" w:type="dxa"/>
          </w:tblCellMar>
        </w:tblPrEx>
        <w:trPr>
          <w:trHeight w:val="411" w:hRule="atLeast"/>
        </w:trPr>
        <w:tc>
          <w:tcPr>
            <w:tcW w:w="39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0D5D812">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CFB5C">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576A9">
            <w:pPr>
              <w:rPr>
                <w:rFonts w:ascii="Calibri" w:hAnsi="Calibri" w:cs="Times New Roman"/>
                <w:sz w:val="20"/>
                <w:szCs w:val="20"/>
                <w:highlight w:val="none"/>
              </w:rPr>
            </w:pP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61426">
            <w:pPr>
              <w:pStyle w:val="9"/>
              <w:spacing w:after="120"/>
              <w:jc w:val="left"/>
              <w:rPr>
                <w:rFonts w:ascii="新宋体" w:hAnsi="新宋体" w:eastAsia="新宋体" w:cs="新宋体"/>
                <w:color w:val="000000"/>
                <w:szCs w:val="20"/>
                <w:highlight w:val="none"/>
                <w:lang w:bidi="ar"/>
              </w:rPr>
            </w:pPr>
            <w:r>
              <w:rPr>
                <w:rFonts w:hint="eastAsia" w:ascii="新宋体" w:hAnsi="新宋体" w:eastAsia="新宋体" w:cs="新宋体"/>
                <w:color w:val="000000"/>
                <w:kern w:val="0"/>
                <w:sz w:val="20"/>
                <w:szCs w:val="20"/>
                <w:highlight w:val="none"/>
                <w:lang w:bidi="ar"/>
              </w:rPr>
              <w:t>未经过许可，不得向项目团队以外的任何人、组织，透露项目情况、系统配置、系统规模、相关资料文档等。如违反1人次扣5分。情节严重将终止合同。</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199D0">
            <w:pPr>
              <w:jc w:val="left"/>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39368">
            <w:pPr>
              <w:jc w:val="center"/>
              <w:rPr>
                <w:rFonts w:ascii="新宋体" w:hAnsi="新宋体" w:eastAsia="新宋体" w:cs="新宋体"/>
                <w:b/>
                <w:color w:val="000000"/>
                <w:sz w:val="20"/>
                <w:szCs w:val="20"/>
                <w:highlight w:val="none"/>
              </w:rPr>
            </w:pPr>
          </w:p>
        </w:tc>
      </w:tr>
      <w:tr w14:paraId="3B6C5CB0">
        <w:tblPrEx>
          <w:tblCellMar>
            <w:top w:w="0" w:type="dxa"/>
            <w:left w:w="0" w:type="dxa"/>
            <w:bottom w:w="0" w:type="dxa"/>
            <w:right w:w="0" w:type="dxa"/>
          </w:tblCellMar>
        </w:tblPrEx>
        <w:trPr>
          <w:trHeight w:val="335" w:hRule="atLeast"/>
        </w:trPr>
        <w:tc>
          <w:tcPr>
            <w:tcW w:w="390" w:type="pct"/>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1C1C749">
            <w:pPr>
              <w:rPr>
                <w:rFonts w:ascii="Calibri" w:hAnsi="Calibri" w:cs="Times New Roman"/>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B9D19">
            <w:pPr>
              <w:rPr>
                <w:rFonts w:ascii="Calibri" w:hAnsi="Calibri" w:cs="Times New Roman"/>
                <w:sz w:val="20"/>
                <w:szCs w:val="20"/>
                <w:highlight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30A30">
            <w:pPr>
              <w:rPr>
                <w:rFonts w:ascii="Calibri" w:hAnsi="Calibri" w:cs="Times New Roman"/>
                <w:sz w:val="20"/>
                <w:szCs w:val="20"/>
                <w:highlight w:val="none"/>
              </w:rPr>
            </w:pPr>
          </w:p>
        </w:tc>
        <w:tc>
          <w:tcPr>
            <w:tcW w:w="31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3DECA">
            <w:pPr>
              <w:widowControl/>
              <w:jc w:val="left"/>
              <w:textAlignment w:val="center"/>
              <w:rPr>
                <w:rFonts w:ascii="新宋体" w:hAnsi="新宋体" w:eastAsia="新宋体" w:cs="新宋体"/>
                <w:color w:val="000000"/>
                <w:sz w:val="20"/>
                <w:szCs w:val="20"/>
                <w:highlight w:val="none"/>
              </w:rPr>
            </w:pPr>
            <w:r>
              <w:rPr>
                <w:rFonts w:hint="eastAsia" w:ascii="新宋体" w:hAnsi="新宋体" w:eastAsia="新宋体" w:cs="新宋体"/>
                <w:color w:val="000000"/>
                <w:kern w:val="0"/>
                <w:sz w:val="20"/>
                <w:szCs w:val="20"/>
                <w:highlight w:val="none"/>
                <w:lang w:bidi="ar"/>
              </w:rPr>
              <w:t>因投诉处理不及时发生重大客户投诉，导致在市级媒体曝光或造成更大范围不良舆论影响的，每发现一例扣3分。</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87D5F7">
            <w:pPr>
              <w:jc w:val="left"/>
              <w:rPr>
                <w:rFonts w:ascii="新宋体" w:hAnsi="新宋体" w:eastAsia="新宋体" w:cs="新宋体"/>
                <w:color w:val="000000"/>
                <w:sz w:val="20"/>
                <w:szCs w:val="20"/>
                <w:highlight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022E6">
            <w:pPr>
              <w:jc w:val="center"/>
              <w:rPr>
                <w:rFonts w:ascii="新宋体" w:hAnsi="新宋体" w:eastAsia="新宋体" w:cs="新宋体"/>
                <w:b/>
                <w:color w:val="000000"/>
                <w:sz w:val="20"/>
                <w:szCs w:val="20"/>
                <w:highlight w:val="none"/>
              </w:rPr>
            </w:pPr>
          </w:p>
        </w:tc>
      </w:tr>
      <w:tr w14:paraId="3879EF44">
        <w:tblPrEx>
          <w:tblCellMar>
            <w:top w:w="0" w:type="dxa"/>
            <w:left w:w="0" w:type="dxa"/>
            <w:bottom w:w="0" w:type="dxa"/>
            <w:right w:w="0" w:type="dxa"/>
          </w:tblCellMar>
        </w:tblPrEx>
        <w:trPr>
          <w:trHeight w:val="270" w:hRule="atLeast"/>
        </w:trPr>
        <w:tc>
          <w:tcPr>
            <w:tcW w:w="816"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B335A">
            <w:pPr>
              <w:widowControl/>
              <w:jc w:val="center"/>
              <w:textAlignment w:val="center"/>
              <w:rPr>
                <w:rFonts w:ascii="新宋体" w:hAnsi="新宋体" w:eastAsia="新宋体" w:cs="新宋体"/>
                <w:b/>
                <w:color w:val="000000"/>
                <w:sz w:val="22"/>
                <w:highlight w:val="none"/>
              </w:rPr>
            </w:pPr>
            <w:r>
              <w:rPr>
                <w:rFonts w:hint="eastAsia" w:ascii="新宋体" w:hAnsi="新宋体" w:eastAsia="新宋体" w:cs="新宋体"/>
                <w:b/>
                <w:color w:val="000000"/>
                <w:kern w:val="0"/>
                <w:sz w:val="22"/>
                <w:highlight w:val="none"/>
                <w:lang w:bidi="ar"/>
              </w:rPr>
              <w:t>总分</w:t>
            </w:r>
          </w:p>
        </w:tc>
        <w:tc>
          <w:tcPr>
            <w:tcW w:w="454"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4F23DBA5">
            <w:pPr>
              <w:widowControl/>
              <w:jc w:val="center"/>
              <w:textAlignment w:val="center"/>
              <w:rPr>
                <w:rFonts w:ascii="新宋体" w:hAnsi="新宋体" w:eastAsia="新宋体" w:cs="新宋体"/>
                <w:b/>
                <w:color w:val="000000"/>
                <w:sz w:val="22"/>
                <w:highlight w:val="none"/>
              </w:rPr>
            </w:pPr>
            <w:r>
              <w:rPr>
                <w:rFonts w:hint="eastAsia" w:ascii="新宋体" w:hAnsi="新宋体" w:eastAsia="新宋体" w:cs="新宋体"/>
                <w:b/>
                <w:color w:val="000000"/>
                <w:kern w:val="0"/>
                <w:sz w:val="22"/>
                <w:highlight w:val="none"/>
                <w:lang w:bidi="ar"/>
              </w:rPr>
              <w:t>100</w:t>
            </w:r>
          </w:p>
        </w:tc>
        <w:tc>
          <w:tcPr>
            <w:tcW w:w="31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5A56">
            <w:pPr>
              <w:jc w:val="left"/>
              <w:rPr>
                <w:rFonts w:ascii="新宋体" w:hAnsi="新宋体" w:eastAsia="新宋体" w:cs="新宋体"/>
                <w:color w:val="000000"/>
                <w:sz w:val="20"/>
                <w:szCs w:val="20"/>
                <w:highlight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D06170">
            <w:pPr>
              <w:jc w:val="center"/>
              <w:rPr>
                <w:rFonts w:ascii="新宋体" w:hAnsi="新宋体" w:eastAsia="新宋体" w:cs="新宋体"/>
                <w:color w:val="000000"/>
                <w:sz w:val="20"/>
                <w:szCs w:val="20"/>
                <w:highlight w:val="none"/>
              </w:rPr>
            </w:pPr>
          </w:p>
          <w:bookmarkEnd w:id="1"/>
        </w:tc>
        <w:tc>
          <w:tcPr>
            <w:tcW w:w="353" w:type="pct"/>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7E8434">
            <w:pPr>
              <w:jc w:val="center"/>
              <w:rPr>
                <w:rFonts w:ascii="新宋体" w:hAnsi="新宋体" w:eastAsia="新宋体" w:cs="新宋体"/>
                <w:b/>
                <w:color w:val="FF0000"/>
                <w:sz w:val="22"/>
                <w:highlight w:val="none"/>
              </w:rPr>
            </w:pPr>
          </w:p>
        </w:tc>
      </w:tr>
      <w:bookmarkEnd w:id="2"/>
    </w:tbl>
    <w:p w14:paraId="3512C2EC">
      <w:pPr>
        <w:pStyle w:val="2"/>
        <w:rPr>
          <w:highlight w:val="none"/>
        </w:rPr>
      </w:pPr>
    </w:p>
    <w:p w14:paraId="6009D74E">
      <w:pPr>
        <w:rPr>
          <w:highlight w:val="none"/>
        </w:rPr>
      </w:pPr>
    </w:p>
    <w:p w14:paraId="336CD152">
      <w:pPr>
        <w:pStyle w:val="2"/>
        <w:rPr>
          <w:highlight w:val="none"/>
        </w:rPr>
      </w:pPr>
    </w:p>
    <w:p w14:paraId="0BBB5AB9">
      <w:pPr>
        <w:rPr>
          <w:highlight w:val="none"/>
        </w:rPr>
      </w:pPr>
    </w:p>
    <w:p w14:paraId="15126631">
      <w:pPr>
        <w:pStyle w:val="2"/>
        <w:ind w:left="0" w:leftChars="0"/>
        <w:rPr>
          <w:highlight w:val="none"/>
        </w:rPr>
      </w:pPr>
    </w:p>
    <w:p w14:paraId="2BCB3163">
      <w:pPr>
        <w:pStyle w:val="2"/>
        <w:rPr>
          <w:highlight w:val="none"/>
        </w:rPr>
      </w:pPr>
    </w:p>
    <w:p w14:paraId="56437701">
      <w:pPr>
        <w:rPr>
          <w:highlight w:val="none"/>
        </w:rPr>
      </w:pPr>
      <w:r>
        <w:rPr>
          <w:rFonts w:hint="eastAsia"/>
          <w:highlight w:val="none"/>
        </w:rPr>
        <w:br w:type="page"/>
      </w:r>
    </w:p>
    <w:p w14:paraId="2330777E">
      <w:pPr>
        <w:pStyle w:val="2"/>
        <w:rPr>
          <w:highlight w:val="none"/>
        </w:rPr>
      </w:pPr>
      <w:r>
        <w:rPr>
          <w:rFonts w:hint="eastAsia"/>
          <w:highlight w:val="none"/>
        </w:rPr>
        <w:t>附件二、合作伙伴年度考核表</w:t>
      </w:r>
    </w:p>
    <w:p w14:paraId="3C0D6379">
      <w:pPr>
        <w:jc w:val="center"/>
        <w:rPr>
          <w:highlight w:val="none"/>
        </w:rPr>
      </w:pPr>
      <w:r>
        <w:rPr>
          <w:rFonts w:hint="eastAsia" w:ascii="宋体" w:hAnsi="宋体" w:eastAsia="宋体" w:cs="宋体"/>
          <w:b/>
          <w:bCs/>
          <w:kern w:val="0"/>
          <w:sz w:val="28"/>
          <w:szCs w:val="28"/>
          <w:highlight w:val="none"/>
          <w:lang w:bidi="ar"/>
        </w:rPr>
        <w:t>江苏移动集成公司年度DICT集成服务产品合作伙伴项目考核表</w:t>
      </w:r>
    </w:p>
    <w:p w14:paraId="1ECDC151">
      <w:pPr>
        <w:rPr>
          <w:highlight w:val="none"/>
        </w:rPr>
      </w:pPr>
      <w:r>
        <w:rPr>
          <w:rFonts w:hint="eastAsia"/>
          <w:highlight w:val="none"/>
        </w:rPr>
        <w:t>合作方：                                          考核期间：</w:t>
      </w:r>
    </w:p>
    <w:tbl>
      <w:tblPr>
        <w:tblStyle w:val="10"/>
        <w:tblW w:w="9317" w:type="dxa"/>
        <w:tblInd w:w="-625" w:type="dxa"/>
        <w:tblLayout w:type="autofit"/>
        <w:tblCellMar>
          <w:top w:w="0" w:type="dxa"/>
          <w:left w:w="108" w:type="dxa"/>
          <w:bottom w:w="0" w:type="dxa"/>
          <w:right w:w="108" w:type="dxa"/>
        </w:tblCellMar>
      </w:tblPr>
      <w:tblGrid>
        <w:gridCol w:w="507"/>
        <w:gridCol w:w="650"/>
        <w:gridCol w:w="623"/>
        <w:gridCol w:w="5720"/>
        <w:gridCol w:w="668"/>
        <w:gridCol w:w="1149"/>
      </w:tblGrid>
      <w:tr w14:paraId="708F3A70">
        <w:tblPrEx>
          <w:tblCellMar>
            <w:top w:w="0" w:type="dxa"/>
            <w:left w:w="108" w:type="dxa"/>
            <w:bottom w:w="0" w:type="dxa"/>
            <w:right w:w="108" w:type="dxa"/>
          </w:tblCellMar>
        </w:tblPrEx>
        <w:trPr>
          <w:trHeight w:val="617" w:hRule="atLeast"/>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14:paraId="325EF1EE">
            <w:pPr>
              <w:widowControl/>
              <w:jc w:val="center"/>
              <w:textAlignment w:val="center"/>
              <w:rPr>
                <w:rFonts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序号</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5242164">
            <w:pPr>
              <w:widowControl/>
              <w:jc w:val="center"/>
              <w:textAlignment w:val="center"/>
              <w:rPr>
                <w:rFonts w:ascii="宋体" w:hAnsi="宋体" w:eastAsia="宋体" w:cs="宋体"/>
                <w:b/>
                <w:bCs/>
                <w:szCs w:val="21"/>
                <w:highlight w:val="none"/>
              </w:rPr>
            </w:pPr>
            <w:r>
              <w:rPr>
                <w:rFonts w:hint="eastAsia" w:ascii="宋体" w:hAnsi="宋体" w:eastAsia="宋体" w:cs="宋体"/>
                <w:b/>
                <w:bCs/>
                <w:kern w:val="0"/>
                <w:szCs w:val="21"/>
                <w:highlight w:val="none"/>
                <w:lang w:bidi="ar"/>
              </w:rPr>
              <w:t>考核维度</w:t>
            </w:r>
          </w:p>
        </w:tc>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14:paraId="220D307E">
            <w:pPr>
              <w:widowControl/>
              <w:jc w:val="center"/>
              <w:textAlignment w:val="center"/>
              <w:rPr>
                <w:rFonts w:ascii="宋体" w:hAnsi="宋体" w:eastAsia="宋体" w:cs="宋体"/>
                <w:b/>
                <w:bCs/>
                <w:szCs w:val="21"/>
                <w:highlight w:val="none"/>
              </w:rPr>
            </w:pPr>
            <w:r>
              <w:rPr>
                <w:rFonts w:hint="eastAsia" w:ascii="宋体" w:hAnsi="宋体" w:eastAsia="宋体" w:cs="宋体"/>
                <w:b/>
                <w:bCs/>
                <w:kern w:val="0"/>
                <w:szCs w:val="21"/>
                <w:highlight w:val="none"/>
                <w:lang w:bidi="ar"/>
              </w:rPr>
              <w:t>考核权重</w:t>
            </w:r>
          </w:p>
        </w:tc>
        <w:tc>
          <w:tcPr>
            <w:tcW w:w="5720" w:type="dxa"/>
            <w:tcBorders>
              <w:top w:val="single" w:color="auto" w:sz="4" w:space="0"/>
              <w:left w:val="single" w:color="auto" w:sz="4" w:space="0"/>
              <w:bottom w:val="single" w:color="auto" w:sz="4" w:space="0"/>
              <w:right w:val="single" w:color="auto" w:sz="4" w:space="0"/>
            </w:tcBorders>
            <w:shd w:val="clear" w:color="auto" w:fill="auto"/>
            <w:vAlign w:val="center"/>
          </w:tcPr>
          <w:p w14:paraId="4519FBA3">
            <w:pPr>
              <w:widowControl/>
              <w:jc w:val="center"/>
              <w:textAlignment w:val="center"/>
              <w:rPr>
                <w:rFonts w:ascii="宋体" w:hAnsi="宋体" w:eastAsia="宋体" w:cs="宋体"/>
                <w:b/>
                <w:bCs/>
                <w:szCs w:val="21"/>
                <w:highlight w:val="none"/>
              </w:rPr>
            </w:pPr>
            <w:r>
              <w:rPr>
                <w:rFonts w:hint="eastAsia" w:ascii="宋体" w:hAnsi="宋体" w:eastAsia="宋体" w:cs="宋体"/>
                <w:b/>
                <w:bCs/>
                <w:kern w:val="0"/>
                <w:szCs w:val="21"/>
                <w:highlight w:val="none"/>
                <w:lang w:bidi="ar"/>
              </w:rPr>
              <w:t>考核要求</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01D460F0">
            <w:pPr>
              <w:widowControl/>
              <w:jc w:val="center"/>
              <w:textAlignment w:val="center"/>
              <w:rPr>
                <w:rFonts w:ascii="宋体" w:hAnsi="宋体" w:eastAsia="宋体" w:cs="宋体"/>
                <w:b/>
                <w:bCs/>
                <w:szCs w:val="21"/>
                <w:highlight w:val="none"/>
              </w:rPr>
            </w:pPr>
            <w:r>
              <w:rPr>
                <w:rFonts w:hint="eastAsia" w:ascii="宋体" w:hAnsi="宋体" w:eastAsia="宋体" w:cs="宋体"/>
                <w:b/>
                <w:bCs/>
                <w:kern w:val="0"/>
                <w:szCs w:val="21"/>
                <w:highlight w:val="none"/>
                <w:lang w:bidi="ar"/>
              </w:rPr>
              <w:t>得分</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322BB5E1">
            <w:pPr>
              <w:widowControl/>
              <w:jc w:val="center"/>
              <w:textAlignment w:val="center"/>
              <w:rPr>
                <w:rFonts w:ascii="宋体" w:hAnsi="宋体" w:eastAsia="宋体" w:cs="宋体"/>
                <w:b/>
                <w:bCs/>
                <w:szCs w:val="21"/>
                <w:highlight w:val="none"/>
              </w:rPr>
            </w:pPr>
            <w:r>
              <w:rPr>
                <w:rFonts w:hint="eastAsia" w:ascii="宋体" w:hAnsi="宋体" w:eastAsia="宋体" w:cs="宋体"/>
                <w:b/>
                <w:bCs/>
                <w:kern w:val="0"/>
                <w:szCs w:val="21"/>
                <w:highlight w:val="none"/>
                <w:lang w:bidi="ar"/>
              </w:rPr>
              <w:t>备注</w:t>
            </w:r>
          </w:p>
        </w:tc>
      </w:tr>
      <w:tr w14:paraId="7932E99F">
        <w:tblPrEx>
          <w:tblCellMar>
            <w:top w:w="0" w:type="dxa"/>
            <w:left w:w="108" w:type="dxa"/>
            <w:bottom w:w="0" w:type="dxa"/>
            <w:right w:w="108" w:type="dxa"/>
          </w:tblCellMar>
        </w:tblPrEx>
        <w:trPr>
          <w:trHeight w:val="1224" w:hRule="atLeast"/>
        </w:trPr>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FB8F5">
            <w:pPr>
              <w:widowControl/>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BD4D8">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交付能力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82AB">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20</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3E31">
            <w:pPr>
              <w:widowControl/>
              <w:jc w:val="left"/>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按时足量完成交付，得20分；</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偶尔推迟交付（延迟交付次数在1至3次），得10分；</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经常不按时交付（延迟交付次数在4至5次），得5分；</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不交付，不得分；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B0C">
            <w:pPr>
              <w:rPr>
                <w:rFonts w:ascii="宋体" w:hAnsi="宋体" w:eastAsia="宋体" w:cs="宋体"/>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3B81">
            <w:pPr>
              <w:rPr>
                <w:rFonts w:ascii="宋体" w:hAnsi="宋体" w:eastAsia="宋体" w:cs="宋体"/>
                <w:szCs w:val="21"/>
                <w:highlight w:val="none"/>
              </w:rPr>
            </w:pPr>
          </w:p>
        </w:tc>
      </w:tr>
      <w:tr w14:paraId="4D3666B4">
        <w:tblPrEx>
          <w:tblCellMar>
            <w:top w:w="0" w:type="dxa"/>
            <w:left w:w="108" w:type="dxa"/>
            <w:bottom w:w="0" w:type="dxa"/>
            <w:right w:w="108" w:type="dxa"/>
          </w:tblCellMar>
        </w:tblPrEx>
        <w:trPr>
          <w:trHeight w:val="966" w:hRule="atLeast"/>
        </w:trPr>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DB416">
            <w:pPr>
              <w:widowControl/>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AF81E">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支撑能力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2E55">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20</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37F8">
            <w:pPr>
              <w:widowControl/>
              <w:jc w:val="left"/>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本地化售前、售中、售后支撑服务能力。提供开发、售前支撑等人员团队超过10人，售后支撑人员数量超过5人的，满分20分；其余情况根据满分条件线性打分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AD55">
            <w:pPr>
              <w:rPr>
                <w:rFonts w:ascii="宋体" w:hAnsi="宋体" w:eastAsia="宋体" w:cs="宋体"/>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561F">
            <w:pPr>
              <w:rPr>
                <w:rFonts w:ascii="宋体" w:hAnsi="宋体" w:eastAsia="宋体" w:cs="宋体"/>
                <w:szCs w:val="21"/>
                <w:highlight w:val="none"/>
              </w:rPr>
            </w:pPr>
          </w:p>
        </w:tc>
      </w:tr>
      <w:tr w14:paraId="15967446">
        <w:tblPrEx>
          <w:tblCellMar>
            <w:top w:w="0" w:type="dxa"/>
            <w:left w:w="108" w:type="dxa"/>
            <w:bottom w:w="0" w:type="dxa"/>
            <w:right w:w="108" w:type="dxa"/>
          </w:tblCellMar>
        </w:tblPrEx>
        <w:trPr>
          <w:trHeight w:val="617" w:hRule="atLeast"/>
        </w:trPr>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B59FB">
            <w:pPr>
              <w:widowControl/>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F5F9F">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服务质量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8BA4">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20</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CD7E">
            <w:pPr>
              <w:widowControl/>
              <w:jc w:val="left"/>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根据服务的满意度情况进行打分得分</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339C">
            <w:pPr>
              <w:rPr>
                <w:rFonts w:ascii="宋体" w:hAnsi="宋体" w:eastAsia="宋体" w:cs="宋体"/>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E2B2">
            <w:pPr>
              <w:rPr>
                <w:rFonts w:ascii="宋体" w:hAnsi="宋体" w:eastAsia="宋体" w:cs="宋体"/>
                <w:szCs w:val="21"/>
                <w:highlight w:val="none"/>
              </w:rPr>
            </w:pPr>
          </w:p>
        </w:tc>
      </w:tr>
      <w:tr w14:paraId="0492696A">
        <w:tblPrEx>
          <w:tblCellMar>
            <w:top w:w="0" w:type="dxa"/>
            <w:left w:w="108" w:type="dxa"/>
            <w:bottom w:w="0" w:type="dxa"/>
            <w:right w:w="108" w:type="dxa"/>
          </w:tblCellMar>
        </w:tblPrEx>
        <w:trPr>
          <w:trHeight w:val="617" w:hRule="atLeast"/>
        </w:trPr>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CFB66">
            <w:pPr>
              <w:widowControl/>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5</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7A788">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项目考核</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198E">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40</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664D">
            <w:pPr>
              <w:widowControl/>
              <w:jc w:val="left"/>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以各项目考核的平均分*40%计算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936D">
            <w:pPr>
              <w:rPr>
                <w:rFonts w:ascii="宋体" w:hAnsi="宋体" w:eastAsia="宋体" w:cs="宋体"/>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A85E">
            <w:pPr>
              <w:rPr>
                <w:rFonts w:ascii="宋体" w:hAnsi="宋体" w:eastAsia="宋体" w:cs="宋体"/>
                <w:szCs w:val="21"/>
                <w:highlight w:val="none"/>
              </w:rPr>
            </w:pPr>
          </w:p>
        </w:tc>
      </w:tr>
      <w:tr w14:paraId="34DB44DD">
        <w:tblPrEx>
          <w:tblCellMar>
            <w:top w:w="0" w:type="dxa"/>
            <w:left w:w="108" w:type="dxa"/>
            <w:bottom w:w="0" w:type="dxa"/>
            <w:right w:w="108" w:type="dxa"/>
          </w:tblCellMar>
        </w:tblPrEx>
        <w:trPr>
          <w:trHeight w:val="921"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111C">
            <w:pPr>
              <w:widowControl/>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8CE4">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加分项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CA33">
            <w:pPr>
              <w:jc w:val="center"/>
              <w:rPr>
                <w:rFonts w:ascii="宋体" w:hAnsi="宋体" w:eastAsia="宋体" w:cs="宋体"/>
                <w:szCs w:val="21"/>
                <w:highlight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434C">
            <w:pPr>
              <w:widowControl/>
              <w:jc w:val="left"/>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1、合作伙伴成功挖掘商机，达成项目客户签约，为甲方创造收入和利润；</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2、客户评价好，满意度高，有客户单位出具的表扬信或感谢信；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C439">
            <w:pPr>
              <w:rPr>
                <w:rFonts w:ascii="宋体" w:hAnsi="宋体" w:eastAsia="宋体" w:cs="宋体"/>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3A8E">
            <w:pPr>
              <w:widowControl/>
              <w:jc w:val="left"/>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每条酌情加5-10分</w:t>
            </w:r>
          </w:p>
        </w:tc>
      </w:tr>
      <w:tr w14:paraId="31D284C4">
        <w:tblPrEx>
          <w:tblCellMar>
            <w:top w:w="0" w:type="dxa"/>
            <w:left w:w="108" w:type="dxa"/>
            <w:bottom w:w="0" w:type="dxa"/>
            <w:right w:w="108" w:type="dxa"/>
          </w:tblCellMar>
        </w:tblPrEx>
        <w:trPr>
          <w:trHeight w:val="185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47D0">
            <w:pPr>
              <w:widowControl/>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7</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1C59">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扣分项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203E">
            <w:pPr>
              <w:jc w:val="center"/>
              <w:rPr>
                <w:rFonts w:ascii="宋体" w:hAnsi="宋体" w:eastAsia="宋体" w:cs="宋体"/>
                <w:szCs w:val="21"/>
                <w:highlight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38D2">
            <w:pPr>
              <w:widowControl/>
              <w:jc w:val="left"/>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1、中标后无正当理由不签订合同，或擅自变更或终止合同的；</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2、在项目实施中提供服务不合格的；</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3、受到省级以上行业监管部门通报批评的；</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4、受到中国移动集团或省级公司通报存在不良履约行为记录的；</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5、客户满意度差，甚至客户单位发出书面投诉或要求整改的函件；</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6、其他不良行为；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CD4">
            <w:pPr>
              <w:rPr>
                <w:rFonts w:ascii="宋体" w:hAnsi="宋体" w:eastAsia="宋体" w:cs="宋体"/>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5205">
            <w:pPr>
              <w:widowControl/>
              <w:jc w:val="left"/>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每条酌情扣5-10分</w:t>
            </w:r>
          </w:p>
        </w:tc>
      </w:tr>
      <w:tr w14:paraId="187C0A5A">
        <w:tblPrEx>
          <w:tblCellMar>
            <w:top w:w="0" w:type="dxa"/>
            <w:left w:w="108" w:type="dxa"/>
            <w:bottom w:w="0" w:type="dxa"/>
            <w:right w:w="108" w:type="dxa"/>
          </w:tblCellMar>
        </w:tblPrEx>
        <w:trPr>
          <w:trHeight w:val="4866"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29F3">
            <w:pPr>
              <w:widowControl/>
              <w:jc w:val="center"/>
              <w:textAlignment w:val="center"/>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68A5">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否决项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BBFB">
            <w:pPr>
              <w:jc w:val="center"/>
              <w:rPr>
                <w:rFonts w:ascii="宋体" w:hAnsi="宋体" w:eastAsia="宋体" w:cs="宋体"/>
                <w:szCs w:val="21"/>
                <w:highlight w:val="none"/>
              </w:rPr>
            </w:pP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1305">
            <w:pPr>
              <w:widowControl/>
              <w:jc w:val="left"/>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1、违反廉洁从业规定、存在利益输送等违法违纪行为；</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2、在具体服务项目中出现重大安全责任事故或质量事故并经调查确认的，或连续出现技术、管理上的差错且未及时改进的，经公司总经理办公会决策通过，立即取消其入围资格，并按照合同规定追究有关责任；</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3、合作伙伴因欠薪等原因，造成所属员工群体上访或其它不利社会影响的事件发生；</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4、提供虚假材料、隐瞒真实情况，骗取合作伙伴入围资格，经查实的；</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5、弄虚作假，或串标围标，或干扰采购工作秩序，或获取（含试图获取）采购过程中应当保密的信息，经查实的；</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6、处于被责令停业，财产被接管、冻结，处于破产状态，严重缺乏履约能力的；</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7、造成重大信息安全事故，如客户信息泄露等行为，造成恶劣影响的；</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8、其他违反国家法律、法规及企业相关规定的。</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0276">
            <w:pPr>
              <w:rPr>
                <w:rFonts w:ascii="宋体" w:hAnsi="宋体" w:eastAsia="宋体" w:cs="宋体"/>
                <w:szCs w:val="21"/>
                <w:highlight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D3D1">
            <w:pPr>
              <w:widowControl/>
              <w:jc w:val="left"/>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否决，退出合作伙伴资源库</w:t>
            </w:r>
          </w:p>
        </w:tc>
      </w:tr>
      <w:tr w14:paraId="552BBD8D">
        <w:tblPrEx>
          <w:tblCellMar>
            <w:top w:w="0" w:type="dxa"/>
            <w:left w:w="108" w:type="dxa"/>
            <w:bottom w:w="0" w:type="dxa"/>
            <w:right w:w="108" w:type="dxa"/>
          </w:tblCellMar>
        </w:tblPrEx>
        <w:trPr>
          <w:trHeight w:val="418"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8E22">
            <w:pPr>
              <w:widowControl/>
              <w:jc w:val="center"/>
              <w:textAlignment w:val="center"/>
              <w:rPr>
                <w:rFonts w:ascii="宋体" w:hAnsi="宋体" w:eastAsia="宋体" w:cs="宋体"/>
                <w:kern w:val="0"/>
                <w:szCs w:val="21"/>
                <w:highlight w:val="none"/>
                <w:lang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4D2A">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小计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4F14">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100</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6B3F">
            <w:pPr>
              <w:jc w:val="center"/>
              <w:rPr>
                <w:rFonts w:ascii="宋体" w:hAnsi="宋体" w:eastAsia="宋体" w:cs="宋体"/>
                <w:szCs w:val="21"/>
                <w:highlight w:val="none"/>
              </w:rPr>
            </w:pPr>
            <w:r>
              <w:rPr>
                <w:rFonts w:hint="eastAsia" w:ascii="宋体" w:hAnsi="宋体" w:eastAsia="宋体" w:cs="宋体"/>
                <w:szCs w:val="21"/>
                <w:highlight w:val="none"/>
              </w:rPr>
              <w:t>得分</w:t>
            </w:r>
          </w:p>
        </w:tc>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515F3">
            <w:pPr>
              <w:rPr>
                <w:rFonts w:ascii="宋体" w:hAnsi="宋体" w:eastAsia="宋体" w:cs="宋体"/>
                <w:szCs w:val="21"/>
                <w:highlight w:val="none"/>
              </w:rPr>
            </w:pPr>
          </w:p>
        </w:tc>
      </w:tr>
    </w:tbl>
    <w:p w14:paraId="555874A6">
      <w:pPr>
        <w:rPr>
          <w:highlight w:val="none"/>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70"/>
    <w:rsid w:val="0002356B"/>
    <w:rsid w:val="00024AB2"/>
    <w:rsid w:val="00025BC0"/>
    <w:rsid w:val="00042C93"/>
    <w:rsid w:val="00062687"/>
    <w:rsid w:val="00075A0A"/>
    <w:rsid w:val="00077F17"/>
    <w:rsid w:val="000934DA"/>
    <w:rsid w:val="0009547F"/>
    <w:rsid w:val="000A7B72"/>
    <w:rsid w:val="000C110B"/>
    <w:rsid w:val="000C3A2C"/>
    <w:rsid w:val="000F63EF"/>
    <w:rsid w:val="000F6924"/>
    <w:rsid w:val="00102CC4"/>
    <w:rsid w:val="00124BE1"/>
    <w:rsid w:val="0012770A"/>
    <w:rsid w:val="00144B32"/>
    <w:rsid w:val="001461AC"/>
    <w:rsid w:val="0014678E"/>
    <w:rsid w:val="001469AD"/>
    <w:rsid w:val="00153C8E"/>
    <w:rsid w:val="0016153E"/>
    <w:rsid w:val="00162F1D"/>
    <w:rsid w:val="001710EE"/>
    <w:rsid w:val="00172E15"/>
    <w:rsid w:val="001732A8"/>
    <w:rsid w:val="001B0AF7"/>
    <w:rsid w:val="001C2E47"/>
    <w:rsid w:val="001C3892"/>
    <w:rsid w:val="001E17FD"/>
    <w:rsid w:val="001E7C77"/>
    <w:rsid w:val="001F0BEB"/>
    <w:rsid w:val="002109FE"/>
    <w:rsid w:val="00235708"/>
    <w:rsid w:val="002376B0"/>
    <w:rsid w:val="00241C13"/>
    <w:rsid w:val="0025115D"/>
    <w:rsid w:val="00255695"/>
    <w:rsid w:val="00274FCF"/>
    <w:rsid w:val="00292F8D"/>
    <w:rsid w:val="002A670E"/>
    <w:rsid w:val="002C00A3"/>
    <w:rsid w:val="002C1CD3"/>
    <w:rsid w:val="002C2C08"/>
    <w:rsid w:val="002C3EA5"/>
    <w:rsid w:val="002C51C6"/>
    <w:rsid w:val="002C5E45"/>
    <w:rsid w:val="002C74B0"/>
    <w:rsid w:val="002C7798"/>
    <w:rsid w:val="002C79F8"/>
    <w:rsid w:val="002E2398"/>
    <w:rsid w:val="002F32F7"/>
    <w:rsid w:val="003202FC"/>
    <w:rsid w:val="00333C52"/>
    <w:rsid w:val="00340654"/>
    <w:rsid w:val="00346334"/>
    <w:rsid w:val="003506C0"/>
    <w:rsid w:val="00367122"/>
    <w:rsid w:val="00372D31"/>
    <w:rsid w:val="00382EF3"/>
    <w:rsid w:val="003A046C"/>
    <w:rsid w:val="003A3323"/>
    <w:rsid w:val="003A5510"/>
    <w:rsid w:val="003D2F46"/>
    <w:rsid w:val="003D30A7"/>
    <w:rsid w:val="003E00CE"/>
    <w:rsid w:val="003E2816"/>
    <w:rsid w:val="003F6B77"/>
    <w:rsid w:val="00411239"/>
    <w:rsid w:val="00432DE5"/>
    <w:rsid w:val="004449EE"/>
    <w:rsid w:val="0045396C"/>
    <w:rsid w:val="00456EC1"/>
    <w:rsid w:val="00463401"/>
    <w:rsid w:val="00466441"/>
    <w:rsid w:val="00480C70"/>
    <w:rsid w:val="00484DBA"/>
    <w:rsid w:val="00491B24"/>
    <w:rsid w:val="00491F25"/>
    <w:rsid w:val="00494215"/>
    <w:rsid w:val="004B1F7E"/>
    <w:rsid w:val="004D1F62"/>
    <w:rsid w:val="004D4CDD"/>
    <w:rsid w:val="004D4ED6"/>
    <w:rsid w:val="004E0C59"/>
    <w:rsid w:val="004F5676"/>
    <w:rsid w:val="004F6B3C"/>
    <w:rsid w:val="00501D08"/>
    <w:rsid w:val="0050389A"/>
    <w:rsid w:val="00504BF8"/>
    <w:rsid w:val="0052237E"/>
    <w:rsid w:val="0053643D"/>
    <w:rsid w:val="005705B3"/>
    <w:rsid w:val="005708BF"/>
    <w:rsid w:val="00573B7E"/>
    <w:rsid w:val="0057453C"/>
    <w:rsid w:val="0058435B"/>
    <w:rsid w:val="00584CE7"/>
    <w:rsid w:val="00587C02"/>
    <w:rsid w:val="00596172"/>
    <w:rsid w:val="005A5822"/>
    <w:rsid w:val="005B05E8"/>
    <w:rsid w:val="005B1266"/>
    <w:rsid w:val="005C4520"/>
    <w:rsid w:val="005D33CB"/>
    <w:rsid w:val="005E5842"/>
    <w:rsid w:val="005E70AC"/>
    <w:rsid w:val="005F178E"/>
    <w:rsid w:val="005F77DC"/>
    <w:rsid w:val="00600E66"/>
    <w:rsid w:val="00601F7F"/>
    <w:rsid w:val="00602E7F"/>
    <w:rsid w:val="006043DA"/>
    <w:rsid w:val="0060736B"/>
    <w:rsid w:val="00617A0C"/>
    <w:rsid w:val="00643C0F"/>
    <w:rsid w:val="0064618C"/>
    <w:rsid w:val="006516B4"/>
    <w:rsid w:val="00652DFC"/>
    <w:rsid w:val="006652AE"/>
    <w:rsid w:val="00671164"/>
    <w:rsid w:val="00684B36"/>
    <w:rsid w:val="0068583B"/>
    <w:rsid w:val="0069561C"/>
    <w:rsid w:val="006B4565"/>
    <w:rsid w:val="006B6ECE"/>
    <w:rsid w:val="006D4E89"/>
    <w:rsid w:val="006E72E1"/>
    <w:rsid w:val="006F05CB"/>
    <w:rsid w:val="006F0940"/>
    <w:rsid w:val="006F0FAE"/>
    <w:rsid w:val="0070039C"/>
    <w:rsid w:val="00704099"/>
    <w:rsid w:val="00704635"/>
    <w:rsid w:val="00704FF7"/>
    <w:rsid w:val="00706C0D"/>
    <w:rsid w:val="00710406"/>
    <w:rsid w:val="00711671"/>
    <w:rsid w:val="007122C5"/>
    <w:rsid w:val="0071589C"/>
    <w:rsid w:val="0071759F"/>
    <w:rsid w:val="00717E72"/>
    <w:rsid w:val="00720723"/>
    <w:rsid w:val="00721851"/>
    <w:rsid w:val="007255E6"/>
    <w:rsid w:val="0072631D"/>
    <w:rsid w:val="00732955"/>
    <w:rsid w:val="00740FF1"/>
    <w:rsid w:val="00741F5B"/>
    <w:rsid w:val="00750640"/>
    <w:rsid w:val="00765271"/>
    <w:rsid w:val="007718A7"/>
    <w:rsid w:val="00787168"/>
    <w:rsid w:val="007A36B3"/>
    <w:rsid w:val="007A4451"/>
    <w:rsid w:val="007A59DD"/>
    <w:rsid w:val="007B1798"/>
    <w:rsid w:val="007B383A"/>
    <w:rsid w:val="007C7D6C"/>
    <w:rsid w:val="007D7DBE"/>
    <w:rsid w:val="007E25CA"/>
    <w:rsid w:val="007E44B5"/>
    <w:rsid w:val="008177E4"/>
    <w:rsid w:val="0082402A"/>
    <w:rsid w:val="00826C87"/>
    <w:rsid w:val="00832555"/>
    <w:rsid w:val="00836D82"/>
    <w:rsid w:val="00841AEB"/>
    <w:rsid w:val="00855CCC"/>
    <w:rsid w:val="00857778"/>
    <w:rsid w:val="008625D6"/>
    <w:rsid w:val="00863ECD"/>
    <w:rsid w:val="00865A97"/>
    <w:rsid w:val="00880305"/>
    <w:rsid w:val="00883AC3"/>
    <w:rsid w:val="00892671"/>
    <w:rsid w:val="008B7AD1"/>
    <w:rsid w:val="008C2EAF"/>
    <w:rsid w:val="008D0935"/>
    <w:rsid w:val="008D3594"/>
    <w:rsid w:val="008E2C73"/>
    <w:rsid w:val="008E4D3C"/>
    <w:rsid w:val="00905B51"/>
    <w:rsid w:val="00907D52"/>
    <w:rsid w:val="00914539"/>
    <w:rsid w:val="00914F8A"/>
    <w:rsid w:val="0092767F"/>
    <w:rsid w:val="00927B1F"/>
    <w:rsid w:val="00936C9A"/>
    <w:rsid w:val="009457E1"/>
    <w:rsid w:val="00962D56"/>
    <w:rsid w:val="00962FC4"/>
    <w:rsid w:val="00966882"/>
    <w:rsid w:val="00970C23"/>
    <w:rsid w:val="009813E5"/>
    <w:rsid w:val="00996B0D"/>
    <w:rsid w:val="009C0C9C"/>
    <w:rsid w:val="009C3EE1"/>
    <w:rsid w:val="009D691C"/>
    <w:rsid w:val="009E75AD"/>
    <w:rsid w:val="009F01C3"/>
    <w:rsid w:val="009F526C"/>
    <w:rsid w:val="00A0431F"/>
    <w:rsid w:val="00A12CF2"/>
    <w:rsid w:val="00A2149D"/>
    <w:rsid w:val="00A31D5A"/>
    <w:rsid w:val="00A357AB"/>
    <w:rsid w:val="00A46578"/>
    <w:rsid w:val="00A46EEE"/>
    <w:rsid w:val="00A51C80"/>
    <w:rsid w:val="00A51C97"/>
    <w:rsid w:val="00A67689"/>
    <w:rsid w:val="00A943A8"/>
    <w:rsid w:val="00A95F47"/>
    <w:rsid w:val="00AA3FC7"/>
    <w:rsid w:val="00AA681B"/>
    <w:rsid w:val="00AB04F2"/>
    <w:rsid w:val="00AB1A1F"/>
    <w:rsid w:val="00AB49F8"/>
    <w:rsid w:val="00AB7EEC"/>
    <w:rsid w:val="00AC74F9"/>
    <w:rsid w:val="00AD6077"/>
    <w:rsid w:val="00AD7405"/>
    <w:rsid w:val="00AF1E33"/>
    <w:rsid w:val="00AF24AB"/>
    <w:rsid w:val="00AF59CE"/>
    <w:rsid w:val="00B102F4"/>
    <w:rsid w:val="00B148A4"/>
    <w:rsid w:val="00B15500"/>
    <w:rsid w:val="00B20F87"/>
    <w:rsid w:val="00B2273A"/>
    <w:rsid w:val="00B25FC7"/>
    <w:rsid w:val="00B332B5"/>
    <w:rsid w:val="00B40308"/>
    <w:rsid w:val="00B40D9D"/>
    <w:rsid w:val="00B43C78"/>
    <w:rsid w:val="00B522C5"/>
    <w:rsid w:val="00B52613"/>
    <w:rsid w:val="00B545D4"/>
    <w:rsid w:val="00B619CD"/>
    <w:rsid w:val="00B64C0A"/>
    <w:rsid w:val="00B70712"/>
    <w:rsid w:val="00B82F6E"/>
    <w:rsid w:val="00B86D77"/>
    <w:rsid w:val="00BA59D7"/>
    <w:rsid w:val="00BA7763"/>
    <w:rsid w:val="00BB1DEC"/>
    <w:rsid w:val="00BB5339"/>
    <w:rsid w:val="00BB5D42"/>
    <w:rsid w:val="00BE32EA"/>
    <w:rsid w:val="00C03B0E"/>
    <w:rsid w:val="00C03B67"/>
    <w:rsid w:val="00C05110"/>
    <w:rsid w:val="00C269E2"/>
    <w:rsid w:val="00C31065"/>
    <w:rsid w:val="00C33CD5"/>
    <w:rsid w:val="00C416F3"/>
    <w:rsid w:val="00C6162E"/>
    <w:rsid w:val="00C625B5"/>
    <w:rsid w:val="00C640AC"/>
    <w:rsid w:val="00C66EC4"/>
    <w:rsid w:val="00C76499"/>
    <w:rsid w:val="00C777D5"/>
    <w:rsid w:val="00C830CC"/>
    <w:rsid w:val="00C83A3D"/>
    <w:rsid w:val="00C91091"/>
    <w:rsid w:val="00CB70A2"/>
    <w:rsid w:val="00CC2510"/>
    <w:rsid w:val="00CC4908"/>
    <w:rsid w:val="00CD07C8"/>
    <w:rsid w:val="00CF0695"/>
    <w:rsid w:val="00CF5B6C"/>
    <w:rsid w:val="00CF5BDA"/>
    <w:rsid w:val="00CF6A8B"/>
    <w:rsid w:val="00D04653"/>
    <w:rsid w:val="00D16424"/>
    <w:rsid w:val="00D263F5"/>
    <w:rsid w:val="00D27262"/>
    <w:rsid w:val="00D32AD5"/>
    <w:rsid w:val="00D5399D"/>
    <w:rsid w:val="00D63224"/>
    <w:rsid w:val="00D660DB"/>
    <w:rsid w:val="00D716A8"/>
    <w:rsid w:val="00D76FC7"/>
    <w:rsid w:val="00D832E1"/>
    <w:rsid w:val="00D90791"/>
    <w:rsid w:val="00DB09D8"/>
    <w:rsid w:val="00DB69CF"/>
    <w:rsid w:val="00DC1D99"/>
    <w:rsid w:val="00DC416A"/>
    <w:rsid w:val="00DE1D3E"/>
    <w:rsid w:val="00DE4A2E"/>
    <w:rsid w:val="00DF2852"/>
    <w:rsid w:val="00DF6014"/>
    <w:rsid w:val="00E01BAA"/>
    <w:rsid w:val="00E05E70"/>
    <w:rsid w:val="00E16F75"/>
    <w:rsid w:val="00E27133"/>
    <w:rsid w:val="00E419EF"/>
    <w:rsid w:val="00E50140"/>
    <w:rsid w:val="00E75F08"/>
    <w:rsid w:val="00E8031D"/>
    <w:rsid w:val="00EA085E"/>
    <w:rsid w:val="00EA6549"/>
    <w:rsid w:val="00EC178F"/>
    <w:rsid w:val="00EE1092"/>
    <w:rsid w:val="00EE5279"/>
    <w:rsid w:val="00F00790"/>
    <w:rsid w:val="00F0585D"/>
    <w:rsid w:val="00F05E0E"/>
    <w:rsid w:val="00F07342"/>
    <w:rsid w:val="00F14914"/>
    <w:rsid w:val="00F15CB8"/>
    <w:rsid w:val="00F26495"/>
    <w:rsid w:val="00F3312C"/>
    <w:rsid w:val="00F332E9"/>
    <w:rsid w:val="00F37945"/>
    <w:rsid w:val="00F440FB"/>
    <w:rsid w:val="00F44438"/>
    <w:rsid w:val="00F479A3"/>
    <w:rsid w:val="00F52761"/>
    <w:rsid w:val="00F63C57"/>
    <w:rsid w:val="00F64B18"/>
    <w:rsid w:val="00F730DD"/>
    <w:rsid w:val="00F8249C"/>
    <w:rsid w:val="00FB2928"/>
    <w:rsid w:val="00FB4A97"/>
    <w:rsid w:val="00FC069E"/>
    <w:rsid w:val="00FC2F81"/>
    <w:rsid w:val="00FC4569"/>
    <w:rsid w:val="00FD29FF"/>
    <w:rsid w:val="00FD4CEF"/>
    <w:rsid w:val="00FD54FD"/>
    <w:rsid w:val="00FE0262"/>
    <w:rsid w:val="01F6565C"/>
    <w:rsid w:val="03287ACA"/>
    <w:rsid w:val="06370062"/>
    <w:rsid w:val="065878E3"/>
    <w:rsid w:val="07C14ECA"/>
    <w:rsid w:val="07F664C4"/>
    <w:rsid w:val="08E04C1D"/>
    <w:rsid w:val="0B8C34FA"/>
    <w:rsid w:val="0DCA610C"/>
    <w:rsid w:val="0E2F6071"/>
    <w:rsid w:val="0E9D79FA"/>
    <w:rsid w:val="110333C6"/>
    <w:rsid w:val="11472D55"/>
    <w:rsid w:val="11CA5BF8"/>
    <w:rsid w:val="120922F1"/>
    <w:rsid w:val="1624192C"/>
    <w:rsid w:val="1D586945"/>
    <w:rsid w:val="22BF40B5"/>
    <w:rsid w:val="24F87EB7"/>
    <w:rsid w:val="25D3538A"/>
    <w:rsid w:val="26A91FA5"/>
    <w:rsid w:val="26B517CE"/>
    <w:rsid w:val="277D10EC"/>
    <w:rsid w:val="278529BB"/>
    <w:rsid w:val="278E3ECE"/>
    <w:rsid w:val="28692163"/>
    <w:rsid w:val="28816590"/>
    <w:rsid w:val="29170840"/>
    <w:rsid w:val="29933910"/>
    <w:rsid w:val="2A0E706A"/>
    <w:rsid w:val="2B18234F"/>
    <w:rsid w:val="2C0B7CC4"/>
    <w:rsid w:val="2DBD40BE"/>
    <w:rsid w:val="2E8A51B8"/>
    <w:rsid w:val="31587379"/>
    <w:rsid w:val="316D4E77"/>
    <w:rsid w:val="31F923A9"/>
    <w:rsid w:val="349B7645"/>
    <w:rsid w:val="37235104"/>
    <w:rsid w:val="3A915C31"/>
    <w:rsid w:val="3F146D17"/>
    <w:rsid w:val="3F2809D4"/>
    <w:rsid w:val="4101455B"/>
    <w:rsid w:val="418F6264"/>
    <w:rsid w:val="42CE69BB"/>
    <w:rsid w:val="446D136B"/>
    <w:rsid w:val="449145ED"/>
    <w:rsid w:val="452C059F"/>
    <w:rsid w:val="45645364"/>
    <w:rsid w:val="472A20AE"/>
    <w:rsid w:val="48453632"/>
    <w:rsid w:val="4A575CEB"/>
    <w:rsid w:val="4B392D2B"/>
    <w:rsid w:val="4BC52479"/>
    <w:rsid w:val="4C612B23"/>
    <w:rsid w:val="4ECD7AFF"/>
    <w:rsid w:val="4EF84873"/>
    <w:rsid w:val="4F8050FF"/>
    <w:rsid w:val="52A35BDD"/>
    <w:rsid w:val="53B3DCD9"/>
    <w:rsid w:val="552D54C7"/>
    <w:rsid w:val="552D6F08"/>
    <w:rsid w:val="55A933F8"/>
    <w:rsid w:val="59424CBD"/>
    <w:rsid w:val="59D13D69"/>
    <w:rsid w:val="5B2C0577"/>
    <w:rsid w:val="5C2520B9"/>
    <w:rsid w:val="61001EB2"/>
    <w:rsid w:val="622958A9"/>
    <w:rsid w:val="626C259D"/>
    <w:rsid w:val="6324105E"/>
    <w:rsid w:val="652E3A2B"/>
    <w:rsid w:val="6545522B"/>
    <w:rsid w:val="67F54518"/>
    <w:rsid w:val="6859148D"/>
    <w:rsid w:val="690E7757"/>
    <w:rsid w:val="69F778DA"/>
    <w:rsid w:val="6CA657F4"/>
    <w:rsid w:val="6D7B2721"/>
    <w:rsid w:val="6E5F2278"/>
    <w:rsid w:val="6EE97A4F"/>
    <w:rsid w:val="6F065A96"/>
    <w:rsid w:val="6F37F8E3"/>
    <w:rsid w:val="72814C5A"/>
    <w:rsid w:val="73900979"/>
    <w:rsid w:val="73C70602"/>
    <w:rsid w:val="74023E13"/>
    <w:rsid w:val="76260ABA"/>
    <w:rsid w:val="76927B6E"/>
    <w:rsid w:val="76FF00FE"/>
    <w:rsid w:val="7733029F"/>
    <w:rsid w:val="77430648"/>
    <w:rsid w:val="775407D3"/>
    <w:rsid w:val="78B122EF"/>
    <w:rsid w:val="7AB720D1"/>
    <w:rsid w:val="7B8769EF"/>
    <w:rsid w:val="9D6F8010"/>
    <w:rsid w:val="CB7EC830"/>
    <w:rsid w:val="D76E58C3"/>
    <w:rsid w:val="E7FF23D6"/>
    <w:rsid w:val="E9DEE082"/>
    <w:rsid w:val="FE77527A"/>
    <w:rsid w:val="FFE3B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6" w:lineRule="auto"/>
      <w:outlineLvl w:val="1"/>
    </w:pPr>
    <w:rPr>
      <w:rFonts w:ascii="Arial" w:hAnsi="Arial" w:eastAsia="宋体" w:cs="Times New Roman"/>
      <w:b/>
      <w:bCs/>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unhideWhenUsed/>
    <w:qFormat/>
    <w:uiPriority w:val="39"/>
    <w:pPr>
      <w:ind w:left="420" w:leftChars="200"/>
    </w:pPr>
  </w:style>
  <w:style w:type="paragraph" w:styleId="5">
    <w:name w:val="annotation text"/>
    <w:basedOn w:val="1"/>
    <w:semiHidden/>
    <w:unhideWhenUsed/>
    <w:qFormat/>
    <w:uiPriority w:val="99"/>
    <w:pPr>
      <w:jc w:val="left"/>
    </w:pPr>
  </w:style>
  <w:style w:type="paragraph" w:styleId="6">
    <w:name w:val="Body Text"/>
    <w:basedOn w:val="1"/>
    <w:link w:val="21"/>
    <w:semiHidden/>
    <w:unhideWhenUsed/>
    <w:qFormat/>
    <w:uiPriority w:val="99"/>
    <w:pPr>
      <w:spacing w:after="120"/>
    </w:pPr>
    <w:rPr>
      <w:rFonts w:ascii="Times New Roman" w:hAnsi="Times New Roman" w:eastAsia="宋体" w:cs="Times New Roman"/>
      <w:szCs w:val="24"/>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character" w:customStyle="1" w:styleId="14">
    <w:name w:val="标题 2 字符"/>
    <w:basedOn w:val="12"/>
    <w:link w:val="4"/>
    <w:qFormat/>
    <w:uiPriority w:val="0"/>
    <w:rPr>
      <w:rFonts w:ascii="Arial" w:hAnsi="Arial" w:eastAsia="宋体" w:cs="Times New Roman"/>
      <w:b/>
      <w:bCs/>
      <w:sz w:val="28"/>
      <w:szCs w:val="32"/>
    </w:rPr>
  </w:style>
  <w:style w:type="character" w:customStyle="1" w:styleId="15">
    <w:name w:val="标题 1 字符"/>
    <w:basedOn w:val="12"/>
    <w:link w:val="3"/>
    <w:qFormat/>
    <w:uiPriority w:val="9"/>
    <w:rPr>
      <w:b/>
      <w:bCs/>
      <w:kern w:val="44"/>
      <w:sz w:val="44"/>
      <w:szCs w:val="44"/>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font21"/>
    <w:basedOn w:val="12"/>
    <w:qFormat/>
    <w:uiPriority w:val="0"/>
    <w:rPr>
      <w:rFonts w:hint="eastAsia" w:ascii="宋体" w:hAnsi="宋体" w:eastAsia="宋体" w:cs="宋体"/>
      <w:color w:val="000000"/>
      <w:sz w:val="21"/>
      <w:szCs w:val="21"/>
      <w:u w:val="none"/>
    </w:rPr>
  </w:style>
  <w:style w:type="character" w:customStyle="1" w:styleId="19">
    <w:name w:val="font51"/>
    <w:basedOn w:val="12"/>
    <w:qFormat/>
    <w:uiPriority w:val="0"/>
    <w:rPr>
      <w:rFonts w:hint="eastAsia" w:ascii="宋体" w:hAnsi="宋体" w:eastAsia="宋体" w:cs="宋体"/>
      <w:color w:val="000000"/>
      <w:sz w:val="20"/>
      <w:szCs w:val="20"/>
      <w:u w:val="none"/>
    </w:rPr>
  </w:style>
  <w:style w:type="character" w:customStyle="1" w:styleId="20">
    <w:name w:val="font11"/>
    <w:basedOn w:val="12"/>
    <w:qFormat/>
    <w:uiPriority w:val="0"/>
    <w:rPr>
      <w:rFonts w:hint="default" w:ascii="Times New Roman" w:hAnsi="Times New Roman" w:cs="Times New Roman"/>
      <w:color w:val="000000"/>
      <w:sz w:val="21"/>
      <w:szCs w:val="21"/>
      <w:u w:val="none"/>
    </w:rPr>
  </w:style>
  <w:style w:type="character" w:customStyle="1" w:styleId="21">
    <w:name w:val="正文文本 字符"/>
    <w:basedOn w:val="12"/>
    <w:link w:val="6"/>
    <w:qFormat/>
    <w:uiPriority w:val="0"/>
    <w:rPr>
      <w:rFonts w:hint="default"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1028</Words>
  <Characters>5866</Characters>
  <Lines>48</Lines>
  <Paragraphs>13</Paragraphs>
  <TotalTime>6</TotalTime>
  <ScaleCrop>false</ScaleCrop>
  <LinksUpToDate>false</LinksUpToDate>
  <CharactersWithSpaces>6881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2021-06-12T19:11:00Z</dcterms:created>
  <dc:creator>puguopeng</dc:creator>
  <cp:lastModifiedBy>huosensgs2@js.cmcc</cp:lastModifiedBy>
  <dcterms:modified xsi:type="dcterms:W3CDTF">2025-01-15T02:20:22Z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123F4E4DD8C149D9B49C4511DE591181_13</vt:lpwstr>
  </property>
</Properties>
</file>