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625" w:afterLines="200" w:line="579" w:lineRule="exact"/>
        <w:jc w:val="left"/>
        <w:textAlignment w:val="auto"/>
        <w:outlineLvl w:val="0"/>
        <w:rPr>
          <w:rFonts w:hint="eastAsia" w:ascii="黑体" w:hAnsi="黑体" w:eastAsia="黑体" w:cs="黑体"/>
          <w:b w:val="0"/>
          <w:bCs/>
          <w:sz w:val="32"/>
          <w:szCs w:val="32"/>
          <w:lang w:val="en-US" w:eastAsia="zh-CN"/>
        </w:rPr>
      </w:pPr>
      <w:bookmarkStart w:id="0" w:name="_Toc7457"/>
      <w:r>
        <w:rPr>
          <w:rFonts w:hint="eastAsia" w:ascii="黑体" w:hAnsi="黑体" w:eastAsia="黑体" w:cs="黑体"/>
          <w:b w:val="0"/>
          <w:bCs/>
          <w:sz w:val="32"/>
          <w:szCs w:val="32"/>
          <w:lang w:val="en-US" w:eastAsia="zh-CN"/>
        </w:rPr>
        <w:t>附件</w:t>
      </w:r>
      <w:bookmarkEnd w:id="0"/>
      <w:r>
        <w:rPr>
          <w:rFonts w:hint="eastAsia" w:ascii="黑体" w:hAnsi="黑体" w:eastAsia="黑体" w:cs="黑体"/>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w:t>
      </w:r>
      <w:r>
        <w:rPr>
          <w:rFonts w:hint="eastAsia" w:ascii="宋体" w:hAnsi="宋体" w:cs="宋体"/>
          <w:b/>
          <w:sz w:val="44"/>
          <w:szCs w:val="44"/>
          <w:lang w:val="en-US" w:eastAsia="zh-CN"/>
        </w:rPr>
        <w:t>兴业银行</w:t>
      </w:r>
      <w:r>
        <w:rPr>
          <w:rFonts w:hint="eastAsia" w:asciiTheme="majorEastAsia" w:hAnsiTheme="majorEastAsia" w:eastAsiaTheme="majorEastAsia" w:cstheme="majorEastAsia"/>
          <w:b/>
          <w:bCs/>
          <w:color w:val="auto"/>
          <w:sz w:val="44"/>
          <w:szCs w:val="44"/>
        </w:rPr>
        <w:t>上海分行</w:t>
      </w:r>
      <w:r>
        <w:rPr>
          <w:rFonts w:hint="eastAsia" w:asciiTheme="majorEastAsia" w:hAnsiTheme="majorEastAsia" w:eastAsiaTheme="majorEastAsia" w:cstheme="majorEastAsia"/>
          <w:b/>
          <w:bCs/>
          <w:color w:val="auto"/>
          <w:sz w:val="44"/>
          <w:szCs w:val="44"/>
          <w:lang w:val="en-US" w:eastAsia="zh-CN"/>
        </w:rPr>
        <w:t>关于</w:t>
      </w:r>
      <w:r>
        <w:rPr>
          <w:rFonts w:hint="eastAsia" w:asciiTheme="majorEastAsia" w:hAnsiTheme="majorEastAsia" w:eastAsiaTheme="majorEastAsia" w:cstheme="majorEastAsia"/>
          <w:b/>
          <w:bCs/>
          <w:color w:val="auto"/>
          <w:sz w:val="44"/>
          <w:szCs w:val="44"/>
        </w:rPr>
        <w:t>信用卡法务代理服务商招采项目</w:t>
      </w:r>
      <w:r>
        <w:rPr>
          <w:rFonts w:hint="eastAsia" w:ascii="宋体" w:hAnsi="宋体" w:eastAsia="宋体" w:cs="宋体"/>
          <w:b/>
          <w:sz w:val="44"/>
          <w:szCs w:val="44"/>
          <w:lang w:val="en-US" w:eastAsia="zh-CN"/>
        </w:rPr>
        <w:t>》供应商征集反馈材料-公司名称（全称）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9"/>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9"/>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9"/>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9"/>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1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1"/>
        <w:gridCol w:w="2462"/>
        <w:gridCol w:w="3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1.2.1</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1.2.3</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1.3.1</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1.3.2</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1.3.3</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1.3.4</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1.3.5</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1.3.6</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1.3.7</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1.3.8</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1.3.9</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1.3.10</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1.3.1</w:t>
            </w:r>
            <w:r>
              <w:rPr>
                <w:rFonts w:hint="eastAsia" w:ascii="仿宋" w:hAnsi="仿宋" w:eastAsia="仿宋" w:cs="仿宋"/>
                <w:b w:val="0"/>
                <w:bCs w:val="0"/>
                <w:sz w:val="28"/>
                <w:szCs w:val="28"/>
                <w:lang w:val="en-US" w:eastAsia="zh-CN"/>
              </w:rPr>
              <w:t>1</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1.4.1</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1.4.2</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1.4.3</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3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44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315"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二、营业收入：2022年×；2023年×；2024年×；</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三、净利润等财务指标：2022年×；2023年×；2024年×；</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14"/>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8"/>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8"/>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8"/>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2022年至今</w:t>
      </w:r>
      <w:r>
        <w:rPr>
          <w:rFonts w:hint="eastAsia" w:ascii="仿宋" w:hAnsi="仿宋" w:eastAsia="仿宋" w:cs="仿宋"/>
          <w:b w:val="0"/>
          <w:bCs w:val="0"/>
          <w:sz w:val="32"/>
          <w:szCs w:val="32"/>
        </w:rPr>
        <w:t>《</w:t>
      </w:r>
      <w:r>
        <w:rPr>
          <w:rFonts w:hint="eastAsia" w:ascii="仿宋" w:hAnsi="仿宋" w:eastAsia="仿宋" w:cs="仿宋"/>
          <w:b w:val="0"/>
          <w:bCs w:val="0"/>
          <w:color w:val="auto"/>
          <w:sz w:val="32"/>
          <w:szCs w:val="32"/>
        </w:rPr>
        <w:t>兴业银行上海分行关</w:t>
      </w:r>
      <w:bookmarkStart w:id="1" w:name="_GoBack"/>
      <w:bookmarkEnd w:id="1"/>
      <w:r>
        <w:rPr>
          <w:rFonts w:hint="eastAsia" w:ascii="仿宋" w:hAnsi="仿宋" w:eastAsia="仿宋" w:cs="仿宋"/>
          <w:b w:val="0"/>
          <w:bCs w:val="0"/>
          <w:color w:val="auto"/>
          <w:sz w:val="32"/>
          <w:szCs w:val="32"/>
        </w:rPr>
        <w:t>于信用卡法务代理服务商招采项目》相关案例情况</w:t>
      </w:r>
      <w:r>
        <w:rPr>
          <w:rFonts w:hint="eastAsia" w:ascii="仿宋" w:hAnsi="仿宋" w:eastAsia="仿宋" w:cs="仿宋"/>
          <w:b w:val="0"/>
          <w:bCs w:val="0"/>
          <w:sz w:val="32"/>
          <w:szCs w:val="32"/>
        </w:rPr>
        <w:t>：</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11"/>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4110228"/>
    <w:rsid w:val="0B9408C3"/>
    <w:rsid w:val="0DED7F9F"/>
    <w:rsid w:val="13DD0D7A"/>
    <w:rsid w:val="14D13334"/>
    <w:rsid w:val="1A1D459F"/>
    <w:rsid w:val="1A9E730B"/>
    <w:rsid w:val="1AC3572C"/>
    <w:rsid w:val="24801727"/>
    <w:rsid w:val="28D047B5"/>
    <w:rsid w:val="365B1D40"/>
    <w:rsid w:val="389238CC"/>
    <w:rsid w:val="3C150014"/>
    <w:rsid w:val="503B1E49"/>
    <w:rsid w:val="5966279D"/>
    <w:rsid w:val="73426A4D"/>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6">
    <w:name w:val="annotation text"/>
    <w:basedOn w:val="1"/>
    <w:qFormat/>
    <w:uiPriority w:val="0"/>
    <w:pPr>
      <w:jc w:val="left"/>
    </w:pPr>
  </w:style>
  <w:style w:type="paragraph" w:styleId="7">
    <w:name w:val="Body Text Indent"/>
    <w:basedOn w:val="1"/>
    <w:next w:val="8"/>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8">
    <w:name w:val="Body Text First Indent 2"/>
    <w:basedOn w:val="7"/>
    <w:next w:val="9"/>
    <w:qFormat/>
    <w:uiPriority w:val="0"/>
    <w:pPr>
      <w:tabs>
        <w:tab w:val="left" w:pos="0"/>
        <w:tab w:val="left" w:pos="993"/>
        <w:tab w:val="left" w:pos="1134"/>
      </w:tabs>
      <w:spacing w:line="312" w:lineRule="atLeast"/>
      <w:ind w:firstLine="420"/>
    </w:pPr>
  </w:style>
  <w:style w:type="paragraph" w:customStyle="1" w:styleId="9">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10">
    <w:name w:val="HTML Preformatted"/>
    <w:basedOn w:val="1"/>
    <w:semiHidden/>
    <w:qFormat/>
    <w:uiPriority w:val="0"/>
    <w:pPr>
      <w:topLinePunct w:val="0"/>
    </w:pPr>
    <w:rPr>
      <w:rFonts w:ascii="Courier New" w:hAnsi="Courier New" w:cs="Courier New"/>
      <w:sz w:val="20"/>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首行缩进 21"/>
    <w:basedOn w:val="15"/>
    <w:qFormat/>
    <w:uiPriority w:val="0"/>
    <w:pPr>
      <w:widowControl/>
      <w:ind w:firstLine="420"/>
    </w:pPr>
    <w:rPr>
      <w:szCs w:val="20"/>
    </w:rPr>
  </w:style>
  <w:style w:type="paragraph" w:customStyle="1" w:styleId="15">
    <w:name w:val="正文文本缩进1"/>
    <w:basedOn w:val="1"/>
    <w:qFormat/>
    <w:uiPriority w:val="0"/>
    <w:pPr>
      <w:spacing w:line="500" w:lineRule="exact"/>
      <w:ind w:firstLine="880"/>
    </w:pPr>
    <w:rPr>
      <w:szCs w:val="22"/>
    </w:rPr>
  </w:style>
  <w:style w:type="paragraph" w:styleId="1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0</Words>
  <Characters>0</Characters>
  <Lines>0</Lines>
  <Paragraphs>0</Paragraphs>
  <TotalTime>16</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xingye</cp:lastModifiedBy>
  <dcterms:modified xsi:type="dcterms:W3CDTF">2025-06-25T05:23:54Z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36B78532A37247B5AD5EDF787393BC15</vt:lpwstr>
  </property>
</Properties>
</file>