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44013">
      <w:pPr>
        <w:pStyle w:val="2"/>
        <w:spacing w:before="0" w:after="0" w:line="480" w:lineRule="auto"/>
        <w:rPr>
          <w:rFonts w:hint="eastAsia" w:ascii="仿宋" w:hAnsi="仿宋" w:cs="宋体"/>
          <w:color w:val="auto"/>
          <w:sz w:val="24"/>
          <w:szCs w:val="24"/>
          <w:highlight w:val="none"/>
        </w:rPr>
      </w:pPr>
      <w:r>
        <w:rPr>
          <w:rFonts w:hint="eastAsia" w:ascii="仿宋" w:hAnsi="仿宋" w:cs="宋体"/>
          <w:color w:val="auto"/>
          <w:sz w:val="24"/>
          <w:szCs w:val="24"/>
          <w:highlight w:val="none"/>
        </w:rPr>
        <w:t>招标公告</w:t>
      </w:r>
    </w:p>
    <w:p w14:paraId="40DF5894">
      <w:pPr>
        <w:pStyle w:val="3"/>
        <w:pageBreakBefore w:val="0"/>
        <w:kinsoku/>
        <w:overflowPunct/>
        <w:topLinePunct w:val="0"/>
        <w:autoSpaceDE/>
        <w:autoSpaceDN/>
        <w:bidi w:val="0"/>
        <w:adjustRightInd w:val="0"/>
        <w:snapToGrid w:val="0"/>
        <w:spacing w:line="360" w:lineRule="auto"/>
        <w:rPr>
          <w:rFonts w:hint="eastAsia" w:ascii="仿宋" w:hAnsi="仿宋" w:cs="宋体"/>
          <w:color w:val="auto"/>
          <w:sz w:val="24"/>
          <w:szCs w:val="24"/>
          <w:highlight w:val="none"/>
        </w:rPr>
      </w:pPr>
      <w:bookmarkStart w:id="0" w:name="_Toc10131"/>
      <w:bookmarkStart w:id="1" w:name="_Toc24950"/>
      <w:bookmarkStart w:id="2" w:name="_Toc25200"/>
      <w:bookmarkStart w:id="3" w:name="_Toc65682913"/>
      <w:bookmarkStart w:id="4" w:name="_Toc109124223"/>
      <w:bookmarkStart w:id="5" w:name="_Toc23271"/>
      <w:bookmarkStart w:id="6" w:name="_Toc13923"/>
      <w:bookmarkStart w:id="7" w:name="OLE_LINK58"/>
      <w:r>
        <w:rPr>
          <w:rFonts w:hint="eastAsia" w:ascii="仿宋" w:hAnsi="仿宋" w:cs="宋体"/>
          <w:color w:val="auto"/>
          <w:sz w:val="24"/>
          <w:szCs w:val="24"/>
          <w:highlight w:val="none"/>
        </w:rPr>
        <w:t>一、</w:t>
      </w:r>
      <w:bookmarkEnd w:id="0"/>
      <w:bookmarkEnd w:id="1"/>
      <w:bookmarkEnd w:id="2"/>
      <w:r>
        <w:rPr>
          <w:rFonts w:hint="eastAsia" w:ascii="仿宋" w:hAnsi="仿宋" w:cs="宋体"/>
          <w:color w:val="auto"/>
          <w:sz w:val="24"/>
          <w:szCs w:val="24"/>
          <w:highlight w:val="none"/>
        </w:rPr>
        <w:t>招标条件</w:t>
      </w:r>
      <w:bookmarkEnd w:id="3"/>
      <w:bookmarkEnd w:id="4"/>
      <w:bookmarkEnd w:id="5"/>
      <w:bookmarkEnd w:id="6"/>
    </w:p>
    <w:p w14:paraId="613BE60E">
      <w:pPr>
        <w:pageBreakBefore w:val="0"/>
        <w:kinsoku/>
        <w:wordWrap w:val="0"/>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本招标项目</w:t>
      </w:r>
      <w:r>
        <w:rPr>
          <w:rFonts w:hint="eastAsia" w:ascii="仿宋" w:hAnsi="仿宋" w:eastAsia="仿宋" w:cs="宋体"/>
          <w:color w:val="auto"/>
          <w:sz w:val="24"/>
          <w:szCs w:val="24"/>
          <w:highlight w:val="none"/>
          <w:u w:val="single"/>
          <w:lang w:eastAsia="zh-CN"/>
        </w:rPr>
        <w:t>人保财险内蒙古自治区分公司内蒙古电力（集团）有限责任公司保险项目防灾防损培训班防灾防损培训服务</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rPr>
        <w:t>招标代理</w:t>
      </w:r>
      <w:r>
        <w:rPr>
          <w:rFonts w:hint="eastAsia" w:ascii="仿宋" w:hAnsi="仿宋" w:eastAsia="仿宋" w:cs="宋体"/>
          <w:color w:val="auto"/>
          <w:sz w:val="24"/>
          <w:szCs w:val="24"/>
          <w:highlight w:val="none"/>
        </w:rPr>
        <w:t>项目编号：</w:t>
      </w:r>
      <w:r>
        <w:rPr>
          <w:rFonts w:hint="eastAsia" w:ascii="仿宋" w:hAnsi="仿宋" w:eastAsia="仿宋" w:cs="宋体"/>
          <w:color w:val="auto"/>
          <w:sz w:val="24"/>
          <w:szCs w:val="24"/>
          <w:highlight w:val="none"/>
          <w:lang w:eastAsia="zh-CN"/>
        </w:rPr>
        <w:t>ZS-QCRB-H-2025-1004</w:t>
      </w:r>
      <w:r>
        <w:rPr>
          <w:rFonts w:hint="eastAsia" w:ascii="仿宋" w:hAnsi="仿宋" w:eastAsia="仿宋" w:cs="宋体"/>
          <w:color w:val="auto"/>
          <w:sz w:val="24"/>
          <w:szCs w:val="24"/>
          <w:highlight w:val="none"/>
        </w:rPr>
        <w:t>）</w:t>
      </w:r>
      <w:bookmarkStart w:id="8" w:name="_Hlk69906010"/>
      <w:r>
        <w:rPr>
          <w:rFonts w:hint="eastAsia" w:ascii="仿宋" w:hAnsi="仿宋" w:eastAsia="仿宋" w:cs="宋体"/>
          <w:color w:val="auto"/>
          <w:sz w:val="24"/>
          <w:szCs w:val="24"/>
          <w:highlight w:val="none"/>
        </w:rPr>
        <w:t>由</w:t>
      </w:r>
      <w:r>
        <w:rPr>
          <w:rFonts w:hint="eastAsia" w:ascii="仿宋" w:hAnsi="仿宋" w:eastAsia="仿宋" w:cs="宋体"/>
          <w:color w:val="auto"/>
          <w:sz w:val="24"/>
          <w:szCs w:val="24"/>
          <w:highlight w:val="none"/>
          <w:u w:val="single"/>
          <w:lang w:eastAsia="zh-CN"/>
        </w:rPr>
        <w:t>中国人民财产保险股份有限公司内蒙古自治区分公司</w:t>
      </w:r>
      <w:r>
        <w:rPr>
          <w:rFonts w:hint="eastAsia" w:ascii="仿宋" w:hAnsi="仿宋" w:eastAsia="仿宋" w:cs="宋体"/>
          <w:color w:val="auto"/>
          <w:sz w:val="24"/>
          <w:szCs w:val="24"/>
          <w:highlight w:val="none"/>
        </w:rPr>
        <w:t>（以下简称“招标人”）</w:t>
      </w:r>
      <w:r>
        <w:rPr>
          <w:rFonts w:hint="eastAsia" w:ascii="仿宋" w:hAnsi="仿宋" w:eastAsia="仿宋" w:cs="仿宋"/>
          <w:color w:val="auto"/>
          <w:sz w:val="24"/>
          <w:szCs w:val="24"/>
          <w:highlight w:val="none"/>
        </w:rPr>
        <w:t>批准并落实资金，</w:t>
      </w:r>
      <w:r>
        <w:rPr>
          <w:rFonts w:hint="eastAsia" w:ascii="仿宋" w:hAnsi="仿宋" w:eastAsia="仿宋" w:cs="宋体"/>
          <w:color w:val="auto"/>
          <w:sz w:val="24"/>
          <w:szCs w:val="24"/>
          <w:highlight w:val="none"/>
        </w:rPr>
        <w:t>组织本项目的相关招标工作，采购合同由</w:t>
      </w:r>
      <w:r>
        <w:rPr>
          <w:rFonts w:hint="eastAsia" w:ascii="仿宋" w:hAnsi="仿宋" w:eastAsia="仿宋" w:cs="宋体"/>
          <w:color w:val="auto"/>
          <w:sz w:val="24"/>
          <w:szCs w:val="24"/>
          <w:highlight w:val="none"/>
          <w:u w:val="single"/>
          <w:lang w:eastAsia="zh-CN"/>
        </w:rPr>
        <w:t>中国人民财产保险股份有限公司内蒙古自治区分公司</w:t>
      </w:r>
      <w:r>
        <w:rPr>
          <w:rFonts w:hint="eastAsia" w:ascii="仿宋" w:hAnsi="仿宋" w:eastAsia="仿宋" w:cs="宋体"/>
          <w:color w:val="auto"/>
          <w:sz w:val="24"/>
          <w:szCs w:val="24"/>
          <w:highlight w:val="none"/>
        </w:rPr>
        <w:t>根据中标结果与中标人签署。</w:t>
      </w:r>
      <w:bookmarkEnd w:id="8"/>
      <w:r>
        <w:rPr>
          <w:rFonts w:hint="eastAsia" w:ascii="仿宋" w:hAnsi="仿宋" w:eastAsia="仿宋" w:cs="宋体"/>
          <w:color w:val="auto"/>
          <w:sz w:val="24"/>
          <w:szCs w:val="24"/>
          <w:highlight w:val="none"/>
        </w:rPr>
        <w:t>现委托</w:t>
      </w:r>
      <w:r>
        <w:rPr>
          <w:rFonts w:hint="eastAsia" w:ascii="仿宋" w:hAnsi="仿宋" w:eastAsia="仿宋" w:cs="宋体"/>
          <w:color w:val="auto"/>
          <w:sz w:val="24"/>
          <w:szCs w:val="24"/>
          <w:highlight w:val="none"/>
          <w:u w:val="single"/>
        </w:rPr>
        <w:t xml:space="preserve"> 内蒙古中实工程招标咨询有限责任公司 </w:t>
      </w:r>
      <w:r>
        <w:rPr>
          <w:rFonts w:hint="eastAsia" w:ascii="仿宋" w:hAnsi="仿宋" w:eastAsia="仿宋" w:cs="宋体"/>
          <w:color w:val="auto"/>
          <w:sz w:val="24"/>
          <w:szCs w:val="24"/>
          <w:highlight w:val="none"/>
        </w:rPr>
        <w:t>（以下简称“招标代理机构”）进行公开招标，有意向且具有提供标的物能力的潜在投标人（以下简称“投标人”）可前来投标。</w:t>
      </w:r>
    </w:p>
    <w:p w14:paraId="3908A777">
      <w:pPr>
        <w:pStyle w:val="3"/>
        <w:pageBreakBefore w:val="0"/>
        <w:kinsoku/>
        <w:overflowPunct/>
        <w:topLinePunct w:val="0"/>
        <w:autoSpaceDE/>
        <w:autoSpaceDN/>
        <w:bidi w:val="0"/>
        <w:adjustRightInd w:val="0"/>
        <w:snapToGrid w:val="0"/>
        <w:spacing w:line="360" w:lineRule="auto"/>
        <w:rPr>
          <w:rFonts w:hint="eastAsia" w:ascii="仿宋" w:hAnsi="仿宋" w:cs="宋体"/>
          <w:color w:val="auto"/>
          <w:sz w:val="24"/>
          <w:szCs w:val="24"/>
          <w:highlight w:val="none"/>
        </w:rPr>
      </w:pPr>
      <w:bookmarkStart w:id="9" w:name="_Toc109124224"/>
      <w:bookmarkStart w:id="10" w:name="_Toc65682914"/>
      <w:bookmarkStart w:id="11" w:name="_Toc18478"/>
      <w:bookmarkStart w:id="12" w:name="_Toc30531"/>
      <w:r>
        <w:rPr>
          <w:rFonts w:hint="eastAsia" w:ascii="仿宋" w:hAnsi="仿宋" w:cs="宋体"/>
          <w:color w:val="auto"/>
          <w:sz w:val="24"/>
          <w:szCs w:val="24"/>
          <w:highlight w:val="none"/>
        </w:rPr>
        <w:t>二、项目概况与招标范围</w:t>
      </w:r>
      <w:bookmarkEnd w:id="9"/>
      <w:bookmarkEnd w:id="10"/>
      <w:bookmarkEnd w:id="11"/>
      <w:bookmarkEnd w:id="12"/>
    </w:p>
    <w:p w14:paraId="24DD18FF">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2.1项目名称：</w:t>
      </w:r>
      <w:r>
        <w:rPr>
          <w:rFonts w:hint="eastAsia" w:ascii="仿宋" w:hAnsi="仿宋" w:eastAsia="仿宋" w:cs="宋体"/>
          <w:color w:val="auto"/>
          <w:sz w:val="24"/>
          <w:szCs w:val="24"/>
          <w:highlight w:val="none"/>
          <w:lang w:eastAsia="zh-CN"/>
        </w:rPr>
        <w:t>人保财险内蒙古自治区分公司内蒙古电力（集团）有限责任公司保险项目防灾防损培训班防灾防损培训服务</w:t>
      </w:r>
      <w:r>
        <w:rPr>
          <w:rFonts w:hint="eastAsia" w:ascii="仿宋" w:hAnsi="仿宋" w:eastAsia="仿宋" w:cs="宋体"/>
          <w:color w:val="auto"/>
          <w:sz w:val="24"/>
          <w:szCs w:val="24"/>
          <w:highlight w:val="none"/>
        </w:rPr>
        <w:t>。</w:t>
      </w:r>
    </w:p>
    <w:p w14:paraId="3F11B80A">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kern w:val="0"/>
          <w:sz w:val="24"/>
          <w:szCs w:val="24"/>
          <w:highlight w:val="none"/>
          <w:lang w:bidi="ar"/>
        </w:rPr>
      </w:pPr>
      <w:r>
        <w:rPr>
          <w:rFonts w:hint="eastAsia" w:ascii="仿宋" w:hAnsi="仿宋" w:eastAsia="仿宋" w:cs="宋体"/>
          <w:color w:val="auto"/>
          <w:sz w:val="24"/>
          <w:szCs w:val="24"/>
          <w:highlight w:val="none"/>
        </w:rPr>
        <w:t>2.2招标范围：</w:t>
      </w:r>
      <w:bookmarkStart w:id="13" w:name="_Hlk69456860"/>
      <w:bookmarkStart w:id="14" w:name="OLE_LINK57"/>
      <w:r>
        <w:rPr>
          <w:rFonts w:hint="eastAsia" w:ascii="仿宋" w:hAnsi="仿宋" w:eastAsia="仿宋" w:cs="宋体"/>
          <w:color w:val="auto"/>
          <w:sz w:val="24"/>
          <w:szCs w:val="24"/>
          <w:highlight w:val="none"/>
        </w:rPr>
        <w:t>本项目</w:t>
      </w:r>
      <w:bookmarkEnd w:id="13"/>
      <w:r>
        <w:rPr>
          <w:rFonts w:hint="eastAsia" w:ascii="仿宋" w:hAnsi="仿宋" w:eastAsia="仿宋" w:cs="宋体"/>
          <w:color w:val="auto"/>
          <w:sz w:val="24"/>
          <w:szCs w:val="24"/>
          <w:highlight w:val="none"/>
        </w:rPr>
        <w:t>需要邀请外部防灾防损专家授课、防灾防损模拟训练、赋能活动、党建共建等服务</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具体内容及要求见招标文件第五章技术规范书</w:t>
      </w:r>
      <w:r>
        <w:rPr>
          <w:rFonts w:hint="eastAsia" w:ascii="仿宋" w:hAnsi="仿宋" w:eastAsia="仿宋" w:cs="宋体"/>
          <w:color w:val="auto"/>
          <w:kern w:val="0"/>
          <w:sz w:val="24"/>
          <w:szCs w:val="24"/>
          <w:highlight w:val="none"/>
          <w:lang w:bidi="ar"/>
        </w:rPr>
        <w:t>。</w:t>
      </w:r>
    </w:p>
    <w:bookmarkEnd w:id="14"/>
    <w:p w14:paraId="145DBB61">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bookmarkStart w:id="15" w:name="_Hlk69456893"/>
      <w:r>
        <w:rPr>
          <w:rFonts w:hint="eastAsia" w:ascii="仿宋" w:hAnsi="仿宋" w:eastAsia="仿宋" w:cs="宋体"/>
          <w:color w:val="auto"/>
          <w:sz w:val="24"/>
          <w:szCs w:val="24"/>
          <w:highlight w:val="none"/>
        </w:rPr>
        <w:t>2.3项目性质：</w:t>
      </w:r>
      <w:r>
        <w:rPr>
          <w:rFonts w:hint="eastAsia" w:ascii="仿宋" w:hAnsi="仿宋" w:eastAsia="仿宋" w:cs="宋体"/>
          <w:color w:val="auto"/>
          <w:sz w:val="24"/>
          <w:szCs w:val="24"/>
          <w:highlight w:val="none"/>
          <w:lang w:val="en-US" w:eastAsia="zh-CN"/>
        </w:rPr>
        <w:t>服务</w:t>
      </w:r>
      <w:r>
        <w:rPr>
          <w:rFonts w:hint="eastAsia" w:ascii="仿宋" w:hAnsi="仿宋" w:eastAsia="仿宋" w:cs="宋体"/>
          <w:color w:val="auto"/>
          <w:sz w:val="24"/>
          <w:szCs w:val="24"/>
          <w:highlight w:val="none"/>
        </w:rPr>
        <w:t>。</w:t>
      </w:r>
    </w:p>
    <w:p w14:paraId="3C08FB86">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2.4标包划分：本项目不划分标包/本项目划分为</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个标包，情况如下：</w:t>
      </w:r>
    </w:p>
    <w:tbl>
      <w:tblPr>
        <w:tblStyle w:val="8"/>
        <w:tblW w:w="44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834"/>
        <w:gridCol w:w="2155"/>
        <w:gridCol w:w="1557"/>
      </w:tblGrid>
      <w:tr w14:paraId="181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7" w:type="pct"/>
            <w:noWrap w:val="0"/>
            <w:vAlign w:val="center"/>
          </w:tcPr>
          <w:p w14:paraId="26BF4B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标包号</w:t>
            </w:r>
          </w:p>
        </w:tc>
        <w:tc>
          <w:tcPr>
            <w:tcW w:w="1853" w:type="pct"/>
            <w:noWrap w:val="0"/>
            <w:vAlign w:val="center"/>
          </w:tcPr>
          <w:p w14:paraId="248924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rPr>
              <w:t>标包名称</w:t>
            </w:r>
          </w:p>
        </w:tc>
        <w:tc>
          <w:tcPr>
            <w:tcW w:w="1409" w:type="pct"/>
            <w:noWrap w:val="0"/>
            <w:vAlign w:val="center"/>
          </w:tcPr>
          <w:p w14:paraId="492F2B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预算金额（元）</w:t>
            </w:r>
          </w:p>
        </w:tc>
        <w:tc>
          <w:tcPr>
            <w:tcW w:w="1018" w:type="pct"/>
            <w:noWrap w:val="0"/>
            <w:vAlign w:val="center"/>
          </w:tcPr>
          <w:p w14:paraId="3F1100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中标人数量</w:t>
            </w:r>
          </w:p>
        </w:tc>
      </w:tr>
      <w:tr w14:paraId="427B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pct"/>
            <w:noWrap w:val="0"/>
            <w:vAlign w:val="center"/>
          </w:tcPr>
          <w:p w14:paraId="5E24EC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标包1</w:t>
            </w:r>
          </w:p>
        </w:tc>
        <w:tc>
          <w:tcPr>
            <w:tcW w:w="1853" w:type="pct"/>
            <w:noWrap w:val="0"/>
            <w:vAlign w:val="center"/>
          </w:tcPr>
          <w:p w14:paraId="1CFA83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内蒙古电力（集团）有限责任公司保险项目防灾防损培训班防灾防损培训服务</w:t>
            </w:r>
          </w:p>
        </w:tc>
        <w:tc>
          <w:tcPr>
            <w:tcW w:w="1409" w:type="pct"/>
            <w:noWrap w:val="0"/>
            <w:vAlign w:val="center"/>
          </w:tcPr>
          <w:p w14:paraId="080C62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230000</w:t>
            </w:r>
          </w:p>
        </w:tc>
        <w:tc>
          <w:tcPr>
            <w:tcW w:w="1018" w:type="pct"/>
            <w:noWrap w:val="0"/>
            <w:vAlign w:val="center"/>
          </w:tcPr>
          <w:p w14:paraId="39A659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个</w:t>
            </w:r>
          </w:p>
        </w:tc>
      </w:tr>
    </w:tbl>
    <w:p w14:paraId="6FB81D1E">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bookmarkStart w:id="16" w:name="_Toc17299"/>
      <w:bookmarkStart w:id="17" w:name="_Toc65682915"/>
      <w:r>
        <w:rPr>
          <w:rFonts w:hint="eastAsia" w:ascii="仿宋" w:hAnsi="仿宋" w:eastAsia="仿宋" w:cs="宋体"/>
          <w:color w:val="auto"/>
          <w:sz w:val="24"/>
          <w:szCs w:val="24"/>
          <w:highlight w:val="none"/>
        </w:rPr>
        <w:t>2.5服务期限：2期的培训服务。</w:t>
      </w:r>
    </w:p>
    <w:p w14:paraId="32680352">
      <w:pPr>
        <w:pageBreakBefore w:val="0"/>
        <w:kinsoku/>
        <w:overflowPunct/>
        <w:topLinePunct w:val="0"/>
        <w:autoSpaceDE/>
        <w:autoSpaceDN/>
        <w:bidi w:val="0"/>
        <w:adjustRightInd w:val="0"/>
        <w:snapToGrid w:val="0"/>
        <w:spacing w:line="360" w:lineRule="auto"/>
        <w:ind w:firstLine="480" w:firstLineChars="200"/>
        <w:textAlignment w:val="baseline"/>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2.6服务地点：</w:t>
      </w:r>
      <w:r>
        <w:rPr>
          <w:rFonts w:hint="eastAsia" w:ascii="仿宋" w:hAnsi="仿宋" w:eastAsia="仿宋" w:cs="宋体"/>
          <w:color w:val="auto"/>
          <w:sz w:val="24"/>
          <w:szCs w:val="24"/>
          <w:highlight w:val="none"/>
          <w:lang w:val="en-US" w:eastAsia="zh-CN"/>
        </w:rPr>
        <w:t>招标人指定地点</w:t>
      </w:r>
      <w:r>
        <w:rPr>
          <w:rFonts w:hint="eastAsia" w:ascii="仿宋" w:hAnsi="仿宋" w:eastAsia="仿宋" w:cs="宋体"/>
          <w:color w:val="auto"/>
          <w:sz w:val="24"/>
          <w:szCs w:val="24"/>
          <w:highlight w:val="none"/>
        </w:rPr>
        <w:t>。</w:t>
      </w:r>
      <w:bookmarkEnd w:id="15"/>
    </w:p>
    <w:p w14:paraId="3539E507">
      <w:pPr>
        <w:pStyle w:val="3"/>
        <w:pageBreakBefore w:val="0"/>
        <w:kinsoku/>
        <w:overflowPunct/>
        <w:topLinePunct w:val="0"/>
        <w:autoSpaceDE/>
        <w:autoSpaceDN/>
        <w:bidi w:val="0"/>
        <w:adjustRightInd w:val="0"/>
        <w:snapToGrid w:val="0"/>
        <w:spacing w:line="360" w:lineRule="auto"/>
        <w:rPr>
          <w:rFonts w:ascii="仿宋" w:hAnsi="仿宋" w:cs="宋体"/>
          <w:color w:val="auto"/>
          <w:sz w:val="24"/>
          <w:szCs w:val="24"/>
          <w:highlight w:val="none"/>
        </w:rPr>
      </w:pPr>
      <w:bookmarkStart w:id="18" w:name="_Toc109124225"/>
      <w:bookmarkStart w:id="19" w:name="_Toc6528"/>
      <w:r>
        <w:rPr>
          <w:rFonts w:hint="eastAsia" w:ascii="仿宋" w:hAnsi="仿宋" w:cs="宋体"/>
          <w:color w:val="auto"/>
          <w:sz w:val="24"/>
          <w:szCs w:val="24"/>
          <w:highlight w:val="none"/>
        </w:rPr>
        <w:t>三、投标人资格要求</w:t>
      </w:r>
      <w:bookmarkEnd w:id="16"/>
      <w:bookmarkEnd w:id="17"/>
      <w:bookmarkEnd w:id="18"/>
      <w:bookmarkEnd w:id="19"/>
    </w:p>
    <w:p w14:paraId="6541ADD3">
      <w:pPr>
        <w:pStyle w:val="4"/>
        <w:pageBreakBefore w:val="0"/>
        <w:kinsoku/>
        <w:overflowPunct/>
        <w:topLinePunct w:val="0"/>
        <w:autoSpaceDE/>
        <w:autoSpaceDN/>
        <w:bidi w:val="0"/>
        <w:adjustRightInd w:val="0"/>
        <w:snapToGrid w:val="0"/>
        <w:spacing w:line="360" w:lineRule="auto"/>
        <w:ind w:firstLine="480" w:firstLineChars="200"/>
        <w:rPr>
          <w:rFonts w:hint="eastAsia" w:ascii="宋体" w:hAnsi="宋体"/>
          <w:color w:val="auto"/>
          <w:sz w:val="24"/>
          <w:szCs w:val="24"/>
          <w:highlight w:val="none"/>
        </w:rPr>
      </w:pPr>
      <w:r>
        <w:rPr>
          <w:rFonts w:hint="eastAsia" w:ascii="仿宋" w:hAnsi="仿宋" w:eastAsia="仿宋" w:cs="宋体"/>
          <w:color w:val="auto"/>
          <w:sz w:val="24"/>
          <w:szCs w:val="24"/>
          <w:highlight w:val="none"/>
        </w:rPr>
        <w:t>3.1</w:t>
      </w:r>
      <w:r>
        <w:rPr>
          <w:rFonts w:hint="eastAsia" w:ascii="仿宋" w:hAnsi="仿宋" w:eastAsia="仿宋" w:cs="Monaco"/>
          <w:b/>
          <w:bCs/>
          <w:color w:val="auto"/>
          <w:sz w:val="24"/>
          <w:szCs w:val="24"/>
          <w:highlight w:val="none"/>
        </w:rPr>
        <w:t>在中华人民共和国境内依法登记的法人或其他组织，</w:t>
      </w:r>
      <w:r>
        <w:rPr>
          <w:rFonts w:hint="eastAsia" w:ascii="仿宋" w:hAnsi="仿宋" w:eastAsia="仿宋" w:cs="Monaco"/>
          <w:b/>
          <w:bCs/>
          <w:color w:val="auto"/>
          <w:sz w:val="24"/>
          <w:szCs w:val="24"/>
          <w:highlight w:val="none"/>
          <w:lang w:val="en-US" w:eastAsia="zh-CN"/>
        </w:rPr>
        <w:t>提供</w:t>
      </w:r>
      <w:r>
        <w:rPr>
          <w:rFonts w:hint="eastAsia" w:ascii="仿宋" w:hAnsi="仿宋" w:eastAsia="仿宋" w:cs="Monaco"/>
          <w:b/>
          <w:bCs/>
          <w:color w:val="auto"/>
          <w:sz w:val="24"/>
          <w:szCs w:val="24"/>
          <w:highlight w:val="none"/>
        </w:rPr>
        <w:t>营业执照（复印件）</w:t>
      </w:r>
      <w:r>
        <w:rPr>
          <w:rFonts w:hint="eastAsia" w:ascii="仿宋" w:hAnsi="仿宋" w:eastAsia="仿宋" w:cs="Monaco"/>
          <w:b/>
          <w:bCs/>
          <w:color w:val="auto"/>
          <w:sz w:val="24"/>
          <w:szCs w:val="24"/>
          <w:highlight w:val="none"/>
          <w:lang w:val="en-US" w:eastAsia="zh-CN"/>
        </w:rPr>
        <w:t>或</w:t>
      </w:r>
      <w:r>
        <w:rPr>
          <w:rFonts w:hint="eastAsia" w:ascii="仿宋" w:hAnsi="仿宋" w:eastAsia="仿宋" w:cs="Monaco"/>
          <w:b/>
          <w:bCs/>
          <w:color w:val="auto"/>
          <w:sz w:val="24"/>
          <w:szCs w:val="24"/>
          <w:highlight w:val="none"/>
        </w:rPr>
        <w:t>其他有效证明文件（复印件）。</w:t>
      </w:r>
    </w:p>
    <w:p w14:paraId="485548F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b/>
          <w:color w:val="auto"/>
          <w:sz w:val="24"/>
          <w:szCs w:val="24"/>
          <w:highlight w:val="none"/>
        </w:rPr>
      </w:pPr>
      <w:r>
        <w:rPr>
          <w:rFonts w:hint="eastAsia" w:ascii="仿宋" w:hAnsi="仿宋" w:eastAsia="仿宋" w:cs="宋体"/>
          <w:color w:val="auto"/>
          <w:sz w:val="24"/>
          <w:szCs w:val="24"/>
          <w:highlight w:val="none"/>
        </w:rPr>
        <w:t>3.</w:t>
      </w:r>
      <w:r>
        <w:rPr>
          <w:rFonts w:ascii="仿宋" w:hAnsi="仿宋" w:eastAsia="仿宋" w:cs="宋体"/>
          <w:color w:val="auto"/>
          <w:sz w:val="24"/>
          <w:szCs w:val="24"/>
          <w:highlight w:val="none"/>
        </w:rPr>
        <w:t>2</w:t>
      </w:r>
      <w:r>
        <w:rPr>
          <w:rFonts w:hint="eastAsia" w:ascii="仿宋" w:hAnsi="仿宋" w:eastAsia="仿宋" w:cs="宋体"/>
          <w:b/>
          <w:color w:val="auto"/>
          <w:sz w:val="24"/>
          <w:szCs w:val="24"/>
          <w:highlight w:val="none"/>
        </w:rPr>
        <w:t>具有良好的商业信誉和健全的财务会计制度（提供承诺函）。</w:t>
      </w:r>
    </w:p>
    <w:p w14:paraId="401E3D33">
      <w:pPr>
        <w:pageBreakBefore w:val="0"/>
        <w:kinsoku/>
        <w:overflowPunct/>
        <w:topLinePunct w:val="0"/>
        <w:autoSpaceDE/>
        <w:autoSpaceDN/>
        <w:bidi w:val="0"/>
        <w:adjustRightInd w:val="0"/>
        <w:snapToGrid w:val="0"/>
        <w:spacing w:line="360" w:lineRule="auto"/>
        <w:ind w:firstLine="480" w:firstLineChars="200"/>
        <w:textAlignment w:val="baseline"/>
        <w:rPr>
          <w:rFonts w:hint="eastAsia"/>
          <w:color w:val="auto"/>
          <w:sz w:val="24"/>
          <w:szCs w:val="24"/>
          <w:highlight w:val="none"/>
        </w:rPr>
      </w:pPr>
      <w:r>
        <w:rPr>
          <w:rFonts w:hint="eastAsia" w:ascii="仿宋" w:hAnsi="仿宋" w:eastAsia="仿宋" w:cs="宋体"/>
          <w:color w:val="auto"/>
          <w:sz w:val="24"/>
          <w:szCs w:val="24"/>
          <w:highlight w:val="none"/>
        </w:rPr>
        <w:t>3.</w:t>
      </w:r>
      <w:r>
        <w:rPr>
          <w:rFonts w:ascii="仿宋" w:hAnsi="仿宋" w:eastAsia="仿宋" w:cs="宋体"/>
          <w:color w:val="auto"/>
          <w:sz w:val="24"/>
          <w:szCs w:val="24"/>
          <w:highlight w:val="none"/>
        </w:rPr>
        <w:t xml:space="preserve">3 </w:t>
      </w:r>
      <w:r>
        <w:rPr>
          <w:rFonts w:hint="eastAsia" w:ascii="仿宋" w:hAnsi="仿宋" w:eastAsia="仿宋" w:cs="宋体"/>
          <w:b/>
          <w:color w:val="auto"/>
          <w:sz w:val="24"/>
          <w:szCs w:val="24"/>
          <w:highlight w:val="none"/>
        </w:rPr>
        <w:t>投标人应具有履行合同所必需的设备和专业技术能力（提供承诺函）。</w:t>
      </w:r>
    </w:p>
    <w:p w14:paraId="47961C3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b/>
          <w:color w:val="auto"/>
          <w:sz w:val="24"/>
          <w:szCs w:val="24"/>
          <w:highlight w:val="none"/>
        </w:rPr>
        <w:t>具有依法缴纳税收和社会保障资金的良好记录</w:t>
      </w:r>
      <w:r>
        <w:rPr>
          <w:rFonts w:hint="eastAsia" w:ascii="仿宋" w:hAnsi="仿宋" w:eastAsia="仿宋" w:cs="宋体"/>
          <w:b/>
          <w:color w:val="auto"/>
          <w:sz w:val="24"/>
          <w:szCs w:val="24"/>
          <w:highlight w:val="none"/>
          <w:lang w:eastAsia="zh-CN"/>
        </w:rPr>
        <w:t>（</w:t>
      </w:r>
      <w:r>
        <w:rPr>
          <w:rFonts w:hint="eastAsia" w:ascii="仿宋" w:hAnsi="仿宋" w:eastAsia="仿宋" w:cs="宋体"/>
          <w:b/>
          <w:color w:val="auto"/>
          <w:sz w:val="24"/>
          <w:szCs w:val="24"/>
          <w:highlight w:val="none"/>
          <w:lang w:val="en-US" w:eastAsia="zh-CN"/>
        </w:rPr>
        <w:t>提供承诺函</w:t>
      </w:r>
      <w:r>
        <w:rPr>
          <w:rFonts w:hint="eastAsia" w:ascii="仿宋" w:hAnsi="仿宋" w:eastAsia="仿宋" w:cs="宋体"/>
          <w:b/>
          <w:color w:val="auto"/>
          <w:sz w:val="24"/>
          <w:szCs w:val="24"/>
          <w:highlight w:val="none"/>
          <w:lang w:eastAsia="zh-CN"/>
        </w:rPr>
        <w:t>）</w:t>
      </w:r>
      <w:r>
        <w:rPr>
          <w:rFonts w:hint="eastAsia" w:ascii="仿宋" w:hAnsi="仿宋" w:eastAsia="仿宋" w:cs="宋体"/>
          <w:color w:val="auto"/>
          <w:sz w:val="24"/>
          <w:szCs w:val="24"/>
          <w:highlight w:val="none"/>
        </w:rPr>
        <w:t>。</w:t>
      </w:r>
    </w:p>
    <w:p w14:paraId="623F0D5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Monaco"/>
          <w:color w:val="auto"/>
          <w:sz w:val="24"/>
          <w:szCs w:val="24"/>
          <w:highlight w:val="none"/>
        </w:rPr>
      </w:pPr>
      <w:r>
        <w:rPr>
          <w:rFonts w:hint="eastAsia" w:ascii="仿宋" w:hAnsi="仿宋" w:eastAsia="仿宋" w:cs="宋体"/>
          <w:color w:val="auto"/>
          <w:sz w:val="24"/>
          <w:szCs w:val="24"/>
          <w:highlight w:val="none"/>
        </w:rPr>
        <w:t>3.5</w:t>
      </w:r>
      <w:r>
        <w:rPr>
          <w:rFonts w:hint="eastAsia" w:ascii="仿宋" w:hAnsi="仿宋" w:eastAsia="仿宋" w:cs="Monaco"/>
          <w:b/>
          <w:color w:val="auto"/>
          <w:sz w:val="24"/>
          <w:szCs w:val="24"/>
          <w:highlight w:val="none"/>
        </w:rPr>
        <w:t>投标人应经营状况良好，且近三年内（20</w:t>
      </w:r>
      <w:r>
        <w:rPr>
          <w:rFonts w:hint="eastAsia" w:ascii="仿宋" w:hAnsi="仿宋" w:eastAsia="仿宋" w:cs="Monaco"/>
          <w:b/>
          <w:color w:val="auto"/>
          <w:sz w:val="24"/>
          <w:szCs w:val="24"/>
          <w:highlight w:val="none"/>
          <w:lang w:val="en-US" w:eastAsia="zh-CN"/>
        </w:rPr>
        <w:t>22</w:t>
      </w:r>
      <w:r>
        <w:rPr>
          <w:rFonts w:hint="eastAsia" w:ascii="仿宋" w:hAnsi="仿宋" w:eastAsia="仿宋" w:cs="Monaco"/>
          <w:b/>
          <w:color w:val="auto"/>
          <w:sz w:val="24"/>
          <w:szCs w:val="24"/>
          <w:highlight w:val="none"/>
        </w:rPr>
        <w:t>年1月1日至今）无违法违规记录。</w:t>
      </w:r>
      <w:r>
        <w:rPr>
          <w:rFonts w:hint="eastAsia" w:ascii="仿宋" w:hAnsi="仿宋" w:eastAsia="仿宋" w:cs="Monaco"/>
          <w:color w:val="auto"/>
          <w:sz w:val="24"/>
          <w:szCs w:val="24"/>
          <w:highlight w:val="none"/>
        </w:rPr>
        <w:t>违法违规记录是指被“信用中国”列入失信被执行人、重大税收违法失信主体</w:t>
      </w:r>
      <w:r>
        <w:rPr>
          <w:rFonts w:hint="eastAsia" w:ascii="仿宋" w:hAnsi="仿宋" w:eastAsia="仿宋" w:cs="Monaco"/>
          <w:color w:val="auto"/>
          <w:sz w:val="24"/>
          <w:szCs w:val="24"/>
          <w:highlight w:val="none"/>
          <w:lang w:eastAsia="zh-CN"/>
        </w:rPr>
        <w:t>，“中国政府采购网”</w:t>
      </w:r>
      <w:r>
        <w:rPr>
          <w:rFonts w:hint="eastAsia" w:ascii="仿宋" w:hAnsi="仿宋" w:eastAsia="仿宋" w:cs="Monaco"/>
          <w:color w:val="auto"/>
          <w:sz w:val="24"/>
          <w:szCs w:val="24"/>
          <w:highlight w:val="none"/>
        </w:rPr>
        <w:t>列入政府采购严重违法失信行为记录名单。投标人需提供自招标公告发布之日至投标截止之日期间对以上三项内容的查询截图。</w:t>
      </w:r>
    </w:p>
    <w:p w14:paraId="382E6A7E">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Monaco"/>
          <w:color w:val="auto"/>
          <w:sz w:val="24"/>
          <w:szCs w:val="24"/>
          <w:highlight w:val="none"/>
        </w:rPr>
      </w:pPr>
      <w:r>
        <w:rPr>
          <w:rFonts w:hint="eastAsia" w:ascii="仿宋" w:hAnsi="仿宋" w:eastAsia="仿宋" w:cs="Monaco"/>
          <w:color w:val="auto"/>
          <w:sz w:val="24"/>
          <w:szCs w:val="24"/>
          <w:highlight w:val="none"/>
        </w:rPr>
        <w:t>信用中国查询网址：</w:t>
      </w:r>
      <w:r>
        <w:rPr>
          <w:rFonts w:hint="eastAsia" w:ascii="仿宋" w:hAnsi="仿宋" w:eastAsia="仿宋" w:cs="Monaco"/>
          <w:color w:val="auto"/>
          <w:sz w:val="24"/>
          <w:szCs w:val="24"/>
          <w:highlight w:val="none"/>
        </w:rPr>
        <w:fldChar w:fldCharType="begin"/>
      </w:r>
      <w:r>
        <w:rPr>
          <w:rFonts w:hint="eastAsia" w:ascii="仿宋" w:hAnsi="仿宋" w:eastAsia="仿宋" w:cs="Monaco"/>
          <w:color w:val="auto"/>
          <w:sz w:val="24"/>
          <w:szCs w:val="24"/>
          <w:highlight w:val="none"/>
        </w:rPr>
        <w:instrText xml:space="preserve"> HYPERLINK "https://www.creditchina.gov.cn/xinyongfuwu/?navPage=5" </w:instrText>
      </w:r>
      <w:r>
        <w:rPr>
          <w:rFonts w:hint="eastAsia" w:ascii="仿宋" w:hAnsi="仿宋" w:eastAsia="仿宋" w:cs="Monaco"/>
          <w:color w:val="auto"/>
          <w:sz w:val="24"/>
          <w:szCs w:val="24"/>
          <w:highlight w:val="none"/>
        </w:rPr>
        <w:fldChar w:fldCharType="separate"/>
      </w:r>
      <w:r>
        <w:rPr>
          <w:rStyle w:val="10"/>
          <w:rFonts w:hint="eastAsia" w:ascii="仿宋" w:hAnsi="仿宋" w:eastAsia="仿宋" w:cs="Monaco"/>
          <w:color w:val="auto"/>
          <w:sz w:val="24"/>
          <w:szCs w:val="24"/>
          <w:highlight w:val="none"/>
        </w:rPr>
        <w:t>https://www.creditchina.gov.cn/xinyongfuwu/?navPage=5</w:t>
      </w:r>
      <w:r>
        <w:rPr>
          <w:rFonts w:hint="eastAsia" w:ascii="仿宋" w:hAnsi="仿宋" w:eastAsia="仿宋" w:cs="Monaco"/>
          <w:color w:val="auto"/>
          <w:sz w:val="24"/>
          <w:szCs w:val="24"/>
          <w:highlight w:val="none"/>
        </w:rPr>
        <w:fldChar w:fldCharType="end"/>
      </w:r>
    </w:p>
    <w:p w14:paraId="3F9B5B12">
      <w:pPr>
        <w:pStyle w:val="7"/>
        <w:pageBreakBefore w:val="0"/>
        <w:kinsoku/>
        <w:overflowPunct/>
        <w:topLinePunct w:val="0"/>
        <w:autoSpaceDE/>
        <w:autoSpaceDN/>
        <w:bidi w:val="0"/>
        <w:adjustRightInd w:val="0"/>
        <w:snapToGrid w:val="0"/>
        <w:spacing w:line="360" w:lineRule="auto"/>
        <w:rPr>
          <w:rStyle w:val="10"/>
          <w:rFonts w:hint="eastAsia"/>
          <w:color w:val="auto"/>
          <w:sz w:val="24"/>
          <w:szCs w:val="24"/>
          <w:lang w:val="en-US" w:eastAsia="zh-CN"/>
        </w:rPr>
      </w:pPr>
      <w:r>
        <w:rPr>
          <w:rFonts w:hint="eastAsia" w:ascii="仿宋" w:hAnsi="仿宋" w:eastAsia="仿宋" w:cs="Monaco"/>
          <w:snapToGrid/>
          <w:color w:val="auto"/>
          <w:kern w:val="2"/>
          <w:sz w:val="24"/>
          <w:szCs w:val="24"/>
          <w:highlight w:val="none"/>
          <w:u w:val="none"/>
          <w:lang w:val="en-US" w:eastAsia="zh-CN" w:bidi="ar-SA"/>
        </w:rPr>
        <w:t>中国政府采购网查询网址：</w:t>
      </w:r>
      <w:r>
        <w:rPr>
          <w:rStyle w:val="10"/>
          <w:rFonts w:hint="eastAsia"/>
          <w:color w:val="auto"/>
          <w:sz w:val="24"/>
          <w:szCs w:val="24"/>
          <w:lang w:val="en-US" w:eastAsia="zh-CN"/>
        </w:rPr>
        <w:t>http://www.ccgp.gov.cn/</w:t>
      </w:r>
    </w:p>
    <w:p w14:paraId="765687CA">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b/>
          <w:color w:val="auto"/>
          <w:sz w:val="24"/>
          <w:szCs w:val="24"/>
          <w:highlight w:val="none"/>
          <w:lang w:eastAsia="zh-CN"/>
        </w:rPr>
      </w:pPr>
      <w:r>
        <w:rPr>
          <w:rFonts w:hint="eastAsia" w:ascii="仿宋" w:hAnsi="仿宋" w:eastAsia="仿宋" w:cs="宋体"/>
          <w:color w:val="auto"/>
          <w:sz w:val="24"/>
          <w:szCs w:val="24"/>
          <w:highlight w:val="none"/>
        </w:rPr>
        <w:t>3</w:t>
      </w:r>
      <w:r>
        <w:rPr>
          <w:rFonts w:ascii="仿宋" w:hAnsi="仿宋" w:eastAsia="仿宋" w:cs="宋体"/>
          <w:color w:val="auto"/>
          <w:sz w:val="24"/>
          <w:szCs w:val="24"/>
          <w:highlight w:val="none"/>
        </w:rPr>
        <w:t xml:space="preserve">.6 </w:t>
      </w:r>
      <w:r>
        <w:rPr>
          <w:rFonts w:hint="eastAsia" w:ascii="仿宋" w:hAnsi="仿宋" w:eastAsia="仿宋" w:cs="宋体"/>
          <w:b/>
          <w:color w:val="auto"/>
          <w:sz w:val="24"/>
          <w:szCs w:val="24"/>
          <w:highlight w:val="none"/>
        </w:rPr>
        <w:t>严禁列入招标人及其所隶属的中国人民保险各级机构的供应商黑名单且在禁入期内的供应商参与采购活动。需填写未列入供应商黑名单且未在禁入期承诺函</w:t>
      </w:r>
      <w:r>
        <w:rPr>
          <w:rFonts w:hint="eastAsia" w:ascii="仿宋" w:hAnsi="仿宋" w:eastAsia="仿宋" w:cs="宋体"/>
          <w:b/>
          <w:color w:val="auto"/>
          <w:sz w:val="24"/>
          <w:szCs w:val="24"/>
          <w:highlight w:val="none"/>
          <w:lang w:eastAsia="zh-CN"/>
        </w:rPr>
        <w:t>。</w:t>
      </w:r>
    </w:p>
    <w:p w14:paraId="754C4C2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单位负责人为同一人或存在控股、管理关系的不同单位，不得参加同一标段/标包投标或未划分标段/标包的同一招标项目投标，</w:t>
      </w:r>
      <w:bookmarkStart w:id="20" w:name="OLE_LINK6"/>
      <w:r>
        <w:rPr>
          <w:rFonts w:hint="eastAsia" w:ascii="仿宋" w:hAnsi="仿宋" w:eastAsia="仿宋" w:cs="Monaco"/>
          <w:color w:val="auto"/>
          <w:sz w:val="24"/>
          <w:szCs w:val="24"/>
          <w:highlight w:val="none"/>
        </w:rPr>
        <w:t>需填写</w:t>
      </w:r>
      <w:bookmarkEnd w:id="20"/>
      <w:r>
        <w:rPr>
          <w:rFonts w:hint="eastAsia" w:ascii="仿宋" w:hAnsi="仿宋" w:eastAsia="仿宋" w:cs="Monaco"/>
          <w:color w:val="auto"/>
          <w:sz w:val="24"/>
          <w:szCs w:val="24"/>
          <w:highlight w:val="none"/>
        </w:rPr>
        <w:t>《投标人控股及管理关系情况申报表》。</w:t>
      </w:r>
    </w:p>
    <w:p w14:paraId="2710D3A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3.8</w:t>
      </w:r>
      <w:r>
        <w:rPr>
          <w:rFonts w:hint="eastAsia" w:ascii="仿宋" w:hAnsi="仿宋" w:eastAsia="仿宋" w:cs="宋体"/>
          <w:color w:val="auto"/>
          <w:sz w:val="24"/>
          <w:szCs w:val="24"/>
          <w:highlight w:val="none"/>
        </w:rPr>
        <w:t>本项目不接受联合体投标。</w:t>
      </w:r>
    </w:p>
    <w:p w14:paraId="7033BDB9">
      <w:pPr>
        <w:pageBreakBefore w:val="0"/>
        <w:kinsoku/>
        <w:overflowPunct/>
        <w:topLinePunct w:val="0"/>
        <w:autoSpaceDE/>
        <w:autoSpaceDN/>
        <w:bidi w:val="0"/>
        <w:adjustRightInd w:val="0"/>
        <w:snapToGrid w:val="0"/>
        <w:spacing w:line="360" w:lineRule="auto"/>
        <w:ind w:firstLine="480" w:firstLineChars="200"/>
        <w:textAlignment w:val="baseline"/>
        <w:rPr>
          <w:rFonts w:hint="eastAsia"/>
          <w:color w:val="auto"/>
          <w:sz w:val="24"/>
          <w:szCs w:val="24"/>
        </w:rPr>
      </w:pP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9</w:t>
      </w:r>
      <w:r>
        <w:rPr>
          <w:rFonts w:hint="eastAsia" w:ascii="仿宋" w:hAnsi="仿宋" w:eastAsia="仿宋" w:cs="宋体"/>
          <w:color w:val="auto"/>
          <w:sz w:val="24"/>
          <w:szCs w:val="24"/>
          <w:highlight w:val="none"/>
          <w:lang w:val="en-US" w:eastAsia="zh-CN"/>
        </w:rPr>
        <w:t>其它资格要求。</w:t>
      </w:r>
    </w:p>
    <w:p w14:paraId="5432B75C">
      <w:pPr>
        <w:pStyle w:val="3"/>
        <w:pageBreakBefore w:val="0"/>
        <w:kinsoku/>
        <w:overflowPunct/>
        <w:topLinePunct w:val="0"/>
        <w:autoSpaceDE/>
        <w:autoSpaceDN/>
        <w:bidi w:val="0"/>
        <w:adjustRightInd w:val="0"/>
        <w:snapToGrid w:val="0"/>
        <w:spacing w:line="360" w:lineRule="auto"/>
        <w:rPr>
          <w:rFonts w:hint="eastAsia" w:ascii="仿宋" w:hAnsi="仿宋" w:cs="宋体"/>
          <w:color w:val="auto"/>
          <w:sz w:val="24"/>
          <w:szCs w:val="24"/>
          <w:highlight w:val="none"/>
        </w:rPr>
      </w:pPr>
      <w:bookmarkStart w:id="21" w:name="_Toc21224"/>
      <w:bookmarkStart w:id="22" w:name="_Toc12385"/>
      <w:bookmarkStart w:id="23" w:name="_Toc65682916"/>
      <w:bookmarkStart w:id="24" w:name="_Toc109124226"/>
      <w:r>
        <w:rPr>
          <w:rFonts w:hint="eastAsia" w:ascii="仿宋" w:hAnsi="仿宋" w:cs="宋体"/>
          <w:color w:val="auto"/>
          <w:sz w:val="24"/>
          <w:szCs w:val="24"/>
          <w:highlight w:val="none"/>
        </w:rPr>
        <w:t>四、资格审查方法</w:t>
      </w:r>
      <w:bookmarkEnd w:id="21"/>
      <w:bookmarkEnd w:id="22"/>
      <w:bookmarkEnd w:id="23"/>
      <w:bookmarkEnd w:id="24"/>
    </w:p>
    <w:p w14:paraId="6547F77C">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bookmarkStart w:id="25" w:name="_Toc32460"/>
      <w:bookmarkStart w:id="26" w:name="_Toc65682917"/>
      <w:r>
        <w:rPr>
          <w:rFonts w:hint="eastAsia" w:ascii="仿宋" w:hAnsi="仿宋" w:eastAsia="仿宋" w:cs="宋体"/>
          <w:color w:val="auto"/>
          <w:sz w:val="24"/>
          <w:szCs w:val="24"/>
          <w:highlight w:val="none"/>
        </w:rPr>
        <w:t>本项目将进行资格后审，资格审查方法为合格制，资格审查标准和内容见招标文件第三章“评标办法”。未通过资格后审的投标人，投标将被否决。</w:t>
      </w:r>
    </w:p>
    <w:p w14:paraId="24E1B687">
      <w:pPr>
        <w:pStyle w:val="3"/>
        <w:pageBreakBefore w:val="0"/>
        <w:kinsoku/>
        <w:overflowPunct/>
        <w:topLinePunct w:val="0"/>
        <w:autoSpaceDE/>
        <w:autoSpaceDN/>
        <w:bidi w:val="0"/>
        <w:adjustRightInd w:val="0"/>
        <w:snapToGrid w:val="0"/>
        <w:spacing w:line="360" w:lineRule="auto"/>
        <w:rPr>
          <w:rFonts w:hint="eastAsia" w:ascii="仿宋" w:hAnsi="仿宋" w:cs="宋体"/>
          <w:color w:val="auto"/>
          <w:sz w:val="24"/>
          <w:szCs w:val="24"/>
          <w:highlight w:val="none"/>
        </w:rPr>
      </w:pPr>
      <w:bookmarkStart w:id="27" w:name="_Toc11877"/>
      <w:bookmarkStart w:id="28" w:name="_Toc109124227"/>
      <w:r>
        <w:rPr>
          <w:rFonts w:hint="eastAsia" w:ascii="仿宋" w:hAnsi="仿宋" w:cs="宋体"/>
          <w:color w:val="auto"/>
          <w:sz w:val="24"/>
          <w:szCs w:val="24"/>
          <w:highlight w:val="none"/>
        </w:rPr>
        <w:t>五、招标文件的获取</w:t>
      </w:r>
      <w:bookmarkEnd w:id="25"/>
      <w:bookmarkEnd w:id="26"/>
      <w:bookmarkEnd w:id="27"/>
      <w:bookmarkEnd w:id="28"/>
    </w:p>
    <w:p w14:paraId="43E7BA89">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bookmarkStart w:id="29" w:name="_Toc109124228"/>
      <w:bookmarkStart w:id="30" w:name="_Toc7435"/>
      <w:bookmarkStart w:id="31" w:name="_Toc31250"/>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.1符合上述条件的投标人可在202</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7</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2</w:t>
      </w:r>
      <w:r>
        <w:rPr>
          <w:rFonts w:hint="eastAsia" w:ascii="仿宋" w:hAnsi="仿宋" w:eastAsia="仿宋" w:cs="宋体"/>
          <w:color w:val="auto"/>
          <w:sz w:val="24"/>
          <w:szCs w:val="24"/>
          <w:highlight w:val="none"/>
        </w:rPr>
        <w:t>日至202</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7</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8</w:t>
      </w:r>
      <w:r>
        <w:rPr>
          <w:rFonts w:hint="eastAsia" w:ascii="仿宋" w:hAnsi="仿宋" w:eastAsia="仿宋" w:cs="宋体"/>
          <w:color w:val="auto"/>
          <w:sz w:val="24"/>
          <w:szCs w:val="24"/>
          <w:highlight w:val="none"/>
        </w:rPr>
        <w:t>日，每个工作日上午9:00—11:30时，下午2:00—5:00时，请登录中招联合招标采购平台（http://www.365trade.com.cn）进行项目报名（已在该平台注册过的投标人请直接登录平台进行项目报名，未在该平台注册的投标人请先注册，平台注册为一次性免费注册, 注册成功后，可以及时参与平台上所有发布的招标项目）。</w:t>
      </w:r>
    </w:p>
    <w:p w14:paraId="242BAB12">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.2采购文件售价500元/标段，平台服务费200元，售后不退。</w:t>
      </w:r>
    </w:p>
    <w:p w14:paraId="6C3E952A">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.3 潜在投标人须通过平台填写“购标申请”，并上传公告或邀请书要求提供的资料，资料全部粘贴到一个word上并转成PDF格式上传，经项目负责人审核报名通过的投标人，请务必在标书售卖截止时间前登录中招联合招标采购平台（http://www.365trade.com.cn），进入“我的购物车”界面，选择招标项目进行采购文件购买操作，否则将无法获取电子版采购文件。</w:t>
      </w:r>
    </w:p>
    <w:p w14:paraId="52EAC4F3">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.4采购文件费用发票由招标代理机构出具，平台服务费发票由平台公司出具，投标人需要发票的，可通过“发票管理”下载平台服务费电子发票。</w:t>
      </w:r>
    </w:p>
    <w:p w14:paraId="48BA90D5">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.5投标人完成费用支付后投标人即报名成功，获得下载采购文件的权限。未在报名截止前支付采购文件费用的投标人无法获得下载采购文件权限，且不具备参与本项目投标的资格。</w:t>
      </w:r>
    </w:p>
    <w:p w14:paraId="35713DC2">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 xml:space="preserve">.6 投标人针对投标人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6BB3E98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7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6F18F5C8">
      <w:pPr>
        <w:pageBreakBefore w:val="0"/>
        <w:kinsoku/>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宋体"/>
          <w:b/>
          <w:color w:val="auto"/>
          <w:kern w:val="2"/>
          <w:sz w:val="24"/>
          <w:szCs w:val="24"/>
          <w:highlight w:val="none"/>
          <w:lang w:val="en-US" w:eastAsia="zh-CN" w:bidi="ar-SA"/>
        </w:rPr>
      </w:pPr>
      <w:r>
        <w:rPr>
          <w:rFonts w:hint="eastAsia" w:ascii="仿宋" w:hAnsi="仿宋" w:eastAsia="仿宋" w:cs="宋体"/>
          <w:b/>
          <w:color w:val="auto"/>
          <w:kern w:val="2"/>
          <w:sz w:val="24"/>
          <w:szCs w:val="24"/>
          <w:highlight w:val="none"/>
          <w:lang w:val="en-US" w:eastAsia="zh-CN" w:bidi="ar-SA"/>
        </w:rPr>
        <w:t>六、投标文件的递交</w:t>
      </w:r>
      <w:bookmarkEnd w:id="29"/>
      <w:bookmarkEnd w:id="30"/>
      <w:bookmarkEnd w:id="31"/>
    </w:p>
    <w:p w14:paraId="528A1F47">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投标文件的制作</w:t>
      </w:r>
    </w:p>
    <w:p w14:paraId="4B2EB74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.1投标人通过“环境检测”下载并安装检测工具；</w:t>
      </w:r>
    </w:p>
    <w:p w14:paraId="06EEE4F2">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.2安装完成后启动检测工具，逐一安装检测工具中的插件；</w:t>
      </w:r>
    </w:p>
    <w:p w14:paraId="3CC99155">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.3打开从中招联合招标采购平台上下载的后缀名为.zzlh的电子采购文件，按提示进行电子投标文件的制作；</w:t>
      </w:r>
    </w:p>
    <w:p w14:paraId="7B5E92AB">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.4使用CA对制作好的电子投标文件进行加密并导出加密电子采购文件。</w:t>
      </w:r>
    </w:p>
    <w:p w14:paraId="59E4F090">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投标文件的递交</w:t>
      </w:r>
    </w:p>
    <w:p w14:paraId="23727CAD">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.5投标文件的上传/递交截止时间（投标截止时间，下同）见采购文件。</w:t>
      </w:r>
    </w:p>
    <w:p w14:paraId="3211AE46">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.6加密电子投标文件为“中招联合招标采购平台 (http://www.365trade.com.cn/)”网站提供的中招联合电子招投标平台投标文件制作工具制作生成的加密版投标文件。加密</w:t>
      </w:r>
      <w:bookmarkStart w:id="45" w:name="_GoBack"/>
      <w:bookmarkEnd w:id="45"/>
      <w:r>
        <w:rPr>
          <w:rFonts w:hint="eastAsia" w:ascii="仿宋" w:hAnsi="仿宋" w:eastAsia="仿宋" w:cs="宋体"/>
          <w:color w:val="auto"/>
          <w:sz w:val="24"/>
          <w:szCs w:val="24"/>
          <w:highlight w:val="none"/>
        </w:rPr>
        <w:t xml:space="preserve">的电子投标文件（*.zfile格式）须在投标截止时间前通过“中招联合招标采购平台(http://www.365trade.com.cn/）”上传递交； </w:t>
      </w:r>
    </w:p>
    <w:p w14:paraId="5868D15F">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7本项目采用“远程不见面”开标方式，远程开标大厅网址为www.365trade.com.cn，投标人无需到现场参加开标会议，无需到达现场提交原件资料。投标人应当在投标截止时间前，登录远程开标大厅，在线准时参加开标活动并使用CA证书进行投标文件解密等。</w:t>
      </w:r>
    </w:p>
    <w:p w14:paraId="5036BDAF">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.8不见面服务的具体事宜请中招联合招标采购平台统一服务热线010-86397110进行咨询。</w:t>
      </w:r>
    </w:p>
    <w:p w14:paraId="081D191A">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.9 逾期上传的或者未上传的投标文件，招标人不予受理。</w:t>
      </w:r>
    </w:p>
    <w:p w14:paraId="1F68DD8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rPr>
        <w:t>投标</w:t>
      </w:r>
      <w:r>
        <w:rPr>
          <w:rFonts w:hint="eastAsia" w:ascii="仿宋" w:hAnsi="仿宋" w:eastAsia="仿宋" w:cs="宋体"/>
          <w:color w:val="auto"/>
          <w:sz w:val="24"/>
          <w:szCs w:val="24"/>
          <w:highlight w:val="none"/>
          <w:lang w:val="en-US" w:eastAsia="zh-CN"/>
        </w:rPr>
        <w:t>文件递交</w:t>
      </w:r>
    </w:p>
    <w:p w14:paraId="58CC40F4">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投标截止及开标时间：202</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7</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22</w:t>
      </w:r>
      <w:r>
        <w:rPr>
          <w:rFonts w:hint="eastAsia" w:ascii="仿宋" w:hAnsi="仿宋" w:eastAsia="仿宋" w:cs="宋体"/>
          <w:color w:val="auto"/>
          <w:sz w:val="24"/>
          <w:szCs w:val="24"/>
          <w:highlight w:val="none"/>
        </w:rPr>
        <w:t>日上午09时</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0分（北京时间）。</w:t>
      </w:r>
    </w:p>
    <w:p w14:paraId="257A59C6">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地点：中招联合招标采购平台 (http://www.365trade.com.cn/)远程开标。</w:t>
      </w:r>
    </w:p>
    <w:p w14:paraId="0BD29FA5">
      <w:pPr>
        <w:pStyle w:val="3"/>
        <w:pageBreakBefore w:val="0"/>
        <w:kinsoku/>
        <w:overflowPunct/>
        <w:topLinePunct w:val="0"/>
        <w:autoSpaceDE/>
        <w:autoSpaceDN/>
        <w:bidi w:val="0"/>
        <w:adjustRightInd w:val="0"/>
        <w:snapToGrid w:val="0"/>
        <w:spacing w:line="360" w:lineRule="auto"/>
        <w:rPr>
          <w:rFonts w:hint="eastAsia" w:ascii="仿宋" w:hAnsi="仿宋" w:cs="宋体"/>
          <w:color w:val="auto"/>
          <w:sz w:val="24"/>
          <w:szCs w:val="24"/>
          <w:highlight w:val="none"/>
        </w:rPr>
      </w:pPr>
      <w:bookmarkStart w:id="32" w:name="_Toc23758"/>
      <w:bookmarkStart w:id="33" w:name="_Toc109124229"/>
      <w:bookmarkStart w:id="34" w:name="_Toc3941"/>
      <w:r>
        <w:rPr>
          <w:rFonts w:hint="eastAsia" w:ascii="仿宋" w:hAnsi="仿宋" w:cs="宋体"/>
          <w:color w:val="auto"/>
          <w:sz w:val="24"/>
          <w:szCs w:val="24"/>
          <w:highlight w:val="none"/>
          <w:lang w:val="en-US" w:eastAsia="zh-CN"/>
        </w:rPr>
        <w:t>七</w:t>
      </w:r>
      <w:r>
        <w:rPr>
          <w:rFonts w:hint="eastAsia" w:ascii="仿宋" w:hAnsi="仿宋" w:cs="宋体"/>
          <w:color w:val="auto"/>
          <w:sz w:val="24"/>
          <w:szCs w:val="24"/>
          <w:highlight w:val="none"/>
        </w:rPr>
        <w:t>、发布公告的媒介</w:t>
      </w:r>
      <w:bookmarkEnd w:id="32"/>
      <w:bookmarkEnd w:id="33"/>
      <w:bookmarkEnd w:id="34"/>
    </w:p>
    <w:p w14:paraId="1A772E70">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本项目招标公告同时在</w:t>
      </w:r>
      <w:r>
        <w:rPr>
          <w:rFonts w:hint="eastAsia" w:ascii="仿宋" w:hAnsi="仿宋" w:eastAsia="仿宋" w:cs="宋体"/>
          <w:color w:val="auto"/>
          <w:sz w:val="24"/>
          <w:szCs w:val="24"/>
          <w:highlight w:val="none"/>
          <w:u w:val="single"/>
        </w:rPr>
        <w:t>“人保e采”外网门户（https://ec.picc.com/）</w:t>
      </w:r>
      <w:r>
        <w:rPr>
          <w:rFonts w:hint="eastAsia" w:ascii="仿宋" w:hAnsi="仿宋" w:eastAsia="仿宋" w:cs="宋体"/>
          <w:color w:val="auto"/>
          <w:sz w:val="24"/>
          <w:szCs w:val="24"/>
          <w:highlight w:val="none"/>
          <w:u w:val="single"/>
          <w:lang w:eastAsia="zh-CN"/>
        </w:rPr>
        <w:t>、中招联合招标采购平台、中国招标投标公共服务平台、内蒙古招标投标公共服务平台</w:t>
      </w:r>
      <w:r>
        <w:rPr>
          <w:rFonts w:hint="eastAsia" w:ascii="仿宋" w:hAnsi="仿宋" w:eastAsia="仿宋" w:cs="宋体"/>
          <w:color w:val="auto"/>
          <w:sz w:val="24"/>
          <w:szCs w:val="24"/>
          <w:highlight w:val="none"/>
        </w:rPr>
        <w:t>上发布，除上述外，招标人/招标代理机构不在其他任何网站、论坛等媒介上发布任何招标采购信息，其他任何媒介上转载的、以招标人/招标代理机构为采购主体的招标采购信息均为非法转载，均为无效。对于非法转载、篡改招标公告信息的组织或个人，招标人/招标代理机构保留追究其法律责任的权利。</w:t>
      </w:r>
    </w:p>
    <w:p w14:paraId="4BAC6D96">
      <w:pPr>
        <w:pStyle w:val="3"/>
        <w:pageBreakBefore w:val="0"/>
        <w:kinsoku/>
        <w:overflowPunct/>
        <w:topLinePunct w:val="0"/>
        <w:autoSpaceDE/>
        <w:autoSpaceDN/>
        <w:bidi w:val="0"/>
        <w:adjustRightInd w:val="0"/>
        <w:snapToGrid w:val="0"/>
        <w:spacing w:line="360" w:lineRule="auto"/>
        <w:rPr>
          <w:rFonts w:hint="eastAsia" w:ascii="仿宋" w:hAnsi="仿宋" w:cs="宋体"/>
          <w:color w:val="auto"/>
          <w:sz w:val="24"/>
          <w:szCs w:val="24"/>
          <w:highlight w:val="none"/>
        </w:rPr>
      </w:pPr>
      <w:bookmarkStart w:id="35" w:name="_Toc24589"/>
      <w:bookmarkStart w:id="36" w:name="_Toc20415"/>
      <w:bookmarkStart w:id="37" w:name="_Toc24187"/>
      <w:bookmarkStart w:id="38" w:name="_Toc109124230"/>
      <w:bookmarkStart w:id="39" w:name="_Toc7046"/>
      <w:bookmarkStart w:id="40" w:name="_Toc26408"/>
      <w:r>
        <w:rPr>
          <w:rFonts w:hint="eastAsia" w:ascii="仿宋" w:hAnsi="仿宋" w:cs="宋体"/>
          <w:color w:val="auto"/>
          <w:sz w:val="24"/>
          <w:szCs w:val="24"/>
          <w:highlight w:val="none"/>
          <w:lang w:val="en-US" w:eastAsia="zh-CN"/>
        </w:rPr>
        <w:t>八</w:t>
      </w:r>
      <w:r>
        <w:rPr>
          <w:rFonts w:hint="eastAsia" w:ascii="仿宋" w:hAnsi="仿宋" w:cs="宋体"/>
          <w:color w:val="auto"/>
          <w:sz w:val="24"/>
          <w:szCs w:val="24"/>
          <w:highlight w:val="none"/>
        </w:rPr>
        <w:t>、其他</w:t>
      </w:r>
    </w:p>
    <w:p w14:paraId="6BF724B5">
      <w:pPr>
        <w:pStyle w:val="3"/>
        <w:pageBreakBefore w:val="0"/>
        <w:kinsoku/>
        <w:overflowPunct/>
        <w:topLinePunct w:val="0"/>
        <w:autoSpaceDE/>
        <w:autoSpaceDN/>
        <w:bidi w:val="0"/>
        <w:adjustRightInd w:val="0"/>
        <w:snapToGrid w:val="0"/>
        <w:spacing w:line="360" w:lineRule="auto"/>
        <w:ind w:firstLine="482" w:firstLineChars="200"/>
        <w:rPr>
          <w:rFonts w:hint="eastAsia" w:ascii="仿宋" w:hAnsi="仿宋" w:cs="宋体"/>
          <w:color w:val="auto"/>
          <w:sz w:val="24"/>
          <w:szCs w:val="24"/>
          <w:highlight w:val="none"/>
        </w:rPr>
      </w:pPr>
      <w:r>
        <w:rPr>
          <w:rFonts w:hint="eastAsia" w:ascii="仿宋" w:hAnsi="仿宋" w:cs="宋体"/>
          <w:color w:val="auto"/>
          <w:sz w:val="24"/>
          <w:szCs w:val="24"/>
          <w:highlight w:val="none"/>
        </w:rPr>
        <w:t>根据采购人要求，所有公开征集供应商的分散采购项目均须通过"人保e采"外网(https://ec.picc.com/)进行项目供应商征集，委托招标代理机构实施的项目供应商在“e采管理"系统注册入库，报名按照招标文件/谈判邀请文件要求完成。具体注册入库流程可在人保e采"外网门户查阅《人保e采管理系统供应商入库操作指南》(见附件3)。</w:t>
      </w:r>
    </w:p>
    <w:p w14:paraId="02CB210A">
      <w:pPr>
        <w:pStyle w:val="3"/>
        <w:pageBreakBefore w:val="0"/>
        <w:kinsoku/>
        <w:overflowPunct/>
        <w:topLinePunct w:val="0"/>
        <w:autoSpaceDE/>
        <w:autoSpaceDN/>
        <w:bidi w:val="0"/>
        <w:adjustRightInd w:val="0"/>
        <w:snapToGrid w:val="0"/>
        <w:spacing w:line="360" w:lineRule="auto"/>
        <w:rPr>
          <w:rFonts w:hint="eastAsia" w:ascii="仿宋" w:hAnsi="仿宋" w:cs="宋体"/>
          <w:color w:val="auto"/>
          <w:sz w:val="24"/>
          <w:szCs w:val="24"/>
          <w:highlight w:val="none"/>
        </w:rPr>
      </w:pPr>
      <w:r>
        <w:rPr>
          <w:rFonts w:hint="eastAsia" w:ascii="仿宋" w:hAnsi="仿宋" w:cs="宋体"/>
          <w:color w:val="auto"/>
          <w:sz w:val="24"/>
          <w:szCs w:val="24"/>
          <w:highlight w:val="none"/>
          <w:lang w:val="en-US" w:eastAsia="zh-CN"/>
        </w:rPr>
        <w:t>九、</w:t>
      </w:r>
      <w:r>
        <w:rPr>
          <w:rFonts w:hint="eastAsia" w:ascii="仿宋" w:hAnsi="仿宋" w:cs="宋体"/>
          <w:color w:val="auto"/>
          <w:sz w:val="24"/>
          <w:szCs w:val="24"/>
          <w:highlight w:val="none"/>
        </w:rPr>
        <w:t>联系方式</w:t>
      </w:r>
      <w:bookmarkEnd w:id="35"/>
      <w:bookmarkEnd w:id="36"/>
      <w:bookmarkEnd w:id="37"/>
      <w:bookmarkEnd w:id="38"/>
      <w:bookmarkEnd w:id="39"/>
      <w:bookmarkEnd w:id="40"/>
    </w:p>
    <w:p w14:paraId="47B3F451">
      <w:pPr>
        <w:pageBreakBefore w:val="0"/>
        <w:kinsoku/>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宋体"/>
          <w:b w:val="0"/>
          <w:bCs/>
          <w:color w:val="auto"/>
          <w:sz w:val="24"/>
          <w:szCs w:val="24"/>
          <w:highlight w:val="none"/>
          <w:lang w:eastAsia="zh-CN"/>
        </w:rPr>
      </w:pPr>
      <w:bookmarkStart w:id="41" w:name="OLE_LINK61"/>
      <w:r>
        <w:rPr>
          <w:rFonts w:hint="eastAsia" w:ascii="仿宋" w:hAnsi="仿宋" w:eastAsia="仿宋" w:cs="宋体"/>
          <w:b w:val="0"/>
          <w:bCs/>
          <w:color w:val="auto"/>
          <w:sz w:val="24"/>
          <w:szCs w:val="24"/>
          <w:highlight w:val="none"/>
        </w:rPr>
        <w:t>招标人：</w:t>
      </w:r>
      <w:r>
        <w:rPr>
          <w:rFonts w:hint="eastAsia" w:ascii="仿宋" w:hAnsi="仿宋" w:eastAsia="仿宋" w:cs="宋体"/>
          <w:b w:val="0"/>
          <w:bCs/>
          <w:color w:val="auto"/>
          <w:sz w:val="24"/>
          <w:szCs w:val="24"/>
          <w:highlight w:val="none"/>
          <w:lang w:eastAsia="zh-CN"/>
        </w:rPr>
        <w:t>中国人民财产保险股份有限公司内蒙古自治区分公司</w:t>
      </w:r>
    </w:p>
    <w:p w14:paraId="14997FE1">
      <w:pPr>
        <w:pageBreakBefore w:val="0"/>
        <w:kinsoku/>
        <w:overflowPunct/>
        <w:topLinePunct w:val="0"/>
        <w:autoSpaceDE/>
        <w:autoSpaceDN/>
        <w:bidi w:val="0"/>
        <w:adjustRightInd w:val="0"/>
        <w:snapToGrid w:val="0"/>
        <w:spacing w:line="360" w:lineRule="auto"/>
        <w:ind w:firstLine="420"/>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rPr>
        <w:t>地 址：</w:t>
      </w:r>
      <w:r>
        <w:rPr>
          <w:rFonts w:hint="eastAsia" w:ascii="仿宋" w:hAnsi="仿宋" w:eastAsia="仿宋" w:cs="宋体"/>
          <w:b w:val="0"/>
          <w:bCs/>
          <w:color w:val="auto"/>
          <w:sz w:val="24"/>
          <w:szCs w:val="24"/>
          <w:highlight w:val="none"/>
          <w:lang w:eastAsia="zh-CN"/>
        </w:rPr>
        <w:t>内蒙古自治区呼和浩特市新城区哲里木路49号</w:t>
      </w:r>
    </w:p>
    <w:p w14:paraId="456CAFD5">
      <w:pPr>
        <w:pageBreakBefore w:val="0"/>
        <w:kinsoku/>
        <w:overflowPunct/>
        <w:topLinePunct w:val="0"/>
        <w:autoSpaceDE/>
        <w:autoSpaceDN/>
        <w:bidi w:val="0"/>
        <w:adjustRightInd w:val="0"/>
        <w:snapToGrid w:val="0"/>
        <w:spacing w:line="360" w:lineRule="auto"/>
        <w:ind w:firstLine="420"/>
        <w:rPr>
          <w:rFonts w:hint="eastAsia" w:ascii="仿宋" w:hAnsi="仿宋" w:eastAsia="仿宋" w:cs="宋体"/>
          <w:b w:val="0"/>
          <w:bCs/>
          <w:color w:val="auto"/>
          <w:sz w:val="24"/>
          <w:szCs w:val="24"/>
          <w:highlight w:val="none"/>
          <w:lang w:eastAsia="zh-CN"/>
        </w:rPr>
      </w:pPr>
      <w:r>
        <w:rPr>
          <w:rFonts w:hint="eastAsia" w:ascii="仿宋" w:hAnsi="仿宋" w:eastAsia="仿宋" w:cs="宋体"/>
          <w:b w:val="0"/>
          <w:bCs/>
          <w:color w:val="auto"/>
          <w:sz w:val="24"/>
          <w:szCs w:val="24"/>
          <w:highlight w:val="none"/>
        </w:rPr>
        <w:t>联 系 人：</w:t>
      </w:r>
      <w:r>
        <w:rPr>
          <w:rFonts w:hint="eastAsia" w:ascii="仿宋" w:hAnsi="仿宋" w:eastAsia="仿宋" w:cs="宋体"/>
          <w:b w:val="0"/>
          <w:bCs/>
          <w:color w:val="auto"/>
          <w:sz w:val="24"/>
          <w:szCs w:val="24"/>
          <w:highlight w:val="none"/>
          <w:lang w:eastAsia="zh-CN"/>
        </w:rPr>
        <w:t>药学军</w:t>
      </w:r>
    </w:p>
    <w:p w14:paraId="3DB6CDF4">
      <w:pPr>
        <w:pageBreakBefore w:val="0"/>
        <w:kinsoku/>
        <w:overflowPunct/>
        <w:topLinePunct w:val="0"/>
        <w:autoSpaceDE/>
        <w:autoSpaceDN/>
        <w:bidi w:val="0"/>
        <w:adjustRightInd w:val="0"/>
        <w:snapToGrid w:val="0"/>
        <w:spacing w:line="360" w:lineRule="auto"/>
        <w:ind w:firstLine="420"/>
        <w:rPr>
          <w:rFonts w:hint="default" w:ascii="仿宋" w:hAnsi="仿宋" w:eastAsia="仿宋" w:cs="宋体"/>
          <w:b w:val="0"/>
          <w:bCs/>
          <w:color w:val="auto"/>
          <w:sz w:val="24"/>
          <w:szCs w:val="24"/>
          <w:highlight w:val="none"/>
          <w:lang w:val="en-US" w:eastAsia="zh-CN"/>
        </w:rPr>
      </w:pPr>
      <w:r>
        <w:rPr>
          <w:rFonts w:hint="eastAsia" w:ascii="仿宋" w:hAnsi="仿宋" w:eastAsia="仿宋" w:cs="宋体"/>
          <w:b w:val="0"/>
          <w:bCs/>
          <w:color w:val="auto"/>
          <w:sz w:val="24"/>
          <w:szCs w:val="24"/>
          <w:highlight w:val="none"/>
        </w:rPr>
        <w:t>电 话：</w:t>
      </w:r>
      <w:bookmarkStart w:id="42" w:name="OLE_LINK55"/>
      <w:r>
        <w:rPr>
          <w:rFonts w:hint="eastAsia" w:ascii="仿宋" w:hAnsi="仿宋" w:eastAsia="仿宋" w:cs="宋体"/>
          <w:b w:val="0"/>
          <w:bCs/>
          <w:color w:val="auto"/>
          <w:sz w:val="24"/>
          <w:szCs w:val="24"/>
          <w:highlight w:val="none"/>
          <w:lang w:val="en-US" w:eastAsia="zh-CN"/>
        </w:rPr>
        <w:t>18647107349</w:t>
      </w:r>
    </w:p>
    <w:bookmarkEnd w:id="41"/>
    <w:bookmarkEnd w:id="42"/>
    <w:p w14:paraId="3D559B42">
      <w:pPr>
        <w:pageBreakBefore w:val="0"/>
        <w:kinsoku/>
        <w:overflowPunct/>
        <w:topLinePunct w:val="0"/>
        <w:autoSpaceDE/>
        <w:autoSpaceDN/>
        <w:bidi w:val="0"/>
        <w:adjustRightInd w:val="0"/>
        <w:snapToGrid w:val="0"/>
        <w:spacing w:line="360" w:lineRule="auto"/>
        <w:ind w:firstLine="420"/>
        <w:rPr>
          <w:rFonts w:hint="eastAsia" w:ascii="仿宋" w:hAnsi="仿宋" w:eastAsia="仿宋" w:cs="宋体"/>
          <w:b w:val="0"/>
          <w:bCs/>
          <w:color w:val="auto"/>
          <w:sz w:val="24"/>
          <w:szCs w:val="24"/>
          <w:highlight w:val="none"/>
        </w:rPr>
      </w:pPr>
      <w:r>
        <w:rPr>
          <w:rFonts w:hint="eastAsia" w:ascii="仿宋" w:hAnsi="仿宋" w:eastAsia="仿宋" w:cs="宋体"/>
          <w:b w:val="0"/>
          <w:bCs/>
          <w:color w:val="auto"/>
          <w:sz w:val="24"/>
          <w:szCs w:val="24"/>
          <w:highlight w:val="none"/>
        </w:rPr>
        <w:t xml:space="preserve">招标代理机构：内蒙古中实工程招标咨询有限责任公司 </w:t>
      </w:r>
    </w:p>
    <w:p w14:paraId="438195D3">
      <w:pPr>
        <w:pageBreakBefore w:val="0"/>
        <w:kinsoku/>
        <w:overflowPunct/>
        <w:topLinePunct w:val="0"/>
        <w:autoSpaceDE/>
        <w:autoSpaceDN/>
        <w:bidi w:val="0"/>
        <w:adjustRightInd w:val="0"/>
        <w:snapToGrid w:val="0"/>
        <w:spacing w:line="360" w:lineRule="auto"/>
        <w:ind w:firstLine="420"/>
        <w:rPr>
          <w:rFonts w:hint="eastAsia" w:ascii="仿宋" w:hAnsi="仿宋" w:eastAsia="仿宋" w:cs="宋体"/>
          <w:b w:val="0"/>
          <w:bCs/>
          <w:color w:val="auto"/>
          <w:sz w:val="24"/>
          <w:szCs w:val="24"/>
          <w:highlight w:val="none"/>
        </w:rPr>
      </w:pPr>
      <w:r>
        <w:rPr>
          <w:rFonts w:hint="eastAsia" w:ascii="仿宋" w:hAnsi="仿宋" w:eastAsia="仿宋" w:cs="宋体"/>
          <w:b w:val="0"/>
          <w:bCs/>
          <w:color w:val="auto"/>
          <w:sz w:val="24"/>
          <w:szCs w:val="24"/>
          <w:highlight w:val="none"/>
        </w:rPr>
        <w:t>地     址：内蒙古呼和浩特市赛罕区鄂尔多斯东街银联大厦10层</w:t>
      </w:r>
    </w:p>
    <w:p w14:paraId="42DAD21D">
      <w:pPr>
        <w:pageBreakBefore w:val="0"/>
        <w:kinsoku/>
        <w:overflowPunct/>
        <w:topLinePunct w:val="0"/>
        <w:autoSpaceDE/>
        <w:autoSpaceDN/>
        <w:bidi w:val="0"/>
        <w:adjustRightInd w:val="0"/>
        <w:snapToGrid w:val="0"/>
        <w:spacing w:line="360" w:lineRule="auto"/>
        <w:ind w:firstLine="420"/>
        <w:rPr>
          <w:rFonts w:hint="eastAsia" w:ascii="仿宋" w:hAnsi="仿宋" w:eastAsia="仿宋" w:cs="宋体"/>
          <w:b w:val="0"/>
          <w:bCs/>
          <w:color w:val="auto"/>
          <w:sz w:val="24"/>
          <w:szCs w:val="24"/>
          <w:highlight w:val="none"/>
          <w:lang w:eastAsia="zh-CN"/>
        </w:rPr>
      </w:pPr>
      <w:bookmarkStart w:id="43" w:name="OLE_LINK4"/>
      <w:r>
        <w:rPr>
          <w:rFonts w:hint="eastAsia" w:ascii="仿宋" w:hAnsi="仿宋" w:eastAsia="仿宋" w:cs="宋体"/>
          <w:b w:val="0"/>
          <w:bCs/>
          <w:color w:val="auto"/>
          <w:sz w:val="24"/>
          <w:szCs w:val="24"/>
          <w:highlight w:val="none"/>
        </w:rPr>
        <w:t>联 系 人：</w:t>
      </w:r>
      <w:r>
        <w:rPr>
          <w:rFonts w:hint="eastAsia" w:ascii="仿宋" w:hAnsi="仿宋" w:eastAsia="仿宋" w:cs="宋体"/>
          <w:b w:val="0"/>
          <w:bCs/>
          <w:color w:val="auto"/>
          <w:sz w:val="24"/>
          <w:szCs w:val="24"/>
          <w:highlight w:val="none"/>
          <w:lang w:eastAsia="zh-CN"/>
        </w:rPr>
        <w:t>闫慧敏</w:t>
      </w:r>
    </w:p>
    <w:p w14:paraId="3FF112A3">
      <w:pPr>
        <w:pageBreakBefore w:val="0"/>
        <w:kinsoku/>
        <w:overflowPunct/>
        <w:topLinePunct w:val="0"/>
        <w:autoSpaceDE/>
        <w:autoSpaceDN/>
        <w:bidi w:val="0"/>
        <w:adjustRightInd w:val="0"/>
        <w:snapToGrid w:val="0"/>
        <w:spacing w:line="360" w:lineRule="auto"/>
        <w:ind w:firstLine="420"/>
        <w:rPr>
          <w:rFonts w:hint="default" w:ascii="仿宋" w:hAnsi="仿宋" w:eastAsia="仿宋" w:cs="宋体"/>
          <w:b w:val="0"/>
          <w:bCs/>
          <w:color w:val="auto"/>
          <w:sz w:val="24"/>
          <w:szCs w:val="24"/>
          <w:highlight w:val="none"/>
          <w:lang w:val="en-US" w:eastAsia="zh-CN"/>
        </w:rPr>
      </w:pPr>
      <w:r>
        <w:rPr>
          <w:rFonts w:hint="eastAsia" w:ascii="仿宋" w:hAnsi="仿宋" w:eastAsia="仿宋" w:cs="宋体"/>
          <w:b w:val="0"/>
          <w:bCs/>
          <w:color w:val="auto"/>
          <w:sz w:val="24"/>
          <w:szCs w:val="24"/>
          <w:highlight w:val="none"/>
        </w:rPr>
        <w:t>电    话：0471-52236</w:t>
      </w:r>
      <w:r>
        <w:rPr>
          <w:rFonts w:hint="eastAsia" w:ascii="仿宋" w:hAnsi="仿宋" w:eastAsia="仿宋" w:cs="宋体"/>
          <w:b w:val="0"/>
          <w:bCs/>
          <w:color w:val="auto"/>
          <w:sz w:val="24"/>
          <w:szCs w:val="24"/>
          <w:highlight w:val="none"/>
          <w:lang w:val="en-US" w:eastAsia="zh-CN"/>
        </w:rPr>
        <w:t>35</w:t>
      </w:r>
    </w:p>
    <w:bookmarkEnd w:id="43"/>
    <w:p w14:paraId="6DD24682">
      <w:pPr>
        <w:pageBreakBefore w:val="0"/>
        <w:kinsoku/>
        <w:overflowPunct/>
        <w:topLinePunct w:val="0"/>
        <w:autoSpaceDE/>
        <w:autoSpaceDN/>
        <w:bidi w:val="0"/>
        <w:adjustRightInd w:val="0"/>
        <w:snapToGrid w:val="0"/>
        <w:spacing w:line="360" w:lineRule="auto"/>
        <w:ind w:firstLine="420"/>
        <w:rPr>
          <w:rFonts w:ascii="仿宋" w:hAnsi="仿宋" w:eastAsia="仿宋" w:cs="宋体"/>
          <w:b w:val="0"/>
          <w:bCs/>
          <w:color w:val="auto"/>
          <w:sz w:val="24"/>
          <w:szCs w:val="24"/>
          <w:highlight w:val="none"/>
        </w:rPr>
      </w:pPr>
      <w:r>
        <w:rPr>
          <w:rFonts w:hint="eastAsia" w:ascii="仿宋" w:hAnsi="仿宋" w:eastAsia="仿宋" w:cs="宋体"/>
          <w:b w:val="0"/>
          <w:bCs/>
          <w:color w:val="auto"/>
          <w:sz w:val="24"/>
          <w:szCs w:val="24"/>
          <w:highlight w:val="none"/>
        </w:rPr>
        <w:t>电子邮件：nmgzszb@163.com</w:t>
      </w:r>
    </w:p>
    <w:p w14:paraId="1144D7BA">
      <w:pPr>
        <w:pStyle w:val="4"/>
        <w:pageBreakBefore w:val="0"/>
        <w:kinsoku/>
        <w:overflowPunct/>
        <w:topLinePunct w:val="0"/>
        <w:autoSpaceDE/>
        <w:autoSpaceDN/>
        <w:bidi w:val="0"/>
        <w:adjustRightInd w:val="0"/>
        <w:snapToGrid w:val="0"/>
        <w:spacing w:line="360" w:lineRule="auto"/>
        <w:rPr>
          <w:rFonts w:hint="eastAsia"/>
          <w:color w:val="auto"/>
          <w:sz w:val="24"/>
          <w:szCs w:val="24"/>
        </w:rPr>
      </w:pPr>
    </w:p>
    <w:p w14:paraId="4AE94F20">
      <w:pPr>
        <w:pageBreakBefore w:val="0"/>
        <w:kinsoku/>
        <w:overflowPunct/>
        <w:topLinePunct w:val="0"/>
        <w:autoSpaceDE/>
        <w:autoSpaceDN/>
        <w:bidi w:val="0"/>
        <w:adjustRightInd w:val="0"/>
        <w:snapToGrid w:val="0"/>
        <w:spacing w:line="360" w:lineRule="auto"/>
        <w:ind w:firstLine="480" w:firstLineChars="200"/>
        <w:jc w:val="right"/>
        <w:textAlignment w:val="baseline"/>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招标人：</w:t>
      </w:r>
      <w:r>
        <w:rPr>
          <w:rFonts w:hint="eastAsia" w:ascii="仿宋" w:hAnsi="仿宋" w:eastAsia="仿宋" w:cs="宋体"/>
          <w:color w:val="auto"/>
          <w:sz w:val="24"/>
          <w:szCs w:val="24"/>
          <w:highlight w:val="none"/>
          <w:lang w:eastAsia="zh-CN"/>
        </w:rPr>
        <w:t>中国人民财产保险股份有限公司内蒙古自治区分公司</w:t>
      </w:r>
    </w:p>
    <w:p w14:paraId="13D05474">
      <w:pPr>
        <w:pageBreakBefore w:val="0"/>
        <w:kinsoku/>
        <w:overflowPunct/>
        <w:topLinePunct w:val="0"/>
        <w:autoSpaceDE/>
        <w:autoSpaceDN/>
        <w:bidi w:val="0"/>
        <w:adjustRightInd w:val="0"/>
        <w:snapToGrid w:val="0"/>
        <w:spacing w:line="360" w:lineRule="auto"/>
        <w:ind w:firstLine="480" w:firstLineChars="200"/>
        <w:jc w:val="right"/>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招标代理机构：内蒙古中实工程招标咨询有限责任公司</w:t>
      </w:r>
    </w:p>
    <w:p w14:paraId="025DDA34">
      <w:pPr>
        <w:pageBreakBefore w:val="0"/>
        <w:kinsoku/>
        <w:overflowPunct/>
        <w:topLinePunct w:val="0"/>
        <w:autoSpaceDE/>
        <w:autoSpaceDN/>
        <w:bidi w:val="0"/>
        <w:adjustRightInd w:val="0"/>
        <w:snapToGrid w:val="0"/>
        <w:spacing w:line="360" w:lineRule="auto"/>
        <w:ind w:firstLine="480" w:firstLineChars="200"/>
        <w:jc w:val="right"/>
        <w:textAlignment w:val="baseline"/>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r>
        <w:rPr>
          <w:rFonts w:hint="eastAsia" w:ascii="仿宋" w:hAnsi="仿宋" w:eastAsia="仿宋" w:cs="宋体"/>
          <w:color w:val="auto"/>
          <w:sz w:val="24"/>
          <w:szCs w:val="24"/>
          <w:highlight w:val="none"/>
          <w:lang w:val="en-US" w:eastAsia="zh-CN"/>
        </w:rPr>
        <w:t>25</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7</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日</w:t>
      </w:r>
    </w:p>
    <w:p w14:paraId="4783C918">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p>
    <w:p w14:paraId="1E3BD2BE">
      <w:pPr>
        <w:spacing w:line="360" w:lineRule="auto"/>
        <w:ind w:firstLine="482" w:firstLineChars="200"/>
        <w:jc w:val="left"/>
        <w:textAlignment w:val="baseline"/>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附件1、</w:t>
      </w:r>
      <w:bookmarkStart w:id="44" w:name="OLE_LINK7"/>
      <w:r>
        <w:rPr>
          <w:rFonts w:hint="eastAsia" w:ascii="仿宋" w:hAnsi="仿宋" w:eastAsia="仿宋" w:cs="仿宋"/>
          <w:b/>
          <w:bCs/>
          <w:color w:val="auto"/>
          <w:kern w:val="2"/>
          <w:sz w:val="24"/>
          <w:szCs w:val="24"/>
          <w:highlight w:val="none"/>
          <w:lang w:val="en-US" w:eastAsia="zh-CN" w:bidi="ar-SA"/>
        </w:rPr>
        <w:t>未列入供应商黑名单且未在禁入期承诺函</w:t>
      </w:r>
      <w:bookmarkEnd w:id="44"/>
    </w:p>
    <w:p w14:paraId="6A363C0B">
      <w:pPr>
        <w:widowControl w:val="0"/>
        <w:spacing w:before="240" w:line="312" w:lineRule="auto"/>
        <w:jc w:val="both"/>
        <w:rPr>
          <w:rFonts w:hint="eastAsia" w:ascii="仿宋" w:hAnsi="仿宋" w:eastAsia="仿宋" w:cs="Cambria Math"/>
          <w:color w:val="auto"/>
          <w:kern w:val="2"/>
          <w:sz w:val="24"/>
          <w:szCs w:val="24"/>
          <w:highlight w:val="none"/>
          <w:lang w:val="en-US" w:eastAsia="zh-CN" w:bidi="ar-SA"/>
        </w:rPr>
      </w:pPr>
      <w:r>
        <w:rPr>
          <w:rFonts w:hint="eastAsia" w:ascii="仿宋" w:hAnsi="仿宋" w:eastAsia="仿宋" w:cs="Cambria Math"/>
          <w:color w:val="auto"/>
          <w:kern w:val="2"/>
          <w:sz w:val="24"/>
          <w:szCs w:val="24"/>
          <w:highlight w:val="none"/>
          <w:lang w:val="en-US" w:eastAsia="zh-CN" w:bidi="ar-SA"/>
        </w:rPr>
        <w:t>致：</w:t>
      </w:r>
      <w:r>
        <w:rPr>
          <w:rFonts w:hint="eastAsia" w:ascii="仿宋" w:hAnsi="仿宋" w:eastAsia="仿宋" w:cs="Cambria Math"/>
          <w:color w:val="auto"/>
          <w:kern w:val="2"/>
          <w:sz w:val="24"/>
          <w:szCs w:val="24"/>
          <w:highlight w:val="none"/>
          <w:u w:val="single"/>
          <w:lang w:val="en-US" w:eastAsia="zh-CN" w:bidi="ar-SA"/>
        </w:rPr>
        <w:t>（采购人名称）</w:t>
      </w:r>
      <w:r>
        <w:rPr>
          <w:rFonts w:hint="eastAsia" w:ascii="仿宋" w:hAnsi="仿宋" w:eastAsia="仿宋" w:cs="Cambria Math"/>
          <w:color w:val="auto"/>
          <w:kern w:val="2"/>
          <w:sz w:val="24"/>
          <w:szCs w:val="24"/>
          <w:highlight w:val="none"/>
          <w:lang w:val="en-US" w:eastAsia="zh-CN" w:bidi="ar-SA"/>
        </w:rPr>
        <w:t>：</w:t>
      </w:r>
    </w:p>
    <w:p w14:paraId="514DD231">
      <w:pPr>
        <w:adjustRightInd w:val="0"/>
        <w:snapToGrid w:val="0"/>
        <w:spacing w:before="240" w:line="360" w:lineRule="auto"/>
        <w:ind w:firstLine="480" w:firstLineChars="200"/>
        <w:rPr>
          <w:rFonts w:ascii="仿宋" w:hAnsi="仿宋" w:eastAsia="仿宋" w:cs="Cambria Math"/>
          <w:color w:val="auto"/>
          <w:sz w:val="24"/>
          <w:szCs w:val="24"/>
          <w:highlight w:val="none"/>
        </w:rPr>
      </w:pPr>
      <w:r>
        <w:rPr>
          <w:rFonts w:hint="eastAsia" w:ascii="仿宋" w:hAnsi="仿宋" w:eastAsia="仿宋" w:cs="Cambria Math"/>
          <w:color w:val="auto"/>
          <w:sz w:val="24"/>
          <w:szCs w:val="24"/>
          <w:highlight w:val="none"/>
        </w:rPr>
        <w:t>我方</w:t>
      </w:r>
      <w:r>
        <w:rPr>
          <w:rFonts w:hint="eastAsia" w:ascii="仿宋" w:hAnsi="仿宋" w:eastAsia="仿宋" w:cs="Cambria Math"/>
          <w:color w:val="auto"/>
          <w:sz w:val="24"/>
          <w:szCs w:val="24"/>
          <w:highlight w:val="none"/>
          <w:u w:val="single"/>
        </w:rPr>
        <w:t xml:space="preserve">     </w:t>
      </w:r>
      <w:r>
        <w:rPr>
          <w:rFonts w:ascii="仿宋" w:hAnsi="仿宋" w:eastAsia="仿宋" w:cs="Cambria Math"/>
          <w:color w:val="auto"/>
          <w:sz w:val="24"/>
          <w:szCs w:val="24"/>
          <w:highlight w:val="none"/>
          <w:u w:val="single"/>
        </w:rPr>
        <w:t xml:space="preserve"> </w:t>
      </w:r>
      <w:r>
        <w:rPr>
          <w:rFonts w:hint="eastAsia" w:ascii="仿宋" w:hAnsi="仿宋" w:eastAsia="仿宋" w:cs="Cambria Math"/>
          <w:color w:val="auto"/>
          <w:sz w:val="24"/>
          <w:szCs w:val="24"/>
          <w:highlight w:val="none"/>
          <w:u w:val="single"/>
        </w:rPr>
        <w:t>（供应商名称）</w:t>
      </w:r>
      <w:r>
        <w:rPr>
          <w:rFonts w:ascii="仿宋" w:hAnsi="仿宋" w:eastAsia="仿宋" w:cs="Cambria Math"/>
          <w:color w:val="auto"/>
          <w:sz w:val="24"/>
          <w:szCs w:val="24"/>
          <w:highlight w:val="none"/>
          <w:u w:val="single"/>
        </w:rPr>
        <w:t xml:space="preserve">      </w:t>
      </w:r>
      <w:r>
        <w:rPr>
          <w:rFonts w:hint="eastAsia" w:ascii="仿宋" w:hAnsi="仿宋" w:eastAsia="仿宋" w:cs="Cambria Math"/>
          <w:color w:val="auto"/>
          <w:sz w:val="24"/>
          <w:szCs w:val="24"/>
          <w:highlight w:val="none"/>
        </w:rPr>
        <w:t>承诺截至本项目</w:t>
      </w:r>
      <w:r>
        <w:rPr>
          <w:rFonts w:hint="eastAsia" w:ascii="仿宋" w:hAnsi="仿宋" w:eastAsia="仿宋" w:cs="Cambria Math"/>
          <w:color w:val="auto"/>
          <w:sz w:val="24"/>
          <w:szCs w:val="24"/>
          <w:highlight w:val="none"/>
          <w:lang w:eastAsia="zh-CN"/>
        </w:rPr>
        <w:t>投标文件</w:t>
      </w:r>
      <w:r>
        <w:rPr>
          <w:rFonts w:hint="eastAsia" w:ascii="仿宋" w:hAnsi="仿宋" w:eastAsia="仿宋" w:cs="Cambria Math"/>
          <w:color w:val="auto"/>
          <w:sz w:val="24"/>
          <w:szCs w:val="24"/>
          <w:highlight w:val="none"/>
        </w:rPr>
        <w:t>递交截止时间，我方未被列入</w:t>
      </w:r>
      <w:r>
        <w:rPr>
          <w:rFonts w:hint="eastAsia" w:ascii="仿宋" w:hAnsi="仿宋" w:eastAsia="仿宋" w:cs="Cambria Math"/>
          <w:color w:val="auto"/>
          <w:sz w:val="24"/>
          <w:szCs w:val="24"/>
          <w:highlight w:val="none"/>
          <w:lang w:val="en-US" w:eastAsia="zh-CN"/>
        </w:rPr>
        <w:t>采购</w:t>
      </w:r>
      <w:r>
        <w:rPr>
          <w:rFonts w:hint="eastAsia" w:ascii="仿宋" w:hAnsi="仿宋" w:eastAsia="仿宋" w:cs="Cambria Math"/>
          <w:color w:val="auto"/>
          <w:sz w:val="24"/>
          <w:szCs w:val="24"/>
          <w:highlight w:val="none"/>
        </w:rPr>
        <w:t>人及其所隶属的中国人民保险各级机构的供应商黑名单且未在禁入期内。</w:t>
      </w:r>
    </w:p>
    <w:p w14:paraId="1F0A5BB2">
      <w:pPr>
        <w:widowControl w:val="0"/>
        <w:spacing w:line="312" w:lineRule="auto"/>
        <w:ind w:firstLine="480" w:firstLineChars="200"/>
        <w:jc w:val="both"/>
        <w:rPr>
          <w:rFonts w:ascii="仿宋" w:hAnsi="仿宋" w:eastAsia="仿宋" w:cs="Cambria Math"/>
          <w:color w:val="auto"/>
          <w:kern w:val="2"/>
          <w:sz w:val="24"/>
          <w:szCs w:val="24"/>
          <w:highlight w:val="none"/>
          <w:lang w:val="en-US" w:eastAsia="zh-CN" w:bidi="ar-SA"/>
        </w:rPr>
      </w:pPr>
    </w:p>
    <w:p w14:paraId="5B6421D4">
      <w:pPr>
        <w:widowControl w:val="0"/>
        <w:spacing w:line="312" w:lineRule="auto"/>
        <w:ind w:firstLine="480" w:firstLineChars="200"/>
        <w:jc w:val="both"/>
        <w:rPr>
          <w:rFonts w:hint="eastAsia" w:ascii="仿宋" w:hAnsi="仿宋" w:eastAsia="仿宋" w:cs="Cambria Math"/>
          <w:color w:val="auto"/>
          <w:kern w:val="2"/>
          <w:sz w:val="24"/>
          <w:szCs w:val="24"/>
          <w:highlight w:val="none"/>
          <w:lang w:val="en-US" w:eastAsia="zh-CN" w:bidi="ar-SA"/>
        </w:rPr>
      </w:pPr>
      <w:r>
        <w:rPr>
          <w:rFonts w:hint="eastAsia" w:ascii="仿宋" w:hAnsi="仿宋" w:eastAsia="仿宋" w:cs="Cambria Math"/>
          <w:color w:val="auto"/>
          <w:kern w:val="2"/>
          <w:sz w:val="24"/>
          <w:szCs w:val="24"/>
          <w:highlight w:val="none"/>
          <w:lang w:val="en-US" w:eastAsia="zh-CN" w:bidi="ar-SA"/>
        </w:rPr>
        <w:t>特此承诺。</w:t>
      </w:r>
    </w:p>
    <w:p w14:paraId="3925D02F">
      <w:pPr>
        <w:widowControl w:val="0"/>
        <w:spacing w:line="560" w:lineRule="exact"/>
        <w:ind w:firstLine="480" w:firstLineChars="200"/>
        <w:jc w:val="both"/>
        <w:rPr>
          <w:rFonts w:ascii="仿宋" w:hAnsi="仿宋" w:eastAsia="仿宋" w:cs="Times New Roman"/>
          <w:color w:val="auto"/>
          <w:kern w:val="2"/>
          <w:sz w:val="24"/>
          <w:szCs w:val="24"/>
          <w:highlight w:val="none"/>
          <w:lang w:val="en-US" w:eastAsia="zh-CN" w:bidi="ar-SA"/>
        </w:rPr>
      </w:pPr>
    </w:p>
    <w:p w14:paraId="362CC594">
      <w:pPr>
        <w:widowControl w:val="0"/>
        <w:spacing w:line="560" w:lineRule="exact"/>
        <w:ind w:firstLine="480" w:firstLineChars="200"/>
        <w:jc w:val="both"/>
        <w:rPr>
          <w:rFonts w:ascii="仿宋" w:hAnsi="仿宋" w:eastAsia="仿宋" w:cs="Times New Roman"/>
          <w:color w:val="auto"/>
          <w:kern w:val="2"/>
          <w:sz w:val="24"/>
          <w:szCs w:val="24"/>
          <w:highlight w:val="none"/>
          <w:lang w:val="en-US" w:eastAsia="zh-CN" w:bidi="ar-SA"/>
        </w:rPr>
      </w:pPr>
    </w:p>
    <w:p w14:paraId="025332B3">
      <w:pPr>
        <w:spacing w:line="360" w:lineRule="auto"/>
        <w:ind w:firstLine="4080" w:firstLineChars="1700"/>
        <w:jc w:val="right"/>
        <w:rPr>
          <w:rFonts w:ascii="仿宋" w:hAnsi="仿宋" w:eastAsia="仿宋" w:cs="Cambria Math"/>
          <w:color w:val="auto"/>
          <w:sz w:val="24"/>
          <w:szCs w:val="24"/>
          <w:highlight w:val="none"/>
        </w:rPr>
      </w:pPr>
    </w:p>
    <w:p w14:paraId="66CF4299">
      <w:pPr>
        <w:spacing w:line="360" w:lineRule="auto"/>
        <w:ind w:firstLine="4080" w:firstLineChars="1700"/>
        <w:jc w:val="right"/>
        <w:rPr>
          <w:rFonts w:ascii="仿宋" w:hAnsi="仿宋" w:eastAsia="仿宋" w:cs="Cambria Math"/>
          <w:color w:val="auto"/>
          <w:sz w:val="24"/>
          <w:szCs w:val="24"/>
          <w:highlight w:val="none"/>
        </w:rPr>
      </w:pPr>
    </w:p>
    <w:p w14:paraId="65F3613F">
      <w:pPr>
        <w:spacing w:line="360" w:lineRule="auto"/>
        <w:ind w:firstLine="4080" w:firstLineChars="1700"/>
        <w:jc w:val="right"/>
        <w:rPr>
          <w:rFonts w:ascii="仿宋" w:hAnsi="仿宋" w:eastAsia="仿宋" w:cs="Cambria Math"/>
          <w:color w:val="auto"/>
          <w:sz w:val="24"/>
          <w:szCs w:val="24"/>
          <w:highlight w:val="none"/>
        </w:rPr>
      </w:pPr>
    </w:p>
    <w:p w14:paraId="705866B5">
      <w:pPr>
        <w:spacing w:line="360" w:lineRule="auto"/>
        <w:ind w:firstLine="4080" w:firstLineChars="1700"/>
        <w:jc w:val="right"/>
        <w:rPr>
          <w:rFonts w:ascii="仿宋" w:hAnsi="仿宋" w:eastAsia="仿宋" w:cs="Cambria Math"/>
          <w:color w:val="auto"/>
          <w:sz w:val="24"/>
          <w:szCs w:val="24"/>
          <w:highlight w:val="none"/>
        </w:rPr>
      </w:pPr>
    </w:p>
    <w:p w14:paraId="3404D316">
      <w:pPr>
        <w:spacing w:line="360" w:lineRule="auto"/>
        <w:ind w:firstLine="4080" w:firstLineChars="1700"/>
        <w:jc w:val="right"/>
        <w:rPr>
          <w:rFonts w:hint="eastAsia" w:ascii="仿宋" w:hAnsi="仿宋" w:eastAsia="仿宋" w:cs="Cambria Math"/>
          <w:color w:val="auto"/>
          <w:sz w:val="24"/>
          <w:szCs w:val="24"/>
          <w:highlight w:val="none"/>
        </w:rPr>
      </w:pPr>
      <w:r>
        <w:rPr>
          <w:rFonts w:hint="eastAsia" w:ascii="仿宋" w:hAnsi="仿宋" w:eastAsia="仿宋" w:cs="Cambria Math"/>
          <w:color w:val="auto"/>
          <w:sz w:val="24"/>
          <w:szCs w:val="24"/>
          <w:highlight w:val="none"/>
        </w:rPr>
        <w:t>供应商名称：</w:t>
      </w:r>
      <w:r>
        <w:rPr>
          <w:rFonts w:hint="eastAsia" w:ascii="仿宋" w:hAnsi="仿宋" w:eastAsia="仿宋" w:cs="Cambria Math"/>
          <w:color w:val="auto"/>
          <w:sz w:val="24"/>
          <w:szCs w:val="24"/>
          <w:highlight w:val="none"/>
          <w:u w:val="single"/>
        </w:rPr>
        <w:t xml:space="preserve">     </w:t>
      </w:r>
      <w:r>
        <w:rPr>
          <w:rFonts w:hint="eastAsia" w:ascii="仿宋" w:hAnsi="仿宋" w:eastAsia="仿宋" w:cs="Cambria Math"/>
          <w:color w:val="auto"/>
          <w:sz w:val="24"/>
          <w:szCs w:val="24"/>
          <w:highlight w:val="none"/>
        </w:rPr>
        <w:t>（盖章）</w:t>
      </w:r>
    </w:p>
    <w:p w14:paraId="33FC37DD">
      <w:pPr>
        <w:spacing w:line="360" w:lineRule="auto"/>
        <w:jc w:val="right"/>
        <w:rPr>
          <w:rFonts w:hint="eastAsia" w:ascii="仿宋" w:hAnsi="仿宋" w:eastAsia="仿宋" w:cs="Cambria Math"/>
          <w:b/>
          <w:bCs/>
          <w:color w:val="auto"/>
          <w:sz w:val="24"/>
          <w:szCs w:val="24"/>
          <w:highlight w:val="none"/>
        </w:rPr>
      </w:pPr>
      <w:r>
        <w:rPr>
          <w:rFonts w:hint="eastAsia" w:ascii="仿宋" w:hAnsi="仿宋" w:eastAsia="仿宋" w:cs="Cambria Math"/>
          <w:color w:val="auto"/>
          <w:sz w:val="24"/>
          <w:szCs w:val="24"/>
          <w:highlight w:val="none"/>
        </w:rPr>
        <w:t>日期：</w:t>
      </w:r>
      <w:r>
        <w:rPr>
          <w:rFonts w:hint="eastAsia" w:ascii="仿宋" w:hAnsi="仿宋" w:eastAsia="仿宋" w:cs="Cambria Math"/>
          <w:color w:val="auto"/>
          <w:sz w:val="24"/>
          <w:szCs w:val="24"/>
          <w:highlight w:val="none"/>
          <w:u w:val="single"/>
        </w:rPr>
        <w:t xml:space="preserve">   </w:t>
      </w:r>
      <w:r>
        <w:rPr>
          <w:rFonts w:hint="eastAsia" w:ascii="仿宋" w:hAnsi="仿宋" w:eastAsia="仿宋" w:cs="Cambria Math"/>
          <w:color w:val="auto"/>
          <w:sz w:val="24"/>
          <w:szCs w:val="24"/>
          <w:highlight w:val="none"/>
        </w:rPr>
        <w:t>年</w:t>
      </w:r>
      <w:r>
        <w:rPr>
          <w:rFonts w:hint="eastAsia" w:ascii="仿宋" w:hAnsi="仿宋" w:eastAsia="仿宋" w:cs="Cambria Math"/>
          <w:color w:val="auto"/>
          <w:sz w:val="24"/>
          <w:szCs w:val="24"/>
          <w:highlight w:val="none"/>
          <w:u w:val="single"/>
        </w:rPr>
        <w:t xml:space="preserve">   </w:t>
      </w:r>
      <w:r>
        <w:rPr>
          <w:rFonts w:hint="eastAsia" w:ascii="仿宋" w:hAnsi="仿宋" w:eastAsia="仿宋" w:cs="Cambria Math"/>
          <w:color w:val="auto"/>
          <w:sz w:val="24"/>
          <w:szCs w:val="24"/>
          <w:highlight w:val="none"/>
        </w:rPr>
        <w:t>月</w:t>
      </w:r>
      <w:r>
        <w:rPr>
          <w:rFonts w:hint="eastAsia" w:ascii="仿宋" w:hAnsi="仿宋" w:eastAsia="仿宋" w:cs="Cambria Math"/>
          <w:color w:val="auto"/>
          <w:sz w:val="24"/>
          <w:szCs w:val="24"/>
          <w:highlight w:val="none"/>
          <w:u w:val="single"/>
        </w:rPr>
        <w:t xml:space="preserve">   </w:t>
      </w:r>
      <w:r>
        <w:rPr>
          <w:rFonts w:hint="eastAsia" w:ascii="仿宋" w:hAnsi="仿宋" w:eastAsia="仿宋" w:cs="Cambria Math"/>
          <w:color w:val="auto"/>
          <w:sz w:val="24"/>
          <w:szCs w:val="24"/>
          <w:highlight w:val="none"/>
        </w:rPr>
        <w:t>日</w:t>
      </w:r>
    </w:p>
    <w:p w14:paraId="7BCED4DC">
      <w:pPr>
        <w:widowControl/>
        <w:spacing w:line="360" w:lineRule="auto"/>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br w:type="page"/>
      </w:r>
    </w:p>
    <w:p w14:paraId="77D583D3">
      <w:pPr>
        <w:keepNext/>
        <w:keepLines/>
        <w:widowControl w:val="0"/>
        <w:spacing w:before="0" w:beforeLines="0" w:after="0" w:afterLines="0" w:line="360" w:lineRule="auto"/>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附件2、供应商控股及管理关系情况申报表</w:t>
      </w:r>
    </w:p>
    <w:p w14:paraId="28A32385">
      <w:pPr>
        <w:widowControl w:val="0"/>
        <w:spacing w:before="240" w:after="240"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供应商控股及管理关系情况申报表</w:t>
      </w:r>
    </w:p>
    <w:p w14:paraId="4C659294">
      <w:pPr>
        <w:adjustRightInd w:val="0"/>
        <w:snapToGrid w:val="0"/>
        <w:spacing w:line="360" w:lineRule="auto"/>
        <w:ind w:left="0" w:leftChars="-65" w:hanging="136" w:hangingChars="57"/>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致：</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lang w:val="en-US" w:eastAsia="zh-CN"/>
        </w:rPr>
        <w:t>采购</w:t>
      </w:r>
      <w:r>
        <w:rPr>
          <w:rFonts w:hint="eastAsia" w:ascii="仿宋" w:hAnsi="仿宋" w:eastAsia="仿宋" w:cs="宋体"/>
          <w:color w:val="auto"/>
          <w:sz w:val="24"/>
          <w:szCs w:val="24"/>
          <w:highlight w:val="none"/>
          <w:u w:val="single"/>
        </w:rPr>
        <w:t xml:space="preserve">人名称）  </w:t>
      </w:r>
      <w:r>
        <w:rPr>
          <w:rFonts w:hint="eastAsia" w:ascii="仿宋" w:hAnsi="仿宋" w:eastAsia="仿宋" w:cs="宋体"/>
          <w:color w:val="auto"/>
          <w:sz w:val="24"/>
          <w:szCs w:val="24"/>
          <w:highlight w:val="none"/>
        </w:rPr>
        <w:t>：</w:t>
      </w:r>
    </w:p>
    <w:p w14:paraId="616F20CB">
      <w:pPr>
        <w:adjustRightInd w:val="0"/>
        <w:snapToGrid w:val="0"/>
        <w:spacing w:line="360" w:lineRule="auto"/>
        <w:ind w:left="-134" w:leftChars="-64" w:right="-512" w:rightChars="-244" w:firstLine="132" w:firstLineChars="55"/>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我方参加</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（项目名称）的</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，根据法律法规维护投标公正性的相关规定，</w:t>
      </w:r>
      <w:r>
        <w:rPr>
          <w:rFonts w:hint="eastAsia" w:ascii="仿宋" w:hAnsi="仿宋" w:eastAsia="仿宋" w:cs="宋体"/>
          <w:color w:val="auto"/>
          <w:sz w:val="24"/>
          <w:szCs w:val="24"/>
          <w:highlight w:val="none"/>
          <w:lang w:val="en-US" w:eastAsia="zh-CN"/>
        </w:rPr>
        <w:t>我方与采购人之间不存在利害关系可能影响采购公正性的法人、其他组织或者个人，</w:t>
      </w:r>
      <w:r>
        <w:rPr>
          <w:rFonts w:hint="eastAsia" w:ascii="仿宋" w:hAnsi="仿宋" w:eastAsia="仿宋" w:cs="宋体"/>
          <w:color w:val="auto"/>
          <w:sz w:val="24"/>
          <w:szCs w:val="24"/>
          <w:highlight w:val="none"/>
        </w:rPr>
        <w:t>特就本单位控股及管理关系情况申报如下</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rPr>
        <w:t>并承担申报不实的责任</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如我方中选该项目并签署合同后，一旦发现我方申报不实，采购人可无条件终止合同</w:t>
      </w:r>
      <w:r>
        <w:rPr>
          <w:rFonts w:hint="eastAsia" w:ascii="仿宋" w:hAnsi="仿宋" w:eastAsia="仿宋" w:cs="宋体"/>
          <w:color w:val="auto"/>
          <w:sz w:val="24"/>
          <w:szCs w:val="24"/>
          <w:highlight w:val="none"/>
        </w:rPr>
        <w:t>。</w:t>
      </w:r>
    </w:p>
    <w:tbl>
      <w:tblPr>
        <w:tblStyle w:val="8"/>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356"/>
        <w:gridCol w:w="5570"/>
      </w:tblGrid>
      <w:tr w14:paraId="374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26" w:type="dxa"/>
            <w:noWrap w:val="0"/>
            <w:vAlign w:val="center"/>
          </w:tcPr>
          <w:p w14:paraId="008F1AFE">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申报人名称</w:t>
            </w:r>
          </w:p>
        </w:tc>
        <w:tc>
          <w:tcPr>
            <w:tcW w:w="7926" w:type="dxa"/>
            <w:gridSpan w:val="2"/>
            <w:noWrap w:val="0"/>
            <w:vAlign w:val="center"/>
          </w:tcPr>
          <w:p w14:paraId="12DDD087">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r>
      <w:tr w14:paraId="699A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26" w:type="dxa"/>
            <w:vMerge w:val="restart"/>
            <w:noWrap w:val="0"/>
            <w:vAlign w:val="center"/>
          </w:tcPr>
          <w:p w14:paraId="657EA070">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法定代表人/单位负责人</w:t>
            </w:r>
          </w:p>
        </w:tc>
        <w:tc>
          <w:tcPr>
            <w:tcW w:w="2356" w:type="dxa"/>
            <w:noWrap w:val="0"/>
            <w:vAlign w:val="center"/>
          </w:tcPr>
          <w:p w14:paraId="44D92C14">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姓    名</w:t>
            </w:r>
          </w:p>
        </w:tc>
        <w:tc>
          <w:tcPr>
            <w:tcW w:w="5570" w:type="dxa"/>
            <w:noWrap w:val="0"/>
            <w:vAlign w:val="center"/>
          </w:tcPr>
          <w:p w14:paraId="7384A6C9">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r>
      <w:tr w14:paraId="4F70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26" w:type="dxa"/>
            <w:vMerge w:val="continue"/>
            <w:noWrap w:val="0"/>
            <w:vAlign w:val="center"/>
          </w:tcPr>
          <w:p w14:paraId="7CEEE4ED">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c>
          <w:tcPr>
            <w:tcW w:w="2356" w:type="dxa"/>
            <w:noWrap w:val="0"/>
            <w:vAlign w:val="center"/>
          </w:tcPr>
          <w:p w14:paraId="0B094408">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身份证号</w:t>
            </w:r>
          </w:p>
        </w:tc>
        <w:tc>
          <w:tcPr>
            <w:tcW w:w="5570" w:type="dxa"/>
            <w:noWrap w:val="0"/>
            <w:vAlign w:val="center"/>
          </w:tcPr>
          <w:p w14:paraId="34708DC3">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r>
      <w:tr w14:paraId="3C7E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926" w:type="dxa"/>
            <w:noWrap w:val="0"/>
            <w:vAlign w:val="center"/>
          </w:tcPr>
          <w:p w14:paraId="0EBFF530">
            <w:pPr>
              <w:keepNext w:val="0"/>
              <w:keepLines w:val="0"/>
              <w:suppressLineNumbers w:val="0"/>
              <w:adjustRightInd w:val="0"/>
              <w:snapToGrid w:val="0"/>
              <w:spacing w:before="0" w:beforeAutospacing="0" w:after="0" w:afterAutospacing="0" w:line="440" w:lineRule="exact"/>
              <w:ind w:left="0" w:right="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单位负责人为同一人单位名称</w:t>
            </w:r>
          </w:p>
        </w:tc>
        <w:tc>
          <w:tcPr>
            <w:tcW w:w="7926" w:type="dxa"/>
            <w:gridSpan w:val="2"/>
            <w:noWrap w:val="0"/>
            <w:vAlign w:val="center"/>
          </w:tcPr>
          <w:p w14:paraId="115546B3">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r>
      <w:tr w14:paraId="5DD9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926" w:type="dxa"/>
            <w:vMerge w:val="restart"/>
            <w:noWrap w:val="0"/>
            <w:vAlign w:val="center"/>
          </w:tcPr>
          <w:p w14:paraId="4D809659">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控股</w:t>
            </w:r>
            <w:r>
              <w:rPr>
                <w:rFonts w:hint="eastAsia" w:ascii="仿宋" w:hAnsi="仿宋" w:eastAsia="仿宋" w:cs="宋体"/>
                <w:color w:val="auto"/>
                <w:sz w:val="24"/>
                <w:szCs w:val="24"/>
                <w:highlight w:val="none"/>
                <w:lang w:val="en-US" w:eastAsia="zh-CN"/>
              </w:rPr>
              <w:t>关系</w:t>
            </w:r>
          </w:p>
        </w:tc>
        <w:tc>
          <w:tcPr>
            <w:tcW w:w="2356" w:type="dxa"/>
            <w:noWrap w:val="0"/>
            <w:vAlign w:val="center"/>
          </w:tcPr>
          <w:p w14:paraId="29CF071C">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控股股东/投资人名称及出资比例</w:t>
            </w:r>
          </w:p>
        </w:tc>
        <w:tc>
          <w:tcPr>
            <w:tcW w:w="5570" w:type="dxa"/>
            <w:noWrap w:val="0"/>
            <w:vAlign w:val="center"/>
          </w:tcPr>
          <w:p w14:paraId="26B1AD77">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r>
      <w:tr w14:paraId="7010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26" w:type="dxa"/>
            <w:vMerge w:val="continue"/>
            <w:noWrap w:val="0"/>
            <w:vAlign w:val="center"/>
          </w:tcPr>
          <w:p w14:paraId="21A5EC6F">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c>
          <w:tcPr>
            <w:tcW w:w="2356" w:type="dxa"/>
            <w:noWrap w:val="0"/>
            <w:vAlign w:val="center"/>
          </w:tcPr>
          <w:p w14:paraId="19D23A2E">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被</w:t>
            </w:r>
            <w:r>
              <w:rPr>
                <w:rFonts w:hint="eastAsia" w:ascii="仿宋" w:hAnsi="仿宋" w:eastAsia="仿宋" w:cs="宋体"/>
                <w:color w:val="auto"/>
                <w:sz w:val="24"/>
                <w:szCs w:val="24"/>
                <w:highlight w:val="none"/>
              </w:rPr>
              <w:t>控股/</w:t>
            </w:r>
            <w:r>
              <w:rPr>
                <w:rFonts w:hint="eastAsia" w:ascii="仿宋" w:hAnsi="仿宋" w:eastAsia="仿宋" w:cs="宋体"/>
                <w:color w:val="auto"/>
                <w:sz w:val="24"/>
                <w:szCs w:val="24"/>
                <w:highlight w:val="none"/>
                <w:lang w:val="en-US" w:eastAsia="zh-CN"/>
              </w:rPr>
              <w:t>被</w:t>
            </w:r>
            <w:r>
              <w:rPr>
                <w:rFonts w:hint="eastAsia" w:ascii="仿宋" w:hAnsi="仿宋" w:eastAsia="仿宋" w:cs="宋体"/>
                <w:color w:val="auto"/>
                <w:sz w:val="24"/>
                <w:szCs w:val="24"/>
                <w:highlight w:val="none"/>
              </w:rPr>
              <w:t>投资</w:t>
            </w:r>
            <w:r>
              <w:rPr>
                <w:rFonts w:hint="eastAsia" w:ascii="仿宋" w:hAnsi="仿宋" w:eastAsia="仿宋" w:cs="宋体"/>
                <w:color w:val="auto"/>
                <w:sz w:val="24"/>
                <w:szCs w:val="24"/>
                <w:highlight w:val="none"/>
                <w:lang w:val="en-US" w:eastAsia="zh-CN"/>
              </w:rPr>
              <w:t>单位</w:t>
            </w:r>
            <w:r>
              <w:rPr>
                <w:rFonts w:hint="eastAsia" w:ascii="仿宋" w:hAnsi="仿宋" w:eastAsia="仿宋" w:cs="宋体"/>
                <w:color w:val="auto"/>
                <w:sz w:val="24"/>
                <w:szCs w:val="24"/>
                <w:highlight w:val="none"/>
              </w:rPr>
              <w:t>名称及出资比例</w:t>
            </w:r>
          </w:p>
        </w:tc>
        <w:tc>
          <w:tcPr>
            <w:tcW w:w="5570" w:type="dxa"/>
            <w:noWrap w:val="0"/>
            <w:vAlign w:val="center"/>
          </w:tcPr>
          <w:p w14:paraId="513735B1">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highlight w:val="none"/>
              </w:rPr>
            </w:pPr>
          </w:p>
        </w:tc>
      </w:tr>
      <w:tr w14:paraId="1690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6" w:type="dxa"/>
            <w:vMerge w:val="restart"/>
            <w:noWrap w:val="0"/>
            <w:vAlign w:val="center"/>
          </w:tcPr>
          <w:p w14:paraId="63F7C702">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rPr>
            </w:pPr>
            <w:r>
              <w:rPr>
                <w:rFonts w:hint="eastAsia" w:ascii="仿宋" w:hAnsi="仿宋" w:eastAsia="仿宋" w:cs="宋体"/>
                <w:color w:val="auto"/>
                <w:sz w:val="24"/>
                <w:szCs w:val="24"/>
              </w:rPr>
              <w:t>管理关系</w:t>
            </w:r>
          </w:p>
        </w:tc>
        <w:tc>
          <w:tcPr>
            <w:tcW w:w="2356" w:type="dxa"/>
            <w:noWrap w:val="0"/>
            <w:vAlign w:val="center"/>
          </w:tcPr>
          <w:p w14:paraId="48019529">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rPr>
            </w:pPr>
            <w:r>
              <w:rPr>
                <w:rFonts w:hint="eastAsia" w:ascii="仿宋" w:hAnsi="仿宋" w:eastAsia="仿宋" w:cs="宋体"/>
                <w:color w:val="auto"/>
                <w:sz w:val="24"/>
                <w:szCs w:val="24"/>
              </w:rPr>
              <w:t>管理关系单位名称</w:t>
            </w:r>
          </w:p>
        </w:tc>
        <w:tc>
          <w:tcPr>
            <w:tcW w:w="5570" w:type="dxa"/>
            <w:noWrap w:val="0"/>
            <w:vAlign w:val="center"/>
          </w:tcPr>
          <w:p w14:paraId="018F1688">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rPr>
            </w:pPr>
          </w:p>
        </w:tc>
      </w:tr>
      <w:tr w14:paraId="7A6D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26" w:type="dxa"/>
            <w:vMerge w:val="continue"/>
            <w:noWrap w:val="0"/>
            <w:vAlign w:val="center"/>
          </w:tcPr>
          <w:p w14:paraId="71F0693C">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rPr>
            </w:pPr>
          </w:p>
        </w:tc>
        <w:tc>
          <w:tcPr>
            <w:tcW w:w="2356" w:type="dxa"/>
            <w:noWrap w:val="0"/>
            <w:vAlign w:val="center"/>
          </w:tcPr>
          <w:p w14:paraId="7E2BD34C">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rPr>
            </w:pPr>
            <w:r>
              <w:rPr>
                <w:rFonts w:hint="eastAsia" w:ascii="仿宋" w:hAnsi="仿宋" w:eastAsia="仿宋" w:cs="宋体"/>
                <w:color w:val="auto"/>
                <w:sz w:val="24"/>
                <w:szCs w:val="24"/>
              </w:rPr>
              <w:t>被管理关系单位名称</w:t>
            </w:r>
          </w:p>
        </w:tc>
        <w:tc>
          <w:tcPr>
            <w:tcW w:w="5570" w:type="dxa"/>
            <w:noWrap w:val="0"/>
            <w:vAlign w:val="center"/>
          </w:tcPr>
          <w:p w14:paraId="12DF56F6">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rPr>
            </w:pPr>
          </w:p>
        </w:tc>
      </w:tr>
      <w:tr w14:paraId="5286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52" w:type="dxa"/>
            <w:gridSpan w:val="3"/>
            <w:noWrap w:val="0"/>
            <w:vAlign w:val="center"/>
          </w:tcPr>
          <w:p w14:paraId="6DF86610">
            <w:pPr>
              <w:keepNext w:val="0"/>
              <w:keepLines w:val="0"/>
              <w:suppressLineNumbers w:val="0"/>
              <w:adjustRightInd w:val="0"/>
              <w:snapToGrid w:val="0"/>
              <w:spacing w:before="0" w:beforeAutospacing="0" w:after="0" w:afterAutospacing="0" w:line="440" w:lineRule="exact"/>
              <w:ind w:left="0" w:right="0"/>
              <w:rPr>
                <w:rFonts w:hint="eastAsia" w:ascii="仿宋" w:hAnsi="仿宋" w:eastAsia="仿宋" w:cs="宋体"/>
                <w:color w:val="auto"/>
                <w:sz w:val="24"/>
                <w:szCs w:val="24"/>
              </w:rPr>
            </w:pPr>
            <w:r>
              <w:rPr>
                <w:rFonts w:hint="eastAsia" w:ascii="仿宋" w:hAnsi="仿宋" w:eastAsia="仿宋" w:cs="宋体"/>
                <w:color w:val="auto"/>
                <w:sz w:val="24"/>
                <w:szCs w:val="24"/>
              </w:rPr>
              <w:t>备注：</w:t>
            </w:r>
          </w:p>
        </w:tc>
      </w:tr>
    </w:tbl>
    <w:p w14:paraId="4F1815F3">
      <w:pPr>
        <w:adjustRightInd w:val="0"/>
        <w:snapToGrid w:val="0"/>
        <w:spacing w:line="360" w:lineRule="auto"/>
        <w:ind w:left="0" w:leftChars="0" w:firstLine="0" w:firstLineChars="0"/>
        <w:rPr>
          <w:rFonts w:hint="eastAsia" w:ascii="仿宋" w:hAnsi="仿宋" w:eastAsia="仿宋" w:cs="宋体"/>
          <w:color w:val="auto"/>
          <w:sz w:val="24"/>
          <w:szCs w:val="24"/>
        </w:rPr>
      </w:pPr>
      <w:r>
        <w:rPr>
          <w:rFonts w:hint="eastAsia" w:ascii="仿宋" w:hAnsi="仿宋" w:eastAsia="仿宋" w:cs="宋体"/>
          <w:color w:val="auto"/>
          <w:sz w:val="24"/>
          <w:szCs w:val="24"/>
        </w:rPr>
        <w:t>注：</w:t>
      </w:r>
    </w:p>
    <w:p w14:paraId="01D16C57">
      <w:pPr>
        <w:adjustRightInd w:val="0"/>
        <w:snapToGrid w:val="0"/>
        <w:spacing w:line="360" w:lineRule="auto"/>
        <w:ind w:left="0" w:leftChars="0" w:firstLine="0" w:firstLineChars="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rPr>
        <w:t>控股股东/投资人是指出资比例在50%以上，或者出资比例不足50%，但享有公司股东会/董事会控制权的投资方（含单位或者个人）</w:t>
      </w:r>
    </w:p>
    <w:p w14:paraId="3B8C66F0">
      <w:pPr>
        <w:numPr>
          <w:ilvl w:val="0"/>
          <w:numId w:val="0"/>
        </w:numPr>
        <w:adjustRightInd w:val="0"/>
        <w:snapToGrid w:val="0"/>
        <w:spacing w:line="360" w:lineRule="auto"/>
        <w:ind w:leftChars="5"/>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rPr>
        <w:t xml:space="preserve">管理关系单位是指与不具有出资持股关系的其他单位之间存在管理与被管理关系的单位； </w:t>
      </w:r>
    </w:p>
    <w:p w14:paraId="3E56B73E">
      <w:pPr>
        <w:numPr>
          <w:ilvl w:val="0"/>
          <w:numId w:val="0"/>
        </w:numPr>
        <w:adjustRightInd w:val="0"/>
        <w:snapToGrid w:val="0"/>
        <w:spacing w:line="360" w:lineRule="auto"/>
        <w:rPr>
          <w:rFonts w:hint="eastAsia" w:ascii="仿宋" w:hAnsi="仿宋" w:eastAsia="仿宋" w:cs="宋体"/>
          <w:color w:val="auto"/>
          <w:sz w:val="24"/>
          <w:szCs w:val="24"/>
        </w:rPr>
      </w:pPr>
      <w:r>
        <w:rPr>
          <w:rFonts w:hint="eastAsia" w:ascii="仿宋" w:hAnsi="仿宋" w:eastAsia="仿宋" w:cs="宋体"/>
          <w:color w:val="auto"/>
          <w:sz w:val="24"/>
          <w:szCs w:val="24"/>
        </w:rPr>
        <w:t>3.如未有相关情况，请在相应栏填写“无”。</w:t>
      </w:r>
    </w:p>
    <w:p w14:paraId="21F3E5D6">
      <w:pPr>
        <w:widowControl w:val="0"/>
        <w:numPr>
          <w:ilvl w:val="0"/>
          <w:numId w:val="0"/>
        </w:numPr>
        <w:pBdr>
          <w:bottom w:val="single" w:color="auto" w:sz="6" w:space="1"/>
        </w:pBdr>
        <w:adjustRightInd w:val="0"/>
        <w:snapToGrid w:val="0"/>
        <w:spacing w:line="360" w:lineRule="auto"/>
        <w:ind w:leftChars="0"/>
        <w:jc w:val="center"/>
        <w:rPr>
          <w:rFonts w:hint="eastAsia" w:ascii="仿宋" w:hAnsi="仿宋" w:eastAsia="仿宋" w:cs="宋体"/>
          <w:vanish/>
          <w:color w:val="auto"/>
          <w:kern w:val="2"/>
          <w:sz w:val="24"/>
          <w:szCs w:val="24"/>
          <w:lang w:val="en-US" w:eastAsia="zh-CN" w:bidi="ar-SA"/>
        </w:rPr>
      </w:pPr>
      <w:r>
        <w:rPr>
          <w:rFonts w:hint="eastAsia" w:ascii="仿宋" w:hAnsi="仿宋" w:eastAsia="仿宋" w:cs="宋体"/>
          <w:vanish/>
          <w:color w:val="auto"/>
          <w:kern w:val="2"/>
          <w:sz w:val="24"/>
          <w:szCs w:val="24"/>
          <w:lang w:val="en-US" w:eastAsia="zh-CN" w:bidi="ar-SA"/>
        </w:rPr>
        <w:t xml:space="preserve">2.管理关系单位是指与不具有出资持股关系的其他单位之间存在管理与被管理关系的单位； </w:t>
      </w:r>
    </w:p>
    <w:p w14:paraId="2E569867">
      <w:pPr>
        <w:widowControl w:val="0"/>
        <w:numPr>
          <w:ilvl w:val="0"/>
          <w:numId w:val="0"/>
        </w:numPr>
        <w:pBdr>
          <w:bottom w:val="single" w:color="auto" w:sz="6" w:space="1"/>
        </w:pBdr>
        <w:adjustRightInd w:val="0"/>
        <w:snapToGrid w:val="0"/>
        <w:spacing w:line="360" w:lineRule="auto"/>
        <w:ind w:leftChars="0"/>
        <w:jc w:val="center"/>
        <w:rPr>
          <w:rFonts w:hint="eastAsia" w:ascii="仿宋" w:hAnsi="仿宋" w:eastAsia="仿宋" w:cs="宋体"/>
          <w:vanish/>
          <w:color w:val="auto"/>
          <w:kern w:val="2"/>
          <w:sz w:val="24"/>
          <w:szCs w:val="24"/>
          <w:lang w:val="en-US" w:eastAsia="zh-CN" w:bidi="ar-SA"/>
        </w:rPr>
      </w:pPr>
      <w:r>
        <w:rPr>
          <w:rFonts w:hint="eastAsia" w:ascii="仿宋" w:hAnsi="仿宋" w:eastAsia="仿宋" w:cs="宋体"/>
          <w:vanish/>
          <w:color w:val="auto"/>
          <w:kern w:val="2"/>
          <w:sz w:val="24"/>
          <w:szCs w:val="24"/>
          <w:lang w:val="en-US" w:eastAsia="zh-CN" w:bidi="ar-SA"/>
        </w:rPr>
        <w:t>3.如未有相关情况，请在相应栏填写“无”。</w:t>
      </w:r>
    </w:p>
    <w:p w14:paraId="4A53A398">
      <w:pPr>
        <w:spacing w:line="360" w:lineRule="auto"/>
        <w:ind w:firstLine="4080" w:firstLineChars="1700"/>
        <w:jc w:val="right"/>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供应商</w:t>
      </w:r>
      <w:r>
        <w:rPr>
          <w:rFonts w:hint="eastAsia" w:ascii="仿宋" w:hAnsi="仿宋" w:eastAsia="仿宋" w:cs="宋体"/>
          <w:color w:val="auto"/>
          <w:sz w:val="24"/>
          <w:szCs w:val="24"/>
        </w:rPr>
        <w:t>名称：</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（盖章）</w:t>
      </w:r>
    </w:p>
    <w:p w14:paraId="6BED1822">
      <w:pPr>
        <w:spacing w:line="360" w:lineRule="auto"/>
        <w:jc w:val="right"/>
        <w:rPr>
          <w:rFonts w:hint="eastAsia" w:ascii="仿宋" w:hAnsi="仿宋" w:eastAsia="仿宋" w:cs="宋体"/>
          <w:color w:val="auto"/>
          <w:sz w:val="24"/>
          <w:szCs w:val="24"/>
        </w:rPr>
      </w:pPr>
      <w:r>
        <w:rPr>
          <w:rFonts w:hint="eastAsia" w:ascii="仿宋" w:hAnsi="仿宋" w:eastAsia="仿宋" w:cs="宋体"/>
          <w:color w:val="auto"/>
          <w:sz w:val="24"/>
          <w:szCs w:val="24"/>
        </w:rPr>
        <w:t>日期：</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年</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月</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日</w:t>
      </w:r>
    </w:p>
    <w:p w14:paraId="409AAD4B">
      <w:pPr>
        <w:rPr>
          <w:rFonts w:hint="eastAsia" w:ascii="仿宋" w:hAnsi="仿宋" w:eastAsia="仿宋" w:cs="宋体"/>
          <w:color w:val="auto"/>
          <w:sz w:val="24"/>
          <w:szCs w:val="24"/>
        </w:rPr>
      </w:pPr>
      <w:r>
        <w:rPr>
          <w:rFonts w:hint="eastAsia" w:ascii="仿宋" w:hAnsi="仿宋" w:eastAsia="仿宋" w:cs="宋体"/>
          <w:color w:val="auto"/>
          <w:sz w:val="24"/>
          <w:szCs w:val="24"/>
        </w:rPr>
        <w:br w:type="page"/>
      </w:r>
    </w:p>
    <w:p w14:paraId="6F9DB339">
      <w:pPr>
        <w:keepNext/>
        <w:keepLines/>
        <w:widowControl w:val="0"/>
        <w:spacing w:before="0" w:beforeLines="0" w:after="0" w:afterLines="0" w:line="360" w:lineRule="auto"/>
        <w:jc w:val="both"/>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附件3、《人保e采管理系统供应商入库操作指南》</w:t>
      </w:r>
    </w:p>
    <w:p w14:paraId="00430EAF">
      <w:pPr>
        <w:pStyle w:val="7"/>
        <w:rPr>
          <w:rFonts w:hint="eastAsia"/>
          <w:color w:val="auto"/>
          <w:sz w:val="24"/>
          <w:szCs w:val="24"/>
          <w:lang w:val="en-US" w:eastAsia="zh-CN"/>
        </w:rPr>
      </w:pPr>
    </w:p>
    <w:bookmarkEnd w:id="7"/>
    <w:p w14:paraId="271AAC32">
      <w:pPr>
        <w:rPr>
          <w:sz w:val="24"/>
          <w:szCs w:val="24"/>
        </w:rPr>
      </w:pPr>
      <w:r>
        <w:rPr>
          <w:rFonts w:hint="eastAsia"/>
          <w:color w:val="auto"/>
          <w:sz w:val="24"/>
          <w:szCs w:val="24"/>
          <w:lang w:val="en-US" w:eastAsia="zh-CN"/>
        </w:rPr>
        <w:object>
          <v:shape id="_x0000_i1025" o:spt="75" type="#_x0000_t75" style="height:42.75pt;width:273pt;" o:ole="t" filled="f" o:preferrelative="t" stroked="f" coordsize="21600,21600">
            <v:path/>
            <v:fill on="f" focussize="0,0"/>
            <v:stroke on="f"/>
            <v:imagedata r:id="rId7" o:title=""/>
            <o:lock v:ext="edit" aspectratio="t"/>
            <w10:wrap type="none"/>
            <w10:anchorlock/>
          </v:shape>
          <o:OLEObject Type="Embed" ProgID="Package" ShapeID="_x0000_i1025" DrawAspect="Content" ObjectID="_1468075725" r:id="rId6">
            <o:LockedField>false</o:LockedField>
          </o:OLEObject>
        </w:objec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onaco">
    <w:altName w:val="Courier New"/>
    <w:panose1 w:val="00000000000000000000"/>
    <w:charset w:val="00"/>
    <w:family w:val="modern"/>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D248A"/>
    <w:rsid w:val="1F241A6A"/>
    <w:rsid w:val="355359F9"/>
    <w:rsid w:val="440F5768"/>
    <w:rsid w:val="476E42E3"/>
    <w:rsid w:val="7251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360" w:lineRule="auto"/>
      <w:jc w:val="center"/>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宋体" w:cs="Times New Roman"/>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Quote1"/>
    <w:next w:val="1"/>
    <w:qFormat/>
    <w:uiPriority w:val="99"/>
    <w:pPr>
      <w:widowControl/>
      <w:jc w:val="left"/>
    </w:pPr>
    <w:rPr>
      <w:rFonts w:ascii="Calibri" w:hAnsi="Calibri" w:eastAsia="宋体" w:cs="Times New Roman"/>
      <w:i/>
      <w:color w:val="000000"/>
      <w:kern w:val="2"/>
      <w:sz w:val="22"/>
      <w:szCs w:val="20"/>
      <w:lang w:val="en-US" w:eastAsia="zh-CN" w:bidi="ar-SA"/>
    </w:rPr>
  </w:style>
  <w:style w:type="paragraph" w:styleId="7">
    <w:name w:val="Body Text First Indent 2"/>
    <w:next w:val="1"/>
    <w:qFormat/>
    <w:uiPriority w:val="0"/>
    <w:pPr>
      <w:widowControl w:val="0"/>
      <w:spacing w:line="400" w:lineRule="exact"/>
      <w:ind w:firstLine="420" w:firstLineChars="200"/>
      <w:jc w:val="both"/>
    </w:pPr>
    <w:rPr>
      <w:rFonts w:ascii="Arial" w:hAnsi="Arial" w:eastAsia="宋体" w:cs="Times New Roman"/>
      <w:snapToGrid w:val="0"/>
      <w:kern w:val="0"/>
      <w:sz w:val="20"/>
      <w:szCs w:val="24"/>
      <w:u w:val="single"/>
      <w:lang w:val="en-US" w:eastAsia="zh-CN" w:bidi="ar-SA"/>
    </w:rPr>
  </w:style>
  <w:style w:type="character" w:styleId="10">
    <w:name w:val="Hyperlink"/>
    <w:qFormat/>
    <w:uiPriority w:val="99"/>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2025-03-26T01:07:00Z</dcterms:created>
  <dc:creator>Administrator</dc:creator>
  <cp:lastModifiedBy>烜</cp:lastModifiedBy>
  <dcterms:modified xsi:type="dcterms:W3CDTF">2025-07-01T07:07:05Z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B5A419EDB6B14F97AE44391CCDB83C36_12</vt:lpwstr>
  </property>
  <property fmtid="{D5CDD505-2E9C-101B-9397-08002B2CF9AE}" pid="4" name="KSOTemplateDocerSaveRecord">
    <vt:lpwstr>eyJoZGlkIjoiODZhMTc3ODgyZTA4MWVmMDM1ZmQwYWYzODY4ODBjNmEiLCJ1c2VySWQiOiI0NzA1NDM2NzkifQ==</vt:lpwstr>
  </property>
</Properties>
</file>