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8221B">
      <w:pPr>
        <w:tabs>
          <w:tab w:val="left" w:pos="420"/>
          <w:tab w:val="left" w:pos="6660"/>
        </w:tabs>
        <w:adjustRightInd w:val="0"/>
        <w:snapToGrid w:val="0"/>
        <w:spacing w:before="72" w:after="72" w:line="600" w:lineRule="atLeast"/>
        <w:jc w:val="center"/>
        <w:rPr>
          <w:rFonts w:ascii="楷体" w:hAnsi="楷体" w:eastAsia="楷体" w:cs="楷体"/>
          <w:b/>
          <w:sz w:val="60"/>
          <w:szCs w:val="60"/>
        </w:rPr>
      </w:pPr>
    </w:p>
    <w:p w14:paraId="088099E1">
      <w:pPr>
        <w:tabs>
          <w:tab w:val="left" w:pos="420"/>
          <w:tab w:val="left" w:pos="6660"/>
        </w:tabs>
        <w:adjustRightInd w:val="0"/>
        <w:snapToGrid w:val="0"/>
        <w:spacing w:before="72" w:after="72" w:line="600" w:lineRule="atLeast"/>
        <w:jc w:val="center"/>
        <w:rPr>
          <w:rFonts w:ascii="楷体" w:hAnsi="楷体" w:eastAsia="楷体" w:cs="楷体"/>
          <w:b/>
          <w:sz w:val="60"/>
          <w:szCs w:val="60"/>
        </w:rPr>
      </w:pPr>
    </w:p>
    <w:p w14:paraId="2439CD14">
      <w:pPr>
        <w:tabs>
          <w:tab w:val="left" w:pos="420"/>
          <w:tab w:val="left" w:pos="6660"/>
        </w:tabs>
        <w:adjustRightInd w:val="0"/>
        <w:snapToGrid w:val="0"/>
        <w:spacing w:before="72" w:after="72" w:line="360" w:lineRule="auto"/>
        <w:jc w:val="center"/>
        <w:rPr>
          <w:rFonts w:ascii="楷体" w:hAnsi="楷体" w:eastAsia="楷体" w:cs="楷体"/>
          <w:b/>
          <w:sz w:val="56"/>
          <w:szCs w:val="56"/>
        </w:rPr>
      </w:pPr>
      <w:r>
        <w:rPr>
          <w:rFonts w:hint="eastAsia" w:ascii="楷体" w:hAnsi="楷体" w:eastAsia="楷体" w:cs="楷体"/>
          <w:b/>
          <w:sz w:val="48"/>
          <w:szCs w:val="48"/>
        </w:rPr>
        <w:t>广东烟草梅州市有限公司丰顺县分公司绿化种植及养护、保洁项目</w:t>
      </w:r>
    </w:p>
    <w:p w14:paraId="525F79F1">
      <w:pPr>
        <w:tabs>
          <w:tab w:val="left" w:pos="420"/>
          <w:tab w:val="left" w:pos="2093"/>
          <w:tab w:val="left" w:pos="6660"/>
        </w:tabs>
        <w:adjustRightInd w:val="0"/>
        <w:snapToGrid w:val="0"/>
        <w:spacing w:before="72" w:after="72" w:line="600" w:lineRule="atLeast"/>
        <w:rPr>
          <w:rFonts w:ascii="楷体" w:hAnsi="楷体" w:eastAsia="楷体" w:cs="楷体"/>
          <w:b/>
          <w:sz w:val="70"/>
          <w:szCs w:val="70"/>
        </w:rPr>
      </w:pPr>
      <w:r>
        <w:rPr>
          <w:rFonts w:hint="eastAsia" w:ascii="楷体" w:hAnsi="楷体" w:eastAsia="楷体" w:cs="楷体"/>
          <w:b/>
          <w:sz w:val="70"/>
          <w:szCs w:val="70"/>
        </w:rPr>
        <w:tab/>
      </w:r>
      <w:r>
        <w:rPr>
          <w:rFonts w:hint="eastAsia" w:ascii="楷体" w:hAnsi="楷体" w:eastAsia="楷体" w:cs="楷体"/>
          <w:b/>
          <w:sz w:val="70"/>
          <w:szCs w:val="70"/>
        </w:rPr>
        <w:tab/>
      </w:r>
    </w:p>
    <w:p w14:paraId="5DFF606C">
      <w:pPr>
        <w:tabs>
          <w:tab w:val="left" w:pos="420"/>
          <w:tab w:val="left" w:pos="6660"/>
        </w:tabs>
        <w:adjustRightInd w:val="0"/>
        <w:snapToGrid w:val="0"/>
        <w:spacing w:before="72" w:after="72" w:line="600" w:lineRule="atLeast"/>
        <w:jc w:val="center"/>
        <w:rPr>
          <w:rFonts w:ascii="楷体" w:hAnsi="楷体" w:eastAsia="楷体" w:cs="楷体"/>
          <w:b/>
          <w:sz w:val="70"/>
          <w:szCs w:val="70"/>
        </w:rPr>
      </w:pPr>
    </w:p>
    <w:p w14:paraId="05404DC3">
      <w:pPr>
        <w:tabs>
          <w:tab w:val="left" w:pos="420"/>
          <w:tab w:val="left" w:pos="6660"/>
        </w:tabs>
        <w:spacing w:before="72" w:after="72" w:line="1200" w:lineRule="atLeast"/>
        <w:jc w:val="center"/>
        <w:rPr>
          <w:rFonts w:ascii="楷体" w:hAnsi="楷体" w:eastAsia="楷体" w:cs="楷体"/>
          <w:b/>
          <w:sz w:val="90"/>
          <w:szCs w:val="90"/>
        </w:rPr>
      </w:pPr>
      <w:r>
        <w:rPr>
          <w:rFonts w:hint="eastAsia" w:ascii="楷体" w:hAnsi="楷体" w:eastAsia="楷体" w:cs="楷体"/>
          <w:b/>
          <w:sz w:val="90"/>
          <w:szCs w:val="90"/>
        </w:rPr>
        <w:t>公开招标文件</w:t>
      </w:r>
    </w:p>
    <w:p w14:paraId="2BC1D36C">
      <w:pPr>
        <w:pStyle w:val="26"/>
        <w:spacing w:line="360" w:lineRule="auto"/>
        <w:ind w:left="0" w:leftChars="0"/>
        <w:jc w:val="center"/>
        <w:rPr>
          <w:rFonts w:ascii="楷体" w:hAnsi="楷体" w:eastAsia="楷体" w:cs="楷体"/>
          <w:sz w:val="36"/>
          <w:szCs w:val="36"/>
        </w:rPr>
      </w:pPr>
      <w:r>
        <w:rPr>
          <w:rFonts w:hint="eastAsia" w:ascii="楷体" w:hAnsi="楷体" w:eastAsia="楷体" w:cs="楷体"/>
          <w:sz w:val="36"/>
          <w:szCs w:val="36"/>
        </w:rPr>
        <w:t>(项目编号：DXZB-2025GPA0194)</w:t>
      </w:r>
    </w:p>
    <w:p w14:paraId="4BC6F2B7">
      <w:pPr>
        <w:rPr>
          <w:rFonts w:ascii="楷体" w:hAnsi="楷体" w:eastAsia="楷体" w:cs="楷体"/>
          <w:sz w:val="36"/>
          <w:szCs w:val="36"/>
        </w:rPr>
      </w:pPr>
    </w:p>
    <w:p w14:paraId="1F9C76A3">
      <w:pPr>
        <w:rPr>
          <w:rFonts w:ascii="楷体" w:hAnsi="楷体" w:eastAsia="楷体" w:cs="楷体"/>
          <w:sz w:val="36"/>
          <w:szCs w:val="36"/>
        </w:rPr>
      </w:pPr>
    </w:p>
    <w:p w14:paraId="455E8401">
      <w:pPr>
        <w:jc w:val="center"/>
        <w:rPr>
          <w:rFonts w:ascii="楷体" w:hAnsi="楷体" w:eastAsia="楷体" w:cs="楷体"/>
          <w:sz w:val="36"/>
          <w:szCs w:val="36"/>
        </w:rPr>
      </w:pPr>
      <w: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9"/>
                    <a:stretch>
                      <a:fillRect/>
                    </a:stretch>
                  </pic:blipFill>
                  <pic:spPr>
                    <a:xfrm>
                      <a:off x="0" y="0"/>
                      <a:ext cx="2914650" cy="1215390"/>
                    </a:xfrm>
                    <a:prstGeom prst="rect">
                      <a:avLst/>
                    </a:prstGeom>
                    <a:noFill/>
                    <a:ln>
                      <a:noFill/>
                    </a:ln>
                  </pic:spPr>
                </pic:pic>
              </a:graphicData>
            </a:graphic>
          </wp:inline>
        </w:drawing>
      </w:r>
    </w:p>
    <w:p w14:paraId="09939BA3">
      <w:pPr>
        <w:rPr>
          <w:rFonts w:ascii="楷体" w:hAnsi="楷体" w:eastAsia="楷体" w:cs="楷体"/>
          <w:sz w:val="36"/>
          <w:szCs w:val="36"/>
        </w:rPr>
      </w:pPr>
    </w:p>
    <w:p w14:paraId="6FCA7714">
      <w:pPr>
        <w:rPr>
          <w:rFonts w:ascii="楷体" w:hAnsi="楷体" w:eastAsia="楷体" w:cs="楷体"/>
          <w:sz w:val="36"/>
          <w:szCs w:val="36"/>
        </w:rPr>
      </w:pPr>
    </w:p>
    <w:p w14:paraId="7B786A94">
      <w:pPr>
        <w:spacing w:line="700" w:lineRule="exact"/>
        <w:jc w:val="center"/>
        <w:rPr>
          <w:rFonts w:ascii="楷体" w:hAnsi="楷体" w:eastAsia="楷体" w:cs="楷体"/>
          <w:sz w:val="48"/>
          <w:szCs w:val="48"/>
        </w:rPr>
      </w:pPr>
      <w:bookmarkStart w:id="0" w:name="_Toc372468299"/>
      <w:bookmarkStart w:id="1" w:name="_Toc50691018"/>
      <w:bookmarkStart w:id="2" w:name="_Toc182886646"/>
      <w:bookmarkStart w:id="3" w:name="_Toc183316708"/>
      <w:bookmarkStart w:id="4" w:name="_Toc50737285"/>
      <w:bookmarkStart w:id="5" w:name="_Toc50737317"/>
      <w:bookmarkStart w:id="6" w:name="_Toc168288363"/>
      <w:bookmarkStart w:id="7" w:name="_Toc50736465"/>
      <w:bookmarkStart w:id="8" w:name="_Toc423021938"/>
      <w:r>
        <w:rPr>
          <w:rFonts w:hint="eastAsia" w:ascii="楷体" w:hAnsi="楷体" w:eastAsia="楷体" w:cs="楷体"/>
          <w:sz w:val="48"/>
          <w:szCs w:val="48"/>
        </w:rPr>
        <w:t>广东鼎信招标采购有限公司</w:t>
      </w:r>
    </w:p>
    <w:p w14:paraId="2CE9E686">
      <w:pPr>
        <w:spacing w:line="700" w:lineRule="exact"/>
        <w:jc w:val="center"/>
        <w:rPr>
          <w:rFonts w:ascii="楷体" w:hAnsi="楷体" w:eastAsia="楷体" w:cs="楷体"/>
          <w:color w:val="auto"/>
        </w:rPr>
      </w:pPr>
      <w:r>
        <w:rPr>
          <w:rFonts w:hint="eastAsia" w:ascii="楷体" w:hAnsi="楷体" w:eastAsia="楷体" w:cs="楷体"/>
          <w:sz w:val="48"/>
          <w:szCs w:val="48"/>
        </w:rPr>
        <w:t>二〇二五年</w:t>
      </w:r>
      <w:bookmarkStart w:id="519" w:name="_GoBack"/>
      <w:bookmarkEnd w:id="519"/>
      <w:r>
        <w:rPr>
          <w:rFonts w:hint="eastAsia" w:ascii="楷体" w:hAnsi="楷体" w:eastAsia="楷体" w:cs="楷体"/>
          <w:color w:val="auto"/>
          <w:sz w:val="48"/>
          <w:szCs w:val="48"/>
          <w:lang w:val="en-US" w:eastAsia="zh-CN"/>
        </w:rPr>
        <w:t>七</w:t>
      </w:r>
      <w:r>
        <w:rPr>
          <w:rFonts w:hint="eastAsia" w:ascii="楷体" w:hAnsi="楷体" w:eastAsia="楷体" w:cs="楷体"/>
          <w:color w:val="auto"/>
          <w:sz w:val="48"/>
          <w:szCs w:val="48"/>
        </w:rPr>
        <w:t>月</w:t>
      </w:r>
    </w:p>
    <w:p w14:paraId="1E56A47B">
      <w:pPr>
        <w:pStyle w:val="4"/>
        <w:adjustRightInd w:val="0"/>
        <w:snapToGrid w:val="0"/>
        <w:spacing w:before="0" w:after="0" w:line="360" w:lineRule="auto"/>
        <w:jc w:val="center"/>
        <w:rPr>
          <w:rFonts w:ascii="楷体" w:hAnsi="楷体" w:eastAsia="楷体" w:cs="楷体"/>
        </w:rPr>
        <w:sectPr>
          <w:headerReference r:id="rId3" w:type="first"/>
          <w:footerReference r:id="rId4" w:type="default"/>
          <w:pgSz w:w="11906" w:h="16838"/>
          <w:pgMar w:top="1440" w:right="1800" w:bottom="1440" w:left="1800" w:header="851" w:footer="822" w:gutter="0"/>
          <w:pgNumType w:start="1"/>
          <w:cols w:space="720" w:num="1"/>
          <w:docGrid w:linePitch="312" w:charSpace="0"/>
        </w:sectPr>
      </w:pPr>
      <w:bookmarkStart w:id="9" w:name="_Toc24194"/>
      <w:bookmarkStart w:id="10" w:name="_Toc628"/>
    </w:p>
    <w:p w14:paraId="78A5BD08">
      <w:pPr>
        <w:pStyle w:val="4"/>
        <w:adjustRightInd w:val="0"/>
        <w:snapToGrid w:val="0"/>
        <w:spacing w:before="0" w:after="0" w:line="360" w:lineRule="auto"/>
        <w:jc w:val="center"/>
        <w:rPr>
          <w:rFonts w:ascii="楷体" w:hAnsi="楷体" w:eastAsia="楷体" w:cs="楷体"/>
        </w:rPr>
      </w:pPr>
      <w:bookmarkStart w:id="11" w:name="_Toc26278"/>
      <w:bookmarkStart w:id="12" w:name="_Toc2064"/>
      <w:bookmarkStart w:id="13" w:name="_Toc506124737"/>
      <w:bookmarkStart w:id="14" w:name="_Toc37318718"/>
      <w:bookmarkStart w:id="15" w:name="_Toc24293"/>
      <w:bookmarkStart w:id="16" w:name="_Toc40084128"/>
      <w:bookmarkStart w:id="17" w:name="_Toc14349"/>
      <w:bookmarkStart w:id="18" w:name="_Toc10488236"/>
      <w:bookmarkStart w:id="19" w:name="_Toc3138"/>
      <w:bookmarkStart w:id="20" w:name="_Toc506125798"/>
      <w:bookmarkStart w:id="21" w:name="_Toc17388"/>
      <w:bookmarkStart w:id="22" w:name="_Toc30049"/>
      <w:bookmarkStart w:id="23" w:name="_Toc497396900"/>
      <w:r>
        <w:rPr>
          <w:rFonts w:hint="eastAsia" w:ascii="楷体" w:hAnsi="楷体" w:eastAsia="楷体" w:cs="楷体"/>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A2D5C9">
      <w:pPr>
        <w:numPr>
          <w:ilvl w:val="0"/>
          <w:numId w:val="1"/>
        </w:numPr>
        <w:spacing w:line="360" w:lineRule="auto"/>
        <w:rPr>
          <w:rFonts w:ascii="楷体" w:hAnsi="楷体" w:eastAsia="楷体" w:cs="楷体"/>
          <w:b/>
          <w:bCs/>
          <w:sz w:val="24"/>
        </w:rPr>
      </w:pPr>
      <w:r>
        <w:rPr>
          <w:rFonts w:hint="eastAsia" w:ascii="楷体" w:hAnsi="楷体" w:eastAsia="楷体" w:cs="楷体"/>
          <w:sz w:val="24"/>
        </w:rPr>
        <w:t>本项目为全流程电子化招投标项目。在线注册、发售并下载招标文件，在线制作投标文件及在线开评标。凡有意购买文件的单位，请在www.gddingxin.com电子招标平台界面免费注册。（如有疑问可拨打平台统一服务热线020-83527049或010-86397110进行咨询）。</w:t>
      </w:r>
    </w:p>
    <w:p w14:paraId="58649C14">
      <w:pPr>
        <w:spacing w:line="360" w:lineRule="auto"/>
        <w:ind w:firstLine="420" w:firstLineChars="175"/>
        <w:rPr>
          <w:rFonts w:ascii="楷体" w:hAnsi="楷体" w:eastAsia="楷体" w:cs="楷体"/>
          <w:sz w:val="24"/>
        </w:rPr>
      </w:pPr>
      <w:r>
        <w:rPr>
          <w:rFonts w:hint="eastAsia" w:ascii="楷体" w:hAnsi="楷体" w:eastAsia="楷体" w:cs="楷体"/>
          <w:sz w:val="24"/>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7F6AD040">
      <w:pPr>
        <w:spacing w:line="360" w:lineRule="auto"/>
        <w:ind w:firstLine="420" w:firstLineChars="175"/>
        <w:rPr>
          <w:rFonts w:ascii="楷体" w:hAnsi="楷体" w:eastAsia="楷体" w:cs="楷体"/>
          <w:sz w:val="24"/>
        </w:rPr>
      </w:pPr>
      <w:r>
        <w:rPr>
          <w:rFonts w:hint="eastAsia" w:ascii="楷体" w:hAnsi="楷体" w:eastAsia="楷体" w:cs="楷体"/>
          <w:sz w:val="24"/>
        </w:rPr>
        <w:t>2、未按照招标文件要求签字或签章的电子投标文件为无效投标文件，其投标将被否决。</w:t>
      </w:r>
    </w:p>
    <w:p w14:paraId="25583344">
      <w:pPr>
        <w:spacing w:line="360" w:lineRule="auto"/>
        <w:ind w:firstLine="420" w:firstLineChars="175"/>
        <w:rPr>
          <w:rFonts w:ascii="楷体" w:hAnsi="楷体" w:eastAsia="楷体" w:cs="楷体"/>
          <w:sz w:val="24"/>
        </w:rPr>
      </w:pPr>
      <w:r>
        <w:rPr>
          <w:rFonts w:hint="eastAsia" w:ascii="楷体" w:hAnsi="楷体" w:eastAsia="楷体" w:cs="楷体"/>
          <w:sz w:val="24"/>
        </w:rPr>
        <w:t>3、开标时，请投标人准时登录平台观看开标流程并查看开标结果，招标代理机构将通过平台对成功上传的电子投标文件进行集中解密。</w:t>
      </w:r>
    </w:p>
    <w:p w14:paraId="605EFE0B">
      <w:pPr>
        <w:spacing w:line="360" w:lineRule="auto"/>
        <w:ind w:firstLine="420" w:firstLineChars="175"/>
        <w:rPr>
          <w:rFonts w:ascii="楷体" w:hAnsi="楷体" w:eastAsia="楷体" w:cs="楷体"/>
          <w:sz w:val="24"/>
        </w:rPr>
      </w:pPr>
      <w:r>
        <w:rPr>
          <w:rFonts w:hint="eastAsia" w:ascii="楷体" w:hAnsi="楷体" w:eastAsia="楷体" w:cs="楷体"/>
          <w:sz w:val="24"/>
        </w:rPr>
        <w:t>4、逾期上传或者未上传投标文件的，视为无效投标。</w:t>
      </w:r>
    </w:p>
    <w:p w14:paraId="0DB3FBAC">
      <w:pPr>
        <w:spacing w:line="360" w:lineRule="auto"/>
        <w:ind w:firstLine="420" w:firstLineChars="175"/>
        <w:rPr>
          <w:rFonts w:ascii="楷体" w:hAnsi="楷体" w:eastAsia="楷体" w:cs="楷体"/>
          <w:sz w:val="24"/>
        </w:rPr>
      </w:pPr>
      <w:r>
        <w:rPr>
          <w:rFonts w:hint="eastAsia" w:ascii="楷体" w:hAnsi="楷体" w:eastAsia="楷体" w:cs="楷体"/>
          <w:sz w:val="24"/>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49E3F3B6">
      <w:pPr>
        <w:spacing w:line="360" w:lineRule="auto"/>
        <w:ind w:firstLine="420" w:firstLineChars="175"/>
        <w:rPr>
          <w:rFonts w:ascii="楷体" w:hAnsi="楷体" w:eastAsia="楷体" w:cs="楷体"/>
          <w:sz w:val="24"/>
        </w:rPr>
      </w:pPr>
      <w:r>
        <w:rPr>
          <w:rFonts w:hint="eastAsia" w:ascii="楷体" w:hAnsi="楷体" w:eastAsia="楷体" w:cs="楷体"/>
          <w:sz w:val="24"/>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sz w:val="24"/>
        </w:rPr>
        <w:t>办理“粤企签”可在多地交易系统通用，详情可微信搜索“粤企签”。</w:t>
      </w:r>
    </w:p>
    <w:p w14:paraId="5E1D3E14">
      <w:pPr>
        <w:spacing w:line="360" w:lineRule="auto"/>
        <w:rPr>
          <w:rFonts w:ascii="楷体" w:hAnsi="楷体" w:eastAsia="楷体" w:cs="楷体"/>
          <w:sz w:val="24"/>
        </w:rPr>
      </w:pPr>
    </w:p>
    <w:p w14:paraId="2BC44F29">
      <w:pPr>
        <w:spacing w:line="360" w:lineRule="auto"/>
        <w:rPr>
          <w:rFonts w:ascii="楷体" w:hAnsi="楷体" w:eastAsia="楷体" w:cs="楷体"/>
          <w:sz w:val="24"/>
        </w:rPr>
      </w:pPr>
      <w:r>
        <w:rPr>
          <w:rFonts w:hint="eastAsia" w:ascii="楷体" w:hAnsi="楷体" w:eastAsia="楷体" w:cs="楷体"/>
          <w:sz w:val="24"/>
        </w:rPr>
        <w:t>投标人操作步骤如下：</w:t>
      </w:r>
    </w:p>
    <w:p w14:paraId="2297CA75">
      <w:pPr>
        <w:spacing w:line="360" w:lineRule="auto"/>
        <w:ind w:firstLine="420" w:firstLineChars="175"/>
        <w:rPr>
          <w:rFonts w:ascii="楷体" w:hAnsi="楷体" w:eastAsia="楷体" w:cs="楷体"/>
          <w:sz w:val="24"/>
        </w:rPr>
      </w:pPr>
      <w:r>
        <w:rPr>
          <w:rFonts w:hint="eastAsia" w:ascii="楷体" w:hAnsi="楷体" w:eastAsia="楷体" w:cs="楷体"/>
          <w:sz w:val="24"/>
        </w:rPr>
        <w:t>1 登录www.gddingxin.com电子招标平台按钮进行供应商注册。</w:t>
      </w:r>
    </w:p>
    <w:p w14:paraId="618AD029">
      <w:pPr>
        <w:spacing w:line="360" w:lineRule="auto"/>
        <w:ind w:firstLine="420" w:firstLineChars="175"/>
        <w:rPr>
          <w:rFonts w:ascii="楷体" w:hAnsi="楷体" w:eastAsia="楷体" w:cs="楷体"/>
          <w:sz w:val="24"/>
        </w:rPr>
      </w:pPr>
      <w:r>
        <w:rPr>
          <w:rFonts w:hint="eastAsia" w:ascii="楷体" w:hAnsi="楷体" w:eastAsia="楷体" w:cs="楷体"/>
          <w:sz w:val="24"/>
        </w:rPr>
        <w:t>2 注册完成后，进入系统，点击 “寻找商机”进行项目名称查询，找到项目点击“我要参与”。</w:t>
      </w:r>
    </w:p>
    <w:p w14:paraId="31ACB678">
      <w:pPr>
        <w:spacing w:line="360" w:lineRule="auto"/>
        <w:ind w:firstLine="420" w:firstLineChars="175"/>
        <w:rPr>
          <w:rFonts w:ascii="楷体" w:hAnsi="楷体" w:eastAsia="楷体" w:cs="楷体"/>
          <w:sz w:val="24"/>
        </w:rPr>
      </w:pPr>
      <w:r>
        <w:rPr>
          <w:rFonts w:hint="eastAsia" w:ascii="楷体" w:hAnsi="楷体" w:eastAsia="楷体" w:cs="楷体"/>
          <w:sz w:val="24"/>
        </w:rPr>
        <w:t>3 等待项目经理审核通过后，投标人选中需要投标的包加入购物车进行标书费用支付。</w:t>
      </w:r>
    </w:p>
    <w:p w14:paraId="4F7DB8AD">
      <w:pPr>
        <w:spacing w:line="360" w:lineRule="auto"/>
        <w:ind w:firstLine="420" w:firstLineChars="175"/>
        <w:rPr>
          <w:rFonts w:ascii="楷体" w:hAnsi="楷体" w:eastAsia="楷体" w:cs="楷体"/>
          <w:sz w:val="24"/>
        </w:rPr>
      </w:pPr>
      <w:r>
        <w:rPr>
          <w:rFonts w:hint="eastAsia" w:ascii="楷体" w:hAnsi="楷体" w:eastAsia="楷体" w:cs="楷体"/>
          <w:sz w:val="24"/>
        </w:rPr>
        <w:t>4 支付完成后，投标人可以进行招标文件下载。</w:t>
      </w:r>
    </w:p>
    <w:p w14:paraId="0169D004">
      <w:pPr>
        <w:spacing w:line="360" w:lineRule="auto"/>
        <w:ind w:firstLine="420" w:firstLineChars="175"/>
        <w:rPr>
          <w:rFonts w:ascii="楷体" w:hAnsi="楷体" w:eastAsia="楷体" w:cs="楷体"/>
          <w:sz w:val="24"/>
        </w:rPr>
      </w:pPr>
      <w:r>
        <w:rPr>
          <w:rFonts w:hint="eastAsia" w:ascii="楷体" w:hAnsi="楷体" w:eastAsia="楷体" w:cs="楷体"/>
          <w:sz w:val="24"/>
        </w:rPr>
        <w:t>5 通过平台中的CA申请，进行CA办理（如有问题可致电平台公司咨询）。</w:t>
      </w:r>
    </w:p>
    <w:p w14:paraId="3D6D49B5">
      <w:pPr>
        <w:spacing w:line="360" w:lineRule="auto"/>
        <w:ind w:firstLine="420" w:firstLineChars="175"/>
        <w:rPr>
          <w:rFonts w:ascii="楷体" w:hAnsi="楷体" w:eastAsia="楷体" w:cs="楷体"/>
          <w:sz w:val="24"/>
        </w:rPr>
      </w:pPr>
      <w:r>
        <w:rPr>
          <w:rFonts w:hint="eastAsia" w:ascii="楷体" w:hAnsi="楷体" w:eastAsia="楷体" w:cs="楷体"/>
          <w:sz w:val="24"/>
        </w:rPr>
        <w:t>6 CA办理完成后，登录平台，下载“环境检测工具”，安装“投标文件客户端”打开招标文件，并按照提示进行逐步填写，生成投标文件，投标文件编辑完成后通过平台进行上传。</w:t>
      </w:r>
    </w:p>
    <w:p w14:paraId="1A141A74">
      <w:pPr>
        <w:spacing w:line="360" w:lineRule="auto"/>
        <w:ind w:firstLine="420" w:firstLineChars="175"/>
        <w:rPr>
          <w:rFonts w:ascii="楷体" w:hAnsi="楷体" w:eastAsia="楷体" w:cs="楷体"/>
          <w:sz w:val="24"/>
        </w:rPr>
      </w:pPr>
      <w:r>
        <w:rPr>
          <w:rFonts w:hint="eastAsia" w:ascii="楷体" w:hAnsi="楷体" w:eastAsia="楷体" w:cs="楷体"/>
          <w:sz w:val="24"/>
        </w:rPr>
        <w:t>7 评标结束后，可登录系统查看中标结果。</w:t>
      </w:r>
    </w:p>
    <w:p w14:paraId="0B0AAEDA">
      <w:pPr>
        <w:numPr>
          <w:ilvl w:val="0"/>
          <w:numId w:val="1"/>
        </w:numPr>
        <w:spacing w:line="360" w:lineRule="auto"/>
        <w:rPr>
          <w:rFonts w:ascii="楷体" w:hAnsi="楷体" w:eastAsia="楷体" w:cs="楷体"/>
          <w:sz w:val="24"/>
        </w:rPr>
      </w:pPr>
      <w:r>
        <w:rPr>
          <w:rFonts w:hint="eastAsia" w:ascii="楷体" w:hAnsi="楷体" w:eastAsia="楷体" w:cs="楷体"/>
          <w:sz w:val="24"/>
        </w:rPr>
        <w:t>购买招标文件或缴交中标服务费的账户：</w:t>
      </w:r>
    </w:p>
    <w:p w14:paraId="25104C32">
      <w:pPr>
        <w:spacing w:line="360" w:lineRule="auto"/>
        <w:ind w:firstLine="480" w:firstLineChars="200"/>
        <w:rPr>
          <w:rFonts w:ascii="楷体" w:hAnsi="楷体" w:eastAsia="楷体" w:cs="楷体"/>
          <w:sz w:val="24"/>
        </w:rPr>
      </w:pPr>
      <w:r>
        <w:rPr>
          <w:rFonts w:hint="eastAsia" w:ascii="楷体" w:hAnsi="楷体" w:eastAsia="楷体" w:cs="楷体"/>
          <w:sz w:val="24"/>
        </w:rPr>
        <w:t>账号：44050158050200000686，开户银行：中国建设银行股份有限公司广州石牌支行，收款人：广东鼎信招标采购有限公司</w:t>
      </w:r>
    </w:p>
    <w:p w14:paraId="40C26B88">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招标文件有“★”的地方为实质性的指标要求，必须一一响应。若有一项带“★”的指标要求未响应或不满足，将按投标无效处理。</w:t>
      </w:r>
    </w:p>
    <w:p w14:paraId="07EE45D7">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请正确填写《开标一览表》，含有包组的投标项目需分开报价，制作投标文件时可分开装订也可统一装订，但都必须密封。</w:t>
      </w:r>
    </w:p>
    <w:p w14:paraId="23EEB8B2">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请仔细检查《投标函》、《开标一览表》等重要格式文件是否有按要求盖公章或签名。</w:t>
      </w:r>
    </w:p>
    <w:p w14:paraId="10C6F9F2">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投标文件应按顺序编制页码。</w:t>
      </w:r>
    </w:p>
    <w:p w14:paraId="4C53915D">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招标文件如允许分公司投标的，需提供具有法人资格的总公司有效的营业执照副本复印件及对被授权人的授权书。</w:t>
      </w:r>
    </w:p>
    <w:p w14:paraId="3B2590EC">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445BDD09">
      <w:pPr>
        <w:numPr>
          <w:ilvl w:val="0"/>
          <w:numId w:val="1"/>
        </w:numPr>
        <w:spacing w:line="360" w:lineRule="auto"/>
        <w:rPr>
          <w:rFonts w:ascii="楷体" w:hAnsi="楷体" w:eastAsia="楷体" w:cs="楷体"/>
          <w:sz w:val="24"/>
        </w:rPr>
      </w:pPr>
      <w:r>
        <w:rPr>
          <w:rFonts w:hint="eastAsia" w:ascii="楷体" w:hAnsi="楷体" w:eastAsia="楷体" w:cs="楷体"/>
          <w:sz w:val="24"/>
        </w:rPr>
        <w:t>为了提高采购效率，节约社会交易成本与时间，本司希望购买了采购文件而决定不参加本次投标的投标人，在投标文件递交截止时间的2日前，按《投标邀请函》中的联系方式，以书面形式告知采购代理机构。对您的支持与配合，谨此致谢。</w:t>
      </w:r>
    </w:p>
    <w:p w14:paraId="1044E3E7">
      <w:pPr>
        <w:spacing w:line="360" w:lineRule="auto"/>
        <w:jc w:val="left"/>
        <w:rPr>
          <w:rFonts w:ascii="楷体" w:hAnsi="楷体" w:eastAsia="楷体" w:cs="楷体"/>
          <w:b/>
          <w:bCs/>
          <w:szCs w:val="21"/>
        </w:rPr>
      </w:pPr>
      <w:r>
        <w:rPr>
          <w:rFonts w:hint="eastAsia" w:ascii="楷体" w:hAnsi="楷体" w:eastAsia="楷体" w:cs="楷体"/>
          <w:b/>
          <w:bCs/>
          <w:szCs w:val="21"/>
        </w:rPr>
        <w:t>（本提示非招标文件的组成部分，仅作善意提醒。若与招标文件有不同之处，以招标文件为准。）</w:t>
      </w:r>
    </w:p>
    <w:p w14:paraId="0302698B">
      <w:pPr>
        <w:rPr>
          <w:rFonts w:ascii="楷体" w:hAnsi="楷体" w:eastAsia="楷体" w:cs="楷体"/>
        </w:rPr>
        <w:sectPr>
          <w:headerReference r:id="rId5" w:type="default"/>
          <w:footerReference r:id="rId6" w:type="default"/>
          <w:pgSz w:w="11906" w:h="16838"/>
          <w:pgMar w:top="1440" w:right="1800" w:bottom="1440" w:left="1800" w:header="851" w:footer="822" w:gutter="0"/>
          <w:pgNumType w:start="1"/>
          <w:cols w:space="720" w:num="1"/>
          <w:docGrid w:linePitch="312" w:charSpace="0"/>
        </w:sectPr>
      </w:pPr>
    </w:p>
    <w:p w14:paraId="5C03677B">
      <w:pPr>
        <w:pStyle w:val="4"/>
        <w:adjustRightInd w:val="0"/>
        <w:snapToGrid w:val="0"/>
        <w:spacing w:before="0" w:after="0" w:line="360" w:lineRule="auto"/>
        <w:jc w:val="center"/>
        <w:rPr>
          <w:rFonts w:ascii="楷体" w:hAnsi="楷体" w:eastAsia="楷体" w:cs="楷体"/>
        </w:rPr>
      </w:pPr>
      <w:bookmarkStart w:id="24" w:name="_Toc20643"/>
      <w:bookmarkStart w:id="25" w:name="_Toc7162"/>
      <w:bookmarkStart w:id="26" w:name="_Toc15688"/>
      <w:bookmarkStart w:id="27" w:name="_Toc3959"/>
      <w:bookmarkStart w:id="28" w:name="_Toc26380"/>
      <w:bookmarkStart w:id="29" w:name="_Toc37318719"/>
      <w:bookmarkStart w:id="30" w:name="_Toc497396901"/>
      <w:bookmarkStart w:id="31" w:name="_Toc30057"/>
      <w:bookmarkStart w:id="32" w:name="_Toc11722"/>
      <w:bookmarkStart w:id="33" w:name="_Toc10488237"/>
      <w:bookmarkStart w:id="34" w:name="_Toc40084129"/>
      <w:bookmarkStart w:id="35" w:name="_Toc506125799"/>
      <w:bookmarkStart w:id="36" w:name="_Toc25842"/>
      <w:bookmarkStart w:id="37" w:name="_Toc7915"/>
      <w:bookmarkStart w:id="38" w:name="_Toc506124738"/>
      <w:bookmarkStart w:id="39" w:name="_Toc22235"/>
      <w:r>
        <w:rPr>
          <w:rFonts w:hint="eastAsia" w:ascii="楷体" w:hAnsi="楷体" w:eastAsia="楷体" w:cs="楷体"/>
        </w:rPr>
        <w:t>目录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DA13B6B">
      <w:pPr>
        <w:pStyle w:val="31"/>
        <w:tabs>
          <w:tab w:val="right" w:leader="dot" w:pos="8306"/>
        </w:tabs>
        <w:adjustRightInd w:val="0"/>
        <w:snapToGrid w:val="0"/>
        <w:spacing w:before="0" w:line="360" w:lineRule="auto"/>
        <w:rPr>
          <w:rFonts w:ascii="楷体" w:hAnsi="楷体" w:eastAsia="楷体" w:cs="楷体"/>
          <w:i w:val="0"/>
        </w:rPr>
      </w:pPr>
      <w:r>
        <w:rPr>
          <w:rFonts w:hint="eastAsia" w:ascii="楷体" w:hAnsi="楷体" w:eastAsia="楷体" w:cs="楷体"/>
          <w:b w:val="0"/>
          <w:bCs w:val="0"/>
          <w:i w:val="0"/>
        </w:rPr>
        <w:fldChar w:fldCharType="begin"/>
      </w:r>
      <w:r>
        <w:rPr>
          <w:rFonts w:hint="eastAsia" w:ascii="楷体" w:hAnsi="楷体" w:eastAsia="楷体" w:cs="楷体"/>
          <w:b w:val="0"/>
          <w:bCs w:val="0"/>
          <w:i w:val="0"/>
        </w:rPr>
        <w:instrText xml:space="preserve"> TOC \o "1-3" \h \z \u </w:instrText>
      </w:r>
      <w:r>
        <w:rPr>
          <w:rFonts w:hint="eastAsia" w:ascii="楷体" w:hAnsi="楷体" w:eastAsia="楷体" w:cs="楷体"/>
          <w:b w:val="0"/>
          <w:bCs w:val="0"/>
          <w:i w:val="0"/>
        </w:rPr>
        <w:fldChar w:fldCharType="separate"/>
      </w:r>
      <w:r>
        <w:fldChar w:fldCharType="begin"/>
      </w:r>
      <w:r>
        <w:instrText xml:space="preserve"> HYPERLINK \l "_Toc30729" </w:instrText>
      </w:r>
      <w:r>
        <w:fldChar w:fldCharType="separate"/>
      </w:r>
      <w:r>
        <w:rPr>
          <w:rFonts w:hint="eastAsia" w:ascii="楷体" w:hAnsi="楷体" w:eastAsia="楷体" w:cs="楷体"/>
          <w:i w:val="0"/>
        </w:rPr>
        <w:t>第一章投标邀请函</w:t>
      </w:r>
      <w:r>
        <w:rPr>
          <w:rFonts w:hint="eastAsia" w:ascii="楷体" w:hAnsi="楷体" w:eastAsia="楷体" w:cs="楷体"/>
          <w:i w:val="0"/>
        </w:rPr>
        <w:tab/>
      </w:r>
      <w:r>
        <w:rPr>
          <w:rFonts w:hint="eastAsia" w:ascii="楷体" w:hAnsi="楷体" w:eastAsia="楷体" w:cs="楷体"/>
          <w:i w:val="0"/>
        </w:rPr>
        <w:fldChar w:fldCharType="begin"/>
      </w:r>
      <w:r>
        <w:rPr>
          <w:rFonts w:hint="eastAsia" w:ascii="楷体" w:hAnsi="楷体" w:eastAsia="楷体" w:cs="楷体"/>
          <w:i w:val="0"/>
        </w:rPr>
        <w:instrText xml:space="preserve"> PAGEREF _Toc30729 \h </w:instrText>
      </w:r>
      <w:r>
        <w:rPr>
          <w:rFonts w:hint="eastAsia" w:ascii="楷体" w:hAnsi="楷体" w:eastAsia="楷体" w:cs="楷体"/>
          <w:i w:val="0"/>
        </w:rPr>
        <w:fldChar w:fldCharType="separate"/>
      </w:r>
      <w:r>
        <w:rPr>
          <w:rFonts w:hint="eastAsia" w:ascii="楷体" w:hAnsi="楷体" w:eastAsia="楷体" w:cs="楷体"/>
          <w:i w:val="0"/>
        </w:rPr>
        <w:t>5</w:t>
      </w:r>
      <w:r>
        <w:rPr>
          <w:rFonts w:hint="eastAsia" w:ascii="楷体" w:hAnsi="楷体" w:eastAsia="楷体" w:cs="楷体"/>
          <w:i w:val="0"/>
        </w:rPr>
        <w:fldChar w:fldCharType="end"/>
      </w:r>
      <w:r>
        <w:rPr>
          <w:rFonts w:hint="eastAsia" w:ascii="楷体" w:hAnsi="楷体" w:eastAsia="楷体" w:cs="楷体"/>
          <w:i w:val="0"/>
        </w:rPr>
        <w:fldChar w:fldCharType="end"/>
      </w:r>
    </w:p>
    <w:p w14:paraId="63560444">
      <w:pPr>
        <w:pStyle w:val="31"/>
        <w:tabs>
          <w:tab w:val="right" w:leader="dot" w:pos="8306"/>
        </w:tabs>
        <w:adjustRightInd w:val="0"/>
        <w:snapToGrid w:val="0"/>
        <w:spacing w:before="0" w:line="360" w:lineRule="auto"/>
        <w:rPr>
          <w:rFonts w:ascii="楷体" w:hAnsi="楷体" w:eastAsia="楷体" w:cs="楷体"/>
          <w:i w:val="0"/>
        </w:rPr>
      </w:pPr>
      <w:r>
        <w:fldChar w:fldCharType="begin"/>
      </w:r>
      <w:r>
        <w:instrText xml:space="preserve"> HYPERLINK \l "_Toc22037" </w:instrText>
      </w:r>
      <w:r>
        <w:fldChar w:fldCharType="separate"/>
      </w:r>
      <w:r>
        <w:rPr>
          <w:rFonts w:hint="eastAsia" w:ascii="楷体" w:hAnsi="楷体" w:eastAsia="楷体" w:cs="楷体"/>
          <w:i w:val="0"/>
          <w:kern w:val="44"/>
        </w:rPr>
        <w:t>第二章投标人须知</w:t>
      </w:r>
      <w:r>
        <w:rPr>
          <w:rFonts w:hint="eastAsia" w:ascii="楷体" w:hAnsi="楷体" w:eastAsia="楷体" w:cs="楷体"/>
          <w:i w:val="0"/>
        </w:rPr>
        <w:tab/>
      </w:r>
      <w:r>
        <w:rPr>
          <w:rFonts w:hint="eastAsia" w:ascii="楷体" w:hAnsi="楷体" w:eastAsia="楷体" w:cs="楷体"/>
          <w:i w:val="0"/>
        </w:rPr>
        <w:fldChar w:fldCharType="begin"/>
      </w:r>
      <w:r>
        <w:rPr>
          <w:rFonts w:hint="eastAsia" w:ascii="楷体" w:hAnsi="楷体" w:eastAsia="楷体" w:cs="楷体"/>
          <w:i w:val="0"/>
        </w:rPr>
        <w:instrText xml:space="preserve"> PAGEREF _Toc22037 \h </w:instrText>
      </w:r>
      <w:r>
        <w:rPr>
          <w:rFonts w:hint="eastAsia" w:ascii="楷体" w:hAnsi="楷体" w:eastAsia="楷体" w:cs="楷体"/>
          <w:i w:val="0"/>
        </w:rPr>
        <w:fldChar w:fldCharType="separate"/>
      </w:r>
      <w:r>
        <w:rPr>
          <w:rFonts w:hint="eastAsia" w:ascii="楷体" w:hAnsi="楷体" w:eastAsia="楷体" w:cs="楷体"/>
          <w:i w:val="0"/>
        </w:rPr>
        <w:t>10</w:t>
      </w:r>
      <w:r>
        <w:rPr>
          <w:rFonts w:hint="eastAsia" w:ascii="楷体" w:hAnsi="楷体" w:eastAsia="楷体" w:cs="楷体"/>
          <w:i w:val="0"/>
        </w:rPr>
        <w:fldChar w:fldCharType="end"/>
      </w:r>
      <w:r>
        <w:rPr>
          <w:rFonts w:hint="eastAsia" w:ascii="楷体" w:hAnsi="楷体" w:eastAsia="楷体" w:cs="楷体"/>
          <w:i w:val="0"/>
        </w:rPr>
        <w:fldChar w:fldCharType="end"/>
      </w:r>
    </w:p>
    <w:p w14:paraId="14C1B575">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"_Toc10623" </w:instrText>
      </w:r>
      <w:r>
        <w:fldChar w:fldCharType="separate"/>
      </w:r>
      <w:r>
        <w:rPr>
          <w:rFonts w:hint="eastAsia" w:ascii="楷体" w:hAnsi="楷体" w:eastAsia="楷体" w:cs="楷体"/>
          <w:iCs/>
          <w:sz w:val="24"/>
          <w:szCs w:val="24"/>
        </w:rPr>
        <w:t>（一） 总则</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_Toc10623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13</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0BDC8473">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"_Toc7641" </w:instrText>
      </w:r>
      <w:r>
        <w:fldChar w:fldCharType="separate"/>
      </w:r>
      <w:r>
        <w:rPr>
          <w:rFonts w:hint="eastAsia" w:ascii="楷体" w:hAnsi="楷体" w:eastAsia="楷体" w:cs="楷体"/>
          <w:iCs/>
          <w:sz w:val="24"/>
          <w:szCs w:val="24"/>
          <w:lang w:val="zh-CN"/>
        </w:rPr>
        <w:t>1. 招标项目与采购当事人</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_Toc7641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13</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9B16D4D">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"_Toc31370" </w:instrText>
      </w:r>
      <w:r>
        <w:fldChar w:fldCharType="separate"/>
      </w:r>
      <w:r>
        <w:rPr>
          <w:rFonts w:hint="eastAsia" w:ascii="楷体" w:hAnsi="楷体" w:eastAsia="楷体" w:cs="楷体"/>
          <w:iCs/>
          <w:sz w:val="24"/>
          <w:szCs w:val="24"/>
          <w:lang w:val="zh-CN"/>
        </w:rPr>
        <w:t>2. 合格的投标人</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_Toc31370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13</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4F3C5FE5">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"_Toc20781" </w:instrText>
      </w:r>
      <w:r>
        <w:fldChar w:fldCharType="separate"/>
      </w:r>
      <w:r>
        <w:rPr>
          <w:rFonts w:hint="eastAsia" w:ascii="楷体" w:hAnsi="楷体" w:eastAsia="楷体" w:cs="楷体"/>
          <w:iCs/>
          <w:sz w:val="24"/>
          <w:szCs w:val="24"/>
          <w:lang w:val="zh-CN"/>
        </w:rPr>
        <w:t>3. 合格的货物和服务</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_Toc20781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54ABDCA1">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"_Toc31056" </w:instrText>
      </w:r>
      <w:r>
        <w:fldChar w:fldCharType="separate"/>
      </w:r>
      <w:r>
        <w:rPr>
          <w:rFonts w:hint="eastAsia" w:ascii="楷体" w:hAnsi="楷体" w:eastAsia="楷体" w:cs="楷体"/>
          <w:iCs/>
          <w:sz w:val="24"/>
          <w:szCs w:val="24"/>
        </w:rPr>
        <w:t>（二） 招标文件</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_Toc31056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3EB76DD">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"_Toc26165" </w:instrText>
      </w:r>
      <w:r>
        <w:fldChar w:fldCharType="separate"/>
      </w:r>
      <w:r>
        <w:rPr>
          <w:rFonts w:hint="eastAsia" w:ascii="楷体" w:hAnsi="楷体" w:eastAsia="楷体" w:cs="楷体"/>
          <w:iCs/>
          <w:sz w:val="24"/>
          <w:szCs w:val="24"/>
          <w:lang w:val="zh-CN"/>
        </w:rPr>
        <w:t>4. 招标文件的编制依据和组成</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_Toc26165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08072826">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"_Toc29518" </w:instrText>
      </w:r>
      <w:r>
        <w:fldChar w:fldCharType="separate"/>
      </w:r>
      <w:r>
        <w:rPr>
          <w:rFonts w:hint="eastAsia" w:ascii="楷体" w:hAnsi="楷体" w:eastAsia="楷体" w:cs="楷体"/>
          <w:iCs/>
          <w:sz w:val="24"/>
          <w:szCs w:val="24"/>
          <w:lang w:val="zh-CN"/>
        </w:rPr>
        <w:t>5. 招标文件的澄清和修改</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_Toc29518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57EEFD4">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"_Toc1432" </w:instrText>
      </w:r>
      <w:r>
        <w:fldChar w:fldCharType="separate"/>
      </w:r>
      <w:r>
        <w:rPr>
          <w:rFonts w:hint="eastAsia" w:ascii="楷体" w:hAnsi="楷体" w:eastAsia="楷体" w:cs="楷体"/>
          <w:iCs/>
          <w:sz w:val="24"/>
          <w:szCs w:val="24"/>
          <w:lang w:val="zh-CN"/>
        </w:rPr>
        <w:t>6. 答疑会或踏勘现场</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_Toc1432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AE4E37C">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"_Toc17190" </w:instrText>
      </w:r>
      <w:r>
        <w:fldChar w:fldCharType="separate"/>
      </w:r>
      <w:r>
        <w:rPr>
          <w:rFonts w:hint="eastAsia" w:ascii="楷体" w:hAnsi="楷体" w:eastAsia="楷体" w:cs="楷体"/>
          <w:iCs/>
          <w:sz w:val="24"/>
          <w:szCs w:val="24"/>
        </w:rPr>
        <w:t>（三） 投标文件的编制</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_Toc17190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C528C4A">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"_Toc2471" </w:instrText>
      </w:r>
      <w:r>
        <w:fldChar w:fldCharType="separate"/>
      </w:r>
      <w:r>
        <w:rPr>
          <w:rFonts w:hint="eastAsia" w:ascii="楷体" w:hAnsi="楷体" w:eastAsia="楷体" w:cs="楷体"/>
          <w:iCs/>
          <w:sz w:val="24"/>
          <w:szCs w:val="24"/>
          <w:lang w:val="zh-CN"/>
        </w:rPr>
        <w:t>7. 投标语言和计量单位</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_Toc2471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5FA70031">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"_Toc25428" </w:instrText>
      </w:r>
      <w:r>
        <w:fldChar w:fldCharType="separate"/>
      </w:r>
      <w:r>
        <w:rPr>
          <w:rFonts w:hint="eastAsia" w:ascii="楷体" w:hAnsi="楷体" w:eastAsia="楷体" w:cs="楷体"/>
          <w:iCs/>
          <w:sz w:val="24"/>
          <w:szCs w:val="24"/>
          <w:lang w:val="zh-CN"/>
        </w:rPr>
        <w:t>8. 投标文件的构成</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_Toc25428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B2EFBDB">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"_Toc3759" </w:instrText>
      </w:r>
      <w:r>
        <w:fldChar w:fldCharType="separate"/>
      </w:r>
      <w:r>
        <w:rPr>
          <w:rFonts w:hint="eastAsia" w:ascii="楷体" w:hAnsi="楷体" w:eastAsia="楷体" w:cs="楷体"/>
          <w:iCs/>
          <w:sz w:val="24"/>
          <w:szCs w:val="24"/>
          <w:lang w:val="zh-CN"/>
        </w:rPr>
        <w:t>9. 投标文件编制注意事项</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_Toc3759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988F65A">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"_Toc25512" </w:instrText>
      </w:r>
      <w:r>
        <w:fldChar w:fldCharType="separate"/>
      </w:r>
      <w:r>
        <w:rPr>
          <w:rFonts w:hint="eastAsia" w:ascii="楷体" w:hAnsi="楷体" w:eastAsia="楷体" w:cs="楷体"/>
          <w:iCs/>
          <w:sz w:val="24"/>
          <w:szCs w:val="24"/>
          <w:lang w:val="zh-CN"/>
        </w:rPr>
        <w:t>10. 投标文件的式样和签署</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_Toc25512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17</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B4DAB64">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"_Toc7953" </w:instrText>
      </w:r>
      <w:r>
        <w:fldChar w:fldCharType="separate"/>
      </w:r>
      <w:r>
        <w:rPr>
          <w:rFonts w:hint="eastAsia" w:ascii="楷体" w:hAnsi="楷体" w:eastAsia="楷体" w:cs="楷体"/>
          <w:iCs/>
          <w:sz w:val="24"/>
          <w:szCs w:val="24"/>
          <w:lang w:val="zh-CN"/>
        </w:rPr>
        <w:t>11. 投标有效期</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_Toc7953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17</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AB04839">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"_Toc16265" </w:instrText>
      </w:r>
      <w:r>
        <w:fldChar w:fldCharType="separate"/>
      </w:r>
      <w:r>
        <w:rPr>
          <w:rFonts w:hint="eastAsia" w:ascii="楷体" w:hAnsi="楷体" w:eastAsia="楷体" w:cs="楷体"/>
          <w:iCs/>
          <w:sz w:val="24"/>
          <w:szCs w:val="24"/>
          <w:lang w:val="zh-CN"/>
        </w:rPr>
        <w:t>12. 投标报价</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_Toc16265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18</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3F360B88">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"_Toc8443" </w:instrText>
      </w:r>
      <w:r>
        <w:fldChar w:fldCharType="separate"/>
      </w:r>
      <w:r>
        <w:rPr>
          <w:rFonts w:hint="eastAsia" w:ascii="楷体" w:hAnsi="楷体" w:eastAsia="楷体" w:cs="楷体"/>
          <w:iCs/>
          <w:sz w:val="24"/>
          <w:szCs w:val="24"/>
          <w:lang w:val="zh-CN"/>
        </w:rPr>
        <w:t>13. 联合体投标</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_Toc8443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19</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8CA193C">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"_Toc17222" </w:instrText>
      </w:r>
      <w:r>
        <w:fldChar w:fldCharType="separate"/>
      </w:r>
      <w:r>
        <w:rPr>
          <w:rFonts w:hint="eastAsia" w:ascii="楷体" w:hAnsi="楷体" w:eastAsia="楷体" w:cs="楷体"/>
          <w:iCs/>
          <w:sz w:val="24"/>
          <w:szCs w:val="24"/>
          <w:lang w:val="zh-CN"/>
        </w:rPr>
        <w:t>14. 证明投标人合格和资格的文件</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_Toc17222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19</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8087195">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"_Toc6895" </w:instrText>
      </w:r>
      <w:r>
        <w:fldChar w:fldCharType="separate"/>
      </w:r>
      <w:r>
        <w:rPr>
          <w:rFonts w:hint="eastAsia" w:ascii="楷体" w:hAnsi="楷体" w:eastAsia="楷体" w:cs="楷体"/>
          <w:iCs/>
          <w:sz w:val="24"/>
          <w:szCs w:val="24"/>
          <w:lang w:val="zh-CN"/>
        </w:rPr>
        <w:t>15. 证明服务和货物的合格性和符合招标文件规定的文件</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_Toc6895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19</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6879044">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"_Toc24839" </w:instrText>
      </w:r>
      <w:r>
        <w:fldChar w:fldCharType="separate"/>
      </w:r>
      <w:r>
        <w:rPr>
          <w:rFonts w:hint="eastAsia" w:ascii="楷体" w:hAnsi="楷体" w:eastAsia="楷体" w:cs="楷体"/>
          <w:iCs/>
          <w:sz w:val="24"/>
          <w:szCs w:val="24"/>
          <w:lang w:val="zh-CN"/>
        </w:rPr>
        <w:t>16. 投标保证金</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_Toc24839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20</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85DEF02">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"_Toc19836" </w:instrText>
      </w:r>
      <w:r>
        <w:fldChar w:fldCharType="separate"/>
      </w:r>
      <w:r>
        <w:rPr>
          <w:rFonts w:hint="eastAsia" w:ascii="楷体" w:hAnsi="楷体" w:eastAsia="楷体" w:cs="楷体"/>
          <w:iCs/>
          <w:sz w:val="24"/>
          <w:szCs w:val="24"/>
          <w:lang w:val="zh-CN"/>
        </w:rPr>
        <w:t>17. 投标保证金的退还条件</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_Toc19836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20</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A9DADB3">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"_Toc6674" </w:instrText>
      </w:r>
      <w:r>
        <w:fldChar w:fldCharType="separate"/>
      </w:r>
      <w:r>
        <w:rPr>
          <w:rFonts w:hint="eastAsia" w:ascii="楷体" w:hAnsi="楷体" w:eastAsia="楷体" w:cs="楷体"/>
          <w:iCs/>
          <w:sz w:val="24"/>
          <w:szCs w:val="24"/>
        </w:rPr>
        <w:t>（四） 投标文件的递交</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_Toc6674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21</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0991C287">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"_Toc21468" </w:instrText>
      </w:r>
      <w:r>
        <w:fldChar w:fldCharType="separate"/>
      </w:r>
      <w:r>
        <w:rPr>
          <w:rFonts w:hint="eastAsia" w:ascii="楷体" w:hAnsi="楷体" w:eastAsia="楷体" w:cs="楷体"/>
          <w:iCs/>
          <w:sz w:val="24"/>
          <w:szCs w:val="24"/>
          <w:lang w:val="zh-CN"/>
        </w:rPr>
        <w:t>18. 投标文件的密封和标记</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_Toc21468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21</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30F452E">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"_Toc1931" </w:instrText>
      </w:r>
      <w:r>
        <w:fldChar w:fldCharType="separate"/>
      </w:r>
      <w:r>
        <w:rPr>
          <w:rFonts w:hint="eastAsia" w:ascii="楷体" w:hAnsi="楷体" w:eastAsia="楷体" w:cs="楷体"/>
          <w:iCs/>
          <w:sz w:val="24"/>
          <w:szCs w:val="24"/>
          <w:lang w:val="zh-CN"/>
        </w:rPr>
        <w:t>19. 投标文件递交要求</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_Toc1931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21</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6F2BFA8">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"_Toc19019" </w:instrText>
      </w:r>
      <w:r>
        <w:fldChar w:fldCharType="separate"/>
      </w:r>
      <w:r>
        <w:rPr>
          <w:rFonts w:hint="eastAsia" w:ascii="楷体" w:hAnsi="楷体" w:eastAsia="楷体" w:cs="楷体"/>
          <w:iCs/>
          <w:sz w:val="24"/>
          <w:szCs w:val="24"/>
          <w:lang w:val="zh-CN"/>
        </w:rPr>
        <w:t>20. 投标截止</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_Toc19019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21</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746726C">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"_Toc9682" </w:instrText>
      </w:r>
      <w:r>
        <w:fldChar w:fldCharType="separate"/>
      </w:r>
      <w:r>
        <w:rPr>
          <w:rFonts w:hint="eastAsia" w:ascii="楷体" w:hAnsi="楷体" w:eastAsia="楷体" w:cs="楷体"/>
          <w:iCs/>
          <w:sz w:val="24"/>
          <w:szCs w:val="24"/>
          <w:lang w:val="zh-CN"/>
        </w:rPr>
        <w:t>21. 投标文件的修改和撤回</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_Toc9682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21</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5CCA9A0B">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"_Toc12376" </w:instrText>
      </w:r>
      <w:r>
        <w:fldChar w:fldCharType="separate"/>
      </w:r>
      <w:r>
        <w:rPr>
          <w:rFonts w:hint="eastAsia" w:ascii="楷体" w:hAnsi="楷体" w:eastAsia="楷体" w:cs="楷体"/>
          <w:iCs/>
          <w:sz w:val="24"/>
          <w:szCs w:val="24"/>
        </w:rPr>
        <w:t>（五） 开标与评标</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_Toc12376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22</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8AA6D86">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"_Toc24617" </w:instrText>
      </w:r>
      <w:r>
        <w:fldChar w:fldCharType="separate"/>
      </w:r>
      <w:r>
        <w:rPr>
          <w:rFonts w:hint="eastAsia" w:ascii="楷体" w:hAnsi="楷体" w:eastAsia="楷体" w:cs="楷体"/>
          <w:iCs/>
          <w:sz w:val="24"/>
          <w:szCs w:val="24"/>
          <w:lang w:val="zh-CN"/>
        </w:rPr>
        <w:t>22. 开标</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_Toc24617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22</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100EB85">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"_Toc11902" </w:instrText>
      </w:r>
      <w:r>
        <w:fldChar w:fldCharType="separate"/>
      </w:r>
      <w:r>
        <w:rPr>
          <w:rFonts w:hint="eastAsia" w:ascii="楷体" w:hAnsi="楷体" w:eastAsia="楷体" w:cs="楷体"/>
          <w:iCs/>
          <w:sz w:val="24"/>
          <w:szCs w:val="24"/>
          <w:lang w:val="zh-CN"/>
        </w:rPr>
        <w:t>23. 评标</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_Toc11902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22</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F0BC56B">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"_Toc1619" </w:instrText>
      </w:r>
      <w:r>
        <w:fldChar w:fldCharType="separate"/>
      </w:r>
      <w:r>
        <w:rPr>
          <w:rFonts w:hint="eastAsia" w:ascii="楷体" w:hAnsi="楷体" w:eastAsia="楷体" w:cs="楷体"/>
          <w:iCs/>
          <w:sz w:val="24"/>
          <w:szCs w:val="24"/>
          <w:lang w:val="zh-CN"/>
        </w:rPr>
        <w:t>24. 定标原则和授标</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_Toc1619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23</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9F9D175">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"_Toc25032" </w:instrText>
      </w:r>
      <w:r>
        <w:fldChar w:fldCharType="separate"/>
      </w:r>
      <w:r>
        <w:rPr>
          <w:rFonts w:hint="eastAsia" w:ascii="楷体" w:hAnsi="楷体" w:eastAsia="楷体" w:cs="楷体"/>
          <w:iCs/>
          <w:sz w:val="24"/>
          <w:szCs w:val="24"/>
          <w:lang w:val="zh-CN"/>
        </w:rPr>
        <w:t>25. 中标通知书</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_Toc25032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3B0CA2FE">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"_Toc25662" </w:instrText>
      </w:r>
      <w:r>
        <w:fldChar w:fldCharType="separate"/>
      </w:r>
      <w:r>
        <w:rPr>
          <w:rFonts w:hint="eastAsia" w:ascii="楷体" w:hAnsi="楷体" w:eastAsia="楷体" w:cs="楷体"/>
          <w:iCs/>
          <w:sz w:val="24"/>
          <w:szCs w:val="24"/>
        </w:rPr>
        <w:t>（六） 异议及投诉</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_Toc25662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2453A7B">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"_Toc9548" </w:instrText>
      </w:r>
      <w:r>
        <w:fldChar w:fldCharType="separate"/>
      </w:r>
      <w:r>
        <w:rPr>
          <w:rFonts w:hint="eastAsia" w:ascii="楷体" w:hAnsi="楷体" w:eastAsia="楷体" w:cs="楷体"/>
          <w:iCs/>
          <w:sz w:val="24"/>
          <w:szCs w:val="24"/>
          <w:lang w:val="zh-CN"/>
        </w:rPr>
        <w:t>26. 异议</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_Toc9548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24</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77F8CDF">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"_Toc13312" </w:instrText>
      </w:r>
      <w:r>
        <w:fldChar w:fldCharType="separate"/>
      </w:r>
      <w:r>
        <w:rPr>
          <w:rFonts w:hint="eastAsia" w:ascii="楷体" w:hAnsi="楷体" w:eastAsia="楷体" w:cs="楷体"/>
          <w:iCs/>
          <w:sz w:val="24"/>
          <w:szCs w:val="24"/>
          <w:lang w:val="zh-CN"/>
        </w:rPr>
        <w:t>27. 投诉</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_Toc13312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2E27E0AA">
      <w:pPr>
        <w:pStyle w:val="36"/>
        <w:tabs>
          <w:tab w:val="right" w:leader="dot" w:pos="8306"/>
        </w:tabs>
        <w:adjustRightInd w:val="0"/>
        <w:snapToGrid w:val="0"/>
        <w:spacing w:before="0" w:line="360" w:lineRule="auto"/>
        <w:rPr>
          <w:rFonts w:ascii="楷体" w:hAnsi="楷体" w:eastAsia="楷体" w:cs="楷体"/>
          <w:iCs/>
          <w:sz w:val="24"/>
          <w:szCs w:val="24"/>
        </w:rPr>
      </w:pPr>
      <w:r>
        <w:fldChar w:fldCharType="begin"/>
      </w:r>
      <w:r>
        <w:instrText xml:space="preserve"> HYPERLINK \l "_Toc20670" </w:instrText>
      </w:r>
      <w:r>
        <w:fldChar w:fldCharType="separate"/>
      </w:r>
      <w:r>
        <w:rPr>
          <w:rFonts w:hint="eastAsia" w:ascii="楷体" w:hAnsi="楷体" w:eastAsia="楷体" w:cs="楷体"/>
          <w:iCs/>
          <w:sz w:val="24"/>
          <w:szCs w:val="24"/>
        </w:rPr>
        <w:t>（七） 授予合同</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_Toc20670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67D556F7">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"_Toc9383" </w:instrText>
      </w:r>
      <w:r>
        <w:fldChar w:fldCharType="separate"/>
      </w:r>
      <w:r>
        <w:rPr>
          <w:rFonts w:hint="eastAsia" w:ascii="楷体" w:hAnsi="楷体" w:eastAsia="楷体" w:cs="楷体"/>
          <w:iCs/>
          <w:sz w:val="24"/>
          <w:szCs w:val="24"/>
          <w:lang w:val="zh-CN"/>
        </w:rPr>
        <w:t>28. 合同的订立</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_Toc9383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BC7D964">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"_Toc23666" </w:instrText>
      </w:r>
      <w:r>
        <w:fldChar w:fldCharType="separate"/>
      </w:r>
      <w:r>
        <w:rPr>
          <w:rFonts w:hint="eastAsia" w:ascii="楷体" w:hAnsi="楷体" w:eastAsia="楷体" w:cs="楷体"/>
          <w:iCs/>
          <w:sz w:val="24"/>
          <w:szCs w:val="24"/>
          <w:lang w:val="zh-CN"/>
        </w:rPr>
        <w:t>29. 合同的履行</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_Toc23666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25</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7E7AE720">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"_Toc17586" </w:instrText>
      </w:r>
      <w:r>
        <w:fldChar w:fldCharType="separate"/>
      </w:r>
      <w:r>
        <w:rPr>
          <w:rFonts w:hint="eastAsia" w:ascii="楷体" w:hAnsi="楷体" w:eastAsia="楷体" w:cs="楷体"/>
          <w:iCs/>
          <w:sz w:val="24"/>
          <w:szCs w:val="24"/>
          <w:lang w:val="zh-CN"/>
        </w:rPr>
        <w:t>30. 履约保证金</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_Toc17586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543D5E1F">
      <w:pPr>
        <w:pStyle w:val="22"/>
        <w:tabs>
          <w:tab w:val="right" w:leader="dot" w:pos="8306"/>
        </w:tabs>
        <w:adjustRightInd w:val="0"/>
        <w:snapToGrid w:val="0"/>
        <w:spacing w:line="360" w:lineRule="auto"/>
        <w:rPr>
          <w:rFonts w:ascii="楷体" w:hAnsi="楷体" w:eastAsia="楷体" w:cs="楷体"/>
          <w:iCs/>
          <w:sz w:val="24"/>
          <w:szCs w:val="24"/>
        </w:rPr>
      </w:pPr>
      <w:r>
        <w:fldChar w:fldCharType="begin"/>
      </w:r>
      <w:r>
        <w:instrText xml:space="preserve"> HYPERLINK \l "_Toc7803" </w:instrText>
      </w:r>
      <w:r>
        <w:fldChar w:fldCharType="separate"/>
      </w:r>
      <w:r>
        <w:rPr>
          <w:rFonts w:hint="eastAsia" w:ascii="楷体" w:hAnsi="楷体" w:eastAsia="楷体" w:cs="楷体"/>
          <w:iCs/>
          <w:sz w:val="24"/>
          <w:szCs w:val="24"/>
          <w:lang w:val="zh-CN"/>
        </w:rPr>
        <w:t>31. 招标代理服务费</w:t>
      </w:r>
      <w:r>
        <w:rPr>
          <w:rFonts w:hint="eastAsia" w:ascii="楷体" w:hAnsi="楷体" w:eastAsia="楷体" w:cs="楷体"/>
          <w:iCs/>
          <w:sz w:val="24"/>
          <w:szCs w:val="24"/>
        </w:rPr>
        <w:tab/>
      </w:r>
      <w:r>
        <w:rPr>
          <w:rFonts w:hint="eastAsia" w:ascii="楷体" w:hAnsi="楷体" w:eastAsia="楷体" w:cs="楷体"/>
          <w:iCs/>
          <w:sz w:val="24"/>
          <w:szCs w:val="24"/>
        </w:rPr>
        <w:fldChar w:fldCharType="begin"/>
      </w:r>
      <w:r>
        <w:rPr>
          <w:rFonts w:hint="eastAsia" w:ascii="楷体" w:hAnsi="楷体" w:eastAsia="楷体" w:cs="楷体"/>
          <w:iCs/>
          <w:sz w:val="24"/>
          <w:szCs w:val="24"/>
        </w:rPr>
        <w:instrText xml:space="preserve"> PAGEREF _Toc7803 \h </w:instrText>
      </w:r>
      <w:r>
        <w:rPr>
          <w:rFonts w:hint="eastAsia" w:ascii="楷体" w:hAnsi="楷体" w:eastAsia="楷体" w:cs="楷体"/>
          <w:iCs/>
          <w:sz w:val="24"/>
          <w:szCs w:val="24"/>
        </w:rPr>
        <w:fldChar w:fldCharType="separate"/>
      </w:r>
      <w:r>
        <w:rPr>
          <w:rFonts w:hint="eastAsia" w:ascii="楷体" w:hAnsi="楷体" w:eastAsia="楷体" w:cs="楷体"/>
          <w:iCs/>
          <w:sz w:val="24"/>
          <w:szCs w:val="24"/>
        </w:rPr>
        <w:t>26</w:t>
      </w:r>
      <w:r>
        <w:rPr>
          <w:rFonts w:hint="eastAsia" w:ascii="楷体" w:hAnsi="楷体" w:eastAsia="楷体" w:cs="楷体"/>
          <w:iCs/>
          <w:sz w:val="24"/>
          <w:szCs w:val="24"/>
        </w:rPr>
        <w:fldChar w:fldCharType="end"/>
      </w:r>
      <w:r>
        <w:rPr>
          <w:rFonts w:hint="eastAsia" w:ascii="楷体" w:hAnsi="楷体" w:eastAsia="楷体" w:cs="楷体"/>
          <w:iCs/>
          <w:sz w:val="24"/>
          <w:szCs w:val="24"/>
        </w:rPr>
        <w:fldChar w:fldCharType="end"/>
      </w:r>
    </w:p>
    <w:p w14:paraId="14770046">
      <w:pPr>
        <w:pStyle w:val="31"/>
        <w:tabs>
          <w:tab w:val="right" w:leader="dot" w:pos="8306"/>
        </w:tabs>
        <w:adjustRightInd w:val="0"/>
        <w:snapToGrid w:val="0"/>
        <w:spacing w:before="0" w:line="360" w:lineRule="auto"/>
        <w:rPr>
          <w:rFonts w:ascii="楷体" w:hAnsi="楷体" w:eastAsia="楷体" w:cs="楷体"/>
          <w:i w:val="0"/>
        </w:rPr>
      </w:pPr>
      <w:r>
        <w:fldChar w:fldCharType="begin"/>
      </w:r>
      <w:r>
        <w:instrText xml:space="preserve"> HYPERLINK \l "_Toc21808" </w:instrText>
      </w:r>
      <w:r>
        <w:fldChar w:fldCharType="separate"/>
      </w:r>
      <w:r>
        <w:rPr>
          <w:rFonts w:hint="eastAsia" w:ascii="楷体" w:hAnsi="楷体" w:eastAsia="楷体" w:cs="楷体"/>
          <w:i w:val="0"/>
        </w:rPr>
        <w:t>第三章评分体系与标准</w:t>
      </w:r>
      <w:r>
        <w:rPr>
          <w:rFonts w:hint="eastAsia" w:ascii="楷体" w:hAnsi="楷体" w:eastAsia="楷体" w:cs="楷体"/>
          <w:i w:val="0"/>
        </w:rPr>
        <w:tab/>
      </w:r>
      <w:r>
        <w:rPr>
          <w:rFonts w:hint="eastAsia" w:ascii="楷体" w:hAnsi="楷体" w:eastAsia="楷体" w:cs="楷体"/>
          <w:i w:val="0"/>
        </w:rPr>
        <w:fldChar w:fldCharType="begin"/>
      </w:r>
      <w:r>
        <w:rPr>
          <w:rFonts w:hint="eastAsia" w:ascii="楷体" w:hAnsi="楷体" w:eastAsia="楷体" w:cs="楷体"/>
          <w:i w:val="0"/>
        </w:rPr>
        <w:instrText xml:space="preserve"> PAGEREF _Toc21808 \h </w:instrText>
      </w:r>
      <w:r>
        <w:rPr>
          <w:rFonts w:hint="eastAsia" w:ascii="楷体" w:hAnsi="楷体" w:eastAsia="楷体" w:cs="楷体"/>
          <w:i w:val="0"/>
        </w:rPr>
        <w:fldChar w:fldCharType="separate"/>
      </w:r>
      <w:r>
        <w:rPr>
          <w:rFonts w:hint="eastAsia" w:ascii="楷体" w:hAnsi="楷体" w:eastAsia="楷体" w:cs="楷体"/>
          <w:i w:val="0"/>
        </w:rPr>
        <w:t>27</w:t>
      </w:r>
      <w:r>
        <w:rPr>
          <w:rFonts w:hint="eastAsia" w:ascii="楷体" w:hAnsi="楷体" w:eastAsia="楷体" w:cs="楷体"/>
          <w:i w:val="0"/>
        </w:rPr>
        <w:fldChar w:fldCharType="end"/>
      </w:r>
      <w:r>
        <w:rPr>
          <w:rFonts w:hint="eastAsia" w:ascii="楷体" w:hAnsi="楷体" w:eastAsia="楷体" w:cs="楷体"/>
          <w:i w:val="0"/>
        </w:rPr>
        <w:fldChar w:fldCharType="end"/>
      </w:r>
    </w:p>
    <w:p w14:paraId="46031A2C">
      <w:pPr>
        <w:pStyle w:val="36"/>
        <w:tabs>
          <w:tab w:val="right" w:leader="dot" w:pos="8306"/>
        </w:tabs>
        <w:adjustRightInd w:val="0"/>
        <w:snapToGrid w:val="0"/>
        <w:spacing w:before="0" w:line="360" w:lineRule="auto"/>
        <w:rPr>
          <w:rFonts w:ascii="楷体" w:hAnsi="楷体" w:eastAsia="楷体" w:cs="楷体"/>
          <w:b w:val="0"/>
          <w:bCs w:val="0"/>
          <w:iCs/>
          <w:sz w:val="24"/>
          <w:szCs w:val="24"/>
        </w:rPr>
      </w:pPr>
      <w:r>
        <w:fldChar w:fldCharType="begin"/>
      </w:r>
      <w:r>
        <w:instrText xml:space="preserve"> HYPERLINK \l "_Toc12756" </w:instrText>
      </w:r>
      <w:r>
        <w:fldChar w:fldCharType="separate"/>
      </w:r>
      <w:r>
        <w:rPr>
          <w:rFonts w:hint="eastAsia" w:ascii="楷体" w:hAnsi="楷体" w:eastAsia="楷体" w:cs="楷体"/>
          <w:b w:val="0"/>
          <w:bCs w:val="0"/>
          <w:iCs/>
          <w:sz w:val="24"/>
          <w:szCs w:val="24"/>
        </w:rPr>
        <w:t>（一） 评标方法</w:t>
      </w:r>
      <w:r>
        <w:rPr>
          <w:rFonts w:hint="eastAsia" w:ascii="楷体" w:hAnsi="楷体" w:eastAsia="楷体" w:cs="楷体"/>
          <w:b w:val="0"/>
          <w:bCs w:val="0"/>
          <w:iCs/>
          <w:sz w:val="24"/>
          <w:szCs w:val="24"/>
        </w:rPr>
        <w:tab/>
      </w:r>
      <w:r>
        <w:rPr>
          <w:rFonts w:hint="eastAsia" w:ascii="楷体" w:hAnsi="楷体" w:eastAsia="楷体" w:cs="楷体"/>
          <w:b w:val="0"/>
          <w:bCs w:val="0"/>
          <w:iCs/>
          <w:sz w:val="24"/>
          <w:szCs w:val="24"/>
        </w:rPr>
        <w:fldChar w:fldCharType="begin"/>
      </w:r>
      <w:r>
        <w:rPr>
          <w:rFonts w:hint="eastAsia" w:ascii="楷体" w:hAnsi="楷体" w:eastAsia="楷体" w:cs="楷体"/>
          <w:b w:val="0"/>
          <w:bCs w:val="0"/>
          <w:iCs/>
          <w:sz w:val="24"/>
          <w:szCs w:val="24"/>
        </w:rPr>
        <w:instrText xml:space="preserve"> PAGEREF _Toc12756 \h </w:instrText>
      </w:r>
      <w:r>
        <w:rPr>
          <w:rFonts w:hint="eastAsia" w:ascii="楷体" w:hAnsi="楷体" w:eastAsia="楷体" w:cs="楷体"/>
          <w:b w:val="0"/>
          <w:bCs w:val="0"/>
          <w:iCs/>
          <w:sz w:val="24"/>
          <w:szCs w:val="24"/>
        </w:rPr>
        <w:fldChar w:fldCharType="separate"/>
      </w:r>
      <w:r>
        <w:rPr>
          <w:rFonts w:hint="eastAsia" w:ascii="楷体" w:hAnsi="楷体" w:eastAsia="楷体" w:cs="楷体"/>
          <w:b w:val="0"/>
          <w:bCs w:val="0"/>
          <w:iCs/>
          <w:sz w:val="24"/>
          <w:szCs w:val="24"/>
        </w:rPr>
        <w:t>28</w:t>
      </w:r>
      <w:r>
        <w:rPr>
          <w:rFonts w:hint="eastAsia" w:ascii="楷体" w:hAnsi="楷体" w:eastAsia="楷体" w:cs="楷体"/>
          <w:b w:val="0"/>
          <w:bCs w:val="0"/>
          <w:iCs/>
          <w:sz w:val="24"/>
          <w:szCs w:val="24"/>
        </w:rPr>
        <w:fldChar w:fldCharType="end"/>
      </w:r>
      <w:r>
        <w:rPr>
          <w:rFonts w:hint="eastAsia" w:ascii="楷体" w:hAnsi="楷体" w:eastAsia="楷体" w:cs="楷体"/>
          <w:b w:val="0"/>
          <w:bCs w:val="0"/>
          <w:iCs/>
          <w:sz w:val="24"/>
          <w:szCs w:val="24"/>
        </w:rPr>
        <w:fldChar w:fldCharType="end"/>
      </w:r>
    </w:p>
    <w:p w14:paraId="3D740BD1">
      <w:pPr>
        <w:pStyle w:val="36"/>
        <w:tabs>
          <w:tab w:val="right" w:leader="dot" w:pos="8306"/>
        </w:tabs>
        <w:adjustRightInd w:val="0"/>
        <w:snapToGrid w:val="0"/>
        <w:spacing w:before="0" w:line="360" w:lineRule="auto"/>
        <w:rPr>
          <w:rFonts w:ascii="楷体" w:hAnsi="楷体" w:eastAsia="楷体" w:cs="楷体"/>
          <w:b w:val="0"/>
          <w:bCs w:val="0"/>
          <w:iCs/>
          <w:sz w:val="24"/>
          <w:szCs w:val="24"/>
        </w:rPr>
      </w:pPr>
      <w:r>
        <w:fldChar w:fldCharType="begin"/>
      </w:r>
      <w:r>
        <w:instrText xml:space="preserve"> HYPERLINK \l "_Toc29386" </w:instrText>
      </w:r>
      <w:r>
        <w:fldChar w:fldCharType="separate"/>
      </w:r>
      <w:r>
        <w:rPr>
          <w:rFonts w:hint="eastAsia" w:ascii="楷体" w:hAnsi="楷体" w:eastAsia="楷体" w:cs="楷体"/>
          <w:b w:val="0"/>
          <w:bCs w:val="0"/>
          <w:iCs/>
          <w:sz w:val="24"/>
          <w:szCs w:val="24"/>
        </w:rPr>
        <w:t>（二） 评标流程</w:t>
      </w:r>
      <w:r>
        <w:rPr>
          <w:rFonts w:hint="eastAsia" w:ascii="楷体" w:hAnsi="楷体" w:eastAsia="楷体" w:cs="楷体"/>
          <w:b w:val="0"/>
          <w:bCs w:val="0"/>
          <w:iCs/>
          <w:sz w:val="24"/>
          <w:szCs w:val="24"/>
        </w:rPr>
        <w:tab/>
      </w:r>
      <w:r>
        <w:rPr>
          <w:rFonts w:hint="eastAsia" w:ascii="楷体" w:hAnsi="楷体" w:eastAsia="楷体" w:cs="楷体"/>
          <w:b w:val="0"/>
          <w:bCs w:val="0"/>
          <w:iCs/>
          <w:sz w:val="24"/>
          <w:szCs w:val="24"/>
        </w:rPr>
        <w:fldChar w:fldCharType="begin"/>
      </w:r>
      <w:r>
        <w:rPr>
          <w:rFonts w:hint="eastAsia" w:ascii="楷体" w:hAnsi="楷体" w:eastAsia="楷体" w:cs="楷体"/>
          <w:b w:val="0"/>
          <w:bCs w:val="0"/>
          <w:iCs/>
          <w:sz w:val="24"/>
          <w:szCs w:val="24"/>
        </w:rPr>
        <w:instrText xml:space="preserve"> PAGEREF _Toc29386 \h </w:instrText>
      </w:r>
      <w:r>
        <w:rPr>
          <w:rFonts w:hint="eastAsia" w:ascii="楷体" w:hAnsi="楷体" w:eastAsia="楷体" w:cs="楷体"/>
          <w:b w:val="0"/>
          <w:bCs w:val="0"/>
          <w:iCs/>
          <w:sz w:val="24"/>
          <w:szCs w:val="24"/>
        </w:rPr>
        <w:fldChar w:fldCharType="separate"/>
      </w:r>
      <w:r>
        <w:rPr>
          <w:rFonts w:hint="eastAsia" w:ascii="楷体" w:hAnsi="楷体" w:eastAsia="楷体" w:cs="楷体"/>
          <w:b w:val="0"/>
          <w:bCs w:val="0"/>
          <w:iCs/>
          <w:sz w:val="24"/>
          <w:szCs w:val="24"/>
        </w:rPr>
        <w:t>28</w:t>
      </w:r>
      <w:r>
        <w:rPr>
          <w:rFonts w:hint="eastAsia" w:ascii="楷体" w:hAnsi="楷体" w:eastAsia="楷体" w:cs="楷体"/>
          <w:b w:val="0"/>
          <w:bCs w:val="0"/>
          <w:iCs/>
          <w:sz w:val="24"/>
          <w:szCs w:val="24"/>
        </w:rPr>
        <w:fldChar w:fldCharType="end"/>
      </w:r>
      <w:r>
        <w:rPr>
          <w:rFonts w:hint="eastAsia" w:ascii="楷体" w:hAnsi="楷体" w:eastAsia="楷体" w:cs="楷体"/>
          <w:b w:val="0"/>
          <w:bCs w:val="0"/>
          <w:iCs/>
          <w:sz w:val="24"/>
          <w:szCs w:val="24"/>
        </w:rPr>
        <w:fldChar w:fldCharType="end"/>
      </w:r>
    </w:p>
    <w:p w14:paraId="423C8B4D">
      <w:pPr>
        <w:pStyle w:val="36"/>
        <w:tabs>
          <w:tab w:val="right" w:leader="dot" w:pos="8306"/>
        </w:tabs>
        <w:adjustRightInd w:val="0"/>
        <w:snapToGrid w:val="0"/>
        <w:spacing w:before="0" w:line="360" w:lineRule="auto"/>
        <w:rPr>
          <w:rFonts w:ascii="楷体" w:hAnsi="楷体" w:eastAsia="楷体" w:cs="楷体"/>
          <w:b w:val="0"/>
          <w:bCs w:val="0"/>
          <w:iCs/>
          <w:sz w:val="24"/>
          <w:szCs w:val="24"/>
        </w:rPr>
      </w:pPr>
      <w:r>
        <w:fldChar w:fldCharType="begin"/>
      </w:r>
      <w:r>
        <w:instrText xml:space="preserve"> HYPERLINK \l "_Toc24498" </w:instrText>
      </w:r>
      <w:r>
        <w:fldChar w:fldCharType="separate"/>
      </w:r>
      <w:r>
        <w:rPr>
          <w:rFonts w:hint="eastAsia" w:ascii="楷体" w:hAnsi="楷体" w:eastAsia="楷体" w:cs="楷体"/>
          <w:b w:val="0"/>
          <w:bCs w:val="0"/>
          <w:iCs/>
          <w:sz w:val="24"/>
          <w:szCs w:val="24"/>
          <w:lang w:val="zh-CN"/>
        </w:rPr>
        <w:t>（三） 初步评审</w:t>
      </w:r>
      <w:r>
        <w:rPr>
          <w:rFonts w:hint="eastAsia" w:ascii="楷体" w:hAnsi="楷体" w:eastAsia="楷体" w:cs="楷体"/>
          <w:b w:val="0"/>
          <w:bCs w:val="0"/>
          <w:iCs/>
          <w:sz w:val="24"/>
          <w:szCs w:val="24"/>
        </w:rPr>
        <w:tab/>
      </w:r>
      <w:r>
        <w:rPr>
          <w:rFonts w:hint="eastAsia" w:ascii="楷体" w:hAnsi="楷体" w:eastAsia="楷体" w:cs="楷体"/>
          <w:b w:val="0"/>
          <w:bCs w:val="0"/>
          <w:iCs/>
          <w:sz w:val="24"/>
          <w:szCs w:val="24"/>
        </w:rPr>
        <w:fldChar w:fldCharType="begin"/>
      </w:r>
      <w:r>
        <w:rPr>
          <w:rFonts w:hint="eastAsia" w:ascii="楷体" w:hAnsi="楷体" w:eastAsia="楷体" w:cs="楷体"/>
          <w:b w:val="0"/>
          <w:bCs w:val="0"/>
          <w:iCs/>
          <w:sz w:val="24"/>
          <w:szCs w:val="24"/>
        </w:rPr>
        <w:instrText xml:space="preserve"> PAGEREF _Toc24498 \h </w:instrText>
      </w:r>
      <w:r>
        <w:rPr>
          <w:rFonts w:hint="eastAsia" w:ascii="楷体" w:hAnsi="楷体" w:eastAsia="楷体" w:cs="楷体"/>
          <w:b w:val="0"/>
          <w:bCs w:val="0"/>
          <w:iCs/>
          <w:sz w:val="24"/>
          <w:szCs w:val="24"/>
        </w:rPr>
        <w:fldChar w:fldCharType="separate"/>
      </w:r>
      <w:r>
        <w:rPr>
          <w:rFonts w:hint="eastAsia" w:ascii="楷体" w:hAnsi="楷体" w:eastAsia="楷体" w:cs="楷体"/>
          <w:b w:val="0"/>
          <w:bCs w:val="0"/>
          <w:iCs/>
          <w:sz w:val="24"/>
          <w:szCs w:val="24"/>
        </w:rPr>
        <w:t>28</w:t>
      </w:r>
      <w:r>
        <w:rPr>
          <w:rFonts w:hint="eastAsia" w:ascii="楷体" w:hAnsi="楷体" w:eastAsia="楷体" w:cs="楷体"/>
          <w:b w:val="0"/>
          <w:bCs w:val="0"/>
          <w:iCs/>
          <w:sz w:val="24"/>
          <w:szCs w:val="24"/>
        </w:rPr>
        <w:fldChar w:fldCharType="end"/>
      </w:r>
      <w:r>
        <w:rPr>
          <w:rFonts w:hint="eastAsia" w:ascii="楷体" w:hAnsi="楷体" w:eastAsia="楷体" w:cs="楷体"/>
          <w:b w:val="0"/>
          <w:bCs w:val="0"/>
          <w:iCs/>
          <w:sz w:val="24"/>
          <w:szCs w:val="24"/>
        </w:rPr>
        <w:fldChar w:fldCharType="end"/>
      </w:r>
    </w:p>
    <w:p w14:paraId="05138E08">
      <w:pPr>
        <w:pStyle w:val="36"/>
        <w:tabs>
          <w:tab w:val="right" w:leader="dot" w:pos="8306"/>
        </w:tabs>
        <w:adjustRightInd w:val="0"/>
        <w:snapToGrid w:val="0"/>
        <w:spacing w:before="0" w:line="360" w:lineRule="auto"/>
        <w:rPr>
          <w:rFonts w:ascii="楷体" w:hAnsi="楷体" w:eastAsia="楷体" w:cs="楷体"/>
          <w:b w:val="0"/>
          <w:bCs w:val="0"/>
          <w:iCs/>
          <w:sz w:val="24"/>
          <w:szCs w:val="24"/>
        </w:rPr>
      </w:pPr>
      <w:r>
        <w:fldChar w:fldCharType="begin"/>
      </w:r>
      <w:r>
        <w:instrText xml:space="preserve"> HYPERLINK \l "_Toc11343" </w:instrText>
      </w:r>
      <w:r>
        <w:fldChar w:fldCharType="separate"/>
      </w:r>
      <w:r>
        <w:rPr>
          <w:rFonts w:hint="eastAsia" w:ascii="楷体" w:hAnsi="楷体" w:eastAsia="楷体" w:cs="楷体"/>
          <w:b w:val="0"/>
          <w:bCs w:val="0"/>
          <w:iCs/>
          <w:sz w:val="24"/>
          <w:szCs w:val="24"/>
          <w:lang w:val="zh-CN"/>
        </w:rPr>
        <w:t>（四） 详细评审</w:t>
      </w:r>
      <w:r>
        <w:rPr>
          <w:rFonts w:hint="eastAsia" w:ascii="楷体" w:hAnsi="楷体" w:eastAsia="楷体" w:cs="楷体"/>
          <w:b w:val="0"/>
          <w:bCs w:val="0"/>
          <w:iCs/>
          <w:sz w:val="24"/>
          <w:szCs w:val="24"/>
        </w:rPr>
        <w:tab/>
      </w:r>
      <w:r>
        <w:rPr>
          <w:rFonts w:hint="eastAsia" w:ascii="楷体" w:hAnsi="楷体" w:eastAsia="楷体" w:cs="楷体"/>
          <w:b w:val="0"/>
          <w:bCs w:val="0"/>
          <w:iCs/>
          <w:sz w:val="24"/>
          <w:szCs w:val="24"/>
        </w:rPr>
        <w:fldChar w:fldCharType="begin"/>
      </w:r>
      <w:r>
        <w:rPr>
          <w:rFonts w:hint="eastAsia" w:ascii="楷体" w:hAnsi="楷体" w:eastAsia="楷体" w:cs="楷体"/>
          <w:b w:val="0"/>
          <w:bCs w:val="0"/>
          <w:iCs/>
          <w:sz w:val="24"/>
          <w:szCs w:val="24"/>
        </w:rPr>
        <w:instrText xml:space="preserve"> PAGEREF _Toc11343 \h </w:instrText>
      </w:r>
      <w:r>
        <w:rPr>
          <w:rFonts w:hint="eastAsia" w:ascii="楷体" w:hAnsi="楷体" w:eastAsia="楷体" w:cs="楷体"/>
          <w:b w:val="0"/>
          <w:bCs w:val="0"/>
          <w:iCs/>
          <w:sz w:val="24"/>
          <w:szCs w:val="24"/>
        </w:rPr>
        <w:fldChar w:fldCharType="separate"/>
      </w:r>
      <w:r>
        <w:rPr>
          <w:rFonts w:hint="eastAsia" w:ascii="楷体" w:hAnsi="楷体" w:eastAsia="楷体" w:cs="楷体"/>
          <w:b w:val="0"/>
          <w:bCs w:val="0"/>
          <w:iCs/>
          <w:sz w:val="24"/>
          <w:szCs w:val="24"/>
        </w:rPr>
        <w:t>30</w:t>
      </w:r>
      <w:r>
        <w:rPr>
          <w:rFonts w:hint="eastAsia" w:ascii="楷体" w:hAnsi="楷体" w:eastAsia="楷体" w:cs="楷体"/>
          <w:b w:val="0"/>
          <w:bCs w:val="0"/>
          <w:iCs/>
          <w:sz w:val="24"/>
          <w:szCs w:val="24"/>
        </w:rPr>
        <w:fldChar w:fldCharType="end"/>
      </w:r>
      <w:r>
        <w:rPr>
          <w:rFonts w:hint="eastAsia" w:ascii="楷体" w:hAnsi="楷体" w:eastAsia="楷体" w:cs="楷体"/>
          <w:b w:val="0"/>
          <w:bCs w:val="0"/>
          <w:iCs/>
          <w:sz w:val="24"/>
          <w:szCs w:val="24"/>
        </w:rPr>
        <w:fldChar w:fldCharType="end"/>
      </w:r>
    </w:p>
    <w:p w14:paraId="2D8F2C43">
      <w:pPr>
        <w:pStyle w:val="36"/>
        <w:tabs>
          <w:tab w:val="right" w:leader="dot" w:pos="8306"/>
        </w:tabs>
        <w:adjustRightInd w:val="0"/>
        <w:snapToGrid w:val="0"/>
        <w:spacing w:before="0" w:line="360" w:lineRule="auto"/>
        <w:rPr>
          <w:rFonts w:ascii="楷体" w:hAnsi="楷体" w:eastAsia="楷体" w:cs="楷体"/>
          <w:b w:val="0"/>
          <w:bCs w:val="0"/>
          <w:iCs/>
          <w:sz w:val="24"/>
          <w:szCs w:val="24"/>
        </w:rPr>
      </w:pPr>
      <w:r>
        <w:fldChar w:fldCharType="begin"/>
      </w:r>
      <w:r>
        <w:instrText xml:space="preserve"> HYPERLINK \l "_Toc25704" </w:instrText>
      </w:r>
      <w:r>
        <w:fldChar w:fldCharType="separate"/>
      </w:r>
      <w:r>
        <w:rPr>
          <w:rFonts w:hint="eastAsia" w:ascii="楷体" w:hAnsi="楷体" w:eastAsia="楷体" w:cs="楷体"/>
          <w:b w:val="0"/>
          <w:bCs w:val="0"/>
          <w:iCs/>
          <w:sz w:val="24"/>
          <w:szCs w:val="24"/>
          <w:lang w:val="zh-CN"/>
        </w:rPr>
        <w:t>（五） 附表</w:t>
      </w:r>
      <w:r>
        <w:rPr>
          <w:rFonts w:hint="eastAsia" w:ascii="楷体" w:hAnsi="楷体" w:eastAsia="楷体" w:cs="楷体"/>
          <w:b w:val="0"/>
          <w:bCs w:val="0"/>
          <w:iCs/>
          <w:sz w:val="24"/>
          <w:szCs w:val="24"/>
        </w:rPr>
        <w:tab/>
      </w:r>
      <w:r>
        <w:rPr>
          <w:rFonts w:hint="eastAsia" w:ascii="楷体" w:hAnsi="楷体" w:eastAsia="楷体" w:cs="楷体"/>
          <w:b w:val="0"/>
          <w:bCs w:val="0"/>
          <w:iCs/>
          <w:sz w:val="24"/>
          <w:szCs w:val="24"/>
        </w:rPr>
        <w:fldChar w:fldCharType="begin"/>
      </w:r>
      <w:r>
        <w:rPr>
          <w:rFonts w:hint="eastAsia" w:ascii="楷体" w:hAnsi="楷体" w:eastAsia="楷体" w:cs="楷体"/>
          <w:b w:val="0"/>
          <w:bCs w:val="0"/>
          <w:iCs/>
          <w:sz w:val="24"/>
          <w:szCs w:val="24"/>
        </w:rPr>
        <w:instrText xml:space="preserve"> PAGEREF _Toc25704 \h </w:instrText>
      </w:r>
      <w:r>
        <w:rPr>
          <w:rFonts w:hint="eastAsia" w:ascii="楷体" w:hAnsi="楷体" w:eastAsia="楷体" w:cs="楷体"/>
          <w:b w:val="0"/>
          <w:bCs w:val="0"/>
          <w:iCs/>
          <w:sz w:val="24"/>
          <w:szCs w:val="24"/>
        </w:rPr>
        <w:fldChar w:fldCharType="separate"/>
      </w:r>
      <w:r>
        <w:rPr>
          <w:rFonts w:hint="eastAsia" w:ascii="楷体" w:hAnsi="楷体" w:eastAsia="楷体" w:cs="楷体"/>
          <w:b w:val="0"/>
          <w:bCs w:val="0"/>
          <w:iCs/>
          <w:sz w:val="24"/>
          <w:szCs w:val="24"/>
        </w:rPr>
        <w:t>31</w:t>
      </w:r>
      <w:r>
        <w:rPr>
          <w:rFonts w:hint="eastAsia" w:ascii="楷体" w:hAnsi="楷体" w:eastAsia="楷体" w:cs="楷体"/>
          <w:b w:val="0"/>
          <w:bCs w:val="0"/>
          <w:iCs/>
          <w:sz w:val="24"/>
          <w:szCs w:val="24"/>
        </w:rPr>
        <w:fldChar w:fldCharType="end"/>
      </w:r>
      <w:r>
        <w:rPr>
          <w:rFonts w:hint="eastAsia" w:ascii="楷体" w:hAnsi="楷体" w:eastAsia="楷体" w:cs="楷体"/>
          <w:b w:val="0"/>
          <w:bCs w:val="0"/>
          <w:iCs/>
          <w:sz w:val="24"/>
          <w:szCs w:val="24"/>
        </w:rPr>
        <w:fldChar w:fldCharType="end"/>
      </w:r>
    </w:p>
    <w:p w14:paraId="0BB2025D">
      <w:pPr>
        <w:pStyle w:val="31"/>
        <w:tabs>
          <w:tab w:val="right" w:leader="dot" w:pos="8306"/>
        </w:tabs>
        <w:adjustRightInd w:val="0"/>
        <w:snapToGrid w:val="0"/>
        <w:spacing w:before="0" w:line="360" w:lineRule="auto"/>
        <w:rPr>
          <w:rFonts w:ascii="楷体" w:hAnsi="楷体" w:eastAsia="楷体" w:cs="楷体"/>
          <w:i w:val="0"/>
        </w:rPr>
      </w:pPr>
      <w:r>
        <w:fldChar w:fldCharType="begin"/>
      </w:r>
      <w:r>
        <w:instrText xml:space="preserve"> HYPERLINK \l "_Toc6782" </w:instrText>
      </w:r>
      <w:r>
        <w:fldChar w:fldCharType="separate"/>
      </w:r>
      <w:r>
        <w:rPr>
          <w:rFonts w:hint="eastAsia" w:ascii="楷体" w:hAnsi="楷体" w:eastAsia="楷体" w:cs="楷体"/>
          <w:i w:val="0"/>
        </w:rPr>
        <w:t>第四章用户需求书</w:t>
      </w:r>
      <w:r>
        <w:rPr>
          <w:rFonts w:hint="eastAsia" w:ascii="楷体" w:hAnsi="楷体" w:eastAsia="楷体" w:cs="楷体"/>
          <w:i w:val="0"/>
        </w:rPr>
        <w:tab/>
      </w:r>
      <w:r>
        <w:rPr>
          <w:rFonts w:hint="eastAsia" w:ascii="楷体" w:hAnsi="楷体" w:eastAsia="楷体" w:cs="楷体"/>
          <w:i w:val="0"/>
        </w:rPr>
        <w:fldChar w:fldCharType="begin"/>
      </w:r>
      <w:r>
        <w:rPr>
          <w:rFonts w:hint="eastAsia" w:ascii="楷体" w:hAnsi="楷体" w:eastAsia="楷体" w:cs="楷体"/>
          <w:i w:val="0"/>
        </w:rPr>
        <w:instrText xml:space="preserve"> PAGEREF _Toc6782 \h </w:instrText>
      </w:r>
      <w:r>
        <w:rPr>
          <w:rFonts w:hint="eastAsia" w:ascii="楷体" w:hAnsi="楷体" w:eastAsia="楷体" w:cs="楷体"/>
          <w:i w:val="0"/>
        </w:rPr>
        <w:fldChar w:fldCharType="separate"/>
      </w:r>
      <w:r>
        <w:rPr>
          <w:rFonts w:hint="eastAsia" w:ascii="楷体" w:hAnsi="楷体" w:eastAsia="楷体" w:cs="楷体"/>
          <w:i w:val="0"/>
        </w:rPr>
        <w:t>36</w:t>
      </w:r>
      <w:r>
        <w:rPr>
          <w:rFonts w:hint="eastAsia" w:ascii="楷体" w:hAnsi="楷体" w:eastAsia="楷体" w:cs="楷体"/>
          <w:i w:val="0"/>
        </w:rPr>
        <w:fldChar w:fldCharType="end"/>
      </w:r>
      <w:r>
        <w:rPr>
          <w:rFonts w:hint="eastAsia" w:ascii="楷体" w:hAnsi="楷体" w:eastAsia="楷体" w:cs="楷体"/>
          <w:i w:val="0"/>
        </w:rPr>
        <w:fldChar w:fldCharType="end"/>
      </w:r>
    </w:p>
    <w:p w14:paraId="285CB606">
      <w:pPr>
        <w:pStyle w:val="31"/>
        <w:tabs>
          <w:tab w:val="right" w:leader="dot" w:pos="8306"/>
        </w:tabs>
        <w:adjustRightInd w:val="0"/>
        <w:snapToGrid w:val="0"/>
        <w:spacing w:before="0" w:line="360" w:lineRule="auto"/>
        <w:rPr>
          <w:rFonts w:ascii="楷体" w:hAnsi="楷体" w:eastAsia="楷体" w:cs="楷体"/>
          <w:i w:val="0"/>
        </w:rPr>
      </w:pPr>
      <w:r>
        <w:fldChar w:fldCharType="begin"/>
      </w:r>
      <w:r>
        <w:instrText xml:space="preserve"> HYPERLINK \l "_Toc29839" </w:instrText>
      </w:r>
      <w:r>
        <w:fldChar w:fldCharType="separate"/>
      </w:r>
      <w:r>
        <w:rPr>
          <w:rFonts w:hint="eastAsia" w:ascii="楷体" w:hAnsi="楷体" w:eastAsia="楷体" w:cs="楷体"/>
          <w:i w:val="0"/>
        </w:rPr>
        <w:t>第五章合同格式</w:t>
      </w:r>
      <w:r>
        <w:rPr>
          <w:rFonts w:hint="eastAsia" w:ascii="楷体" w:hAnsi="楷体" w:eastAsia="楷体" w:cs="楷体"/>
          <w:i w:val="0"/>
        </w:rPr>
        <w:tab/>
      </w:r>
      <w:r>
        <w:rPr>
          <w:rFonts w:hint="eastAsia" w:ascii="楷体" w:hAnsi="楷体" w:eastAsia="楷体" w:cs="楷体"/>
          <w:i w:val="0"/>
        </w:rPr>
        <w:fldChar w:fldCharType="begin"/>
      </w:r>
      <w:r>
        <w:rPr>
          <w:rFonts w:hint="eastAsia" w:ascii="楷体" w:hAnsi="楷体" w:eastAsia="楷体" w:cs="楷体"/>
          <w:i w:val="0"/>
        </w:rPr>
        <w:instrText xml:space="preserve"> PAGEREF _Toc29839 \h </w:instrText>
      </w:r>
      <w:r>
        <w:rPr>
          <w:rFonts w:hint="eastAsia" w:ascii="楷体" w:hAnsi="楷体" w:eastAsia="楷体" w:cs="楷体"/>
          <w:i w:val="0"/>
        </w:rPr>
        <w:fldChar w:fldCharType="separate"/>
      </w:r>
      <w:r>
        <w:rPr>
          <w:rFonts w:hint="eastAsia" w:ascii="楷体" w:hAnsi="楷体" w:eastAsia="楷体" w:cs="楷体"/>
          <w:i w:val="0"/>
        </w:rPr>
        <w:t>46</w:t>
      </w:r>
      <w:r>
        <w:rPr>
          <w:rFonts w:hint="eastAsia" w:ascii="楷体" w:hAnsi="楷体" w:eastAsia="楷体" w:cs="楷体"/>
          <w:i w:val="0"/>
        </w:rPr>
        <w:fldChar w:fldCharType="end"/>
      </w:r>
      <w:r>
        <w:rPr>
          <w:rFonts w:hint="eastAsia" w:ascii="楷体" w:hAnsi="楷体" w:eastAsia="楷体" w:cs="楷体"/>
          <w:i w:val="0"/>
        </w:rPr>
        <w:fldChar w:fldCharType="end"/>
      </w:r>
    </w:p>
    <w:p w14:paraId="5B9989EB">
      <w:pPr>
        <w:pStyle w:val="31"/>
        <w:tabs>
          <w:tab w:val="right" w:leader="dot" w:pos="8306"/>
        </w:tabs>
        <w:adjustRightInd w:val="0"/>
        <w:snapToGrid w:val="0"/>
        <w:spacing w:before="0" w:line="360" w:lineRule="auto"/>
        <w:rPr>
          <w:rFonts w:ascii="楷体" w:hAnsi="楷体" w:eastAsia="楷体" w:cs="楷体"/>
          <w:i w:val="0"/>
        </w:rPr>
      </w:pPr>
      <w:r>
        <w:fldChar w:fldCharType="begin"/>
      </w:r>
      <w:r>
        <w:instrText xml:space="preserve"> HYPERLINK \l "_Toc27411" </w:instrText>
      </w:r>
      <w:r>
        <w:fldChar w:fldCharType="separate"/>
      </w:r>
      <w:r>
        <w:rPr>
          <w:rFonts w:hint="eastAsia" w:ascii="楷体" w:hAnsi="楷体" w:eastAsia="楷体" w:cs="楷体"/>
          <w:i w:val="0"/>
        </w:rPr>
        <w:t>第六章投标文件格式</w:t>
      </w:r>
      <w:r>
        <w:rPr>
          <w:rFonts w:hint="eastAsia" w:ascii="楷体" w:hAnsi="楷体" w:eastAsia="楷体" w:cs="楷体"/>
          <w:i w:val="0"/>
        </w:rPr>
        <w:tab/>
      </w:r>
      <w:r>
        <w:rPr>
          <w:rFonts w:hint="eastAsia" w:ascii="楷体" w:hAnsi="楷体" w:eastAsia="楷体" w:cs="楷体"/>
          <w:i w:val="0"/>
        </w:rPr>
        <w:t>7</w:t>
      </w:r>
      <w:r>
        <w:rPr>
          <w:rFonts w:hint="eastAsia" w:ascii="楷体" w:hAnsi="楷体" w:eastAsia="楷体" w:cs="楷体"/>
          <w:i w:val="0"/>
        </w:rPr>
        <w:fldChar w:fldCharType="end"/>
      </w:r>
      <w:r>
        <w:rPr>
          <w:rFonts w:hint="eastAsia" w:ascii="楷体" w:hAnsi="楷体" w:eastAsia="楷体" w:cs="楷体"/>
          <w:i w:val="0"/>
        </w:rPr>
        <w:t>0</w:t>
      </w:r>
    </w:p>
    <w:p w14:paraId="1C149F21">
      <w:pPr>
        <w:adjustRightInd w:val="0"/>
        <w:snapToGrid w:val="0"/>
        <w:spacing w:line="360" w:lineRule="auto"/>
        <w:rPr>
          <w:rFonts w:ascii="楷体" w:hAnsi="楷体" w:eastAsia="楷体" w:cs="楷体"/>
        </w:rPr>
      </w:pPr>
      <w:r>
        <w:rPr>
          <w:rFonts w:hint="eastAsia" w:ascii="楷体" w:hAnsi="楷体" w:eastAsia="楷体" w:cs="楷体"/>
          <w:iCs/>
          <w:sz w:val="24"/>
        </w:rPr>
        <w:fldChar w:fldCharType="end"/>
      </w:r>
      <w:r>
        <w:rPr>
          <w:rFonts w:hint="eastAsia" w:ascii="楷体" w:hAnsi="楷体" w:eastAsia="楷体" w:cs="楷体"/>
          <w:iCs/>
          <w:szCs w:val="21"/>
        </w:rPr>
        <w:br w:type="page"/>
      </w:r>
      <w:bookmarkStart w:id="40" w:name="_Toc27984"/>
    </w:p>
    <w:p w14:paraId="4BB30CF9">
      <w:pPr>
        <w:pStyle w:val="3"/>
        <w:rPr>
          <w:rFonts w:ascii="楷体" w:hAnsi="楷体" w:eastAsia="楷体" w:cs="楷体"/>
        </w:rPr>
      </w:pPr>
    </w:p>
    <w:p w14:paraId="1788105F">
      <w:pPr>
        <w:pStyle w:val="3"/>
        <w:rPr>
          <w:rFonts w:ascii="楷体" w:hAnsi="楷体" w:eastAsia="楷体" w:cs="楷体"/>
        </w:rPr>
      </w:pPr>
    </w:p>
    <w:p w14:paraId="7E7361CA">
      <w:pPr>
        <w:pStyle w:val="3"/>
        <w:rPr>
          <w:rFonts w:ascii="楷体" w:hAnsi="楷体" w:eastAsia="楷体" w:cs="楷体"/>
        </w:rPr>
      </w:pPr>
    </w:p>
    <w:p w14:paraId="25E9BB48">
      <w:pPr>
        <w:pStyle w:val="3"/>
        <w:rPr>
          <w:rFonts w:ascii="楷体" w:hAnsi="楷体" w:eastAsia="楷体" w:cs="楷体"/>
        </w:rPr>
      </w:pPr>
    </w:p>
    <w:p w14:paraId="1A720F0B">
      <w:pPr>
        <w:pStyle w:val="3"/>
        <w:rPr>
          <w:rFonts w:ascii="楷体" w:hAnsi="楷体" w:eastAsia="楷体" w:cs="楷体"/>
        </w:rPr>
      </w:pPr>
    </w:p>
    <w:p w14:paraId="35995144">
      <w:pPr>
        <w:pStyle w:val="3"/>
        <w:rPr>
          <w:rFonts w:ascii="楷体" w:hAnsi="楷体" w:eastAsia="楷体" w:cs="楷体"/>
        </w:rPr>
      </w:pPr>
    </w:p>
    <w:p w14:paraId="02504416">
      <w:pPr>
        <w:pStyle w:val="3"/>
        <w:rPr>
          <w:rFonts w:ascii="楷体" w:hAnsi="楷体" w:eastAsia="楷体" w:cs="楷体"/>
        </w:rPr>
      </w:pPr>
    </w:p>
    <w:p w14:paraId="6E85506A">
      <w:pPr>
        <w:pStyle w:val="3"/>
        <w:rPr>
          <w:rFonts w:ascii="楷体" w:hAnsi="楷体" w:eastAsia="楷体" w:cs="楷体"/>
        </w:rPr>
      </w:pPr>
    </w:p>
    <w:p w14:paraId="0F379697">
      <w:pPr>
        <w:pStyle w:val="3"/>
        <w:rPr>
          <w:rFonts w:ascii="楷体" w:hAnsi="楷体" w:eastAsia="楷体" w:cs="楷体"/>
        </w:rPr>
      </w:pPr>
    </w:p>
    <w:p w14:paraId="38DC7E06">
      <w:pPr>
        <w:pStyle w:val="3"/>
        <w:rPr>
          <w:rFonts w:ascii="楷体" w:hAnsi="楷体" w:eastAsia="楷体" w:cs="楷体"/>
        </w:rPr>
      </w:pPr>
    </w:p>
    <w:p w14:paraId="6E231AE2">
      <w:pPr>
        <w:pStyle w:val="3"/>
        <w:rPr>
          <w:rFonts w:ascii="楷体" w:hAnsi="楷体" w:eastAsia="楷体" w:cs="楷体"/>
        </w:rPr>
      </w:pPr>
    </w:p>
    <w:p w14:paraId="518BF594">
      <w:pPr>
        <w:pStyle w:val="3"/>
        <w:rPr>
          <w:rFonts w:ascii="楷体" w:hAnsi="楷体" w:eastAsia="楷体" w:cs="楷体"/>
        </w:rPr>
      </w:pPr>
    </w:p>
    <w:p w14:paraId="121CC1A0">
      <w:pPr>
        <w:pStyle w:val="3"/>
        <w:rPr>
          <w:rFonts w:ascii="楷体" w:hAnsi="楷体" w:eastAsia="楷体" w:cs="楷体"/>
        </w:rPr>
      </w:pPr>
    </w:p>
    <w:p w14:paraId="12677B6A">
      <w:pPr>
        <w:pStyle w:val="3"/>
        <w:rPr>
          <w:rFonts w:ascii="楷体" w:hAnsi="楷体" w:eastAsia="楷体" w:cs="楷体"/>
        </w:rPr>
      </w:pPr>
    </w:p>
    <w:p w14:paraId="023DBF3B">
      <w:pPr>
        <w:pStyle w:val="3"/>
        <w:rPr>
          <w:rFonts w:ascii="楷体" w:hAnsi="楷体" w:eastAsia="楷体" w:cs="楷体"/>
        </w:rPr>
      </w:pPr>
    </w:p>
    <w:p w14:paraId="382E26AE">
      <w:pPr>
        <w:rPr>
          <w:rFonts w:ascii="楷体" w:hAnsi="楷体" w:eastAsia="楷体" w:cs="楷体"/>
        </w:rPr>
      </w:pPr>
      <w:bookmarkStart w:id="41" w:name="_Toc21441"/>
      <w:bookmarkStart w:id="42" w:name="_Toc23117"/>
      <w:bookmarkStart w:id="43" w:name="_Toc23625"/>
    </w:p>
    <w:p w14:paraId="070C49DC">
      <w:pPr>
        <w:pStyle w:val="4"/>
        <w:jc w:val="center"/>
        <w:rPr>
          <w:rFonts w:ascii="楷体" w:hAnsi="楷体" w:eastAsia="楷体" w:cs="楷体"/>
        </w:rPr>
      </w:pPr>
      <w:bookmarkStart w:id="44" w:name="_Toc30729"/>
      <w:r>
        <w:rPr>
          <w:rFonts w:hint="eastAsia" w:ascii="楷体" w:hAnsi="楷体" w:eastAsia="楷体" w:cs="楷体"/>
        </w:rPr>
        <w:t>第一章</w:t>
      </w:r>
      <w:bookmarkEnd w:id="0"/>
      <w:bookmarkEnd w:id="1"/>
      <w:bookmarkEnd w:id="2"/>
      <w:bookmarkEnd w:id="3"/>
      <w:bookmarkEnd w:id="4"/>
      <w:bookmarkEnd w:id="5"/>
      <w:bookmarkEnd w:id="6"/>
      <w:bookmarkEnd w:id="7"/>
      <w:r>
        <w:rPr>
          <w:rFonts w:hint="eastAsia" w:ascii="楷体" w:hAnsi="楷体" w:eastAsia="楷体" w:cs="楷体"/>
        </w:rPr>
        <w:t>投标邀请函</w:t>
      </w:r>
      <w:bookmarkEnd w:id="8"/>
      <w:bookmarkEnd w:id="40"/>
      <w:bookmarkEnd w:id="41"/>
      <w:bookmarkEnd w:id="42"/>
      <w:bookmarkEnd w:id="43"/>
      <w:bookmarkEnd w:id="44"/>
    </w:p>
    <w:p w14:paraId="0B4660D8">
      <w:pPr>
        <w:spacing w:after="120" w:afterLines="50"/>
        <w:jc w:val="center"/>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投标邀请函</w:t>
      </w:r>
    </w:p>
    <w:p w14:paraId="5325084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广东鼎信招标采购有限公司受广东烟草梅州市有限公司丰顺县分公司的委托，就广东烟草梅州市有限公司丰顺县分公司绿化种植及养护、保洁项目进行公开招标采购，欢迎符合资格条件的供应商（服务商）投标。</w:t>
      </w:r>
    </w:p>
    <w:p w14:paraId="4CFCC054">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项目编号：DXZB-2025GPA0194</w:t>
      </w:r>
    </w:p>
    <w:p w14:paraId="04D2FBB5">
      <w:pPr>
        <w:numPr>
          <w:ilvl w:val="0"/>
          <w:numId w:val="2"/>
        </w:numPr>
        <w:adjustRightInd w:val="0"/>
        <w:snapToGrid w:val="0"/>
        <w:spacing w:line="360" w:lineRule="auto"/>
        <w:ind w:left="2100" w:leftChars="200" w:hanging="1680"/>
        <w:rPr>
          <w:rFonts w:ascii="楷体" w:hAnsi="楷体" w:eastAsia="楷体" w:cs="楷体"/>
          <w:sz w:val="24"/>
        </w:rPr>
      </w:pPr>
      <w:r>
        <w:rPr>
          <w:rFonts w:hint="eastAsia" w:ascii="楷体" w:hAnsi="楷体" w:eastAsia="楷体" w:cs="楷体"/>
          <w:sz w:val="24"/>
        </w:rPr>
        <w:t>项目名称：广东烟草梅州市有限公司丰顺县分公司绿化种植及养护、保洁项目</w:t>
      </w:r>
    </w:p>
    <w:p w14:paraId="130AB61E">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项目内容及需求：</w:t>
      </w:r>
    </w:p>
    <w:p w14:paraId="4F029790">
      <w:pPr>
        <w:numPr>
          <w:ilvl w:val="0"/>
          <w:numId w:val="3"/>
        </w:numPr>
        <w:tabs>
          <w:tab w:val="left" w:pos="840"/>
          <w:tab w:val="left" w:pos="1080"/>
        </w:tabs>
        <w:adjustRightInd w:val="0"/>
        <w:snapToGrid w:val="0"/>
        <w:spacing w:line="360" w:lineRule="auto"/>
        <w:rPr>
          <w:rFonts w:ascii="楷体" w:hAnsi="楷体" w:eastAsia="楷体" w:cs="楷体"/>
          <w:sz w:val="24"/>
        </w:rPr>
      </w:pPr>
      <w:r>
        <w:rPr>
          <w:rFonts w:hint="eastAsia" w:ascii="楷体" w:hAnsi="楷体" w:eastAsia="楷体" w:cs="楷体"/>
          <w:sz w:val="24"/>
        </w:rPr>
        <w:t>项目内容：</w:t>
      </w:r>
    </w:p>
    <w:tbl>
      <w:tblPr>
        <w:tblStyle w:val="44"/>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0"/>
        <w:gridCol w:w="2523"/>
        <w:gridCol w:w="1805"/>
      </w:tblGrid>
      <w:tr w14:paraId="4E6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10" w:type="dxa"/>
            <w:vAlign w:val="center"/>
          </w:tcPr>
          <w:p w14:paraId="563869CA">
            <w:pPr>
              <w:spacing w:line="400" w:lineRule="exact"/>
              <w:jc w:val="center"/>
              <w:rPr>
                <w:rFonts w:ascii="楷体" w:hAnsi="楷体" w:eastAsia="楷体" w:cs="楷体"/>
                <w:b/>
                <w:bCs/>
                <w:sz w:val="24"/>
              </w:rPr>
            </w:pPr>
            <w:r>
              <w:rPr>
                <w:rFonts w:hint="eastAsia" w:ascii="楷体" w:hAnsi="楷体" w:eastAsia="楷体" w:cs="楷体"/>
                <w:b/>
                <w:bCs/>
                <w:sz w:val="24"/>
              </w:rPr>
              <w:t>服务内容</w:t>
            </w:r>
          </w:p>
        </w:tc>
        <w:tc>
          <w:tcPr>
            <w:tcW w:w="2523" w:type="dxa"/>
            <w:vAlign w:val="center"/>
          </w:tcPr>
          <w:p w14:paraId="540440F3">
            <w:pPr>
              <w:spacing w:line="400" w:lineRule="exact"/>
              <w:jc w:val="center"/>
              <w:rPr>
                <w:rFonts w:ascii="楷体" w:hAnsi="楷体" w:eastAsia="楷体" w:cs="楷体"/>
                <w:b/>
                <w:bCs/>
                <w:sz w:val="24"/>
              </w:rPr>
            </w:pPr>
            <w:r>
              <w:rPr>
                <w:rFonts w:hint="eastAsia" w:ascii="楷体" w:hAnsi="楷体" w:eastAsia="楷体" w:cs="楷体"/>
                <w:b/>
                <w:bCs/>
                <w:sz w:val="24"/>
              </w:rPr>
              <w:t>服务期</w:t>
            </w:r>
          </w:p>
        </w:tc>
        <w:tc>
          <w:tcPr>
            <w:tcW w:w="1805" w:type="dxa"/>
            <w:tcBorders>
              <w:bottom w:val="single" w:color="auto" w:sz="4" w:space="0"/>
            </w:tcBorders>
            <w:vAlign w:val="center"/>
          </w:tcPr>
          <w:p w14:paraId="2A72C374">
            <w:pPr>
              <w:spacing w:line="400" w:lineRule="exact"/>
              <w:jc w:val="center"/>
              <w:rPr>
                <w:rFonts w:ascii="楷体" w:hAnsi="楷体" w:eastAsia="楷体" w:cs="楷体"/>
                <w:b/>
                <w:bCs/>
                <w:sz w:val="24"/>
              </w:rPr>
            </w:pPr>
            <w:r>
              <w:rPr>
                <w:rFonts w:hint="eastAsia" w:ascii="楷体" w:hAnsi="楷体" w:eastAsia="楷体" w:cs="楷体"/>
                <w:b/>
                <w:bCs/>
                <w:sz w:val="24"/>
              </w:rPr>
              <w:t>最高单价限价</w:t>
            </w:r>
          </w:p>
        </w:tc>
      </w:tr>
      <w:tr w14:paraId="1C2E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710" w:type="dxa"/>
            <w:vAlign w:val="center"/>
          </w:tcPr>
          <w:p w14:paraId="45C92E78">
            <w:pPr>
              <w:spacing w:line="400" w:lineRule="exact"/>
              <w:jc w:val="center"/>
              <w:rPr>
                <w:rFonts w:ascii="楷体" w:hAnsi="楷体" w:eastAsia="楷体" w:cs="楷体"/>
                <w:sz w:val="24"/>
              </w:rPr>
            </w:pPr>
            <w:r>
              <w:rPr>
                <w:rFonts w:hint="eastAsia" w:ascii="楷体" w:hAnsi="楷体" w:eastAsia="楷体" w:cs="楷体"/>
                <w:sz w:val="24"/>
              </w:rPr>
              <w:t>绿化养护及卫生保洁服务</w:t>
            </w:r>
          </w:p>
        </w:tc>
        <w:tc>
          <w:tcPr>
            <w:tcW w:w="2523" w:type="dxa"/>
            <w:tcBorders>
              <w:right w:val="single" w:color="auto" w:sz="4" w:space="0"/>
            </w:tcBorders>
            <w:vAlign w:val="center"/>
          </w:tcPr>
          <w:p w14:paraId="1AEAC971">
            <w:pPr>
              <w:spacing w:line="400" w:lineRule="exact"/>
              <w:jc w:val="center"/>
              <w:rPr>
                <w:rFonts w:ascii="楷体" w:hAnsi="楷体" w:eastAsia="楷体" w:cs="楷体"/>
                <w:sz w:val="24"/>
              </w:rPr>
            </w:pPr>
            <w:r>
              <w:rPr>
                <w:rFonts w:hint="eastAsia" w:ascii="楷体" w:hAnsi="楷体" w:eastAsia="楷体" w:cs="楷体"/>
                <w:sz w:val="24"/>
              </w:rPr>
              <w:t>合同签订之日起三年</w:t>
            </w:r>
          </w:p>
        </w:tc>
        <w:tc>
          <w:tcPr>
            <w:tcW w:w="1805" w:type="dxa"/>
            <w:tcBorders>
              <w:top w:val="single" w:color="auto" w:sz="4" w:space="0"/>
              <w:left w:val="single" w:color="auto" w:sz="4" w:space="0"/>
              <w:bottom w:val="single" w:color="auto" w:sz="4" w:space="0"/>
              <w:right w:val="single" w:color="auto" w:sz="4" w:space="0"/>
            </w:tcBorders>
            <w:vAlign w:val="center"/>
          </w:tcPr>
          <w:p w14:paraId="042F956E">
            <w:pPr>
              <w:spacing w:line="400" w:lineRule="exact"/>
              <w:jc w:val="center"/>
              <w:rPr>
                <w:rFonts w:ascii="楷体" w:hAnsi="楷体" w:eastAsia="楷体" w:cs="楷体"/>
                <w:sz w:val="24"/>
              </w:rPr>
            </w:pPr>
            <w:r>
              <w:rPr>
                <w:rFonts w:hint="eastAsia" w:ascii="楷体" w:hAnsi="楷体" w:eastAsia="楷体" w:cs="楷体"/>
                <w:sz w:val="24"/>
              </w:rPr>
              <w:t>11万元/年</w:t>
            </w:r>
          </w:p>
        </w:tc>
      </w:tr>
      <w:tr w14:paraId="20D8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10" w:type="dxa"/>
            <w:vAlign w:val="center"/>
          </w:tcPr>
          <w:p w14:paraId="4366D649">
            <w:pPr>
              <w:spacing w:line="400" w:lineRule="exact"/>
              <w:jc w:val="center"/>
              <w:rPr>
                <w:rFonts w:ascii="楷体" w:hAnsi="楷体" w:eastAsia="楷体" w:cs="楷体"/>
                <w:sz w:val="24"/>
              </w:rPr>
            </w:pPr>
            <w:r>
              <w:rPr>
                <w:rFonts w:hint="eastAsia" w:ascii="楷体" w:hAnsi="楷体" w:eastAsia="楷体" w:cs="楷体"/>
                <w:sz w:val="24"/>
              </w:rPr>
              <w:t>新增绿化种植、局部绿化补种服务</w:t>
            </w:r>
          </w:p>
        </w:tc>
        <w:tc>
          <w:tcPr>
            <w:tcW w:w="2523" w:type="dxa"/>
            <w:vAlign w:val="center"/>
          </w:tcPr>
          <w:p w14:paraId="6D38C432">
            <w:pPr>
              <w:spacing w:line="400" w:lineRule="exact"/>
              <w:jc w:val="center"/>
              <w:rPr>
                <w:rFonts w:ascii="楷体" w:hAnsi="楷体" w:eastAsia="楷体" w:cs="楷体"/>
                <w:sz w:val="24"/>
              </w:rPr>
            </w:pPr>
            <w:r>
              <w:rPr>
                <w:rFonts w:hint="eastAsia" w:ascii="楷体" w:hAnsi="楷体" w:eastAsia="楷体" w:cs="楷体"/>
                <w:sz w:val="24"/>
              </w:rPr>
              <w:t>合同签订之日起三年</w:t>
            </w:r>
          </w:p>
        </w:tc>
        <w:tc>
          <w:tcPr>
            <w:tcW w:w="1805" w:type="dxa"/>
            <w:tcBorders>
              <w:top w:val="single" w:color="auto" w:sz="4" w:space="0"/>
              <w:right w:val="single" w:color="auto" w:sz="4" w:space="0"/>
            </w:tcBorders>
            <w:vAlign w:val="center"/>
          </w:tcPr>
          <w:p w14:paraId="1A5A5C85">
            <w:pPr>
              <w:spacing w:line="400" w:lineRule="exact"/>
              <w:jc w:val="center"/>
              <w:rPr>
                <w:rFonts w:ascii="楷体" w:hAnsi="楷体" w:eastAsia="楷体" w:cs="楷体"/>
                <w:sz w:val="24"/>
              </w:rPr>
            </w:pPr>
            <w:r>
              <w:rPr>
                <w:rFonts w:hint="eastAsia" w:ascii="楷体" w:hAnsi="楷体" w:eastAsia="楷体" w:cs="楷体"/>
                <w:sz w:val="24"/>
              </w:rPr>
              <w:t>4万元</w:t>
            </w:r>
          </w:p>
        </w:tc>
      </w:tr>
      <w:tr w14:paraId="64F9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38" w:type="dxa"/>
            <w:gridSpan w:val="3"/>
            <w:vAlign w:val="center"/>
          </w:tcPr>
          <w:p w14:paraId="49404433">
            <w:pPr>
              <w:spacing w:line="400" w:lineRule="exact"/>
              <w:rPr>
                <w:rFonts w:ascii="楷体" w:hAnsi="楷体" w:eastAsia="楷体" w:cs="楷体"/>
                <w:sz w:val="24"/>
              </w:rPr>
            </w:pPr>
            <w:r>
              <w:rPr>
                <w:rFonts w:hint="eastAsia" w:ascii="楷体" w:hAnsi="楷体" w:eastAsia="楷体" w:cs="楷体"/>
                <w:sz w:val="24"/>
              </w:rPr>
              <w:t>备注：本项目服务期限为三年，项目预算总额37万元，不保证全部执行完，如遇结算总金额超合同金额，则合同提前终止。招标人在服务期内将对中标人的服务质量、产品质量等方面进行综合评价，若评价不合格，招标人有权终止服务合同。</w:t>
            </w:r>
          </w:p>
        </w:tc>
      </w:tr>
    </w:tbl>
    <w:p w14:paraId="34725A31">
      <w:pPr>
        <w:numPr>
          <w:ilvl w:val="0"/>
          <w:numId w:val="3"/>
        </w:numPr>
        <w:tabs>
          <w:tab w:val="left" w:pos="1092"/>
        </w:tabs>
        <w:adjustRightInd w:val="0"/>
        <w:snapToGrid w:val="0"/>
        <w:spacing w:line="360" w:lineRule="auto"/>
        <w:rPr>
          <w:rFonts w:ascii="楷体" w:hAnsi="楷体" w:eastAsia="楷体" w:cs="楷体"/>
          <w:sz w:val="24"/>
        </w:rPr>
      </w:pPr>
      <w:r>
        <w:rPr>
          <w:rFonts w:hint="eastAsia" w:ascii="楷体" w:hAnsi="楷体" w:eastAsia="楷体" w:cs="楷体"/>
          <w:sz w:val="24"/>
        </w:rPr>
        <w:t>采购项目技术规格及要求：详见本招标文件《用户需求书》。</w:t>
      </w:r>
    </w:p>
    <w:p w14:paraId="77951157">
      <w:pPr>
        <w:numPr>
          <w:ilvl w:val="0"/>
          <w:numId w:val="3"/>
        </w:numPr>
        <w:tabs>
          <w:tab w:val="left" w:pos="1092"/>
        </w:tabs>
        <w:adjustRightInd w:val="0"/>
        <w:snapToGrid w:val="0"/>
        <w:spacing w:line="360" w:lineRule="auto"/>
        <w:rPr>
          <w:rFonts w:ascii="楷体" w:hAnsi="楷体" w:eastAsia="楷体" w:cs="楷体"/>
          <w:iCs/>
          <w:sz w:val="24"/>
        </w:rPr>
      </w:pPr>
      <w:r>
        <w:rPr>
          <w:rFonts w:hint="eastAsia" w:ascii="楷体" w:hAnsi="楷体" w:eastAsia="楷体" w:cs="楷体"/>
          <w:iCs/>
          <w:sz w:val="24"/>
        </w:rPr>
        <w:t>本项目为一个整体，投标人须对全部内容进行投标，不得分拆。</w:t>
      </w:r>
    </w:p>
    <w:p w14:paraId="7118E9CE">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供应商（服务商）资格：</w:t>
      </w:r>
    </w:p>
    <w:p w14:paraId="301E76E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1、在中华人民共和国境内注册具有经营资格能独立承担民事责任的法人或其他组织，有能力承接本项目相关服务内容；</w:t>
      </w:r>
    </w:p>
    <w:p w14:paraId="3066839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2、单位负责人为同一人或者存在直接控股、管理关系的不同供应商，不得同时参加本招标项目投标；</w:t>
      </w:r>
    </w:p>
    <w:p w14:paraId="760CA24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3、参加本项招标活动前三年内，在经营活动中无严重违法记录；</w:t>
      </w:r>
    </w:p>
    <w:p w14:paraId="5E07D38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4、投标人没有处于被责令停业、财产被接管、冻结、破产状态；</w:t>
      </w:r>
    </w:p>
    <w:p w14:paraId="6D72276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5、有依法缴纳税收和社会保障资金的良好记录（须提供开标截止之日前6个月内任意1个月依法缴纳税收和社会保障资金相关证明材料或依法免税证明）；</w:t>
      </w:r>
    </w:p>
    <w:p w14:paraId="277C97B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投标人未被列入“中国执行信息公开网”（zxgk.court.gov.cn）查询“记录失信被执行人”名单信息；未被列入“信用中国”网站（www.creditchina.gov.cn）查询的“重大税收违法失信主体、政府采购严重违法失信行为记录名单”记录名单信息（投标人出具自查承诺声明函原件及网站结果查询截图证明，招标代理机构将在评审当天复查，以复查结果为准；如相关失信记录已失效，投标人需提供相关证明材料）；</w:t>
      </w:r>
    </w:p>
    <w:p w14:paraId="4F6E7D5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投标人未被列入“国家企业信用信息公示系统”（http://www.gsxt.gov.cn/index.html）严重违法失信企业名单以及相关行政处罚信息（投标人出具自查承诺声明函原件及网站结果查询截图证明，招标代理机构将在评审当天复查，以复查结果为准；如相关失信记录已失效，供应商需提供相关证明材料）；</w:t>
      </w:r>
    </w:p>
    <w:p w14:paraId="5158E4C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8、投标人无行贿犯罪记录：</w:t>
      </w:r>
    </w:p>
    <w:p w14:paraId="3CBCBBC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(1)投标人在投标时提供无行贿犯罪记录承诺书（加盖公章），格式自定。</w:t>
      </w:r>
    </w:p>
    <w:p w14:paraId="55F3205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投标人及其法定代表人、主要负责人或实际控制人、拟委任的项目负责人参加本次招投标活动前3年内（公司成立不足三年的从成立起计算）不得有行贿行为记录。投标人须通过“中国裁判文书网”（网址：https://wenshu.court.gov.cn/）查询相关刑事判决书、刑事裁定书等。如投标人提供虚假材料，招标人有权拒绝其投标、取消其中标资格、解除已签订的合同并追究相关责任；【查询指南：进入首页-点击高级搜索-打开案由-选择刑事案件-贪污贿赂罪-输入投标人名称后查询】。</w:t>
      </w:r>
    </w:p>
    <w:p w14:paraId="437FF96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9、在烟草行业供应商不良行为数据库未查询到投标人、法定代表人、主要负责人、行贿人信息及处罚限制措施等，以投标截止日当天招标人出具的网页查询结果截图为准</w:t>
      </w:r>
    </w:p>
    <w:p w14:paraId="408DC07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10、向行业内干部职工行贿，被列入烟草企业存在行贿行为供应商名单且在禁入期内的投标人，不得参加本次投标；（以招标人出具名单为准）</w:t>
      </w:r>
    </w:p>
    <w:p w14:paraId="48FF2C62">
      <w:pPr>
        <w:adjustRightInd w:val="0"/>
        <w:snapToGrid w:val="0"/>
        <w:spacing w:line="360" w:lineRule="auto"/>
        <w:ind w:firstLine="480" w:firstLineChars="200"/>
        <w:rPr>
          <w:rFonts w:ascii="楷体" w:hAnsi="楷体" w:eastAsia="楷体" w:cs="楷体"/>
          <w:color w:val="C00000"/>
          <w:sz w:val="24"/>
        </w:rPr>
      </w:pPr>
      <w:r>
        <w:rPr>
          <w:rFonts w:hint="eastAsia" w:ascii="楷体" w:hAnsi="楷体" w:eastAsia="楷体" w:cs="楷体"/>
          <w:sz w:val="24"/>
        </w:rPr>
        <w:t>11、本项目不接受联合体报价。</w:t>
      </w:r>
    </w:p>
    <w:p w14:paraId="17370C6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12、已办理投标登记并领购本项目招标文件。</w:t>
      </w:r>
    </w:p>
    <w:p w14:paraId="5C14613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备注：</w:t>
      </w:r>
    </w:p>
    <w:p w14:paraId="39C24EDF">
      <w:pPr>
        <w:numPr>
          <w:ilvl w:val="0"/>
          <w:numId w:val="4"/>
        </w:numPr>
        <w:adjustRightInd w:val="0"/>
        <w:snapToGrid w:val="0"/>
        <w:spacing w:line="360" w:lineRule="auto"/>
        <w:ind w:left="0" w:firstLine="482" w:firstLineChars="200"/>
        <w:rPr>
          <w:rFonts w:ascii="楷体" w:hAnsi="楷体" w:eastAsia="楷体" w:cs="楷体"/>
          <w:b/>
          <w:sz w:val="24"/>
        </w:rPr>
      </w:pPr>
      <w:r>
        <w:rPr>
          <w:rFonts w:hint="eastAsia" w:ascii="楷体" w:hAnsi="楷体" w:eastAsia="楷体" w:cs="楷体"/>
          <w:b/>
          <w:sz w:val="24"/>
        </w:rPr>
        <w:t>请投标人凭</w:t>
      </w:r>
      <w:r>
        <w:rPr>
          <w:rFonts w:hint="eastAsia" w:ascii="楷体" w:hAnsi="楷体" w:eastAsia="楷体" w:cs="楷体"/>
          <w:b/>
          <w:sz w:val="24"/>
          <w:u w:val="double"/>
        </w:rPr>
        <w:t>《文件售卖登记表》（采购代理机构网站—首页下载）</w:t>
      </w:r>
      <w:r>
        <w:rPr>
          <w:rFonts w:hint="eastAsia" w:ascii="楷体" w:hAnsi="楷体" w:eastAsia="楷体" w:cs="楷体"/>
          <w:b/>
          <w:sz w:val="24"/>
        </w:rPr>
        <w:t>加盖公司公章至采购代理机构处现场领购招标文件。</w:t>
      </w:r>
    </w:p>
    <w:p w14:paraId="236A8EA3">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招标文件发售：500元/套，线上领购招标文件者，请将资料扫描件上传至平台，经采购代理机构工作人员确认后进行购标。在任何情况下采购代理机构对邮寄过程中发生的迟交或遗失均不承担责任。</w:t>
      </w:r>
    </w:p>
    <w:p w14:paraId="4B073894">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购买招标文件账户信息（采购代理机构只接受以投标人名义的汇款，不接受个人的汇款及其它款项）：</w:t>
      </w:r>
    </w:p>
    <w:p w14:paraId="57532582">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开户银行名称：中国建设银行股份有限公司广州石牌支行</w:t>
      </w:r>
    </w:p>
    <w:p w14:paraId="1B7A0D8C">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单位名称：</w:t>
      </w:r>
      <w:r>
        <w:rPr>
          <w:rFonts w:hint="eastAsia" w:ascii="楷体" w:hAnsi="楷体" w:eastAsia="楷体" w:cs="楷体"/>
          <w:sz w:val="24"/>
        </w:rPr>
        <w:t>广东鼎信招标采购有限公司</w:t>
      </w:r>
    </w:p>
    <w:p w14:paraId="14A8EEB5">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 xml:space="preserve">账号：44050158050200000686 </w:t>
      </w:r>
    </w:p>
    <w:p w14:paraId="760DFB12">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采购代理机构网址：www.gddingxin.com</w:t>
      </w:r>
    </w:p>
    <w:p w14:paraId="1D90E680">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符合资格的供应商（服务商）应当在2025年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11</w:t>
      </w:r>
      <w:r>
        <w:rPr>
          <w:rFonts w:hint="eastAsia" w:ascii="楷体" w:hAnsi="楷体" w:eastAsia="楷体" w:cs="楷体"/>
          <w:color w:val="auto"/>
          <w:sz w:val="24"/>
        </w:rPr>
        <w:t>日至2025年</w:t>
      </w:r>
      <w:r>
        <w:rPr>
          <w:rFonts w:hint="eastAsia" w:ascii="楷体" w:hAnsi="楷体" w:eastAsia="楷体" w:cs="楷体"/>
          <w:color w:val="auto"/>
          <w:sz w:val="24"/>
          <w:lang w:val="en-US" w:eastAsia="zh-CN"/>
        </w:rPr>
        <w:t>7月25</w:t>
      </w:r>
      <w:r>
        <w:rPr>
          <w:rFonts w:hint="eastAsia" w:ascii="楷体" w:hAnsi="楷体" w:eastAsia="楷体" w:cs="楷体"/>
          <w:color w:val="auto"/>
          <w:sz w:val="24"/>
        </w:rPr>
        <w:t>日期间（</w:t>
      </w:r>
      <w:r>
        <w:rPr>
          <w:rFonts w:hint="eastAsia" w:ascii="楷体" w:hAnsi="楷体" w:eastAsia="楷体" w:cs="楷体"/>
          <w:sz w:val="24"/>
        </w:rPr>
        <w:t>上午09:00至12:00,下午14:30至17:30，法定节假日除外）领购招标文件，招标文件每套售价500元/套（人民币），售后不退。</w:t>
      </w:r>
    </w:p>
    <w:p w14:paraId="69BC9EE1">
      <w:pPr>
        <w:pStyle w:val="2"/>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领购方式：</w:t>
      </w:r>
    </w:p>
    <w:p w14:paraId="3D03B721">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①现场领购：广东鼎信招标采购有限公司（详细地址：广州市越秀区东风东路699号广东港澳中心402室）</w:t>
      </w:r>
    </w:p>
    <w:p w14:paraId="22536192">
      <w:pPr>
        <w:pStyle w:val="3"/>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sz w:val="24"/>
        </w:rPr>
        <w:t>②线上领购：打开www.gddingxin.com电子招标平台供应商入口，登录平台进行领购或将报名资料扫描件发至采购代理机构邮箱（E－mail：GDdingxin@163.com），经采购</w:t>
      </w:r>
      <w:r>
        <w:rPr>
          <w:rFonts w:hint="eastAsia" w:ascii="楷体" w:hAnsi="楷体" w:eastAsia="楷体" w:cs="楷体"/>
          <w:color w:val="auto"/>
          <w:sz w:val="24"/>
        </w:rPr>
        <w:t>代理机构工作人员确认后办理相关手续。</w:t>
      </w:r>
    </w:p>
    <w:p w14:paraId="481E24E6">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投标截止时间：2025年</w:t>
      </w:r>
      <w:r>
        <w:rPr>
          <w:rFonts w:hint="eastAsia" w:ascii="楷体" w:hAnsi="楷体" w:eastAsia="楷体" w:cs="楷体"/>
          <w:color w:val="auto"/>
          <w:sz w:val="24"/>
          <w:lang w:val="en-US" w:eastAsia="zh-CN"/>
        </w:rPr>
        <w:t>8</w:t>
      </w:r>
      <w:r>
        <w:rPr>
          <w:rFonts w:hint="eastAsia" w:ascii="楷体" w:hAnsi="楷体" w:eastAsia="楷体" w:cs="楷体"/>
          <w:color w:val="auto"/>
          <w:sz w:val="24"/>
        </w:rPr>
        <w:t>月</w:t>
      </w:r>
      <w:r>
        <w:rPr>
          <w:rFonts w:hint="eastAsia" w:ascii="楷体" w:hAnsi="楷体" w:eastAsia="楷体" w:cs="楷体"/>
          <w:color w:val="auto"/>
          <w:sz w:val="24"/>
          <w:lang w:val="en-US" w:eastAsia="zh-CN"/>
        </w:rPr>
        <w:t>1</w:t>
      </w:r>
      <w:r>
        <w:rPr>
          <w:rFonts w:hint="eastAsia" w:ascii="楷体" w:hAnsi="楷体" w:eastAsia="楷体" w:cs="楷体"/>
          <w:color w:val="auto"/>
          <w:sz w:val="24"/>
        </w:rPr>
        <w:t>日</w:t>
      </w:r>
      <w:r>
        <w:rPr>
          <w:rFonts w:hint="eastAsia" w:ascii="楷体" w:hAnsi="楷体" w:eastAsia="楷体" w:cs="楷体"/>
          <w:color w:val="auto"/>
          <w:sz w:val="24"/>
          <w:lang w:val="en-US" w:eastAsia="zh-CN"/>
        </w:rPr>
        <w:t>14</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2344A556">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提交投标文件地点：</w:t>
      </w:r>
      <w:r>
        <w:rPr>
          <w:rFonts w:hint="eastAsia" w:ascii="楷体" w:hAnsi="楷体" w:eastAsia="楷体" w:cs="楷体"/>
          <w:color w:val="auto"/>
          <w:sz w:val="26"/>
          <w:szCs w:val="26"/>
        </w:rPr>
        <w:t>电子平台</w:t>
      </w:r>
    </w:p>
    <w:p w14:paraId="51F6514C">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开标时间：2025年</w:t>
      </w:r>
      <w:r>
        <w:rPr>
          <w:rFonts w:hint="eastAsia" w:ascii="楷体" w:hAnsi="楷体" w:eastAsia="楷体" w:cs="楷体"/>
          <w:color w:val="auto"/>
          <w:sz w:val="24"/>
          <w:lang w:val="en-US" w:eastAsia="zh-CN"/>
        </w:rPr>
        <w:t>8</w:t>
      </w:r>
      <w:r>
        <w:rPr>
          <w:rFonts w:hint="eastAsia" w:ascii="楷体" w:hAnsi="楷体" w:eastAsia="楷体" w:cs="楷体"/>
          <w:color w:val="auto"/>
          <w:sz w:val="24"/>
        </w:rPr>
        <w:t>月</w:t>
      </w:r>
      <w:r>
        <w:rPr>
          <w:rFonts w:hint="eastAsia" w:ascii="楷体" w:hAnsi="楷体" w:eastAsia="楷体" w:cs="楷体"/>
          <w:color w:val="auto"/>
          <w:sz w:val="24"/>
          <w:lang w:val="en-US" w:eastAsia="zh-CN"/>
        </w:rPr>
        <w:t>1</w:t>
      </w:r>
      <w:r>
        <w:rPr>
          <w:rFonts w:hint="eastAsia" w:ascii="楷体" w:hAnsi="楷体" w:eastAsia="楷体" w:cs="楷体"/>
          <w:color w:val="auto"/>
          <w:sz w:val="24"/>
        </w:rPr>
        <w:t>日</w:t>
      </w:r>
      <w:r>
        <w:rPr>
          <w:rFonts w:hint="eastAsia" w:ascii="楷体" w:hAnsi="楷体" w:eastAsia="楷体" w:cs="楷体"/>
          <w:color w:val="auto"/>
          <w:sz w:val="24"/>
          <w:lang w:val="en-US" w:eastAsia="zh-CN"/>
        </w:rPr>
        <w:t>14</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0548E4DF">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开标地点：远程电子开标</w:t>
      </w:r>
    </w:p>
    <w:p w14:paraId="75FE6B6B">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联系事项</w:t>
      </w:r>
    </w:p>
    <w:p w14:paraId="2E9B3667">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color w:val="auto"/>
          <w:sz w:val="24"/>
        </w:rPr>
        <w:t>招标人：广东烟草梅州市有限公司丰顺县分</w:t>
      </w:r>
      <w:r>
        <w:rPr>
          <w:rFonts w:hint="eastAsia" w:ascii="楷体" w:hAnsi="楷体" w:eastAsia="楷体" w:cs="楷体"/>
          <w:sz w:val="24"/>
        </w:rPr>
        <w:t>公司</w:t>
      </w:r>
    </w:p>
    <w:p w14:paraId="5111E193">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地址：梅州市丰顺县汤坑镇广源路42号</w:t>
      </w:r>
    </w:p>
    <w:p w14:paraId="6ECAD547">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联系人：冯工</w:t>
      </w:r>
    </w:p>
    <w:p w14:paraId="3F21E0B0">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联系电话：0753-6686586</w:t>
      </w:r>
    </w:p>
    <w:p w14:paraId="4670374D">
      <w:pPr>
        <w:pStyle w:val="3"/>
        <w:adjustRightInd w:val="0"/>
        <w:snapToGrid w:val="0"/>
        <w:spacing w:after="0" w:line="360" w:lineRule="auto"/>
        <w:ind w:left="0" w:leftChars="0" w:firstLine="480" w:firstLineChars="200"/>
        <w:rPr>
          <w:rFonts w:ascii="楷体" w:hAnsi="楷体" w:eastAsia="楷体" w:cs="楷体"/>
          <w:sz w:val="24"/>
        </w:rPr>
      </w:pPr>
    </w:p>
    <w:p w14:paraId="2B1E5ECD">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招标代理机构：广东鼎信招标采购有限公司</w:t>
      </w:r>
    </w:p>
    <w:p w14:paraId="7E28B4F8">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地址：广州市越秀区东风东路699号广东港澳中心402室</w:t>
      </w:r>
    </w:p>
    <w:p w14:paraId="018EC806">
      <w:pPr>
        <w:pStyle w:val="3"/>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联系人：蔡小姐、李小姐</w:t>
      </w:r>
    </w:p>
    <w:p w14:paraId="1E2A2563">
      <w:pPr>
        <w:pStyle w:val="3"/>
        <w:tabs>
          <w:tab w:val="left" w:pos="2100"/>
        </w:tabs>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sz w:val="24"/>
        </w:rPr>
        <w:t>联系电话：020-87188551、020-38894391</w:t>
      </w:r>
    </w:p>
    <w:p w14:paraId="53E84A05">
      <w:pPr>
        <w:pStyle w:val="3"/>
        <w:tabs>
          <w:tab w:val="left" w:pos="2100"/>
        </w:tabs>
        <w:adjustRightInd w:val="0"/>
        <w:snapToGrid w:val="0"/>
        <w:spacing w:after="0" w:line="360" w:lineRule="auto"/>
        <w:ind w:left="0" w:leftChars="0" w:firstLine="480" w:firstLineChars="200"/>
        <w:jc w:val="right"/>
        <w:rPr>
          <w:rFonts w:ascii="楷体" w:hAnsi="楷体" w:eastAsia="楷体" w:cs="楷体"/>
          <w:color w:val="auto"/>
          <w:sz w:val="24"/>
        </w:rPr>
      </w:pPr>
    </w:p>
    <w:p w14:paraId="74D7D994">
      <w:pPr>
        <w:pStyle w:val="3"/>
        <w:tabs>
          <w:tab w:val="left" w:pos="2100"/>
        </w:tabs>
        <w:adjustRightInd w:val="0"/>
        <w:snapToGrid w:val="0"/>
        <w:spacing w:after="0" w:line="360" w:lineRule="auto"/>
        <w:ind w:left="0" w:leftChars="0" w:firstLine="480" w:firstLineChars="200"/>
        <w:jc w:val="right"/>
        <w:rPr>
          <w:rFonts w:ascii="楷体" w:hAnsi="楷体" w:eastAsia="楷体" w:cs="楷体"/>
          <w:color w:val="auto"/>
          <w:sz w:val="24"/>
        </w:rPr>
      </w:pPr>
      <w:r>
        <w:rPr>
          <w:rFonts w:hint="eastAsia" w:ascii="楷体" w:hAnsi="楷体" w:eastAsia="楷体" w:cs="楷体"/>
          <w:color w:val="auto"/>
          <w:sz w:val="24"/>
        </w:rPr>
        <w:t>广东鼎信招标采购有限公司</w:t>
      </w:r>
    </w:p>
    <w:p w14:paraId="4C619713">
      <w:pPr>
        <w:pStyle w:val="3"/>
        <w:tabs>
          <w:tab w:val="left" w:pos="2100"/>
        </w:tabs>
        <w:adjustRightInd w:val="0"/>
        <w:snapToGrid w:val="0"/>
        <w:spacing w:after="0" w:line="360" w:lineRule="auto"/>
        <w:ind w:left="0" w:leftChars="0" w:firstLine="480" w:firstLineChars="200"/>
        <w:jc w:val="right"/>
        <w:rPr>
          <w:rFonts w:ascii="楷体" w:hAnsi="楷体" w:eastAsia="楷体" w:cs="楷体"/>
          <w:color w:val="auto"/>
          <w:sz w:val="24"/>
        </w:rPr>
      </w:pPr>
      <w:r>
        <w:rPr>
          <w:rFonts w:hint="eastAsia" w:ascii="楷体" w:hAnsi="楷体" w:eastAsia="楷体" w:cs="楷体"/>
          <w:color w:val="auto"/>
          <w:sz w:val="24"/>
        </w:rPr>
        <w:t xml:space="preserve">  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11</w:t>
      </w:r>
      <w:r>
        <w:rPr>
          <w:rFonts w:hint="eastAsia" w:ascii="楷体" w:hAnsi="楷体" w:eastAsia="楷体" w:cs="楷体"/>
          <w:color w:val="auto"/>
          <w:sz w:val="24"/>
        </w:rPr>
        <w:t>日</w:t>
      </w:r>
    </w:p>
    <w:p w14:paraId="7F5FDB9D">
      <w:bookmarkStart w:id="45" w:name="_Toc30196"/>
      <w:bookmarkStart w:id="46" w:name="_Toc423021939"/>
      <w:bookmarkStart w:id="47" w:name="_Toc23439"/>
      <w:bookmarkStart w:id="48" w:name="_Toc19356"/>
      <w:bookmarkStart w:id="49" w:name="_Toc26904"/>
      <w:r>
        <w:br w:type="page"/>
      </w:r>
    </w:p>
    <w:p w14:paraId="42F5224E"/>
    <w:p w14:paraId="17CF2E50">
      <w:pPr>
        <w:pStyle w:val="2"/>
      </w:pPr>
    </w:p>
    <w:p w14:paraId="4CC0CCF3">
      <w:pPr>
        <w:pStyle w:val="3"/>
      </w:pPr>
    </w:p>
    <w:p w14:paraId="689B9304">
      <w:pPr>
        <w:pStyle w:val="3"/>
      </w:pPr>
    </w:p>
    <w:p w14:paraId="03E572A4">
      <w:pPr>
        <w:adjustRightInd w:val="0"/>
        <w:snapToGrid w:val="0"/>
        <w:spacing w:before="4800" w:beforeLines="2000" w:after="4800" w:afterLines="2000"/>
        <w:jc w:val="center"/>
        <w:outlineLvl w:val="0"/>
        <w:rPr>
          <w:rFonts w:ascii="楷体" w:hAnsi="楷体" w:eastAsia="楷体" w:cs="楷体"/>
        </w:rPr>
      </w:pPr>
      <w:bookmarkStart w:id="50" w:name="_Toc22037"/>
      <w:r>
        <w:rPr>
          <w:rFonts w:hint="eastAsia" w:ascii="楷体" w:hAnsi="楷体" w:eastAsia="楷体" w:cs="楷体"/>
          <w:b/>
          <w:bCs/>
          <w:kern w:val="44"/>
          <w:sz w:val="44"/>
          <w:szCs w:val="44"/>
        </w:rPr>
        <w:t>第二章投标人须知</w:t>
      </w:r>
      <w:bookmarkEnd w:id="45"/>
      <w:bookmarkEnd w:id="46"/>
      <w:bookmarkEnd w:id="47"/>
      <w:bookmarkEnd w:id="48"/>
      <w:bookmarkEnd w:id="49"/>
      <w:bookmarkEnd w:id="50"/>
    </w:p>
    <w:p w14:paraId="393DA8C6">
      <w:pPr>
        <w:rPr>
          <w:rFonts w:ascii="楷体" w:hAnsi="楷体" w:eastAsia="楷体" w:cs="楷体"/>
        </w:rPr>
      </w:pPr>
    </w:p>
    <w:p w14:paraId="0C1E7954">
      <w:pPr>
        <w:rPr>
          <w:rFonts w:ascii="楷体" w:hAnsi="楷体" w:eastAsia="楷体" w:cs="楷体"/>
        </w:rPr>
      </w:pPr>
    </w:p>
    <w:p w14:paraId="7AD11E8B">
      <w:pPr>
        <w:pStyle w:val="5"/>
        <w:jc w:val="center"/>
        <w:rPr>
          <w:rFonts w:ascii="楷体" w:hAnsi="楷体" w:eastAsia="楷体" w:cs="楷体"/>
        </w:rPr>
      </w:pPr>
      <w:bookmarkStart w:id="51" w:name="_Toc15780"/>
      <w:bookmarkStart w:id="52" w:name="_Toc26303"/>
      <w:bookmarkStart w:id="53" w:name="_Toc25435"/>
      <w:bookmarkStart w:id="54" w:name="_Toc21856"/>
      <w:bookmarkStart w:id="55" w:name="_Toc22617"/>
      <w:r>
        <w:rPr>
          <w:rFonts w:hint="eastAsia" w:ascii="楷体" w:hAnsi="楷体" w:eastAsia="楷体" w:cs="楷体"/>
        </w:rPr>
        <w:br w:type="page"/>
      </w:r>
      <w:bookmarkStart w:id="56" w:name="_Toc32756"/>
      <w:bookmarkStart w:id="57" w:name="_Toc18555"/>
      <w:r>
        <w:rPr>
          <w:rFonts w:hint="eastAsia" w:ascii="楷体" w:hAnsi="楷体" w:eastAsia="楷体" w:cs="楷体"/>
        </w:rPr>
        <w:t>投标人须知前附表</w:t>
      </w:r>
      <w:bookmarkEnd w:id="51"/>
      <w:bookmarkEnd w:id="52"/>
      <w:bookmarkEnd w:id="53"/>
      <w:bookmarkEnd w:id="54"/>
      <w:bookmarkEnd w:id="55"/>
      <w:bookmarkEnd w:id="56"/>
      <w:bookmarkEnd w:id="57"/>
    </w:p>
    <w:p w14:paraId="2A113760">
      <w:pPr>
        <w:spacing w:before="240" w:beforeLines="100" w:line="360" w:lineRule="auto"/>
        <w:ind w:right="-174" w:rightChars="-83" w:firstLine="480" w:firstLineChars="200"/>
        <w:rPr>
          <w:rFonts w:ascii="楷体" w:hAnsi="楷体" w:eastAsia="楷体" w:cs="楷体"/>
          <w:sz w:val="24"/>
        </w:rPr>
      </w:pPr>
      <w:r>
        <w:rPr>
          <w:rFonts w:hint="eastAsia" w:ascii="楷体" w:hAnsi="楷体" w:eastAsia="楷体" w:cs="楷体"/>
          <w:sz w:val="24"/>
        </w:rPr>
        <w:t>本表的条款项号是与本章《投标人须知》条款项号对应的，或增加的条款，是对本章的补充、修改和完善，如果有矛盾的话，应以本表为准。</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27"/>
        <w:gridCol w:w="7270"/>
      </w:tblGrid>
      <w:tr w14:paraId="129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gridSpan w:val="2"/>
            <w:shd w:val="clear" w:color="auto" w:fill="EEECE1"/>
            <w:vAlign w:val="center"/>
          </w:tcPr>
          <w:p w14:paraId="59724134">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条款项号</w:t>
            </w:r>
          </w:p>
        </w:tc>
        <w:tc>
          <w:tcPr>
            <w:tcW w:w="4266" w:type="pct"/>
            <w:shd w:val="clear" w:color="auto" w:fill="EEECE1"/>
            <w:vAlign w:val="center"/>
          </w:tcPr>
          <w:p w14:paraId="5806CE1B">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内     容</w:t>
            </w:r>
          </w:p>
        </w:tc>
      </w:tr>
      <w:tr w14:paraId="2FC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71B85A78">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（一）总则</w:t>
            </w:r>
          </w:p>
        </w:tc>
      </w:tr>
      <w:tr w14:paraId="3C14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53B7F4F6">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1.1</w:t>
            </w:r>
          </w:p>
        </w:tc>
        <w:tc>
          <w:tcPr>
            <w:tcW w:w="4282" w:type="pct"/>
            <w:gridSpan w:val="2"/>
            <w:vAlign w:val="center"/>
          </w:tcPr>
          <w:p w14:paraId="6EBA257E">
            <w:pPr>
              <w:adjustRightInd w:val="0"/>
              <w:snapToGrid w:val="0"/>
              <w:spacing w:line="360" w:lineRule="exact"/>
              <w:rPr>
                <w:rFonts w:ascii="楷体" w:hAnsi="楷体" w:eastAsia="楷体" w:cs="楷体"/>
                <w:sz w:val="24"/>
                <w:lang w:val="zh-CN"/>
              </w:rPr>
            </w:pPr>
            <w:r>
              <w:rPr>
                <w:rFonts w:hint="eastAsia" w:ascii="楷体" w:hAnsi="楷体" w:eastAsia="楷体" w:cs="楷体"/>
                <w:sz w:val="24"/>
                <w:lang w:val="zh-CN"/>
              </w:rPr>
              <w:t>资金性质：企业自筹</w:t>
            </w:r>
          </w:p>
        </w:tc>
      </w:tr>
      <w:tr w14:paraId="301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23F9CF78">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w:t>
            </w:r>
          </w:p>
        </w:tc>
        <w:tc>
          <w:tcPr>
            <w:tcW w:w="4282" w:type="pct"/>
            <w:gridSpan w:val="2"/>
            <w:vAlign w:val="center"/>
          </w:tcPr>
          <w:p w14:paraId="5F6AD75B">
            <w:pPr>
              <w:adjustRightInd w:val="0"/>
              <w:snapToGrid w:val="0"/>
              <w:spacing w:line="360" w:lineRule="auto"/>
              <w:rPr>
                <w:rFonts w:ascii="楷体" w:hAnsi="楷体" w:eastAsia="楷体" w:cs="楷体"/>
                <w:sz w:val="24"/>
              </w:rPr>
            </w:pPr>
            <w:r>
              <w:rPr>
                <w:rFonts w:hint="eastAsia" w:ascii="楷体" w:hAnsi="楷体" w:eastAsia="楷体" w:cs="楷体"/>
                <w:sz w:val="24"/>
              </w:rPr>
              <w:t>招标人：广东烟草梅州市有限公司丰顺县分公司</w:t>
            </w:r>
          </w:p>
          <w:p w14:paraId="72B208F3">
            <w:pPr>
              <w:adjustRightInd w:val="0"/>
              <w:snapToGrid w:val="0"/>
              <w:spacing w:line="360" w:lineRule="auto"/>
              <w:rPr>
                <w:rFonts w:ascii="楷体" w:hAnsi="楷体" w:eastAsia="楷体" w:cs="楷体"/>
                <w:sz w:val="24"/>
              </w:rPr>
            </w:pPr>
            <w:r>
              <w:rPr>
                <w:rFonts w:hint="eastAsia" w:ascii="楷体" w:hAnsi="楷体" w:eastAsia="楷体" w:cs="楷体"/>
                <w:sz w:val="24"/>
              </w:rPr>
              <w:t>地址：梅州市丰顺县汤坑镇广源路42号</w:t>
            </w:r>
          </w:p>
          <w:p w14:paraId="65364CEB">
            <w:pPr>
              <w:adjustRightInd w:val="0"/>
              <w:snapToGrid w:val="0"/>
              <w:spacing w:line="360" w:lineRule="auto"/>
              <w:rPr>
                <w:rFonts w:ascii="楷体" w:hAnsi="楷体" w:eastAsia="楷体" w:cs="楷体"/>
                <w:sz w:val="24"/>
              </w:rPr>
            </w:pPr>
            <w:r>
              <w:rPr>
                <w:rFonts w:hint="eastAsia" w:ascii="楷体" w:hAnsi="楷体" w:eastAsia="楷体" w:cs="楷体"/>
                <w:sz w:val="24"/>
              </w:rPr>
              <w:t>联系人：冯工</w:t>
            </w:r>
          </w:p>
          <w:p w14:paraId="451E2A89">
            <w:pPr>
              <w:adjustRightInd w:val="0"/>
              <w:snapToGrid w:val="0"/>
              <w:spacing w:line="360" w:lineRule="auto"/>
              <w:rPr>
                <w:rFonts w:ascii="楷体" w:hAnsi="楷体" w:eastAsia="楷体" w:cs="楷体"/>
                <w:sz w:val="24"/>
              </w:rPr>
            </w:pPr>
            <w:r>
              <w:rPr>
                <w:rFonts w:hint="eastAsia" w:ascii="楷体" w:hAnsi="楷体" w:eastAsia="楷体" w:cs="楷体"/>
                <w:sz w:val="24"/>
              </w:rPr>
              <w:t>联系电话：0753-6686586</w:t>
            </w:r>
          </w:p>
          <w:p w14:paraId="2839896D">
            <w:pPr>
              <w:adjustRightInd w:val="0"/>
              <w:snapToGrid w:val="0"/>
              <w:spacing w:line="360" w:lineRule="auto"/>
              <w:rPr>
                <w:rFonts w:ascii="楷体" w:hAnsi="楷体" w:eastAsia="楷体" w:cs="楷体"/>
                <w:sz w:val="24"/>
              </w:rPr>
            </w:pPr>
          </w:p>
          <w:p w14:paraId="7410FD9D">
            <w:pPr>
              <w:adjustRightInd w:val="0"/>
              <w:snapToGrid w:val="0"/>
              <w:spacing w:line="360" w:lineRule="auto"/>
              <w:rPr>
                <w:rFonts w:ascii="楷体" w:hAnsi="楷体" w:eastAsia="楷体" w:cs="楷体"/>
                <w:sz w:val="24"/>
              </w:rPr>
            </w:pPr>
            <w:r>
              <w:rPr>
                <w:rFonts w:hint="eastAsia" w:ascii="楷体" w:hAnsi="楷体" w:eastAsia="楷体" w:cs="楷体"/>
                <w:sz w:val="24"/>
              </w:rPr>
              <w:t>招标代理机构：广东鼎信招标采购有限公司</w:t>
            </w:r>
          </w:p>
          <w:p w14:paraId="6B9ED3EE">
            <w:pPr>
              <w:adjustRightInd w:val="0"/>
              <w:snapToGrid w:val="0"/>
              <w:spacing w:line="360" w:lineRule="auto"/>
              <w:rPr>
                <w:rFonts w:ascii="楷体" w:hAnsi="楷体" w:eastAsia="楷体" w:cs="楷体"/>
                <w:sz w:val="24"/>
              </w:rPr>
            </w:pPr>
            <w:r>
              <w:rPr>
                <w:rFonts w:hint="eastAsia" w:ascii="楷体" w:hAnsi="楷体" w:eastAsia="楷体" w:cs="楷体"/>
                <w:sz w:val="24"/>
              </w:rPr>
              <w:t>地址：广州市越秀区东风东路699号广东港澳中心402室</w:t>
            </w:r>
          </w:p>
          <w:p w14:paraId="7B7DE20F">
            <w:pPr>
              <w:adjustRightInd w:val="0"/>
              <w:snapToGrid w:val="0"/>
              <w:spacing w:line="360" w:lineRule="auto"/>
              <w:rPr>
                <w:rFonts w:ascii="楷体" w:hAnsi="楷体" w:eastAsia="楷体" w:cs="楷体"/>
                <w:sz w:val="24"/>
              </w:rPr>
            </w:pPr>
            <w:r>
              <w:rPr>
                <w:rFonts w:hint="eastAsia" w:ascii="楷体" w:hAnsi="楷体" w:eastAsia="楷体" w:cs="楷体"/>
                <w:sz w:val="24"/>
              </w:rPr>
              <w:t>联系人：蔡小姐、李小姐</w:t>
            </w:r>
          </w:p>
          <w:p w14:paraId="1E9B3953">
            <w:pPr>
              <w:adjustRightInd w:val="0"/>
              <w:snapToGrid w:val="0"/>
              <w:spacing w:line="360" w:lineRule="auto"/>
              <w:rPr>
                <w:rFonts w:ascii="楷体" w:hAnsi="楷体" w:eastAsia="楷体" w:cs="楷体"/>
                <w:sz w:val="24"/>
                <w:lang w:val="zh-CN"/>
              </w:rPr>
            </w:pPr>
            <w:r>
              <w:rPr>
                <w:rFonts w:hint="eastAsia" w:ascii="楷体" w:hAnsi="楷体" w:eastAsia="楷体" w:cs="楷体"/>
                <w:sz w:val="24"/>
              </w:rPr>
              <w:t>联系电话：020-87188551、020-38894391</w:t>
            </w:r>
          </w:p>
        </w:tc>
      </w:tr>
      <w:tr w14:paraId="0B3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40F95EE1">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（二）招标文件</w:t>
            </w:r>
          </w:p>
        </w:tc>
      </w:tr>
      <w:tr w14:paraId="2C6D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gridSpan w:val="2"/>
            <w:vAlign w:val="center"/>
          </w:tcPr>
          <w:p w14:paraId="0A5A112F">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6.1</w:t>
            </w:r>
          </w:p>
        </w:tc>
        <w:tc>
          <w:tcPr>
            <w:tcW w:w="4266" w:type="pct"/>
            <w:vAlign w:val="center"/>
          </w:tcPr>
          <w:p w14:paraId="0D61ED06">
            <w:pPr>
              <w:adjustRightInd w:val="0"/>
              <w:snapToGrid w:val="0"/>
              <w:spacing w:line="360" w:lineRule="exact"/>
              <w:rPr>
                <w:rFonts w:ascii="楷体" w:hAnsi="楷体" w:eastAsia="楷体" w:cs="楷体"/>
                <w:sz w:val="24"/>
              </w:rPr>
            </w:pPr>
            <w:r>
              <w:rPr>
                <w:rFonts w:hint="eastAsia" w:ascii="楷体" w:hAnsi="楷体" w:eastAsia="楷体" w:cs="楷体"/>
                <w:sz w:val="24"/>
              </w:rPr>
              <w:t>答疑会或踏勘现场：本项目不集中举行答疑会或踏勘现场。</w:t>
            </w:r>
          </w:p>
        </w:tc>
      </w:tr>
      <w:tr w14:paraId="64AA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53F3DEB4">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（三）投标文件编制要求</w:t>
            </w:r>
          </w:p>
        </w:tc>
      </w:tr>
      <w:tr w14:paraId="7D0C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5E8F35AD">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10.1</w:t>
            </w:r>
          </w:p>
        </w:tc>
        <w:tc>
          <w:tcPr>
            <w:tcW w:w="4266" w:type="pct"/>
            <w:vAlign w:val="center"/>
          </w:tcPr>
          <w:p w14:paraId="2D8AFE21">
            <w:pPr>
              <w:adjustRightInd w:val="0"/>
              <w:snapToGrid w:val="0"/>
              <w:spacing w:line="360" w:lineRule="exact"/>
              <w:rPr>
                <w:rFonts w:ascii="楷体" w:hAnsi="楷体" w:eastAsia="楷体" w:cs="楷体"/>
                <w:sz w:val="24"/>
              </w:rPr>
            </w:pPr>
            <w:r>
              <w:rPr>
                <w:rFonts w:hint="eastAsia" w:ascii="楷体" w:hAnsi="楷体" w:eastAsia="楷体" w:cs="楷体"/>
                <w:sz w:val="24"/>
              </w:rPr>
              <w:t>纸质投标文件正本1份，加密电子文件1份。</w:t>
            </w:r>
            <w:r>
              <w:rPr>
                <w:rFonts w:hint="eastAsia" w:ascii="楷体" w:hAnsi="楷体" w:eastAsia="楷体" w:cs="楷体"/>
                <w:b/>
                <w:bCs/>
                <w:sz w:val="24"/>
              </w:rPr>
              <w:t>（须在递交投标文件截止时间前成功上传至电子平台，电子投标文件必须签名盖章。）</w:t>
            </w:r>
          </w:p>
          <w:p w14:paraId="471A75D7">
            <w:pPr>
              <w:spacing w:line="440" w:lineRule="exact"/>
              <w:rPr>
                <w:rFonts w:ascii="楷体" w:hAnsi="楷体" w:eastAsia="楷体" w:cs="楷体"/>
                <w:b/>
                <w:sz w:val="24"/>
              </w:rPr>
            </w:pPr>
            <w:r>
              <w:rPr>
                <w:rFonts w:hint="eastAsia" w:ascii="楷体" w:hAnsi="楷体" w:eastAsia="楷体" w:cs="楷体"/>
                <w:b/>
                <w:sz w:val="24"/>
              </w:rPr>
              <w:t>说明：</w:t>
            </w:r>
          </w:p>
          <w:p w14:paraId="36E74AF0">
            <w:pPr>
              <w:spacing w:line="440" w:lineRule="exact"/>
              <w:rPr>
                <w:rFonts w:ascii="楷体" w:hAnsi="楷体" w:eastAsia="楷体" w:cs="楷体"/>
                <w:b/>
                <w:sz w:val="24"/>
              </w:rPr>
            </w:pPr>
            <w:r>
              <w:rPr>
                <w:rFonts w:hint="eastAsia" w:ascii="楷体" w:hAnsi="楷体" w:eastAsia="楷体" w:cs="楷体"/>
                <w:b/>
                <w:sz w:val="24"/>
              </w:rPr>
              <w:t>1.请保证电子投标文件应与纸质投标文件一致，如不一致时以电子平台上传递交的电子投标文件为准。</w:t>
            </w:r>
          </w:p>
          <w:p w14:paraId="355C7E6C">
            <w:pPr>
              <w:adjustRightInd w:val="0"/>
              <w:snapToGrid w:val="0"/>
              <w:spacing w:line="360" w:lineRule="exact"/>
              <w:rPr>
                <w:rFonts w:ascii="楷体" w:hAnsi="楷体" w:eastAsia="楷体" w:cs="楷体"/>
                <w:sz w:val="24"/>
              </w:rPr>
            </w:pPr>
            <w:r>
              <w:rPr>
                <w:rFonts w:hint="eastAsia" w:ascii="楷体" w:hAnsi="楷体" w:eastAsia="楷体" w:cs="楷体"/>
                <w:b/>
                <w:sz w:val="24"/>
              </w:rPr>
              <w:t>2.纸质投标文件可以现场提交或邮寄。投标人如选择现场递交，递交时间为投标截止时间前30分钟；投标人如选择邮寄投标文件，请提前安排时间邮寄，务必保证投标文件于提交投标文件截止时间前到达开标地址（以签收时间为准），并及时将快递单号发送至招标代理机构邮箱：GDdingxin@163.com。现场提交地址和邮寄地址（邮寄地址：广州市越秀区东风东路699号广东港澳中心402室（广东鼎信招标采购有限公司）），收件人及电话：详见项目公告的项目联系人）。</w:t>
            </w:r>
          </w:p>
        </w:tc>
      </w:tr>
      <w:tr w14:paraId="05A0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53B5CA49">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11.1</w:t>
            </w:r>
          </w:p>
        </w:tc>
        <w:tc>
          <w:tcPr>
            <w:tcW w:w="4266" w:type="pct"/>
            <w:vAlign w:val="center"/>
          </w:tcPr>
          <w:p w14:paraId="3557D37C">
            <w:pPr>
              <w:adjustRightInd w:val="0"/>
              <w:snapToGrid w:val="0"/>
              <w:spacing w:line="360" w:lineRule="exact"/>
              <w:rPr>
                <w:rFonts w:ascii="楷体" w:hAnsi="楷体" w:eastAsia="楷体" w:cs="楷体"/>
                <w:sz w:val="24"/>
              </w:rPr>
            </w:pPr>
            <w:r>
              <w:rPr>
                <w:rFonts w:hint="eastAsia" w:ascii="楷体" w:hAnsi="楷体" w:eastAsia="楷体" w:cs="楷体"/>
                <w:sz w:val="24"/>
              </w:rPr>
              <w:t>投标有效期：90天</w:t>
            </w:r>
          </w:p>
        </w:tc>
      </w:tr>
      <w:tr w14:paraId="382F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E5E2603">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12.8</w:t>
            </w:r>
          </w:p>
        </w:tc>
        <w:tc>
          <w:tcPr>
            <w:tcW w:w="4266" w:type="pct"/>
            <w:vAlign w:val="center"/>
          </w:tcPr>
          <w:p w14:paraId="515CBD70">
            <w:pPr>
              <w:adjustRightInd w:val="0"/>
              <w:snapToGrid w:val="0"/>
              <w:spacing w:line="360" w:lineRule="exact"/>
              <w:rPr>
                <w:rFonts w:ascii="楷体" w:hAnsi="楷体" w:eastAsia="楷体" w:cs="楷体"/>
                <w:sz w:val="24"/>
              </w:rPr>
            </w:pPr>
            <w:r>
              <w:rPr>
                <w:rFonts w:hint="eastAsia" w:ascii="楷体" w:hAnsi="楷体" w:eastAsia="楷体" w:cs="楷体"/>
                <w:sz w:val="24"/>
              </w:rPr>
              <w:t>本项目不接受备选方案。</w:t>
            </w:r>
          </w:p>
        </w:tc>
      </w:tr>
      <w:tr w14:paraId="6CA1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202BAE4">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12.9</w:t>
            </w:r>
          </w:p>
        </w:tc>
        <w:tc>
          <w:tcPr>
            <w:tcW w:w="4266" w:type="pct"/>
            <w:vAlign w:val="center"/>
          </w:tcPr>
          <w:p w14:paraId="562D22A5">
            <w:pPr>
              <w:adjustRightInd w:val="0"/>
              <w:snapToGrid w:val="0"/>
              <w:spacing w:line="360" w:lineRule="exact"/>
              <w:rPr>
                <w:rFonts w:ascii="楷体" w:hAnsi="楷体" w:eastAsia="楷体" w:cs="楷体"/>
                <w:sz w:val="24"/>
              </w:rPr>
            </w:pPr>
            <w:r>
              <w:rPr>
                <w:rFonts w:hint="eastAsia" w:ascii="楷体" w:hAnsi="楷体" w:eastAsia="楷体" w:cs="楷体"/>
                <w:sz w:val="24"/>
              </w:rPr>
              <w:t>本项目不接受具有附加条件的报价。</w:t>
            </w:r>
          </w:p>
        </w:tc>
      </w:tr>
      <w:tr w14:paraId="25B8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408290F">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16.1</w:t>
            </w:r>
          </w:p>
        </w:tc>
        <w:tc>
          <w:tcPr>
            <w:tcW w:w="4266" w:type="pct"/>
            <w:vAlign w:val="center"/>
          </w:tcPr>
          <w:p w14:paraId="053D825F">
            <w:pPr>
              <w:adjustRightInd w:val="0"/>
              <w:snapToGrid w:val="0"/>
              <w:spacing w:line="360" w:lineRule="exact"/>
              <w:rPr>
                <w:rFonts w:ascii="楷体" w:hAnsi="楷体" w:eastAsia="楷体" w:cs="楷体"/>
                <w:sz w:val="24"/>
              </w:rPr>
            </w:pPr>
            <w:r>
              <w:rPr>
                <w:rFonts w:hint="eastAsia" w:ascii="楷体" w:hAnsi="楷体" w:eastAsia="楷体" w:cs="楷体"/>
                <w:sz w:val="24"/>
              </w:rPr>
              <w:t>本项目投标保证金金额：本项目不收取。</w:t>
            </w:r>
          </w:p>
        </w:tc>
      </w:tr>
      <w:tr w14:paraId="1F4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51641A6B">
            <w:pPr>
              <w:adjustRightInd w:val="0"/>
              <w:snapToGrid w:val="0"/>
              <w:spacing w:line="360" w:lineRule="exact"/>
              <w:jc w:val="center"/>
              <w:rPr>
                <w:rFonts w:ascii="楷体" w:hAnsi="楷体" w:eastAsia="楷体" w:cs="楷体"/>
                <w:sz w:val="24"/>
              </w:rPr>
            </w:pPr>
            <w:r>
              <w:rPr>
                <w:rFonts w:hint="eastAsia" w:ascii="楷体" w:hAnsi="楷体" w:eastAsia="楷体" w:cs="楷体"/>
                <w:b/>
                <w:sz w:val="24"/>
              </w:rPr>
              <w:t>（五）开标与评标</w:t>
            </w:r>
          </w:p>
        </w:tc>
      </w:tr>
      <w:tr w14:paraId="7951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6B4F9B2">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23.1.1</w:t>
            </w:r>
          </w:p>
        </w:tc>
        <w:tc>
          <w:tcPr>
            <w:tcW w:w="4266" w:type="pct"/>
            <w:vAlign w:val="center"/>
          </w:tcPr>
          <w:p w14:paraId="0ED688BA">
            <w:pPr>
              <w:adjustRightInd w:val="0"/>
              <w:snapToGrid w:val="0"/>
              <w:spacing w:line="360" w:lineRule="exact"/>
              <w:rPr>
                <w:rFonts w:ascii="楷体" w:hAnsi="楷体" w:eastAsia="楷体" w:cs="楷体"/>
                <w:sz w:val="24"/>
              </w:rPr>
            </w:pPr>
            <w:r>
              <w:rPr>
                <w:rFonts w:hint="eastAsia" w:ascii="楷体" w:hAnsi="楷体" w:eastAsia="楷体" w:cs="楷体"/>
                <w:bCs/>
                <w:sz w:val="24"/>
              </w:rPr>
              <w:t>评标委员会由</w:t>
            </w:r>
            <w:r>
              <w:rPr>
                <w:rFonts w:hint="eastAsia" w:ascii="楷体" w:hAnsi="楷体" w:eastAsia="楷体" w:cs="楷体"/>
                <w:b/>
                <w:sz w:val="24"/>
                <w:u w:val="single"/>
              </w:rPr>
              <w:t>5</w:t>
            </w:r>
            <w:r>
              <w:rPr>
                <w:rFonts w:hint="eastAsia" w:ascii="楷体" w:hAnsi="楷体" w:eastAsia="楷体" w:cs="楷体"/>
                <w:bCs/>
                <w:sz w:val="24"/>
              </w:rPr>
              <w:t>名单数组成，其中招标人代表</w:t>
            </w:r>
            <w:r>
              <w:rPr>
                <w:rFonts w:hint="eastAsia" w:ascii="楷体" w:hAnsi="楷体" w:eastAsia="楷体" w:cs="楷体"/>
                <w:b/>
                <w:sz w:val="24"/>
                <w:u w:val="single"/>
              </w:rPr>
              <w:t>1</w:t>
            </w:r>
            <w:r>
              <w:rPr>
                <w:rFonts w:hint="eastAsia" w:ascii="楷体" w:hAnsi="楷体" w:eastAsia="楷体" w:cs="楷体"/>
                <w:bCs/>
                <w:sz w:val="24"/>
              </w:rPr>
              <w:t>名，其余</w:t>
            </w:r>
            <w:r>
              <w:rPr>
                <w:rFonts w:hint="eastAsia" w:ascii="楷体" w:hAnsi="楷体" w:eastAsia="楷体" w:cs="楷体"/>
                <w:b/>
                <w:sz w:val="24"/>
                <w:u w:val="single"/>
              </w:rPr>
              <w:t>4</w:t>
            </w:r>
            <w:r>
              <w:rPr>
                <w:rFonts w:hint="eastAsia" w:ascii="楷体" w:hAnsi="楷体" w:eastAsia="楷体" w:cs="楷体"/>
                <w:bCs/>
                <w:sz w:val="24"/>
              </w:rPr>
              <w:t>名专家从专家库随机抽取产生。</w:t>
            </w:r>
          </w:p>
        </w:tc>
      </w:tr>
      <w:tr w14:paraId="6E0F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58CAA425">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23.1.3</w:t>
            </w:r>
          </w:p>
        </w:tc>
        <w:tc>
          <w:tcPr>
            <w:tcW w:w="4266" w:type="pct"/>
            <w:vAlign w:val="center"/>
          </w:tcPr>
          <w:p w14:paraId="6C6B3AA5">
            <w:pPr>
              <w:adjustRightInd w:val="0"/>
              <w:snapToGrid w:val="0"/>
              <w:spacing w:line="360" w:lineRule="exact"/>
              <w:rPr>
                <w:rFonts w:ascii="楷体" w:hAnsi="楷体" w:eastAsia="楷体" w:cs="楷体"/>
                <w:bCs/>
                <w:sz w:val="24"/>
              </w:rPr>
            </w:pPr>
            <w:r>
              <w:rPr>
                <w:rFonts w:hint="eastAsia" w:ascii="楷体" w:hAnsi="楷体" w:eastAsia="楷体" w:cs="楷体"/>
                <w:bCs/>
                <w:sz w:val="24"/>
              </w:rPr>
              <w:t>评标方法：综合评分法</w:t>
            </w:r>
          </w:p>
        </w:tc>
      </w:tr>
      <w:tr w14:paraId="79CF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B92F8E8">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24.2</w:t>
            </w:r>
          </w:p>
        </w:tc>
        <w:tc>
          <w:tcPr>
            <w:tcW w:w="4266" w:type="pct"/>
            <w:vAlign w:val="center"/>
          </w:tcPr>
          <w:p w14:paraId="22747304">
            <w:pPr>
              <w:adjustRightInd w:val="0"/>
              <w:snapToGrid w:val="0"/>
              <w:spacing w:line="360" w:lineRule="exact"/>
              <w:rPr>
                <w:rFonts w:ascii="楷体" w:hAnsi="楷体" w:eastAsia="楷体" w:cs="楷体"/>
                <w:bCs/>
                <w:sz w:val="24"/>
              </w:rPr>
            </w:pPr>
            <w:r>
              <w:rPr>
                <w:rFonts w:hint="eastAsia" w:ascii="楷体" w:hAnsi="楷体" w:eastAsia="楷体" w:cs="楷体"/>
                <w:bCs/>
                <w:sz w:val="24"/>
              </w:rPr>
              <w:t>定标原则：按评审后投标人得分由高到低的顺序排列。得分相同的，按投标报价由低到高顺序排列。综合评分相同，且投标报价最低的相同的，名次由评标委员会抽签决定。推荐综合得分排名第一的投标人为第一中标候选人，排名第二的投标人为第二中标候选人，排名第三的投标人为第三中标候选人。</w:t>
            </w:r>
          </w:p>
        </w:tc>
      </w:tr>
      <w:tr w14:paraId="74A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55D6C6C3">
            <w:pPr>
              <w:adjustRightInd w:val="0"/>
              <w:snapToGrid w:val="0"/>
              <w:spacing w:line="360" w:lineRule="exact"/>
              <w:jc w:val="center"/>
              <w:rPr>
                <w:rFonts w:ascii="楷体" w:hAnsi="楷体" w:eastAsia="楷体" w:cs="楷体"/>
                <w:sz w:val="24"/>
              </w:rPr>
            </w:pPr>
            <w:r>
              <w:rPr>
                <w:rFonts w:hint="eastAsia" w:ascii="楷体" w:hAnsi="楷体" w:eastAsia="楷体" w:cs="楷体"/>
                <w:b/>
                <w:sz w:val="24"/>
              </w:rPr>
              <w:t>（七）授予合同</w:t>
            </w:r>
          </w:p>
        </w:tc>
      </w:tr>
      <w:tr w14:paraId="6782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5E4DEBF">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30.1</w:t>
            </w:r>
          </w:p>
        </w:tc>
        <w:tc>
          <w:tcPr>
            <w:tcW w:w="4266" w:type="pct"/>
            <w:vAlign w:val="center"/>
          </w:tcPr>
          <w:p w14:paraId="5DCC3EEA">
            <w:pPr>
              <w:adjustRightInd w:val="0"/>
              <w:snapToGrid w:val="0"/>
              <w:spacing w:line="360" w:lineRule="exact"/>
              <w:rPr>
                <w:rFonts w:ascii="楷体" w:hAnsi="楷体" w:eastAsia="楷体" w:cs="楷体"/>
                <w:sz w:val="24"/>
              </w:rPr>
            </w:pPr>
            <w:r>
              <w:rPr>
                <w:rFonts w:hint="eastAsia" w:ascii="楷体" w:hAnsi="楷体" w:eastAsia="楷体" w:cs="楷体"/>
                <w:sz w:val="24"/>
              </w:rPr>
              <w:t>履约保证金：￥3000.00元（叁仟元整）。</w:t>
            </w:r>
          </w:p>
        </w:tc>
      </w:tr>
      <w:tr w14:paraId="4D1F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95CE0D2">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31.1</w:t>
            </w:r>
          </w:p>
        </w:tc>
        <w:tc>
          <w:tcPr>
            <w:tcW w:w="4266" w:type="pct"/>
            <w:vAlign w:val="center"/>
          </w:tcPr>
          <w:p w14:paraId="6A1FB767">
            <w:pPr>
              <w:tabs>
                <w:tab w:val="left" w:pos="425"/>
              </w:tabs>
              <w:adjustRightInd w:val="0"/>
              <w:snapToGrid w:val="0"/>
              <w:spacing w:line="276" w:lineRule="auto"/>
              <w:rPr>
                <w:rFonts w:ascii="楷体" w:hAnsi="楷体" w:eastAsia="楷体" w:cs="楷体"/>
                <w:sz w:val="24"/>
              </w:rPr>
            </w:pPr>
            <w:r>
              <w:rPr>
                <w:rFonts w:hint="eastAsia" w:ascii="楷体" w:hAnsi="楷体" w:eastAsia="楷体" w:cs="楷体"/>
                <w:sz w:val="24"/>
              </w:rPr>
              <w:t>中标人须向招标代理机构按如下标准和规定交纳招标代理服务费：</w:t>
            </w:r>
          </w:p>
          <w:p w14:paraId="20E1887C">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招标代理服务费以中标价（第1项中标价×3年+第2项中标价）作为招标代理服务费的计算基数，按原国家计委《招标代理服务收费管理暂行办法》（计价格[2002]1980号）规定的</w:t>
            </w:r>
            <w:r>
              <w:rPr>
                <w:rFonts w:hint="eastAsia" w:ascii="楷体" w:hAnsi="楷体" w:eastAsia="楷体" w:cs="楷体"/>
                <w:b/>
                <w:bCs/>
                <w:sz w:val="24"/>
              </w:rPr>
              <w:t>“服务类”</w:t>
            </w:r>
            <w:r>
              <w:rPr>
                <w:rFonts w:hint="eastAsia" w:ascii="楷体" w:hAnsi="楷体" w:eastAsia="楷体" w:cs="楷体"/>
                <w:sz w:val="24"/>
              </w:rPr>
              <w:t>收费标准计算。</w:t>
            </w:r>
          </w:p>
          <w:p w14:paraId="52CD1AB5">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招标代理服务费按差额定率累进法计算。</w:t>
            </w:r>
          </w:p>
          <w:p w14:paraId="16F11AE4">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招标代理服务费的交纳形式：采用现金或转账付款方式。</w:t>
            </w:r>
          </w:p>
          <w:p w14:paraId="0A6CC6A4">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招标代理服务费付至：</w:t>
            </w:r>
          </w:p>
          <w:p w14:paraId="269500FE">
            <w:pPr>
              <w:adjustRightInd w:val="0"/>
              <w:snapToGrid w:val="0"/>
              <w:spacing w:line="276" w:lineRule="auto"/>
              <w:ind w:firstLine="698" w:firstLineChars="291"/>
              <w:rPr>
                <w:rFonts w:ascii="楷体" w:hAnsi="楷体" w:eastAsia="楷体" w:cs="楷体"/>
                <w:sz w:val="24"/>
              </w:rPr>
            </w:pPr>
            <w:r>
              <w:rPr>
                <w:rFonts w:hint="eastAsia" w:ascii="楷体" w:hAnsi="楷体" w:eastAsia="楷体" w:cs="楷体"/>
                <w:sz w:val="24"/>
              </w:rPr>
              <w:t>收款人名称：广东鼎信招标采购有限公司</w:t>
            </w:r>
          </w:p>
          <w:p w14:paraId="7797C25E">
            <w:pPr>
              <w:adjustRightInd w:val="0"/>
              <w:snapToGrid w:val="0"/>
              <w:spacing w:line="276" w:lineRule="auto"/>
              <w:ind w:firstLine="698" w:firstLineChars="291"/>
              <w:rPr>
                <w:rFonts w:ascii="楷体" w:hAnsi="楷体" w:eastAsia="楷体" w:cs="楷体"/>
                <w:sz w:val="24"/>
              </w:rPr>
            </w:pPr>
            <w:r>
              <w:rPr>
                <w:rFonts w:hint="eastAsia" w:ascii="楷体" w:hAnsi="楷体" w:eastAsia="楷体" w:cs="楷体"/>
                <w:sz w:val="24"/>
              </w:rPr>
              <w:t>开户银行：中国建设银行股份有限公司广州石牌支行</w:t>
            </w:r>
          </w:p>
          <w:p w14:paraId="180EC0E6">
            <w:pPr>
              <w:adjustRightInd w:val="0"/>
              <w:snapToGrid w:val="0"/>
              <w:spacing w:line="360" w:lineRule="exact"/>
              <w:ind w:firstLine="698" w:firstLineChars="291"/>
              <w:rPr>
                <w:rFonts w:ascii="楷体" w:hAnsi="楷体" w:eastAsia="楷体" w:cs="楷体"/>
                <w:sz w:val="24"/>
              </w:rPr>
            </w:pPr>
            <w:r>
              <w:rPr>
                <w:rFonts w:hint="eastAsia" w:ascii="楷体" w:hAnsi="楷体" w:eastAsia="楷体" w:cs="楷体"/>
                <w:sz w:val="24"/>
              </w:rPr>
              <w:t>账    号：44050158050200000686</w:t>
            </w:r>
          </w:p>
        </w:tc>
      </w:tr>
      <w:tr w14:paraId="0DE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2D84F89">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补充条款</w:t>
            </w:r>
          </w:p>
        </w:tc>
      </w:tr>
      <w:tr w14:paraId="3365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9C0893D">
            <w:pPr>
              <w:adjustRightInd w:val="0"/>
              <w:snapToGrid w:val="0"/>
              <w:spacing w:line="360" w:lineRule="exact"/>
              <w:jc w:val="center"/>
              <w:rPr>
                <w:rFonts w:ascii="楷体" w:hAnsi="楷体" w:eastAsia="楷体" w:cs="楷体"/>
                <w:sz w:val="24"/>
              </w:rPr>
            </w:pPr>
            <w:r>
              <w:rPr>
                <w:rFonts w:hint="eastAsia" w:ascii="楷体" w:hAnsi="楷体" w:eastAsia="楷体" w:cs="楷体"/>
                <w:bCs/>
                <w:sz w:val="24"/>
              </w:rPr>
              <w:t>信息发布媒体</w:t>
            </w:r>
          </w:p>
        </w:tc>
        <w:tc>
          <w:tcPr>
            <w:tcW w:w="4266" w:type="pct"/>
            <w:vAlign w:val="center"/>
          </w:tcPr>
          <w:p w14:paraId="36216C09">
            <w:pPr>
              <w:adjustRightInd w:val="0"/>
              <w:snapToGrid w:val="0"/>
              <w:spacing w:line="360" w:lineRule="exact"/>
              <w:rPr>
                <w:rFonts w:ascii="楷体" w:hAnsi="楷体" w:eastAsia="楷体" w:cs="楷体"/>
                <w:sz w:val="24"/>
              </w:rPr>
            </w:pPr>
            <w:r>
              <w:rPr>
                <w:rFonts w:hint="eastAsia" w:ascii="楷体" w:hAnsi="楷体" w:eastAsia="楷体" w:cs="楷体"/>
                <w:sz w:val="24"/>
              </w:rPr>
              <w:t>中国采购与招标网（www.chinabidding.com.cn)</w:t>
            </w:r>
          </w:p>
          <w:p w14:paraId="4E2BF59B">
            <w:pPr>
              <w:adjustRightInd w:val="0"/>
              <w:snapToGrid w:val="0"/>
              <w:spacing w:line="360" w:lineRule="exact"/>
              <w:rPr>
                <w:rFonts w:ascii="楷体" w:hAnsi="楷体" w:eastAsia="楷体" w:cs="楷体"/>
                <w:sz w:val="24"/>
              </w:rPr>
            </w:pPr>
            <w:r>
              <w:rPr>
                <w:rFonts w:hint="eastAsia" w:ascii="楷体" w:hAnsi="楷体" w:eastAsia="楷体" w:cs="楷体"/>
                <w:sz w:val="24"/>
              </w:rPr>
              <w:t>中国招投标网（www.infobidding.com）</w:t>
            </w:r>
          </w:p>
          <w:p w14:paraId="2491DDDF">
            <w:pPr>
              <w:adjustRightInd w:val="0"/>
              <w:snapToGrid w:val="0"/>
              <w:spacing w:line="360" w:lineRule="exact"/>
              <w:rPr>
                <w:rFonts w:ascii="楷体" w:hAnsi="楷体" w:eastAsia="楷体" w:cs="楷体"/>
                <w:sz w:val="24"/>
              </w:rPr>
            </w:pPr>
            <w:r>
              <w:rPr>
                <w:rFonts w:hint="eastAsia" w:ascii="楷体" w:hAnsi="楷体" w:eastAsia="楷体" w:cs="楷体"/>
                <w:sz w:val="24"/>
              </w:rPr>
              <w:t>广东鼎信招标采购有限公司网站（www.gddingxin.com）</w:t>
            </w:r>
          </w:p>
        </w:tc>
      </w:tr>
    </w:tbl>
    <w:p w14:paraId="1C30ACB9">
      <w:pPr>
        <w:rPr>
          <w:rFonts w:ascii="楷体" w:hAnsi="楷体" w:eastAsia="楷体" w:cs="楷体"/>
        </w:rPr>
      </w:pPr>
    </w:p>
    <w:p w14:paraId="30EC3E0C">
      <w:pPr>
        <w:rPr>
          <w:rFonts w:ascii="楷体" w:hAnsi="楷体" w:eastAsia="楷体" w:cs="楷体"/>
        </w:rPr>
      </w:pPr>
      <w:r>
        <w:rPr>
          <w:rFonts w:hint="eastAsia" w:ascii="楷体" w:hAnsi="楷体" w:eastAsia="楷体" w:cs="楷体"/>
        </w:rPr>
        <w:br w:type="page"/>
      </w:r>
    </w:p>
    <w:p w14:paraId="3A134E15">
      <w:pPr>
        <w:pStyle w:val="5"/>
        <w:numPr>
          <w:ilvl w:val="0"/>
          <w:numId w:val="7"/>
        </w:numPr>
        <w:jc w:val="center"/>
        <w:rPr>
          <w:rFonts w:ascii="楷体" w:hAnsi="楷体" w:eastAsia="楷体" w:cs="楷体"/>
        </w:rPr>
      </w:pPr>
      <w:bookmarkStart w:id="58" w:name="_Toc7469"/>
      <w:bookmarkStart w:id="59" w:name="_Toc7064"/>
      <w:bookmarkStart w:id="60" w:name="_Toc10623"/>
      <w:bookmarkStart w:id="61" w:name="_Toc10375"/>
      <w:bookmarkStart w:id="62" w:name="_Toc4284"/>
      <w:bookmarkStart w:id="63" w:name="_Toc423021940"/>
      <w:r>
        <w:rPr>
          <w:rFonts w:hint="eastAsia" w:ascii="楷体" w:hAnsi="楷体" w:eastAsia="楷体" w:cs="楷体"/>
        </w:rPr>
        <w:t>总则</w:t>
      </w:r>
      <w:bookmarkEnd w:id="58"/>
      <w:bookmarkEnd w:id="59"/>
      <w:bookmarkEnd w:id="60"/>
      <w:bookmarkEnd w:id="61"/>
      <w:bookmarkEnd w:id="62"/>
      <w:bookmarkEnd w:id="63"/>
    </w:p>
    <w:p w14:paraId="4BEAC558">
      <w:pPr>
        <w:pStyle w:val="6"/>
        <w:numPr>
          <w:ilvl w:val="0"/>
          <w:numId w:val="8"/>
        </w:numPr>
        <w:ind w:hanging="5"/>
        <w:rPr>
          <w:rFonts w:ascii="楷体" w:hAnsi="楷体" w:eastAsia="楷体" w:cs="楷体"/>
          <w:sz w:val="28"/>
          <w:szCs w:val="28"/>
          <w:lang w:val="zh-CN"/>
        </w:rPr>
      </w:pPr>
      <w:bookmarkStart w:id="64" w:name="_Toc1400"/>
      <w:bookmarkStart w:id="65" w:name="_Toc13429"/>
      <w:bookmarkStart w:id="66" w:name="_Toc7641"/>
      <w:bookmarkStart w:id="67" w:name="_Toc22757"/>
      <w:bookmarkStart w:id="68" w:name="_Toc14827"/>
      <w:r>
        <w:rPr>
          <w:rFonts w:hint="eastAsia" w:ascii="楷体" w:hAnsi="楷体" w:eastAsia="楷体" w:cs="楷体"/>
          <w:sz w:val="28"/>
          <w:szCs w:val="28"/>
          <w:lang w:val="zh-CN"/>
        </w:rPr>
        <w:t>招标项目与采购当事人</w:t>
      </w:r>
      <w:bookmarkEnd w:id="64"/>
      <w:bookmarkEnd w:id="65"/>
      <w:bookmarkEnd w:id="66"/>
      <w:bookmarkEnd w:id="67"/>
      <w:bookmarkEnd w:id="68"/>
    </w:p>
    <w:p w14:paraId="193D7398">
      <w:pPr>
        <w:numPr>
          <w:ilvl w:val="1"/>
          <w:numId w:val="9"/>
        </w:numPr>
        <w:tabs>
          <w:tab w:val="left" w:pos="1050"/>
          <w:tab w:val="clear" w:pos="907"/>
        </w:tabs>
        <w:spacing w:line="360" w:lineRule="auto"/>
        <w:ind w:left="1007" w:hanging="587"/>
        <w:rPr>
          <w:rFonts w:ascii="楷体" w:hAnsi="楷体" w:eastAsia="楷体" w:cs="楷体"/>
          <w:sz w:val="24"/>
          <w:lang w:val="zh-CN"/>
        </w:rPr>
      </w:pPr>
      <w:bookmarkStart w:id="69" w:name="_Toc21444"/>
      <w:r>
        <w:rPr>
          <w:rFonts w:hint="eastAsia" w:ascii="楷体" w:hAnsi="楷体" w:eastAsia="楷体" w:cs="楷体"/>
          <w:sz w:val="24"/>
          <w:lang w:val="zh-CN"/>
        </w:rPr>
        <w:t>本招标文件</w:t>
      </w:r>
      <w:r>
        <w:rPr>
          <w:rFonts w:hint="eastAsia" w:ascii="楷体" w:hAnsi="楷体" w:eastAsia="楷体" w:cs="楷体"/>
          <w:b/>
          <w:bCs/>
          <w:sz w:val="24"/>
          <w:lang w:val="zh-CN"/>
        </w:rPr>
        <w:t>投标人须知前附表</w:t>
      </w:r>
      <w:r>
        <w:rPr>
          <w:rFonts w:hint="eastAsia" w:ascii="楷体" w:hAnsi="楷体" w:eastAsia="楷体" w:cs="楷体"/>
          <w:sz w:val="24"/>
          <w:lang w:val="zh-CN"/>
        </w:rPr>
        <w:t>中所述的招标人已经获得足以支付本次采购后所签订的合同项下的款项。</w:t>
      </w:r>
    </w:p>
    <w:p w14:paraId="761D1598">
      <w:pPr>
        <w:numPr>
          <w:ilvl w:val="1"/>
          <w:numId w:val="9"/>
        </w:numPr>
        <w:tabs>
          <w:tab w:val="left" w:pos="105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本次采购的招标人和招标代理机构（以下简称招标代理机构）的名称、地址、联系人、电话、传真和电子邮箱见</w:t>
      </w:r>
      <w:r>
        <w:rPr>
          <w:rFonts w:hint="eastAsia" w:ascii="楷体" w:hAnsi="楷体" w:eastAsia="楷体" w:cs="楷体"/>
          <w:b/>
          <w:bCs/>
          <w:sz w:val="24"/>
          <w:lang w:val="zh-CN"/>
        </w:rPr>
        <w:t>投标人须知前附表</w:t>
      </w:r>
      <w:r>
        <w:rPr>
          <w:rFonts w:hint="eastAsia" w:ascii="楷体" w:hAnsi="楷体" w:eastAsia="楷体" w:cs="楷体"/>
          <w:sz w:val="24"/>
          <w:lang w:val="zh-CN"/>
        </w:rPr>
        <w:t>。</w:t>
      </w:r>
    </w:p>
    <w:p w14:paraId="0265947A">
      <w:pPr>
        <w:pStyle w:val="6"/>
        <w:numPr>
          <w:ilvl w:val="0"/>
          <w:numId w:val="8"/>
        </w:numPr>
        <w:ind w:hanging="5"/>
        <w:rPr>
          <w:rFonts w:ascii="楷体" w:hAnsi="楷体" w:eastAsia="楷体" w:cs="楷体"/>
          <w:sz w:val="28"/>
          <w:szCs w:val="28"/>
          <w:lang w:val="zh-CN"/>
        </w:rPr>
      </w:pPr>
      <w:bookmarkStart w:id="70" w:name="_Toc22760"/>
      <w:bookmarkStart w:id="71" w:name="_Toc23656"/>
      <w:bookmarkStart w:id="72" w:name="_Toc13363"/>
      <w:bookmarkStart w:id="73" w:name="_Toc31370"/>
      <w:r>
        <w:rPr>
          <w:rFonts w:hint="eastAsia" w:ascii="楷体" w:hAnsi="楷体" w:eastAsia="楷体" w:cs="楷体"/>
          <w:sz w:val="28"/>
          <w:szCs w:val="28"/>
          <w:lang w:val="zh-CN"/>
        </w:rPr>
        <w:t>合格的投标人</w:t>
      </w:r>
      <w:bookmarkEnd w:id="69"/>
      <w:bookmarkEnd w:id="70"/>
      <w:bookmarkEnd w:id="71"/>
      <w:bookmarkEnd w:id="72"/>
      <w:bookmarkEnd w:id="73"/>
    </w:p>
    <w:p w14:paraId="471DAA7C">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投标人是响应招标、已在招标人或招标代理机构处领购招标文件并参加投标竞争的法人或其他组织。</w:t>
      </w:r>
    </w:p>
    <w:p w14:paraId="36B9410E">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任何未在招标人或招标代理机构处领购招标文件的法人或其他组织均不得参加投标。</w:t>
      </w:r>
    </w:p>
    <w:p w14:paraId="0ADC2ECA">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除非另有规定，凡是来自中华人民共和国的法人或其他组织均可投标。</w:t>
      </w:r>
    </w:p>
    <w:p w14:paraId="33F5A13A">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与招标人存在利害关系可能影响招标公正性的法人或其他组织不得参加投标。</w:t>
      </w:r>
    </w:p>
    <w:p w14:paraId="47D3962F">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接受委托参与项目前期咨询和招标文件编制的法人或其他组织不得参加受托项目的投标，也不得为该项目的投标人编制投标文件或者提供咨询。</w:t>
      </w:r>
    </w:p>
    <w:p w14:paraId="69CEBF28">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单位负责人为同一人或者存在控股、管理关系的不同单位，不得参加同一招标项目（或包组）的投标，共同组成联合体投标的除外。</w:t>
      </w:r>
    </w:p>
    <w:p w14:paraId="082A8499">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联合体各方不得在同一招标项目（或包组）中以自己名义单独投标或者参加其他联合体投标。</w:t>
      </w:r>
    </w:p>
    <w:p w14:paraId="337B458C">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只有在法律上和财务上独立、合法运作并独立于招标人和招标代理机构的供应商（服务商）才能参加投标。</w:t>
      </w:r>
    </w:p>
    <w:p w14:paraId="603DC30F">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招标文件要求的其他条款。</w:t>
      </w:r>
    </w:p>
    <w:p w14:paraId="43D576D1">
      <w:pPr>
        <w:pStyle w:val="6"/>
        <w:numPr>
          <w:ilvl w:val="0"/>
          <w:numId w:val="8"/>
        </w:numPr>
        <w:ind w:hanging="5"/>
        <w:rPr>
          <w:rFonts w:ascii="楷体" w:hAnsi="楷体" w:eastAsia="楷体" w:cs="楷体"/>
          <w:sz w:val="28"/>
          <w:szCs w:val="28"/>
          <w:lang w:val="zh-CN"/>
        </w:rPr>
      </w:pPr>
      <w:bookmarkStart w:id="74" w:name="_Toc20781"/>
      <w:r>
        <w:rPr>
          <w:rFonts w:hint="eastAsia" w:ascii="楷体" w:hAnsi="楷体" w:eastAsia="楷体" w:cs="楷体"/>
          <w:sz w:val="28"/>
          <w:szCs w:val="28"/>
          <w:lang w:val="zh-CN"/>
        </w:rPr>
        <w:t>合格的货物和服务</w:t>
      </w:r>
      <w:bookmarkEnd w:id="74"/>
    </w:p>
    <w:p w14:paraId="22E1E030">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合格的货物是指投标人生产或销售的，符合国家有关标准要求的产品，并满足招标文件规定的规格、参数、质量、价格、有效期、售后服务等要求。</w:t>
      </w:r>
    </w:p>
    <w:p w14:paraId="2AD42AB2">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投标货物必须是全新的，如安装或配置软件的，须为正版软件。</w:t>
      </w:r>
    </w:p>
    <w:p w14:paraId="3FE17C87">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招标文件中没有提及招标货物来源地的，根据相关规定均应是本国的货物，并优先采购节能、环保产品。</w:t>
      </w:r>
    </w:p>
    <w:p w14:paraId="272ECFC9">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本文件所称进口产品是指通过中国海关报关验放进入中国境内且产自关外的产品。进口的产品必须具有合法的进口手续和途径并通过商检部门的检验。</w:t>
      </w:r>
    </w:p>
    <w:p w14:paraId="7CF21569">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投标人应保证招标人在中华人民共和国境内使用本项目的投标货物、资料、技术、服务或其任何一部分</w:t>
      </w:r>
      <w:r>
        <w:rPr>
          <w:rFonts w:hint="eastAsia" w:ascii="楷体" w:hAnsi="楷体" w:eastAsia="楷体" w:cs="楷体"/>
          <w:sz w:val="24"/>
          <w:lang w:val="en-GB"/>
        </w:rPr>
        <w:t>时，享有不受限制的无偿使用权，</w:t>
      </w:r>
      <w:r>
        <w:rPr>
          <w:rFonts w:hint="eastAsia" w:ascii="楷体" w:hAnsi="楷体" w:eastAsia="楷体" w:cs="楷体"/>
          <w:sz w:val="24"/>
          <w:lang w:val="zh-CN"/>
        </w:rPr>
        <w:t>不会产生因第三方提出侵犯其专利权、商标权或其它知识产权而引起的法律和经济纠纷。</w:t>
      </w:r>
    </w:p>
    <w:p w14:paraId="52A3E37A">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合格的服务是指投标人须承担的运输、安装、技术支持、培训以及招标文件规定的其它伴随服务。</w:t>
      </w:r>
    </w:p>
    <w:p w14:paraId="0CFE803A">
      <w:pPr>
        <w:pStyle w:val="5"/>
        <w:numPr>
          <w:ilvl w:val="0"/>
          <w:numId w:val="7"/>
        </w:numPr>
        <w:jc w:val="center"/>
        <w:rPr>
          <w:rFonts w:ascii="楷体" w:hAnsi="楷体" w:eastAsia="楷体" w:cs="楷体"/>
        </w:rPr>
      </w:pPr>
      <w:bookmarkStart w:id="75" w:name="_Toc31056"/>
      <w:bookmarkStart w:id="76" w:name="_Toc15895"/>
      <w:bookmarkStart w:id="77" w:name="_Toc9831"/>
      <w:r>
        <w:rPr>
          <w:rFonts w:hint="eastAsia" w:ascii="楷体" w:hAnsi="楷体" w:eastAsia="楷体" w:cs="楷体"/>
        </w:rPr>
        <w:t>招标文件</w:t>
      </w:r>
      <w:bookmarkEnd w:id="75"/>
      <w:bookmarkEnd w:id="76"/>
      <w:bookmarkEnd w:id="77"/>
    </w:p>
    <w:p w14:paraId="6D16CAED">
      <w:pPr>
        <w:pStyle w:val="6"/>
        <w:numPr>
          <w:ilvl w:val="0"/>
          <w:numId w:val="8"/>
        </w:numPr>
        <w:ind w:hanging="5"/>
        <w:rPr>
          <w:rFonts w:ascii="楷体" w:hAnsi="楷体" w:eastAsia="楷体" w:cs="楷体"/>
          <w:sz w:val="28"/>
          <w:szCs w:val="28"/>
          <w:lang w:val="zh-CN"/>
        </w:rPr>
      </w:pPr>
      <w:bookmarkStart w:id="78" w:name="_Toc26165"/>
      <w:bookmarkStart w:id="79" w:name="_Toc11137"/>
      <w:bookmarkStart w:id="80" w:name="_Toc7500"/>
      <w:bookmarkStart w:id="81" w:name="_Toc19169"/>
      <w:bookmarkStart w:id="82" w:name="_Toc4639"/>
      <w:r>
        <w:rPr>
          <w:rFonts w:hint="eastAsia" w:ascii="楷体" w:hAnsi="楷体" w:eastAsia="楷体" w:cs="楷体"/>
          <w:sz w:val="28"/>
          <w:szCs w:val="28"/>
          <w:lang w:val="zh-CN"/>
        </w:rPr>
        <w:t>招标文件的编制依据和组成</w:t>
      </w:r>
      <w:bookmarkEnd w:id="78"/>
      <w:bookmarkEnd w:id="79"/>
      <w:bookmarkEnd w:id="80"/>
      <w:bookmarkEnd w:id="81"/>
      <w:bookmarkEnd w:id="82"/>
    </w:p>
    <w:p w14:paraId="4D251DA3">
      <w:pPr>
        <w:numPr>
          <w:ilvl w:val="1"/>
          <w:numId w:val="12"/>
        </w:numPr>
        <w:tabs>
          <w:tab w:val="left" w:pos="1060"/>
          <w:tab w:val="clear" w:pos="907"/>
        </w:tabs>
        <w:spacing w:line="360" w:lineRule="auto"/>
        <w:ind w:left="1047" w:hanging="627"/>
        <w:rPr>
          <w:rFonts w:ascii="楷体" w:hAnsi="楷体" w:eastAsia="楷体" w:cs="楷体"/>
          <w:sz w:val="24"/>
          <w:lang w:val="zh-CN"/>
        </w:rPr>
      </w:pPr>
      <w:bookmarkStart w:id="83" w:name="_Toc413373035"/>
      <w:bookmarkStart w:id="84" w:name="_Toc413372447"/>
      <w:bookmarkStart w:id="85" w:name="_Toc413372889"/>
      <w:r>
        <w:rPr>
          <w:rFonts w:hint="eastAsia" w:ascii="楷体" w:hAnsi="楷体" w:eastAsia="楷体" w:cs="楷体"/>
          <w:sz w:val="24"/>
          <w:lang w:val="zh-CN"/>
        </w:rPr>
        <w:t>本招标文件的编制依据参照</w:t>
      </w:r>
      <w:r>
        <w:rPr>
          <w:rFonts w:hint="eastAsia" w:ascii="楷体" w:hAnsi="楷体" w:eastAsia="楷体" w:cs="楷体"/>
          <w:sz w:val="24"/>
        </w:rPr>
        <w:t>《中华人民共和国招标投标法》、《中华人民共和国招标投标法实施条例》</w:t>
      </w:r>
      <w:r>
        <w:rPr>
          <w:rFonts w:hint="eastAsia" w:ascii="楷体" w:hAnsi="楷体" w:eastAsia="楷体" w:cs="楷体"/>
          <w:sz w:val="24"/>
          <w:lang w:val="zh-CN"/>
        </w:rPr>
        <w:t>及其配套的法规、规章、规范性文件等。</w:t>
      </w:r>
      <w:bookmarkEnd w:id="83"/>
      <w:bookmarkEnd w:id="84"/>
      <w:bookmarkEnd w:id="85"/>
    </w:p>
    <w:p w14:paraId="4D781A24">
      <w:pPr>
        <w:numPr>
          <w:ilvl w:val="1"/>
          <w:numId w:val="12"/>
        </w:numPr>
        <w:tabs>
          <w:tab w:val="left" w:pos="106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招标文件由下列文件以及在招标过程中发出的澄清、修改和补充文件组成，共六章：</w:t>
      </w:r>
    </w:p>
    <w:p w14:paraId="55D61DD6">
      <w:pPr>
        <w:tabs>
          <w:tab w:val="left" w:pos="1060"/>
        </w:tabs>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第一章 投标邀请函</w:t>
      </w:r>
    </w:p>
    <w:p w14:paraId="172469B9">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第二章 投标人须知</w:t>
      </w:r>
    </w:p>
    <w:p w14:paraId="4D97C07C">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第三章 评标体系与标准</w:t>
      </w:r>
    </w:p>
    <w:p w14:paraId="308D1E98">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第四章 用户需求书</w:t>
      </w:r>
    </w:p>
    <w:p w14:paraId="438DEA72">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第五章 合同格式</w:t>
      </w:r>
    </w:p>
    <w:p w14:paraId="307199A0">
      <w:pPr>
        <w:adjustRightInd w:val="0"/>
        <w:snapToGrid w:val="0"/>
        <w:spacing w:line="360" w:lineRule="auto"/>
        <w:ind w:firstLine="1260" w:firstLineChars="525"/>
        <w:rPr>
          <w:rFonts w:ascii="楷体" w:hAnsi="楷体" w:eastAsia="楷体" w:cs="楷体"/>
          <w:sz w:val="24"/>
          <w:lang w:val="zh-CN"/>
        </w:rPr>
      </w:pPr>
      <w:r>
        <w:rPr>
          <w:rFonts w:hint="eastAsia" w:ascii="楷体" w:hAnsi="楷体" w:eastAsia="楷体" w:cs="楷体"/>
          <w:sz w:val="24"/>
        </w:rPr>
        <w:t>第六章 投标文件格式</w:t>
      </w:r>
    </w:p>
    <w:p w14:paraId="42C261D5">
      <w:pPr>
        <w:numPr>
          <w:ilvl w:val="1"/>
          <w:numId w:val="12"/>
        </w:numPr>
        <w:tabs>
          <w:tab w:val="left" w:pos="106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4BF76541">
      <w:pPr>
        <w:pStyle w:val="6"/>
        <w:numPr>
          <w:ilvl w:val="0"/>
          <w:numId w:val="8"/>
        </w:numPr>
        <w:ind w:hanging="5"/>
        <w:rPr>
          <w:rFonts w:ascii="楷体" w:hAnsi="楷体" w:eastAsia="楷体" w:cs="楷体"/>
          <w:sz w:val="28"/>
          <w:szCs w:val="28"/>
          <w:lang w:val="zh-CN"/>
        </w:rPr>
      </w:pPr>
      <w:bookmarkStart w:id="86" w:name="_Toc29518"/>
      <w:bookmarkStart w:id="87" w:name="_Toc14080"/>
      <w:bookmarkStart w:id="88" w:name="_Toc14116"/>
      <w:bookmarkStart w:id="89" w:name="_Toc10350"/>
      <w:bookmarkStart w:id="90" w:name="_Toc12309"/>
      <w:r>
        <w:rPr>
          <w:rFonts w:hint="eastAsia" w:ascii="楷体" w:hAnsi="楷体" w:eastAsia="楷体" w:cs="楷体"/>
          <w:sz w:val="28"/>
          <w:szCs w:val="28"/>
          <w:lang w:val="zh-CN"/>
        </w:rPr>
        <w:t>招标文件的澄清和修改</w:t>
      </w:r>
      <w:bookmarkEnd w:id="86"/>
      <w:bookmarkEnd w:id="87"/>
      <w:bookmarkEnd w:id="88"/>
      <w:bookmarkEnd w:id="89"/>
      <w:bookmarkEnd w:id="90"/>
    </w:p>
    <w:p w14:paraId="7BD98275">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75D6BA19">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潜在投标人或者其他利害关系人对招标文件有异议的，应当在投标截止时间10日前提出。招标人应当自收到异议之日起3日内作出答复。</w:t>
      </w:r>
    </w:p>
    <w:p w14:paraId="0E93F966">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rPr>
        <w:t>已领购招标文件投标人在收到上述通知后，应在24小时内以书面形式向招标代理机构确认，若投标人未在24小时内书面回复确认将视为同意修改内容，并有责任履行相应的义务。</w:t>
      </w:r>
    </w:p>
    <w:p w14:paraId="4614AFDE">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招标文件的修改内容为招标文件的组成部分。</w:t>
      </w:r>
    </w:p>
    <w:p w14:paraId="1D22EA11">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招标文件的澄清或修改均以书面形式明确的内容为准。当招标文件的澄清、修改、补充等在同一内容的表述不一致时，以最后发出的书面文件为准。</w:t>
      </w:r>
    </w:p>
    <w:p w14:paraId="33BFC8CB">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0B125D9">
      <w:pPr>
        <w:pStyle w:val="6"/>
        <w:numPr>
          <w:ilvl w:val="0"/>
          <w:numId w:val="8"/>
        </w:numPr>
        <w:ind w:hanging="5"/>
        <w:rPr>
          <w:rFonts w:ascii="楷体" w:hAnsi="楷体" w:eastAsia="楷体" w:cs="楷体"/>
          <w:sz w:val="28"/>
          <w:szCs w:val="28"/>
          <w:lang w:val="zh-CN"/>
        </w:rPr>
      </w:pPr>
      <w:bookmarkStart w:id="91" w:name="_Toc1432"/>
      <w:bookmarkStart w:id="92" w:name="_Toc886"/>
      <w:bookmarkStart w:id="93" w:name="_Toc5081"/>
      <w:bookmarkStart w:id="94" w:name="_Toc110"/>
      <w:r>
        <w:rPr>
          <w:rFonts w:hint="eastAsia" w:ascii="楷体" w:hAnsi="楷体" w:eastAsia="楷体" w:cs="楷体"/>
          <w:sz w:val="28"/>
          <w:szCs w:val="28"/>
          <w:lang w:val="zh-CN"/>
        </w:rPr>
        <w:t>答疑会或踏勘现场</w:t>
      </w:r>
      <w:bookmarkEnd w:id="91"/>
      <w:bookmarkEnd w:id="92"/>
      <w:bookmarkEnd w:id="93"/>
      <w:bookmarkEnd w:id="94"/>
    </w:p>
    <w:p w14:paraId="2D23C6F5">
      <w:pPr>
        <w:numPr>
          <w:ilvl w:val="1"/>
          <w:numId w:val="14"/>
        </w:numPr>
        <w:tabs>
          <w:tab w:val="left" w:pos="1060"/>
          <w:tab w:val="clear" w:pos="907"/>
        </w:tabs>
        <w:spacing w:line="360" w:lineRule="auto"/>
        <w:ind w:left="1087" w:hanging="667"/>
        <w:rPr>
          <w:rFonts w:ascii="楷体" w:hAnsi="楷体" w:eastAsia="楷体" w:cs="楷体"/>
          <w:sz w:val="24"/>
          <w:lang w:val="zh-CN"/>
        </w:rPr>
      </w:pPr>
      <w:bookmarkStart w:id="95" w:name="_Toc423021942"/>
      <w:bookmarkStart w:id="96" w:name="_Toc14980"/>
      <w:r>
        <w:rPr>
          <w:rFonts w:hint="eastAsia" w:ascii="楷体" w:hAnsi="楷体" w:eastAsia="楷体" w:cs="楷体"/>
          <w:sz w:val="24"/>
          <w:lang w:val="zh-CN"/>
        </w:rPr>
        <w:t>除非</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中另有规定，本项目不举行集中答疑会或统一组织踏勘现场，如举行集中答疑会或踏勘现场的，则按以下规定：</w:t>
      </w:r>
    </w:p>
    <w:p w14:paraId="476026B0">
      <w:pPr>
        <w:numPr>
          <w:ilvl w:val="1"/>
          <w:numId w:val="14"/>
        </w:numPr>
        <w:tabs>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按</w:t>
      </w:r>
      <w:r>
        <w:rPr>
          <w:rFonts w:hint="eastAsia" w:ascii="楷体" w:hAnsi="楷体" w:eastAsia="楷体" w:cs="楷体"/>
          <w:b/>
          <w:bCs/>
          <w:sz w:val="24"/>
          <w:lang w:val="zh-CN"/>
        </w:rPr>
        <w:t>投标邀请函</w:t>
      </w:r>
      <w:r>
        <w:rPr>
          <w:rFonts w:hint="eastAsia" w:ascii="楷体" w:hAnsi="楷体" w:eastAsia="楷体" w:cs="楷体"/>
          <w:sz w:val="24"/>
          <w:lang w:val="zh-CN"/>
        </w:rPr>
        <w:t>中规定的日期、时间和地点组织公开答疑会或踏勘现场</w:t>
      </w:r>
      <w:r>
        <w:rPr>
          <w:rFonts w:hint="eastAsia" w:ascii="楷体" w:hAnsi="楷体" w:eastAsia="楷体" w:cs="楷体"/>
          <w:sz w:val="24"/>
        </w:rPr>
        <w:t>。</w:t>
      </w:r>
    </w:p>
    <w:p w14:paraId="4049BD88">
      <w:pPr>
        <w:spacing w:line="360" w:lineRule="auto"/>
        <w:ind w:left="1140" w:leftChars="200" w:hanging="720" w:hangingChars="300"/>
        <w:rPr>
          <w:rFonts w:ascii="楷体" w:hAnsi="楷体" w:eastAsia="楷体" w:cs="楷体"/>
          <w:sz w:val="24"/>
          <w:lang w:val="zh-CN"/>
        </w:rPr>
      </w:pPr>
      <w:r>
        <w:rPr>
          <w:rFonts w:hint="eastAsia" w:ascii="楷体" w:hAnsi="楷体" w:eastAsia="楷体" w:cs="楷体"/>
          <w:sz w:val="24"/>
        </w:rPr>
        <w:t>6.2.1</w:t>
      </w:r>
      <w:r>
        <w:rPr>
          <w:rFonts w:hint="eastAsia" w:ascii="楷体" w:hAnsi="楷体" w:eastAsia="楷体" w:cs="楷体"/>
          <w:sz w:val="24"/>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1BF2BFA6">
      <w:pPr>
        <w:spacing w:line="360" w:lineRule="auto"/>
        <w:ind w:left="1140" w:leftChars="200" w:hanging="720" w:hangingChars="300"/>
        <w:rPr>
          <w:rFonts w:ascii="楷体" w:hAnsi="楷体" w:eastAsia="楷体" w:cs="楷体"/>
          <w:sz w:val="24"/>
          <w:lang w:val="zh-CN"/>
        </w:rPr>
      </w:pPr>
      <w:r>
        <w:rPr>
          <w:rFonts w:hint="eastAsia" w:ascii="楷体" w:hAnsi="楷体" w:eastAsia="楷体" w:cs="楷体"/>
          <w:sz w:val="24"/>
        </w:rPr>
        <w:t xml:space="preserve">6.2.2 </w:t>
      </w:r>
      <w:r>
        <w:rPr>
          <w:rFonts w:hint="eastAsia" w:ascii="楷体" w:hAnsi="楷体" w:eastAsia="楷体" w:cs="楷体"/>
          <w:sz w:val="24"/>
          <w:lang w:val="zh-CN"/>
        </w:rPr>
        <w:t>已购买招标文件的投标人如不出席答疑会或参加踏勘现场视为对招标文件所有内容无任何异议。</w:t>
      </w:r>
    </w:p>
    <w:p w14:paraId="60798DF0">
      <w:pPr>
        <w:pStyle w:val="5"/>
        <w:numPr>
          <w:ilvl w:val="0"/>
          <w:numId w:val="7"/>
        </w:numPr>
        <w:jc w:val="center"/>
        <w:rPr>
          <w:rFonts w:ascii="楷体" w:hAnsi="楷体" w:eastAsia="楷体" w:cs="楷体"/>
        </w:rPr>
      </w:pPr>
      <w:bookmarkStart w:id="97" w:name="_Toc17190"/>
      <w:bookmarkStart w:id="98" w:name="_Toc31120"/>
      <w:bookmarkStart w:id="99" w:name="_Toc20641"/>
      <w:bookmarkStart w:id="100" w:name="_Toc20380"/>
      <w:r>
        <w:rPr>
          <w:rFonts w:hint="eastAsia" w:ascii="楷体" w:hAnsi="楷体" w:eastAsia="楷体" w:cs="楷体"/>
        </w:rPr>
        <w:t>投标文件的编制</w:t>
      </w:r>
      <w:bookmarkEnd w:id="95"/>
      <w:bookmarkEnd w:id="96"/>
      <w:bookmarkEnd w:id="97"/>
      <w:bookmarkEnd w:id="98"/>
      <w:bookmarkEnd w:id="99"/>
      <w:bookmarkEnd w:id="100"/>
    </w:p>
    <w:p w14:paraId="3FD80DA3">
      <w:pPr>
        <w:pStyle w:val="6"/>
        <w:numPr>
          <w:ilvl w:val="0"/>
          <w:numId w:val="8"/>
        </w:numPr>
        <w:ind w:hanging="5"/>
        <w:rPr>
          <w:rFonts w:ascii="楷体" w:hAnsi="楷体" w:eastAsia="楷体" w:cs="楷体"/>
          <w:sz w:val="28"/>
          <w:szCs w:val="28"/>
          <w:lang w:val="zh-CN"/>
        </w:rPr>
      </w:pPr>
      <w:bookmarkStart w:id="101" w:name="_Toc2471"/>
      <w:bookmarkStart w:id="102" w:name="_Toc25200"/>
      <w:bookmarkStart w:id="103" w:name="_Toc22361"/>
      <w:bookmarkStart w:id="104" w:name="_Toc595"/>
      <w:bookmarkStart w:id="105" w:name="_Toc29915"/>
      <w:r>
        <w:rPr>
          <w:rFonts w:hint="eastAsia" w:ascii="楷体" w:hAnsi="楷体" w:eastAsia="楷体" w:cs="楷体"/>
          <w:sz w:val="28"/>
          <w:szCs w:val="28"/>
          <w:lang w:val="zh-CN"/>
        </w:rPr>
        <w:t>投标语言和计量单位</w:t>
      </w:r>
      <w:bookmarkEnd w:id="101"/>
      <w:bookmarkEnd w:id="102"/>
      <w:bookmarkEnd w:id="103"/>
      <w:bookmarkEnd w:id="104"/>
      <w:bookmarkEnd w:id="105"/>
    </w:p>
    <w:p w14:paraId="39230D04">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067D771C">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除非招标文件中有特殊要求，投标文件中的计量单位应采用中华人民共和国法定计量单位。</w:t>
      </w:r>
    </w:p>
    <w:p w14:paraId="36EB9657">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15719F3E">
      <w:pPr>
        <w:pStyle w:val="6"/>
        <w:numPr>
          <w:ilvl w:val="0"/>
          <w:numId w:val="8"/>
        </w:numPr>
        <w:ind w:hanging="5"/>
        <w:rPr>
          <w:rFonts w:ascii="楷体" w:hAnsi="楷体" w:eastAsia="楷体" w:cs="楷体"/>
          <w:sz w:val="28"/>
          <w:szCs w:val="28"/>
          <w:lang w:val="zh-CN"/>
        </w:rPr>
      </w:pPr>
      <w:bookmarkStart w:id="106" w:name="_Toc20995"/>
      <w:bookmarkStart w:id="107" w:name="_Toc19765"/>
      <w:bookmarkStart w:id="108" w:name="_Toc13183"/>
      <w:bookmarkStart w:id="109" w:name="_Toc25428"/>
      <w:bookmarkStart w:id="110" w:name="_Toc11148"/>
      <w:r>
        <w:rPr>
          <w:rFonts w:hint="eastAsia" w:ascii="楷体" w:hAnsi="楷体" w:eastAsia="楷体" w:cs="楷体"/>
          <w:sz w:val="28"/>
          <w:szCs w:val="28"/>
          <w:lang w:val="zh-CN"/>
        </w:rPr>
        <w:t>投标文件的构成</w:t>
      </w:r>
      <w:bookmarkEnd w:id="106"/>
      <w:bookmarkEnd w:id="107"/>
      <w:bookmarkEnd w:id="108"/>
      <w:bookmarkEnd w:id="109"/>
      <w:bookmarkEnd w:id="110"/>
    </w:p>
    <w:p w14:paraId="578CB66D">
      <w:pPr>
        <w:numPr>
          <w:ilvl w:val="1"/>
          <w:numId w:val="16"/>
        </w:numPr>
        <w:tabs>
          <w:tab w:val="left" w:pos="105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投标人编写的投标文件应包括自查表、初审文件、商务文件、技术文件，编排顺序可参见“第六章投标文件格式”，包括但不限于其中所列表格、文件及证明资料。</w:t>
      </w:r>
    </w:p>
    <w:p w14:paraId="2AEE164F">
      <w:pPr>
        <w:numPr>
          <w:ilvl w:val="1"/>
          <w:numId w:val="16"/>
        </w:numPr>
        <w:tabs>
          <w:tab w:val="left" w:pos="105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投标文件的构成应符合法律法规及招标文件的要求。</w:t>
      </w:r>
    </w:p>
    <w:p w14:paraId="2124F710">
      <w:pPr>
        <w:pStyle w:val="6"/>
        <w:numPr>
          <w:ilvl w:val="0"/>
          <w:numId w:val="8"/>
        </w:numPr>
        <w:ind w:hanging="5"/>
        <w:rPr>
          <w:rFonts w:ascii="楷体" w:hAnsi="楷体" w:eastAsia="楷体" w:cs="楷体"/>
          <w:sz w:val="28"/>
          <w:szCs w:val="28"/>
          <w:lang w:val="zh-CN"/>
        </w:rPr>
      </w:pPr>
      <w:bookmarkStart w:id="111" w:name="_Toc3759"/>
      <w:bookmarkStart w:id="112" w:name="_Toc1487"/>
      <w:bookmarkStart w:id="113" w:name="_Toc14037"/>
      <w:bookmarkStart w:id="114" w:name="_Toc8564"/>
      <w:bookmarkStart w:id="115" w:name="_Toc31760"/>
      <w:r>
        <w:rPr>
          <w:rFonts w:hint="eastAsia" w:ascii="楷体" w:hAnsi="楷体" w:eastAsia="楷体" w:cs="楷体"/>
          <w:sz w:val="28"/>
          <w:szCs w:val="28"/>
          <w:lang w:val="zh-CN"/>
        </w:rPr>
        <w:t>投标文件编制注意事项</w:t>
      </w:r>
      <w:bookmarkEnd w:id="111"/>
      <w:bookmarkEnd w:id="112"/>
      <w:bookmarkEnd w:id="113"/>
      <w:bookmarkEnd w:id="114"/>
      <w:bookmarkEnd w:id="115"/>
    </w:p>
    <w:p w14:paraId="00C5FD33">
      <w:pPr>
        <w:numPr>
          <w:ilvl w:val="1"/>
          <w:numId w:val="17"/>
        </w:numPr>
        <w:tabs>
          <w:tab w:val="left" w:pos="1050"/>
          <w:tab w:val="clear" w:pos="907"/>
        </w:tabs>
        <w:spacing w:line="360" w:lineRule="auto"/>
        <w:ind w:left="1067" w:hanging="647"/>
        <w:rPr>
          <w:rFonts w:ascii="楷体" w:hAnsi="楷体" w:eastAsia="楷体" w:cs="楷体"/>
          <w:b/>
          <w:bCs/>
          <w:sz w:val="24"/>
          <w:u w:val="single"/>
          <w:lang w:val="zh-CN"/>
        </w:rPr>
      </w:pPr>
      <w:r>
        <w:rPr>
          <w:rFonts w:hint="eastAsia" w:ascii="楷体" w:hAnsi="楷体" w:eastAsia="楷体" w:cs="楷体"/>
          <w:sz w:val="24"/>
          <w:lang w:val="zh-CN"/>
        </w:rPr>
        <w:t>投标人应完整、真实、准确地填写招标文件中提供的投标函以及招标文件中规定的其它所有内容。</w:t>
      </w:r>
    </w:p>
    <w:p w14:paraId="64E53A8A">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招标文件中有多个包组，投标人可对其中一个包组进行投标，但不得只对一个包组中的内容拆分制作。</w:t>
      </w:r>
    </w:p>
    <w:p w14:paraId="16491FD6">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投标人必须对投标文件所提供的全部资料的真实性承担法律责任，并无条件接受招标人或招标代理机构及政府采购监督管理部门等对其中任何资料进行核实的要求。</w:t>
      </w:r>
    </w:p>
    <w:p w14:paraId="695A8EFF">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投标人的投标文件只填写和提供了本招标文件要求的部分内容和附件，或没有提供招标文件中所要求的全部资料及数据，由此造成的后果和责任由投标人承担。</w:t>
      </w:r>
    </w:p>
    <w:p w14:paraId="05C0F54E">
      <w:pPr>
        <w:pStyle w:val="6"/>
        <w:numPr>
          <w:ilvl w:val="0"/>
          <w:numId w:val="8"/>
        </w:numPr>
        <w:ind w:hanging="5"/>
        <w:rPr>
          <w:rFonts w:ascii="楷体" w:hAnsi="楷体" w:eastAsia="楷体" w:cs="楷体"/>
          <w:sz w:val="28"/>
          <w:szCs w:val="28"/>
          <w:lang w:val="zh-CN"/>
        </w:rPr>
      </w:pPr>
      <w:bookmarkStart w:id="116" w:name="_Toc31650"/>
      <w:bookmarkStart w:id="117" w:name="_Toc282"/>
      <w:bookmarkStart w:id="118" w:name="_Toc25512"/>
      <w:bookmarkStart w:id="119" w:name="_Toc17622"/>
      <w:bookmarkStart w:id="120" w:name="_Toc28943"/>
      <w:r>
        <w:rPr>
          <w:rFonts w:hint="eastAsia" w:ascii="楷体" w:hAnsi="楷体" w:eastAsia="楷体" w:cs="楷体"/>
          <w:sz w:val="28"/>
          <w:szCs w:val="28"/>
          <w:lang w:val="zh-CN"/>
        </w:rPr>
        <w:t>投标文件的式样和签署</w:t>
      </w:r>
      <w:bookmarkEnd w:id="116"/>
      <w:bookmarkEnd w:id="117"/>
      <w:bookmarkEnd w:id="118"/>
      <w:bookmarkEnd w:id="119"/>
      <w:bookmarkEnd w:id="120"/>
    </w:p>
    <w:p w14:paraId="52C6A80D">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投标人应制作投标文件正本一本、</w:t>
      </w:r>
      <w:r>
        <w:rPr>
          <w:rFonts w:hint="eastAsia" w:ascii="楷体" w:hAnsi="楷体" w:eastAsia="楷体" w:cs="楷体"/>
          <w:sz w:val="24"/>
        </w:rPr>
        <w:t>加密</w:t>
      </w:r>
      <w:r>
        <w:rPr>
          <w:rFonts w:hint="eastAsia" w:ascii="楷体" w:hAnsi="楷体" w:eastAsia="楷体" w:cs="楷体"/>
          <w:sz w:val="24"/>
          <w:lang w:val="zh-CN"/>
        </w:rPr>
        <w:t>电子文件（电子文件为</w:t>
      </w:r>
      <w:r>
        <w:rPr>
          <w:rFonts w:hint="eastAsia" w:ascii="楷体" w:hAnsi="楷体" w:eastAsia="楷体" w:cs="楷体"/>
          <w:sz w:val="24"/>
        </w:rPr>
        <w:t>经过投标客户端制作并加密</w:t>
      </w:r>
      <w:r>
        <w:rPr>
          <w:rFonts w:hint="eastAsia" w:ascii="楷体" w:hAnsi="楷体" w:eastAsia="楷体" w:cs="楷体"/>
          <w:sz w:val="24"/>
          <w:lang w:val="zh-CN"/>
        </w:rPr>
        <w:t>。）纸质招标文件与电子介质招标文件具有同等法律效力，除另有约定外，两者出现不一致时，以电子投标文件为准。</w:t>
      </w:r>
    </w:p>
    <w:p w14:paraId="021A66A8">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投标文件的正本须用A4纸打印或用不褪色墨水书写，招标文件要求签名的由法定代表人或经其正式授权的代表签字，投标文件封面及要求盖章处须加盖投标人公章。</w:t>
      </w:r>
    </w:p>
    <w:p w14:paraId="60B8912F">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除对差错处做必要修改外，投标文件一般不得行间插字、涂改或增删，如有上述改动，必须由法定代表人或经其授权的代表在修改处旁边签字或加盖投标人公章。</w:t>
      </w:r>
    </w:p>
    <w:p w14:paraId="723761A8">
      <w:pPr>
        <w:pStyle w:val="6"/>
        <w:numPr>
          <w:ilvl w:val="0"/>
          <w:numId w:val="8"/>
        </w:numPr>
        <w:ind w:hanging="5"/>
        <w:rPr>
          <w:rFonts w:ascii="楷体" w:hAnsi="楷体" w:eastAsia="楷体" w:cs="楷体"/>
          <w:sz w:val="28"/>
          <w:szCs w:val="28"/>
          <w:lang w:val="zh-CN"/>
        </w:rPr>
      </w:pPr>
      <w:bookmarkStart w:id="121" w:name="_Toc28557"/>
      <w:bookmarkStart w:id="122" w:name="_Toc7953"/>
      <w:bookmarkStart w:id="123" w:name="_Toc9295"/>
      <w:bookmarkStart w:id="124" w:name="_Toc12107"/>
      <w:bookmarkStart w:id="125" w:name="_Toc16164"/>
      <w:r>
        <w:rPr>
          <w:rFonts w:hint="eastAsia" w:ascii="楷体" w:hAnsi="楷体" w:eastAsia="楷体" w:cs="楷体"/>
          <w:sz w:val="28"/>
          <w:szCs w:val="28"/>
          <w:lang w:val="zh-CN"/>
        </w:rPr>
        <w:t>投标有效期</w:t>
      </w:r>
      <w:bookmarkEnd w:id="121"/>
      <w:bookmarkEnd w:id="122"/>
      <w:bookmarkEnd w:id="123"/>
      <w:bookmarkEnd w:id="124"/>
      <w:bookmarkEnd w:id="125"/>
    </w:p>
    <w:p w14:paraId="41010FC6">
      <w:pPr>
        <w:numPr>
          <w:ilvl w:val="1"/>
          <w:numId w:val="19"/>
        </w:numPr>
        <w:tabs>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eastAsia="zh-TW"/>
        </w:rPr>
        <w:t>投标有效期自招标文件规定的投标文件递交截止时间起算，并按投标人须知前附表中所述期限内有效。投标有效期比规定时间短的投标将被认定为非实质性响应，视为无效投标。</w:t>
      </w:r>
    </w:p>
    <w:p w14:paraId="466180BE">
      <w:pPr>
        <w:numPr>
          <w:ilvl w:val="1"/>
          <w:numId w:val="19"/>
        </w:numPr>
        <w:tabs>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eastAsia="zh-TW"/>
        </w:rPr>
        <w:t>特殊情况下</w:t>
      </w:r>
      <w:r>
        <w:rPr>
          <w:rFonts w:hint="eastAsia" w:ascii="楷体" w:hAnsi="楷体" w:eastAsia="楷体" w:cs="楷体"/>
          <w:sz w:val="24"/>
          <w:lang w:val="zh-CN"/>
        </w:rPr>
        <w:t>，</w:t>
      </w:r>
      <w:r>
        <w:rPr>
          <w:rFonts w:hint="eastAsia" w:ascii="楷体" w:hAnsi="楷体" w:eastAsia="楷体" w:cs="楷体"/>
          <w:sz w:val="24"/>
          <w:lang w:val="zh-CN" w:eastAsia="zh-TW"/>
        </w:rPr>
        <w:t>在原投标有效期期满之前</w:t>
      </w:r>
      <w:r>
        <w:rPr>
          <w:rFonts w:hint="eastAsia" w:ascii="楷体" w:hAnsi="楷体" w:eastAsia="楷体" w:cs="楷体"/>
          <w:sz w:val="24"/>
          <w:lang w:val="zh-CN"/>
        </w:rPr>
        <w:t>，</w:t>
      </w:r>
      <w:r>
        <w:rPr>
          <w:rFonts w:hint="eastAsia" w:ascii="楷体" w:hAnsi="楷体" w:eastAsia="楷体" w:cs="楷体"/>
          <w:sz w:val="24"/>
          <w:lang w:val="zh-CN" w:eastAsia="zh-TW"/>
        </w:rPr>
        <w:t>招标代理机构可要求投标人延长投标有效期。这种要求与答复均应以书面形式提交。投标人可拒绝招标代理机构的这种要求</w:t>
      </w:r>
      <w:r>
        <w:rPr>
          <w:rFonts w:hint="eastAsia" w:ascii="楷体" w:hAnsi="楷体" w:eastAsia="楷体" w:cs="楷体"/>
          <w:sz w:val="24"/>
          <w:lang w:val="zh-CN"/>
        </w:rPr>
        <w:t>，</w:t>
      </w:r>
      <w:r>
        <w:rPr>
          <w:rFonts w:hint="eastAsia" w:ascii="楷体" w:hAnsi="楷体" w:eastAsia="楷体" w:cs="楷体"/>
          <w:sz w:val="24"/>
          <w:lang w:val="zh-CN" w:eastAsia="zh-TW"/>
        </w:rPr>
        <w:t>但其投标在原投标有效期期满后将不再有效。同意延长投标有效期的投标人将不会被要求和允许修正其投标。</w:t>
      </w:r>
    </w:p>
    <w:p w14:paraId="33D2B5F9">
      <w:pPr>
        <w:pStyle w:val="6"/>
        <w:numPr>
          <w:ilvl w:val="0"/>
          <w:numId w:val="8"/>
        </w:numPr>
        <w:ind w:hanging="5"/>
        <w:rPr>
          <w:rFonts w:ascii="楷体" w:hAnsi="楷体" w:eastAsia="楷体" w:cs="楷体"/>
          <w:sz w:val="28"/>
          <w:szCs w:val="28"/>
          <w:lang w:val="zh-CN"/>
        </w:rPr>
      </w:pPr>
      <w:bookmarkStart w:id="126" w:name="_Toc483642668"/>
      <w:bookmarkStart w:id="127" w:name="_Toc22125"/>
      <w:bookmarkStart w:id="128" w:name="_Toc31267"/>
      <w:bookmarkStart w:id="129" w:name="_Toc16265"/>
      <w:bookmarkStart w:id="130" w:name="_Toc24642"/>
      <w:r>
        <w:rPr>
          <w:rFonts w:hint="eastAsia" w:ascii="楷体" w:hAnsi="楷体" w:eastAsia="楷体" w:cs="楷体"/>
          <w:sz w:val="28"/>
          <w:szCs w:val="28"/>
          <w:lang w:val="zh-CN"/>
        </w:rPr>
        <w:t>投标报价</w:t>
      </w:r>
      <w:bookmarkEnd w:id="126"/>
      <w:bookmarkEnd w:id="127"/>
      <w:bookmarkEnd w:id="128"/>
      <w:bookmarkEnd w:id="129"/>
      <w:bookmarkEnd w:id="130"/>
    </w:p>
    <w:p w14:paraId="729B681A">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bookmarkStart w:id="131" w:name="_Toc474"/>
      <w:bookmarkStart w:id="132" w:name="_Toc28304"/>
      <w:bookmarkStart w:id="133" w:name="_Toc23285"/>
      <w:bookmarkStart w:id="134" w:name="_Toc1438"/>
      <w:r>
        <w:rPr>
          <w:rFonts w:hint="eastAsia" w:ascii="楷体" w:hAnsi="楷体" w:eastAsia="楷体" w:cs="楷体"/>
          <w:sz w:val="24"/>
          <w:lang w:val="zh-CN"/>
        </w:rPr>
        <w:t>投标人应按照“第四章　用户需求书”中规定的内容、责任范围进行报价。并按《开标一览表》及《投标明细报价表》的要求报出</w:t>
      </w:r>
      <w:r>
        <w:rPr>
          <w:rFonts w:hint="eastAsia" w:ascii="楷体" w:hAnsi="楷体" w:eastAsia="楷体" w:cs="楷体"/>
          <w:sz w:val="24"/>
        </w:rPr>
        <w:t>单价</w:t>
      </w:r>
      <w:r>
        <w:rPr>
          <w:rFonts w:hint="eastAsia" w:ascii="楷体" w:hAnsi="楷体" w:eastAsia="楷体" w:cs="楷体"/>
          <w:sz w:val="24"/>
          <w:lang w:val="zh-CN"/>
        </w:rPr>
        <w:t>和分项</w:t>
      </w:r>
      <w:r>
        <w:rPr>
          <w:rFonts w:hint="eastAsia" w:ascii="楷体" w:hAnsi="楷体" w:eastAsia="楷体" w:cs="楷体"/>
          <w:sz w:val="24"/>
        </w:rPr>
        <w:t>明细</w:t>
      </w:r>
      <w:r>
        <w:rPr>
          <w:rFonts w:hint="eastAsia" w:ascii="楷体" w:hAnsi="楷体" w:eastAsia="楷体" w:cs="楷体"/>
          <w:sz w:val="24"/>
          <w:lang w:val="zh-CN"/>
        </w:rPr>
        <w:t>价格。投标</w:t>
      </w:r>
      <w:r>
        <w:rPr>
          <w:rFonts w:hint="eastAsia" w:ascii="楷体" w:hAnsi="楷体" w:eastAsia="楷体" w:cs="楷体"/>
          <w:sz w:val="24"/>
        </w:rPr>
        <w:t>报价</w:t>
      </w:r>
      <w:r>
        <w:rPr>
          <w:rFonts w:hint="eastAsia" w:ascii="楷体" w:hAnsi="楷体" w:eastAsia="楷体" w:cs="楷体"/>
          <w:sz w:val="24"/>
          <w:lang w:val="zh-CN"/>
        </w:rPr>
        <w:t>中不得包含招标文件要求以外的内容，否则，在评标时不予核减。投标</w:t>
      </w:r>
      <w:r>
        <w:rPr>
          <w:rFonts w:hint="eastAsia" w:ascii="楷体" w:hAnsi="楷体" w:eastAsia="楷体" w:cs="楷体"/>
          <w:sz w:val="24"/>
        </w:rPr>
        <w:t>报价</w:t>
      </w:r>
      <w:r>
        <w:rPr>
          <w:rFonts w:hint="eastAsia" w:ascii="楷体" w:hAnsi="楷体" w:eastAsia="楷体" w:cs="楷体"/>
          <w:sz w:val="24"/>
          <w:lang w:val="zh-CN"/>
        </w:rPr>
        <w:t>中也不得缺漏招标文件所要求的内容，否则，将被视为包含在投标报价中。</w:t>
      </w:r>
    </w:p>
    <w:p w14:paraId="7F4BFCFB">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w:t>
      </w:r>
      <w:r>
        <w:rPr>
          <w:rFonts w:hint="eastAsia" w:ascii="楷体" w:hAnsi="楷体" w:eastAsia="楷体" w:cs="楷体"/>
          <w:sz w:val="24"/>
        </w:rPr>
        <w:t>报价</w:t>
      </w:r>
      <w:r>
        <w:rPr>
          <w:rFonts w:hint="eastAsia" w:ascii="楷体" w:hAnsi="楷体" w:eastAsia="楷体" w:cs="楷体"/>
          <w:sz w:val="24"/>
          <w:lang w:val="zh-CN"/>
        </w:rPr>
        <w:t>是在投标人可以独立完成本项目，并满足预期实施效果和符合自身合法利益的前提下，通过准确核算后所报出的全部货物的总包干费用，包括设备价、运至合同指定地点的运输费、安装费（包括损耗、额外材料等）、技术培训费、保险费、各种税费等。</w:t>
      </w:r>
    </w:p>
    <w:p w14:paraId="6EBB8C68">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投标明细报价表内容应包含：</w:t>
      </w:r>
    </w:p>
    <w:p w14:paraId="4233F718">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标准附件、备品备件、专用工具等的出厂价（包括已在中国国内的进口货物完税后的仓库交货价、展室交货价或货架交货价），投标货物安装、调试、检验、技术服务和培训等费用；</w:t>
      </w:r>
    </w:p>
    <w:p w14:paraId="40FEC959">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货物运至最终目的地并安装调试完毕的运输费、保险费以及伴随货物交运的有关费用；</w:t>
      </w:r>
    </w:p>
    <w:p w14:paraId="67976B16">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投标报价均应包含所有的税费；</w:t>
      </w:r>
    </w:p>
    <w:p w14:paraId="1A970B34">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其他一切隐含及不可预见的费用。</w:t>
      </w:r>
    </w:p>
    <w:p w14:paraId="1DE7CB7A">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本项目采用</w:t>
      </w:r>
      <w:r>
        <w:rPr>
          <w:rFonts w:hint="eastAsia" w:ascii="楷体" w:hAnsi="楷体" w:eastAsia="楷体" w:cs="楷体"/>
          <w:sz w:val="24"/>
        </w:rPr>
        <w:t>单价</w:t>
      </w:r>
      <w:r>
        <w:rPr>
          <w:rFonts w:hint="eastAsia" w:ascii="楷体" w:hAnsi="楷体" w:eastAsia="楷体" w:cs="楷体"/>
          <w:sz w:val="24"/>
          <w:lang w:val="zh-CN"/>
        </w:rPr>
        <w:t>包干，中标人不得在中标后提出任何增加费用要求，投标人在投标时应充分考虑相关风险性因素。</w:t>
      </w:r>
    </w:p>
    <w:p w14:paraId="4AEF4F61">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对于报价免费的内容须标明“免费”。</w:t>
      </w:r>
    </w:p>
    <w:p w14:paraId="70FF5398">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投标人根据本须知第1</w:t>
      </w:r>
      <w:r>
        <w:rPr>
          <w:rFonts w:hint="eastAsia" w:ascii="楷体" w:hAnsi="楷体" w:eastAsia="楷体" w:cs="楷体"/>
          <w:sz w:val="24"/>
        </w:rPr>
        <w:t>2</w:t>
      </w:r>
      <w:r>
        <w:rPr>
          <w:rFonts w:hint="eastAsia" w:ascii="楷体" w:hAnsi="楷体" w:eastAsia="楷体" w:cs="楷体"/>
          <w:sz w:val="24"/>
          <w:lang w:val="zh-CN"/>
        </w:rPr>
        <w:t>.2条的规定将投标报价分成几部分，只是为了方便对投标文件进行比较，并不限制招标人以上述任何条件订立合同的权力。</w:t>
      </w:r>
    </w:p>
    <w:p w14:paraId="51199BE1">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投标人所报的投标价在合同执行过程中是固定不变的，不得以任何理由予以变更。任何包含价格调整要求的投标将被认为是非实质性响应投标而被拒绝。</w:t>
      </w:r>
    </w:p>
    <w:p w14:paraId="7383A21F">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除</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中另有规定外，本次招标不接受选择性报价，否则将被视为无效投标。</w:t>
      </w:r>
    </w:p>
    <w:p w14:paraId="24ABB9B7">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除</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中另有规定外，本次招标不接受具有附加条件的报价，否则将被视为无效投标。</w:t>
      </w:r>
    </w:p>
    <w:p w14:paraId="2B331C6D">
      <w:pPr>
        <w:pStyle w:val="6"/>
        <w:numPr>
          <w:ilvl w:val="0"/>
          <w:numId w:val="8"/>
        </w:numPr>
        <w:ind w:hanging="5"/>
        <w:rPr>
          <w:rFonts w:ascii="楷体" w:hAnsi="楷体" w:eastAsia="楷体" w:cs="楷体"/>
          <w:sz w:val="28"/>
          <w:szCs w:val="28"/>
          <w:lang w:val="zh-CN"/>
        </w:rPr>
      </w:pPr>
      <w:bookmarkStart w:id="135" w:name="_Toc8443"/>
      <w:r>
        <w:rPr>
          <w:rFonts w:hint="eastAsia" w:ascii="楷体" w:hAnsi="楷体" w:eastAsia="楷体" w:cs="楷体"/>
          <w:sz w:val="28"/>
          <w:szCs w:val="28"/>
          <w:lang w:val="zh-CN"/>
        </w:rPr>
        <w:t>联合体投标</w:t>
      </w:r>
      <w:bookmarkEnd w:id="131"/>
      <w:bookmarkEnd w:id="132"/>
      <w:bookmarkEnd w:id="133"/>
      <w:bookmarkEnd w:id="134"/>
      <w:bookmarkEnd w:id="135"/>
    </w:p>
    <w:p w14:paraId="64F91563">
      <w:pPr>
        <w:numPr>
          <w:ilvl w:val="1"/>
          <w:numId w:val="22"/>
        </w:numPr>
        <w:tabs>
          <w:tab w:val="left" w:pos="106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除非投标邀请函中另有规定，本项目</w:t>
      </w:r>
      <w:r>
        <w:rPr>
          <w:rFonts w:hint="eastAsia" w:ascii="楷体" w:hAnsi="楷体" w:eastAsia="楷体" w:cs="楷体"/>
          <w:sz w:val="24"/>
        </w:rPr>
        <w:t>不允许</w:t>
      </w:r>
      <w:r>
        <w:rPr>
          <w:rFonts w:hint="eastAsia" w:ascii="楷体" w:hAnsi="楷体" w:eastAsia="楷体" w:cs="楷体"/>
          <w:sz w:val="24"/>
          <w:lang w:val="zh-CN" w:eastAsia="zh-TW"/>
        </w:rPr>
        <w:t>联合体投标。</w:t>
      </w:r>
    </w:p>
    <w:p w14:paraId="14A5FD7F">
      <w:pPr>
        <w:numPr>
          <w:ilvl w:val="1"/>
          <w:numId w:val="22"/>
        </w:numPr>
        <w:tabs>
          <w:tab w:val="left" w:pos="106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若投标邀请函中允许联合体投标的，则必须满足：</w:t>
      </w:r>
    </w:p>
    <w:p w14:paraId="226BA36C">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以联合体形式参加投标的，联合体各方均须符合投标邀请函“投标人资格要求”的一般规定，并至少有一方符合“投标人资格要求”的特殊条款要求。</w:t>
      </w:r>
    </w:p>
    <w:p w14:paraId="35523AB8">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1D53CDFA">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联合体中标的，联合体各方应当共同与招标人签订合同。</w:t>
      </w:r>
    </w:p>
    <w:p w14:paraId="74A8D874">
      <w:pPr>
        <w:pStyle w:val="6"/>
        <w:numPr>
          <w:ilvl w:val="0"/>
          <w:numId w:val="8"/>
        </w:numPr>
        <w:ind w:hanging="5"/>
        <w:rPr>
          <w:rFonts w:ascii="楷体" w:hAnsi="楷体" w:eastAsia="楷体" w:cs="楷体"/>
          <w:sz w:val="28"/>
          <w:szCs w:val="28"/>
          <w:lang w:val="zh-CN"/>
        </w:rPr>
      </w:pPr>
      <w:bookmarkStart w:id="136" w:name="_Toc17222"/>
      <w:bookmarkStart w:id="137" w:name="_Toc11591"/>
      <w:bookmarkStart w:id="138" w:name="_Toc26934"/>
      <w:bookmarkStart w:id="139" w:name="_Toc18435"/>
      <w:bookmarkStart w:id="140" w:name="_Toc15181"/>
      <w:r>
        <w:rPr>
          <w:rFonts w:hint="eastAsia" w:ascii="楷体" w:hAnsi="楷体" w:eastAsia="楷体" w:cs="楷体"/>
          <w:sz w:val="28"/>
          <w:szCs w:val="28"/>
          <w:lang w:val="zh-CN"/>
        </w:rPr>
        <w:t>证明投标人合格和资格的文件</w:t>
      </w:r>
      <w:bookmarkEnd w:id="136"/>
      <w:bookmarkEnd w:id="137"/>
      <w:bookmarkEnd w:id="138"/>
      <w:bookmarkEnd w:id="139"/>
      <w:bookmarkEnd w:id="140"/>
    </w:p>
    <w:p w14:paraId="38DB2C3C">
      <w:pPr>
        <w:numPr>
          <w:ilvl w:val="1"/>
          <w:numId w:val="24"/>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投标人应提交证明其有资格参加投标和中标后有能力履行合同的文件，并作为其投标文件的一部分。</w:t>
      </w:r>
    </w:p>
    <w:p w14:paraId="238E2D2E">
      <w:pPr>
        <w:numPr>
          <w:ilvl w:val="1"/>
          <w:numId w:val="24"/>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投标人提交的证明其中标后能履行合同的资格证明文件应包括下列文件：</w:t>
      </w:r>
    </w:p>
    <w:p w14:paraId="393D9319">
      <w:pPr>
        <w:numPr>
          <w:ilvl w:val="2"/>
          <w:numId w:val="25"/>
        </w:numPr>
        <w:spacing w:line="360" w:lineRule="auto"/>
        <w:ind w:hanging="487"/>
        <w:rPr>
          <w:rFonts w:ascii="楷体" w:hAnsi="楷体" w:eastAsia="楷体" w:cs="楷体"/>
          <w:sz w:val="24"/>
          <w:lang w:val="zh-CN"/>
        </w:rPr>
      </w:pPr>
      <w:r>
        <w:rPr>
          <w:rFonts w:hint="eastAsia" w:ascii="楷体" w:hAnsi="楷体" w:eastAsia="楷体" w:cs="楷体"/>
          <w:sz w:val="24"/>
          <w:lang w:val="zh-CN"/>
        </w:rPr>
        <w:t>证明投标人已具备履行合同所需的财务、技术和生产能力的文件。</w:t>
      </w:r>
    </w:p>
    <w:p w14:paraId="2C0B0663">
      <w:pPr>
        <w:numPr>
          <w:ilvl w:val="2"/>
          <w:numId w:val="25"/>
        </w:numPr>
        <w:spacing w:line="360" w:lineRule="auto"/>
        <w:ind w:hanging="487"/>
        <w:rPr>
          <w:rFonts w:ascii="楷体" w:hAnsi="楷体" w:eastAsia="楷体" w:cs="楷体"/>
          <w:sz w:val="24"/>
          <w:lang w:val="zh-CN"/>
        </w:rPr>
      </w:pPr>
      <w:r>
        <w:rPr>
          <w:rFonts w:hint="eastAsia" w:ascii="楷体" w:hAnsi="楷体" w:eastAsia="楷体" w:cs="楷体"/>
          <w:sz w:val="24"/>
          <w:lang w:val="zh-CN"/>
        </w:rPr>
        <w:t>证明投标人满足招标文件业绩要求的文件。</w:t>
      </w:r>
    </w:p>
    <w:p w14:paraId="480C61D3">
      <w:pPr>
        <w:pStyle w:val="6"/>
        <w:numPr>
          <w:ilvl w:val="0"/>
          <w:numId w:val="8"/>
        </w:numPr>
        <w:ind w:hanging="5"/>
        <w:rPr>
          <w:rFonts w:ascii="楷体" w:hAnsi="楷体" w:eastAsia="楷体" w:cs="楷体"/>
          <w:sz w:val="28"/>
          <w:szCs w:val="28"/>
          <w:lang w:val="zh-CN"/>
        </w:rPr>
      </w:pPr>
      <w:bookmarkStart w:id="141" w:name="_Toc6895"/>
      <w:r>
        <w:rPr>
          <w:rFonts w:hint="eastAsia" w:ascii="楷体" w:hAnsi="楷体" w:eastAsia="楷体" w:cs="楷体"/>
          <w:sz w:val="28"/>
          <w:szCs w:val="28"/>
          <w:lang w:val="zh-CN"/>
        </w:rPr>
        <w:t>证明服务和货物的合格性和符合招标文件规定的文件</w:t>
      </w:r>
      <w:bookmarkEnd w:id="141"/>
    </w:p>
    <w:p w14:paraId="0D014DCB">
      <w:pPr>
        <w:numPr>
          <w:ilvl w:val="1"/>
          <w:numId w:val="26"/>
        </w:numPr>
        <w:tabs>
          <w:tab w:val="left" w:pos="1180"/>
          <w:tab w:val="clear" w:pos="907"/>
        </w:tabs>
        <w:spacing w:line="360" w:lineRule="auto"/>
        <w:ind w:left="1173" w:leftChars="227" w:hanging="696" w:hangingChars="290"/>
        <w:rPr>
          <w:rFonts w:ascii="楷体" w:hAnsi="楷体" w:eastAsia="楷体" w:cs="楷体"/>
          <w:sz w:val="24"/>
          <w:lang w:val="zh-CN" w:eastAsia="zh-TW"/>
        </w:rPr>
      </w:pPr>
      <w:bookmarkStart w:id="142" w:name="_Toc27575"/>
      <w:bookmarkStart w:id="143" w:name="_Toc15333"/>
      <w:bookmarkStart w:id="144" w:name="_Toc32378"/>
      <w:bookmarkStart w:id="145" w:name="_Toc10352"/>
      <w:r>
        <w:rPr>
          <w:rFonts w:hint="eastAsia" w:ascii="楷体" w:hAnsi="楷体" w:eastAsia="楷体" w:cs="楷体"/>
          <w:sz w:val="24"/>
          <w:lang w:val="zh-CN" w:eastAsia="zh-TW"/>
        </w:rPr>
        <w:t>投标人应提交证明文件，证明其拟投标的服务</w:t>
      </w:r>
      <w:r>
        <w:rPr>
          <w:rFonts w:hint="eastAsia" w:ascii="楷体" w:hAnsi="楷体" w:eastAsia="楷体" w:cs="楷体"/>
          <w:sz w:val="24"/>
        </w:rPr>
        <w:t>和货物</w:t>
      </w:r>
      <w:r>
        <w:rPr>
          <w:rFonts w:hint="eastAsia" w:ascii="楷体" w:hAnsi="楷体" w:eastAsia="楷体" w:cs="楷体"/>
          <w:sz w:val="24"/>
          <w:lang w:val="zh-CN" w:eastAsia="zh-TW"/>
        </w:rPr>
        <w:t>的合格性符合招标文件规定。该证明文件作为投标文件的一部分。</w:t>
      </w:r>
    </w:p>
    <w:p w14:paraId="0E749C35">
      <w:pPr>
        <w:numPr>
          <w:ilvl w:val="1"/>
          <w:numId w:val="26"/>
        </w:numPr>
        <w:tabs>
          <w:tab w:val="left" w:pos="1180"/>
          <w:tab w:val="clear" w:pos="907"/>
        </w:tabs>
        <w:spacing w:line="360" w:lineRule="auto"/>
        <w:ind w:left="1173" w:leftChars="227" w:hanging="696" w:hangingChars="290"/>
        <w:rPr>
          <w:rFonts w:ascii="楷体" w:hAnsi="楷体" w:eastAsia="楷体" w:cs="楷体"/>
          <w:sz w:val="24"/>
          <w:lang w:val="zh-CN" w:eastAsia="zh-TW"/>
        </w:rPr>
      </w:pPr>
      <w:r>
        <w:rPr>
          <w:rFonts w:hint="eastAsia" w:ascii="楷体" w:hAnsi="楷体" w:eastAsia="楷体" w:cs="楷体"/>
          <w:sz w:val="24"/>
          <w:lang w:val="zh-CN" w:eastAsia="zh-TW"/>
        </w:rPr>
        <w:t>证明服务与招标文件的要求相一致的文件，可以是文字资料、图纸和数据，它包括：</w:t>
      </w:r>
    </w:p>
    <w:p w14:paraId="53AFEDCC">
      <w:pPr>
        <w:numPr>
          <w:ilvl w:val="2"/>
          <w:numId w:val="27"/>
        </w:numPr>
        <w:spacing w:line="360" w:lineRule="auto"/>
        <w:ind w:hanging="487"/>
        <w:rPr>
          <w:rFonts w:ascii="楷体" w:hAnsi="楷体" w:eastAsia="楷体" w:cs="楷体"/>
          <w:sz w:val="24"/>
          <w:lang w:val="zh-CN"/>
        </w:rPr>
      </w:pPr>
      <w:r>
        <w:rPr>
          <w:rFonts w:hint="eastAsia" w:ascii="楷体" w:hAnsi="楷体" w:eastAsia="楷体" w:cs="楷体"/>
          <w:sz w:val="24"/>
          <w:lang w:val="zh-CN" w:eastAsia="zh-TW"/>
        </w:rPr>
        <w:t>货物主要技术指标和性能的详细说明。</w:t>
      </w:r>
    </w:p>
    <w:p w14:paraId="335B9F87">
      <w:pPr>
        <w:numPr>
          <w:ilvl w:val="2"/>
          <w:numId w:val="27"/>
        </w:numPr>
        <w:tabs>
          <w:tab w:val="clear" w:pos="907"/>
        </w:tabs>
        <w:spacing w:line="360" w:lineRule="auto"/>
        <w:ind w:left="1267" w:hanging="847"/>
        <w:rPr>
          <w:rFonts w:ascii="楷体" w:hAnsi="楷体" w:eastAsia="楷体" w:cs="楷体"/>
          <w:sz w:val="24"/>
          <w:lang w:val="zh-CN"/>
        </w:rPr>
      </w:pPr>
      <w:r>
        <w:rPr>
          <w:rFonts w:hint="eastAsia" w:ascii="楷体" w:hAnsi="楷体" w:eastAsia="楷体" w:cs="楷体"/>
          <w:sz w:val="24"/>
          <w:lang w:val="zh-CN"/>
        </w:rPr>
        <w:t>货物从招标人验收后开始使用至招标文件规定的保质期内正常、连续地使用所必需的备件和专用工具清单，包括备件和专用工具的货源和现行价格。</w:t>
      </w:r>
    </w:p>
    <w:p w14:paraId="04BE44FC">
      <w:pPr>
        <w:numPr>
          <w:ilvl w:val="2"/>
          <w:numId w:val="27"/>
        </w:numPr>
        <w:tabs>
          <w:tab w:val="clear" w:pos="907"/>
        </w:tabs>
        <w:spacing w:line="360" w:lineRule="auto"/>
        <w:ind w:left="1267" w:hanging="847"/>
        <w:rPr>
          <w:rFonts w:ascii="楷体" w:hAnsi="楷体" w:eastAsia="楷体" w:cs="楷体"/>
          <w:sz w:val="24"/>
          <w:lang w:val="zh-CN"/>
        </w:rPr>
      </w:pPr>
      <w:r>
        <w:rPr>
          <w:rFonts w:hint="eastAsia" w:ascii="楷体" w:hAnsi="楷体" w:eastAsia="楷体" w:cs="楷体"/>
          <w:sz w:val="24"/>
          <w:lang w:val="zh-CN"/>
        </w:rPr>
        <w:t>对照招标文件技术规格，逐条说明所提供货物和服务已对招标文件的技术规格作出了实质性的响应，并申明与技术规格条文的偏差和例外。特别是对有具体参数要求的指标，投标人须提供所投设备的具体参数值。</w:t>
      </w:r>
    </w:p>
    <w:p w14:paraId="6273405C">
      <w:pPr>
        <w:numPr>
          <w:ilvl w:val="2"/>
          <w:numId w:val="27"/>
        </w:numPr>
        <w:tabs>
          <w:tab w:val="clear" w:pos="907"/>
        </w:tabs>
        <w:spacing w:line="360" w:lineRule="auto"/>
        <w:ind w:left="1267" w:hanging="847"/>
        <w:rPr>
          <w:rFonts w:ascii="楷体" w:hAnsi="楷体" w:eastAsia="楷体" w:cs="楷体"/>
          <w:sz w:val="24"/>
          <w:lang w:val="zh-CN"/>
        </w:rPr>
      </w:pPr>
      <w:r>
        <w:rPr>
          <w:rFonts w:hint="eastAsia" w:ascii="楷体" w:hAnsi="楷体" w:eastAsia="楷体" w:cs="楷体"/>
          <w:sz w:val="24"/>
          <w:lang w:val="zh-CN"/>
        </w:rPr>
        <w:t>投标人在阐述时应注意招标文件的技术规格中指出的工艺、材料和设备的标准以及参照的品牌或型号仅起说明作用，并没有任何限制性。投标人可以在投标中选择替代标准、品牌或型号，但这些替代要实质上满足或超过招标文件的要求。</w:t>
      </w:r>
    </w:p>
    <w:p w14:paraId="23252E51">
      <w:pPr>
        <w:pStyle w:val="6"/>
        <w:numPr>
          <w:ilvl w:val="0"/>
          <w:numId w:val="8"/>
        </w:numPr>
        <w:ind w:hanging="5"/>
        <w:rPr>
          <w:rFonts w:ascii="楷体" w:hAnsi="楷体" w:eastAsia="楷体" w:cs="楷体"/>
          <w:sz w:val="28"/>
          <w:szCs w:val="28"/>
          <w:lang w:val="zh-CN"/>
        </w:rPr>
      </w:pPr>
      <w:bookmarkStart w:id="146" w:name="_Toc24839"/>
      <w:r>
        <w:rPr>
          <w:rFonts w:hint="eastAsia" w:ascii="楷体" w:hAnsi="楷体" w:eastAsia="楷体" w:cs="楷体"/>
          <w:sz w:val="28"/>
          <w:szCs w:val="28"/>
          <w:lang w:val="zh-CN"/>
        </w:rPr>
        <w:t>投标保证金</w:t>
      </w:r>
      <w:bookmarkEnd w:id="142"/>
      <w:bookmarkEnd w:id="143"/>
      <w:bookmarkEnd w:id="144"/>
      <w:bookmarkEnd w:id="145"/>
      <w:bookmarkEnd w:id="146"/>
    </w:p>
    <w:p w14:paraId="43545C77">
      <w:pPr>
        <w:numPr>
          <w:ilvl w:val="1"/>
          <w:numId w:val="28"/>
        </w:numPr>
        <w:tabs>
          <w:tab w:val="left" w:pos="1100"/>
        </w:tabs>
        <w:spacing w:line="360" w:lineRule="auto"/>
        <w:ind w:left="1137" w:leftChars="227" w:hanging="660" w:hangingChars="275"/>
        <w:rPr>
          <w:rFonts w:ascii="楷体" w:hAnsi="楷体" w:eastAsia="楷体" w:cs="楷体"/>
          <w:sz w:val="24"/>
          <w:lang w:val="zh-CN" w:eastAsia="zh-TW"/>
        </w:rPr>
      </w:pPr>
      <w:r>
        <w:rPr>
          <w:rFonts w:hint="eastAsia" w:ascii="楷体" w:hAnsi="楷体" w:eastAsia="楷体" w:cs="楷体"/>
          <w:sz w:val="24"/>
          <w:lang w:val="zh-CN" w:eastAsia="zh-TW"/>
        </w:rPr>
        <w:t>投标人须按</w:t>
      </w:r>
      <w:r>
        <w:rPr>
          <w:rFonts w:hint="eastAsia" w:ascii="楷体" w:hAnsi="楷体" w:eastAsia="楷体" w:cs="楷体"/>
          <w:b/>
          <w:bCs/>
          <w:sz w:val="24"/>
          <w:lang w:val="zh-CN"/>
        </w:rPr>
        <w:t>投标人须知前附表</w:t>
      </w:r>
      <w:r>
        <w:rPr>
          <w:rFonts w:hint="eastAsia" w:ascii="楷体" w:hAnsi="楷体" w:eastAsia="楷体" w:cs="楷体"/>
          <w:sz w:val="24"/>
          <w:lang w:val="zh-CN" w:eastAsia="zh-TW"/>
        </w:rPr>
        <w:t>中规定的金额和交纳期限向招标代理机构交纳投标保证金，并作为其投标文件的组成部分。</w:t>
      </w:r>
    </w:p>
    <w:p w14:paraId="75CF889B">
      <w:pPr>
        <w:pStyle w:val="6"/>
        <w:numPr>
          <w:ilvl w:val="0"/>
          <w:numId w:val="8"/>
        </w:numPr>
        <w:ind w:hanging="5"/>
        <w:rPr>
          <w:rFonts w:ascii="楷体" w:hAnsi="楷体" w:eastAsia="楷体" w:cs="楷体"/>
          <w:sz w:val="28"/>
          <w:szCs w:val="28"/>
          <w:lang w:val="zh-CN"/>
        </w:rPr>
      </w:pPr>
      <w:bookmarkStart w:id="147" w:name="_Toc24733"/>
      <w:bookmarkStart w:id="148" w:name="_Toc10451"/>
      <w:bookmarkStart w:id="149" w:name="_Toc25961"/>
      <w:bookmarkStart w:id="150" w:name="_Toc19836"/>
      <w:bookmarkStart w:id="151" w:name="_Toc6362"/>
      <w:r>
        <w:rPr>
          <w:rFonts w:hint="eastAsia" w:ascii="楷体" w:hAnsi="楷体" w:eastAsia="楷体" w:cs="楷体"/>
          <w:sz w:val="28"/>
          <w:szCs w:val="28"/>
          <w:lang w:val="zh-CN"/>
        </w:rPr>
        <w:t>投标保证金的退还条件</w:t>
      </w:r>
      <w:bookmarkEnd w:id="147"/>
      <w:bookmarkEnd w:id="148"/>
      <w:bookmarkEnd w:id="149"/>
      <w:bookmarkEnd w:id="150"/>
      <w:bookmarkEnd w:id="151"/>
    </w:p>
    <w:p w14:paraId="644EE823">
      <w:pPr>
        <w:numPr>
          <w:ilvl w:val="1"/>
          <w:numId w:val="29"/>
        </w:numPr>
        <w:tabs>
          <w:tab w:val="clear" w:pos="907"/>
        </w:tabs>
        <w:spacing w:line="360" w:lineRule="auto"/>
        <w:ind w:left="1133" w:leftChars="229" w:hanging="652" w:hangingChars="272"/>
        <w:rPr>
          <w:rFonts w:ascii="楷体" w:hAnsi="楷体" w:eastAsia="楷体" w:cs="楷体"/>
          <w:sz w:val="24"/>
          <w:lang w:val="zh-CN" w:eastAsia="zh-TW"/>
        </w:rPr>
      </w:pPr>
      <w:r>
        <w:rPr>
          <w:rFonts w:hint="eastAsia" w:ascii="楷体" w:hAnsi="楷体" w:eastAsia="楷体" w:cs="楷体"/>
          <w:sz w:val="24"/>
          <w:lang w:val="zh-CN" w:eastAsia="zh-TW"/>
        </w:rPr>
        <w:t>如无质疑或投诉，未中标的投标人保证金，在中标通知书发出后五个工作日内退还；如有质疑或投诉，招标人或采购代理机构将在质疑或投诉处理完毕后退还。</w:t>
      </w:r>
    </w:p>
    <w:p w14:paraId="3A9E7FCD">
      <w:pPr>
        <w:numPr>
          <w:ilvl w:val="1"/>
          <w:numId w:val="29"/>
        </w:numPr>
        <w:tabs>
          <w:tab w:val="left" w:pos="1180"/>
        </w:tabs>
        <w:spacing w:line="360" w:lineRule="auto"/>
        <w:ind w:left="1133" w:leftChars="229" w:hanging="652" w:hangingChars="272"/>
        <w:rPr>
          <w:rFonts w:ascii="楷体" w:hAnsi="楷体" w:eastAsia="楷体" w:cs="楷体"/>
          <w:sz w:val="24"/>
          <w:lang w:val="zh-CN" w:eastAsia="zh-TW"/>
        </w:rPr>
      </w:pPr>
      <w:r>
        <w:rPr>
          <w:rFonts w:hint="eastAsia" w:ascii="楷体" w:hAnsi="楷体" w:eastAsia="楷体" w:cs="楷体"/>
          <w:sz w:val="24"/>
          <w:lang w:val="zh-CN" w:eastAsia="zh-TW"/>
        </w:rPr>
        <w:t>中标人的投标保证金，在中标人与招标人签订采购合同，并将合同原件送采购代理机构备案后五个工作日内退还。</w:t>
      </w:r>
    </w:p>
    <w:p w14:paraId="36FE9A5B">
      <w:pPr>
        <w:numPr>
          <w:ilvl w:val="1"/>
          <w:numId w:val="29"/>
        </w:numPr>
        <w:tabs>
          <w:tab w:val="left" w:pos="1180"/>
        </w:tabs>
        <w:spacing w:line="360" w:lineRule="auto"/>
        <w:ind w:left="0" w:firstLine="480" w:firstLineChars="200"/>
        <w:rPr>
          <w:rFonts w:ascii="楷体" w:hAnsi="楷体" w:eastAsia="楷体" w:cs="楷体"/>
          <w:sz w:val="24"/>
          <w:lang w:val="zh-CN" w:eastAsia="zh-TW"/>
        </w:rPr>
      </w:pPr>
      <w:bookmarkStart w:id="152" w:name="_Toc11559"/>
      <w:r>
        <w:rPr>
          <w:rFonts w:hint="eastAsia" w:ascii="楷体" w:hAnsi="楷体" w:eastAsia="楷体" w:cs="楷体"/>
          <w:sz w:val="24"/>
          <w:lang w:val="zh-CN" w:eastAsia="zh-TW"/>
        </w:rPr>
        <w:t>下列任一情况发生时，投标保证金将不予退还</w:t>
      </w:r>
      <w:bookmarkEnd w:id="152"/>
      <w:r>
        <w:rPr>
          <w:rFonts w:hint="eastAsia" w:ascii="楷体" w:hAnsi="楷体" w:eastAsia="楷体" w:cs="楷体"/>
          <w:sz w:val="24"/>
          <w:lang w:val="zh-CN" w:eastAsia="zh-TW"/>
        </w:rPr>
        <w:t>：</w:t>
      </w:r>
    </w:p>
    <w:p w14:paraId="4049654F">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17.3.1</w:t>
      </w:r>
      <w:r>
        <w:rPr>
          <w:rFonts w:hint="eastAsia" w:ascii="楷体" w:hAnsi="楷体" w:eastAsia="楷体" w:cs="楷体"/>
          <w:sz w:val="24"/>
          <w:lang w:val="zh-CN" w:eastAsia="zh-TW"/>
        </w:rPr>
        <w:t>投标人在招标文件规定的投标有效期内撤回其投标的；</w:t>
      </w:r>
    </w:p>
    <w:p w14:paraId="03088E6C">
      <w:pPr>
        <w:tabs>
          <w:tab w:val="left" w:pos="907"/>
        </w:tabs>
        <w:spacing w:line="360" w:lineRule="auto"/>
        <w:ind w:left="-237" w:leftChars="-113" w:firstLine="720" w:firstLineChars="300"/>
        <w:rPr>
          <w:rFonts w:ascii="楷体" w:hAnsi="楷体" w:eastAsia="楷体" w:cs="楷体"/>
          <w:sz w:val="24"/>
          <w:lang w:val="zh-CN"/>
        </w:rPr>
      </w:pPr>
      <w:r>
        <w:rPr>
          <w:rFonts w:hint="eastAsia" w:ascii="楷体" w:hAnsi="楷体" w:eastAsia="楷体" w:cs="楷体"/>
          <w:sz w:val="24"/>
          <w:lang w:val="zh-CN" w:eastAsia="zh-TW"/>
        </w:rPr>
        <w:t>17.3.2中标人中标后无正当理由放弃中标或在规定期限内未按本须知规定</w:t>
      </w:r>
    </w:p>
    <w:p w14:paraId="4D6DE6A4">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lang w:val="zh-CN"/>
        </w:rPr>
        <w:t xml:space="preserve">       </w:t>
      </w:r>
      <w:r>
        <w:rPr>
          <w:rFonts w:hint="eastAsia" w:ascii="楷体" w:hAnsi="楷体" w:eastAsia="楷体" w:cs="楷体"/>
          <w:sz w:val="24"/>
          <w:lang w:val="zh-CN" w:eastAsia="zh-TW"/>
        </w:rPr>
        <w:t>签订合同的；</w:t>
      </w:r>
    </w:p>
    <w:p w14:paraId="2E394EE6">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17.3.3</w:t>
      </w:r>
      <w:r>
        <w:rPr>
          <w:rFonts w:hint="eastAsia" w:ascii="楷体" w:hAnsi="楷体" w:eastAsia="楷体" w:cs="楷体"/>
          <w:sz w:val="24"/>
          <w:lang w:val="zh-CN" w:eastAsia="zh-TW"/>
        </w:rPr>
        <w:t>中标人在规定期限内未按本须知规定提供履约保证金的；</w:t>
      </w:r>
    </w:p>
    <w:p w14:paraId="50CFCF7A">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17.3.4</w:t>
      </w:r>
      <w:r>
        <w:rPr>
          <w:rFonts w:hint="eastAsia" w:ascii="楷体" w:hAnsi="楷体" w:eastAsia="楷体" w:cs="楷体"/>
          <w:sz w:val="24"/>
          <w:lang w:val="zh-CN" w:eastAsia="zh-TW"/>
        </w:rPr>
        <w:t>中标人未按本须知规定缴交招标代理服务费的；</w:t>
      </w:r>
    </w:p>
    <w:p w14:paraId="2EA823C8">
      <w:pPr>
        <w:tabs>
          <w:tab w:val="left" w:pos="907"/>
        </w:tabs>
        <w:spacing w:line="360" w:lineRule="auto"/>
        <w:ind w:left="1201" w:leftChars="229" w:hanging="720" w:hangingChars="300"/>
        <w:rPr>
          <w:rFonts w:ascii="楷体" w:hAnsi="楷体" w:eastAsia="楷体" w:cs="楷体"/>
          <w:sz w:val="24"/>
          <w:lang w:val="zh-CN" w:eastAsia="zh-TW"/>
        </w:rPr>
      </w:pPr>
      <w:r>
        <w:rPr>
          <w:rFonts w:hint="eastAsia" w:ascii="楷体" w:hAnsi="楷体" w:eastAsia="楷体" w:cs="楷体"/>
          <w:sz w:val="24"/>
        </w:rPr>
        <w:t>17.3.5</w:t>
      </w:r>
      <w:r>
        <w:rPr>
          <w:rFonts w:hint="eastAsia" w:ascii="楷体" w:hAnsi="楷体" w:eastAsia="楷体" w:cs="楷体"/>
          <w:sz w:val="24"/>
          <w:lang w:val="zh-CN" w:eastAsia="zh-TW"/>
        </w:rPr>
        <w:t>投标人捏造事实、提供虚假材料或者以非法手段取得证明材料进行异议投诉的。</w:t>
      </w:r>
    </w:p>
    <w:p w14:paraId="7BE4F6C6">
      <w:pPr>
        <w:pStyle w:val="5"/>
        <w:numPr>
          <w:ilvl w:val="0"/>
          <w:numId w:val="7"/>
        </w:numPr>
        <w:jc w:val="center"/>
        <w:rPr>
          <w:rFonts w:ascii="楷体" w:hAnsi="楷体" w:eastAsia="楷体" w:cs="楷体"/>
        </w:rPr>
      </w:pPr>
      <w:bookmarkStart w:id="153" w:name="_Toc10947"/>
      <w:bookmarkStart w:id="154" w:name="_Toc25191"/>
      <w:bookmarkStart w:id="155" w:name="_Toc19319"/>
      <w:bookmarkStart w:id="156" w:name="_Toc423021944"/>
      <w:bookmarkStart w:id="157" w:name="_Toc6785"/>
      <w:bookmarkStart w:id="158" w:name="_Toc6674"/>
      <w:r>
        <w:rPr>
          <w:rFonts w:hint="eastAsia" w:ascii="楷体" w:hAnsi="楷体" w:eastAsia="楷体" w:cs="楷体"/>
        </w:rPr>
        <w:t>投标文件的递交</w:t>
      </w:r>
      <w:bookmarkEnd w:id="153"/>
      <w:bookmarkEnd w:id="154"/>
      <w:bookmarkEnd w:id="155"/>
      <w:bookmarkEnd w:id="156"/>
      <w:bookmarkEnd w:id="157"/>
      <w:bookmarkEnd w:id="158"/>
    </w:p>
    <w:p w14:paraId="7F633DA2">
      <w:pPr>
        <w:pStyle w:val="6"/>
        <w:numPr>
          <w:ilvl w:val="0"/>
          <w:numId w:val="8"/>
        </w:numPr>
        <w:ind w:hanging="5"/>
        <w:rPr>
          <w:rFonts w:ascii="楷体" w:hAnsi="楷体" w:eastAsia="楷体" w:cs="楷体"/>
          <w:sz w:val="28"/>
          <w:szCs w:val="28"/>
          <w:lang w:val="zh-CN"/>
        </w:rPr>
      </w:pPr>
      <w:bookmarkStart w:id="159" w:name="_Toc19918"/>
      <w:bookmarkStart w:id="160" w:name="_Toc21468"/>
      <w:bookmarkStart w:id="161" w:name="_Toc5144"/>
      <w:bookmarkStart w:id="162" w:name="_Toc32088"/>
      <w:bookmarkStart w:id="163" w:name="_Toc26978"/>
      <w:r>
        <w:rPr>
          <w:rFonts w:hint="eastAsia" w:ascii="楷体" w:hAnsi="楷体" w:eastAsia="楷体" w:cs="楷体"/>
          <w:sz w:val="28"/>
          <w:szCs w:val="28"/>
          <w:lang w:val="zh-CN"/>
        </w:rPr>
        <w:t>投标文件的密封和标记</w:t>
      </w:r>
      <w:bookmarkEnd w:id="159"/>
      <w:bookmarkEnd w:id="160"/>
      <w:bookmarkEnd w:id="161"/>
      <w:bookmarkEnd w:id="162"/>
      <w:bookmarkEnd w:id="163"/>
    </w:p>
    <w:p w14:paraId="6312F0EC">
      <w:pPr>
        <w:numPr>
          <w:ilvl w:val="1"/>
          <w:numId w:val="30"/>
        </w:numPr>
        <w:tabs>
          <w:tab w:val="clear" w:pos="907"/>
        </w:tabs>
        <w:spacing w:line="360" w:lineRule="auto"/>
        <w:ind w:left="1247" w:hanging="827"/>
        <w:rPr>
          <w:rFonts w:ascii="楷体" w:hAnsi="楷体" w:eastAsia="楷体" w:cs="楷体"/>
          <w:b/>
          <w:bCs/>
          <w:sz w:val="24"/>
          <w:u w:val="single"/>
          <w:lang w:val="zh-CN" w:eastAsia="zh-TW"/>
        </w:rPr>
      </w:pPr>
      <w:r>
        <w:rPr>
          <w:rFonts w:hint="eastAsia" w:ascii="楷体" w:hAnsi="楷体" w:eastAsia="楷体" w:cs="楷体"/>
          <w:sz w:val="24"/>
          <w:lang w:val="zh-CN" w:eastAsia="zh-TW"/>
        </w:rPr>
        <w:t>投标人应将投标文件正本</w:t>
      </w:r>
      <w:r>
        <w:rPr>
          <w:rFonts w:hint="eastAsia" w:ascii="楷体" w:hAnsi="楷体" w:eastAsia="楷体" w:cs="楷体"/>
          <w:sz w:val="24"/>
        </w:rPr>
        <w:t>进行</w:t>
      </w:r>
      <w:r>
        <w:rPr>
          <w:rFonts w:hint="eastAsia" w:ascii="楷体" w:hAnsi="楷体" w:eastAsia="楷体" w:cs="楷体"/>
          <w:sz w:val="24"/>
          <w:lang w:val="zh-CN" w:eastAsia="zh-TW"/>
        </w:rPr>
        <w:t>密封，且在封套上标明“正本”字样。</w:t>
      </w:r>
    </w:p>
    <w:p w14:paraId="50040239">
      <w:pPr>
        <w:numPr>
          <w:ilvl w:val="1"/>
          <w:numId w:val="30"/>
        </w:numPr>
        <w:tabs>
          <w:tab w:val="clear" w:pos="907"/>
        </w:tabs>
        <w:spacing w:line="360" w:lineRule="auto"/>
        <w:ind w:left="1247" w:hanging="827"/>
        <w:rPr>
          <w:rFonts w:ascii="楷体" w:hAnsi="楷体" w:eastAsia="楷体" w:cs="楷体"/>
          <w:b/>
          <w:bCs/>
          <w:sz w:val="24"/>
          <w:u w:val="single"/>
          <w:lang w:val="zh-CN" w:eastAsia="zh-TW"/>
        </w:rPr>
      </w:pPr>
      <w:r>
        <w:rPr>
          <w:rFonts w:hint="eastAsia" w:ascii="楷体" w:hAnsi="楷体" w:eastAsia="楷体" w:cs="楷体"/>
          <w:sz w:val="24"/>
        </w:rPr>
        <w:t>电子投标文件应使用投标客户端进行制作并加密。</w:t>
      </w:r>
    </w:p>
    <w:p w14:paraId="53830C4E">
      <w:pPr>
        <w:pStyle w:val="6"/>
        <w:numPr>
          <w:ilvl w:val="0"/>
          <w:numId w:val="8"/>
        </w:numPr>
        <w:ind w:hanging="5"/>
        <w:rPr>
          <w:rFonts w:ascii="楷体" w:hAnsi="楷体" w:eastAsia="楷体" w:cs="楷体"/>
          <w:sz w:val="28"/>
          <w:szCs w:val="28"/>
          <w:lang w:val="zh-CN"/>
        </w:rPr>
      </w:pPr>
      <w:bookmarkStart w:id="164" w:name="_Toc1931"/>
      <w:bookmarkStart w:id="165" w:name="_Toc22553"/>
      <w:bookmarkStart w:id="166" w:name="_Toc27599"/>
      <w:bookmarkStart w:id="167" w:name="_Toc29751"/>
      <w:bookmarkStart w:id="168" w:name="_Toc10783"/>
      <w:r>
        <w:rPr>
          <w:rFonts w:hint="eastAsia" w:ascii="楷体" w:hAnsi="楷体" w:eastAsia="楷体" w:cs="楷体"/>
          <w:sz w:val="28"/>
          <w:szCs w:val="28"/>
          <w:lang w:val="zh-CN"/>
        </w:rPr>
        <w:t>投标文件递交要求</w:t>
      </w:r>
      <w:bookmarkEnd w:id="164"/>
      <w:bookmarkEnd w:id="165"/>
      <w:bookmarkEnd w:id="166"/>
      <w:bookmarkEnd w:id="167"/>
      <w:bookmarkEnd w:id="168"/>
    </w:p>
    <w:p w14:paraId="6DAE4A05">
      <w:pPr>
        <w:numPr>
          <w:ilvl w:val="1"/>
          <w:numId w:val="31"/>
        </w:numPr>
        <w:tabs>
          <w:tab w:val="left" w:pos="630"/>
          <w:tab w:val="left" w:pos="1180"/>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纸质投标文件及密封外套须清楚标明投标人名称和地址并加盖单位公章。</w:t>
      </w:r>
    </w:p>
    <w:p w14:paraId="56E07C05">
      <w:pPr>
        <w:numPr>
          <w:ilvl w:val="1"/>
          <w:numId w:val="31"/>
        </w:numPr>
        <w:tabs>
          <w:tab w:val="clear" w:pos="907"/>
        </w:tabs>
        <w:spacing w:line="360" w:lineRule="auto"/>
        <w:ind w:left="1187" w:hanging="767"/>
        <w:rPr>
          <w:rFonts w:ascii="楷体" w:hAnsi="楷体" w:eastAsia="楷体" w:cs="楷体"/>
          <w:b/>
          <w:bCs/>
          <w:sz w:val="24"/>
          <w:u w:val="single"/>
          <w:lang w:val="zh-CN" w:eastAsia="zh-TW"/>
        </w:rPr>
      </w:pPr>
      <w:r>
        <w:rPr>
          <w:rFonts w:hint="eastAsia" w:ascii="楷体" w:hAnsi="楷体" w:eastAsia="楷体" w:cs="楷体"/>
          <w:sz w:val="24"/>
          <w:lang w:val="zh-CN" w:eastAsia="zh-TW"/>
        </w:rPr>
        <w:t>清楚注明投标邀请函中指明的</w:t>
      </w:r>
      <w:r>
        <w:rPr>
          <w:rFonts w:hint="eastAsia" w:ascii="楷体" w:hAnsi="楷体" w:eastAsia="楷体" w:cs="楷体"/>
          <w:b/>
          <w:bCs/>
          <w:sz w:val="24"/>
          <w:u w:val="single"/>
          <w:lang w:val="zh-CN" w:eastAsia="zh-TW"/>
        </w:rPr>
        <w:t>项目名称、项目编号、包组号（如有）和“在(招标文件中规定的开标日期和时间)之前不得启封”</w:t>
      </w:r>
      <w:r>
        <w:rPr>
          <w:rFonts w:hint="eastAsia" w:ascii="楷体" w:hAnsi="楷体" w:eastAsia="楷体" w:cs="楷体"/>
          <w:sz w:val="24"/>
          <w:lang w:val="zh-CN" w:eastAsia="zh-TW"/>
        </w:rPr>
        <w:t xml:space="preserve">的字样。 </w:t>
      </w:r>
    </w:p>
    <w:p w14:paraId="01DFD895">
      <w:pPr>
        <w:numPr>
          <w:ilvl w:val="1"/>
          <w:numId w:val="31"/>
        </w:numPr>
        <w:tabs>
          <w:tab w:val="clear" w:pos="907"/>
        </w:tabs>
        <w:spacing w:line="360" w:lineRule="auto"/>
        <w:ind w:left="1187" w:hanging="767"/>
        <w:rPr>
          <w:rFonts w:ascii="楷体" w:hAnsi="楷体" w:eastAsia="楷体" w:cs="楷体"/>
          <w:b/>
          <w:bCs/>
          <w:sz w:val="24"/>
          <w:u w:val="single"/>
          <w:lang w:val="zh-CN" w:eastAsia="zh-TW"/>
        </w:rPr>
      </w:pPr>
      <w:r>
        <w:rPr>
          <w:rFonts w:hint="eastAsia" w:ascii="楷体" w:hAnsi="楷体" w:eastAsia="楷体" w:cs="楷体"/>
          <w:sz w:val="24"/>
          <w:lang w:val="zh-CN" w:eastAsia="zh-TW"/>
        </w:rPr>
        <w:t>如果投标人未按</w:t>
      </w:r>
      <w:r>
        <w:rPr>
          <w:rFonts w:hint="eastAsia" w:ascii="楷体" w:hAnsi="楷体" w:eastAsia="楷体" w:cs="楷体"/>
          <w:sz w:val="24"/>
        </w:rPr>
        <w:t>本须知18</w:t>
      </w:r>
      <w:r>
        <w:rPr>
          <w:rFonts w:hint="eastAsia" w:ascii="楷体" w:hAnsi="楷体" w:eastAsia="楷体" w:cs="楷体"/>
          <w:sz w:val="24"/>
          <w:lang w:val="zh-CN" w:eastAsia="zh-TW"/>
        </w:rPr>
        <w:t>款要求加写标记和密封，招标代理机构对误投或提前启封概不负责。</w:t>
      </w:r>
    </w:p>
    <w:p w14:paraId="0D90F6F9">
      <w:pPr>
        <w:pStyle w:val="6"/>
        <w:numPr>
          <w:ilvl w:val="0"/>
          <w:numId w:val="8"/>
        </w:numPr>
        <w:ind w:hanging="5"/>
        <w:rPr>
          <w:rFonts w:ascii="楷体" w:hAnsi="楷体" w:eastAsia="楷体" w:cs="楷体"/>
          <w:sz w:val="28"/>
          <w:szCs w:val="28"/>
          <w:lang w:val="zh-CN"/>
        </w:rPr>
      </w:pPr>
      <w:bookmarkStart w:id="169" w:name="_Toc5514"/>
      <w:bookmarkStart w:id="170" w:name="_Toc19019"/>
      <w:bookmarkStart w:id="171" w:name="_Toc26492"/>
      <w:bookmarkStart w:id="172" w:name="_Toc24470"/>
      <w:bookmarkStart w:id="173" w:name="_Toc22077"/>
      <w:r>
        <w:rPr>
          <w:rFonts w:hint="eastAsia" w:ascii="楷体" w:hAnsi="楷体" w:eastAsia="楷体" w:cs="楷体"/>
          <w:sz w:val="28"/>
          <w:szCs w:val="28"/>
          <w:lang w:val="zh-CN"/>
        </w:rPr>
        <w:t>投标截止</w:t>
      </w:r>
      <w:bookmarkEnd w:id="169"/>
      <w:bookmarkEnd w:id="170"/>
      <w:bookmarkEnd w:id="171"/>
      <w:bookmarkEnd w:id="172"/>
      <w:bookmarkEnd w:id="173"/>
    </w:p>
    <w:p w14:paraId="6E16D0D0">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投标人应在不迟于</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中规定的截止日期和时间将投标文件递交至招标代理机构，递交地点应是</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中指明的地址。</w:t>
      </w:r>
    </w:p>
    <w:p w14:paraId="0B9B89AC">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29F62A1F">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招标代理机构将拒绝接收在招标文件规定的投标截止时间之后收到的任何投标文件。</w:t>
      </w:r>
    </w:p>
    <w:p w14:paraId="78FEA6BA">
      <w:pPr>
        <w:pStyle w:val="6"/>
        <w:numPr>
          <w:ilvl w:val="0"/>
          <w:numId w:val="8"/>
        </w:numPr>
        <w:ind w:hanging="5"/>
        <w:rPr>
          <w:rFonts w:ascii="楷体" w:hAnsi="楷体" w:eastAsia="楷体" w:cs="楷体"/>
          <w:sz w:val="28"/>
          <w:szCs w:val="28"/>
          <w:lang w:val="zh-CN"/>
        </w:rPr>
      </w:pPr>
      <w:bookmarkStart w:id="174" w:name="_Toc9682"/>
      <w:bookmarkStart w:id="175" w:name="_Toc32355"/>
      <w:bookmarkStart w:id="176" w:name="_Toc1809"/>
      <w:bookmarkStart w:id="177" w:name="_Toc1816"/>
      <w:bookmarkStart w:id="178" w:name="_Toc9165"/>
      <w:r>
        <w:rPr>
          <w:rFonts w:hint="eastAsia" w:ascii="楷体" w:hAnsi="楷体" w:eastAsia="楷体" w:cs="楷体"/>
          <w:sz w:val="28"/>
          <w:szCs w:val="28"/>
          <w:lang w:val="zh-CN"/>
        </w:rPr>
        <w:t>投标文件的修改和撤回</w:t>
      </w:r>
      <w:bookmarkEnd w:id="174"/>
      <w:bookmarkEnd w:id="175"/>
      <w:bookmarkEnd w:id="176"/>
      <w:bookmarkEnd w:id="177"/>
      <w:bookmarkEnd w:id="178"/>
    </w:p>
    <w:p w14:paraId="06CBBAC2">
      <w:pPr>
        <w:numPr>
          <w:ilvl w:val="1"/>
          <w:numId w:val="33"/>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7CDE1272">
      <w:pPr>
        <w:numPr>
          <w:ilvl w:val="1"/>
          <w:numId w:val="33"/>
        </w:numPr>
        <w:tabs>
          <w:tab w:val="left" w:pos="122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在投标截止时间之后，投标人不得对其投标文件做任何修改。</w:t>
      </w:r>
    </w:p>
    <w:p w14:paraId="140B1541">
      <w:pPr>
        <w:numPr>
          <w:ilvl w:val="1"/>
          <w:numId w:val="33"/>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从投标截止期至招标文件规定的投标有效期期满的这段时间内，投标人不得撤回其投标。</w:t>
      </w:r>
    </w:p>
    <w:p w14:paraId="01167820">
      <w:pPr>
        <w:numPr>
          <w:ilvl w:val="1"/>
          <w:numId w:val="33"/>
        </w:numPr>
        <w:tabs>
          <w:tab w:val="left" w:pos="122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除非招标文件另有规定或说明，投标文件一律不予退还。</w:t>
      </w:r>
    </w:p>
    <w:p w14:paraId="3603B676">
      <w:pPr>
        <w:pStyle w:val="5"/>
        <w:numPr>
          <w:ilvl w:val="0"/>
          <w:numId w:val="7"/>
        </w:numPr>
        <w:jc w:val="center"/>
        <w:rPr>
          <w:rFonts w:ascii="楷体" w:hAnsi="楷体" w:eastAsia="楷体" w:cs="楷体"/>
        </w:rPr>
      </w:pPr>
      <w:bookmarkStart w:id="179" w:name="_Toc32255"/>
      <w:bookmarkStart w:id="180" w:name="_Toc423021945"/>
      <w:bookmarkStart w:id="181" w:name="_Toc12376"/>
      <w:bookmarkStart w:id="182" w:name="_Toc30765"/>
      <w:bookmarkStart w:id="183" w:name="_Toc1851"/>
      <w:bookmarkStart w:id="184" w:name="_Toc21950"/>
      <w:r>
        <w:rPr>
          <w:rFonts w:hint="eastAsia" w:ascii="楷体" w:hAnsi="楷体" w:eastAsia="楷体" w:cs="楷体"/>
        </w:rPr>
        <w:t>开标与评标</w:t>
      </w:r>
      <w:bookmarkEnd w:id="179"/>
      <w:bookmarkEnd w:id="180"/>
      <w:bookmarkEnd w:id="181"/>
      <w:bookmarkEnd w:id="182"/>
      <w:bookmarkEnd w:id="183"/>
      <w:bookmarkEnd w:id="184"/>
    </w:p>
    <w:p w14:paraId="236B6767">
      <w:pPr>
        <w:pStyle w:val="6"/>
        <w:numPr>
          <w:ilvl w:val="0"/>
          <w:numId w:val="8"/>
        </w:numPr>
        <w:ind w:hanging="5"/>
        <w:rPr>
          <w:rFonts w:ascii="楷体" w:hAnsi="楷体" w:eastAsia="楷体" w:cs="楷体"/>
          <w:sz w:val="28"/>
          <w:szCs w:val="28"/>
          <w:lang w:val="zh-CN"/>
        </w:rPr>
      </w:pPr>
      <w:bookmarkStart w:id="185" w:name="_Toc19097"/>
      <w:bookmarkStart w:id="186" w:name="_Toc24164"/>
      <w:bookmarkStart w:id="187" w:name="_Toc24617"/>
      <w:bookmarkStart w:id="188" w:name="_Toc20889"/>
      <w:bookmarkStart w:id="189" w:name="_Toc15366"/>
      <w:r>
        <w:rPr>
          <w:rFonts w:hint="eastAsia" w:ascii="楷体" w:hAnsi="楷体" w:eastAsia="楷体" w:cs="楷体"/>
          <w:sz w:val="28"/>
          <w:szCs w:val="28"/>
          <w:lang w:val="zh-CN"/>
        </w:rPr>
        <w:t>开标</w:t>
      </w:r>
      <w:bookmarkEnd w:id="185"/>
      <w:bookmarkEnd w:id="186"/>
      <w:bookmarkEnd w:id="187"/>
      <w:bookmarkEnd w:id="188"/>
      <w:bookmarkEnd w:id="189"/>
    </w:p>
    <w:p w14:paraId="02B3F85E">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eastAsia="zh-TW"/>
        </w:rPr>
        <w:t>招标代理机构按</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中规定的日期、时间和地点组织公开开标。</w:t>
      </w:r>
    </w:p>
    <w:p w14:paraId="7CBBAC65">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rPr>
        <w:t>开标由招标代理机构主持，招标人、投标人和有关方面代表参加。评标委员会专家成员不参加开标会议。</w:t>
      </w:r>
    </w:p>
    <w:p w14:paraId="6950E0AE">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eastAsia="zh-TW"/>
        </w:rPr>
        <w:t>开标</w:t>
      </w:r>
      <w:r>
        <w:rPr>
          <w:rFonts w:hint="eastAsia" w:ascii="楷体" w:hAnsi="楷体" w:eastAsia="楷体" w:cs="楷体"/>
          <w:sz w:val="24"/>
          <w:lang w:val="zh-CN"/>
        </w:rPr>
        <w:t>前，按</w:t>
      </w:r>
      <w:r>
        <w:rPr>
          <w:rFonts w:hint="eastAsia" w:ascii="楷体" w:hAnsi="楷体" w:eastAsia="楷体" w:cs="楷体"/>
          <w:sz w:val="24"/>
          <w:lang w:val="zh-CN" w:eastAsia="zh-TW"/>
        </w:rPr>
        <w:t>签到顺序递交投标文件的</w:t>
      </w:r>
      <w:r>
        <w:rPr>
          <w:rFonts w:hint="eastAsia" w:ascii="楷体" w:hAnsi="楷体" w:eastAsia="楷体" w:cs="楷体"/>
          <w:b/>
          <w:bCs/>
          <w:sz w:val="24"/>
          <w:lang w:val="zh-CN" w:eastAsia="zh-TW"/>
        </w:rPr>
        <w:t>前三名</w:t>
      </w:r>
      <w:r>
        <w:rPr>
          <w:rFonts w:hint="eastAsia" w:ascii="楷体" w:hAnsi="楷体" w:eastAsia="楷体" w:cs="楷体"/>
          <w:sz w:val="24"/>
          <w:lang w:val="zh-CN"/>
        </w:rPr>
        <w:t>授权</w:t>
      </w:r>
      <w:r>
        <w:rPr>
          <w:rFonts w:hint="eastAsia" w:ascii="楷体" w:hAnsi="楷体" w:eastAsia="楷体" w:cs="楷体"/>
          <w:sz w:val="24"/>
          <w:lang w:val="zh-CN" w:eastAsia="zh-TW"/>
        </w:rPr>
        <w:t>代表</w:t>
      </w:r>
      <w:r>
        <w:rPr>
          <w:rFonts w:hint="eastAsia" w:ascii="楷体" w:hAnsi="楷体" w:eastAsia="楷体" w:cs="楷体"/>
          <w:sz w:val="24"/>
          <w:lang w:val="zh-CN"/>
        </w:rPr>
        <w:t>检查所有</w:t>
      </w:r>
      <w:r>
        <w:rPr>
          <w:rFonts w:hint="eastAsia" w:ascii="楷体" w:hAnsi="楷体" w:eastAsia="楷体" w:cs="楷体"/>
          <w:sz w:val="24"/>
          <w:lang w:val="zh-CN" w:eastAsia="zh-TW"/>
        </w:rPr>
        <w:t>投标文件的密封情况</w:t>
      </w:r>
      <w:r>
        <w:rPr>
          <w:rFonts w:hint="eastAsia" w:ascii="楷体" w:hAnsi="楷体" w:eastAsia="楷体" w:cs="楷体"/>
          <w:sz w:val="24"/>
          <w:lang w:val="zh-CN"/>
        </w:rPr>
        <w:t>。经确认密封完好后，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008A0DD0">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未宣读的投标价格、价格折扣和招标文件允许提供的备选投标方案等实质内容，评标时不予考虑。</w:t>
      </w:r>
    </w:p>
    <w:p w14:paraId="4AEE2220">
      <w:pPr>
        <w:numPr>
          <w:ilvl w:val="1"/>
          <w:numId w:val="34"/>
        </w:numPr>
        <w:tabs>
          <w:tab w:val="left" w:pos="1120"/>
          <w:tab w:val="left" w:pos="1220"/>
        </w:tabs>
        <w:spacing w:line="360" w:lineRule="auto"/>
        <w:ind w:left="1259" w:leftChars="228" w:hanging="780" w:hangingChars="325"/>
        <w:rPr>
          <w:rFonts w:ascii="楷体" w:hAnsi="楷体" w:eastAsia="楷体" w:cs="楷体"/>
          <w:bCs/>
          <w:sz w:val="24"/>
          <w:lang w:val="zh-CN"/>
        </w:rPr>
      </w:pPr>
      <w:r>
        <w:rPr>
          <w:rFonts w:hint="eastAsia" w:ascii="楷体" w:hAnsi="楷体" w:eastAsia="楷体" w:cs="楷体"/>
          <w:sz w:val="24"/>
          <w:lang w:val="zh-CN"/>
        </w:rPr>
        <w:t>招标代理机构将做开标记录，并由投标人代表及有关人员签字确认。</w:t>
      </w:r>
    </w:p>
    <w:p w14:paraId="2F168E49">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开标时，投标文件中开标一览表内容与投标明细报价表内容不一致的，以开标一览表为准。</w:t>
      </w:r>
    </w:p>
    <w:p w14:paraId="47D7C12B">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在招标文件要求提交投标文件截止时间前收到的所有投标文件不足三家时，不予以拆封、宣读，将作流标处理。投标人递交的投标文件原封退还。</w:t>
      </w:r>
    </w:p>
    <w:p w14:paraId="407C9CDD">
      <w:pPr>
        <w:pStyle w:val="6"/>
        <w:numPr>
          <w:ilvl w:val="0"/>
          <w:numId w:val="8"/>
        </w:numPr>
        <w:ind w:hanging="5"/>
        <w:rPr>
          <w:rFonts w:ascii="楷体" w:hAnsi="楷体" w:eastAsia="楷体" w:cs="楷体"/>
          <w:sz w:val="28"/>
          <w:szCs w:val="28"/>
          <w:lang w:val="zh-CN"/>
        </w:rPr>
      </w:pPr>
      <w:bookmarkStart w:id="190" w:name="_Toc31826"/>
      <w:bookmarkStart w:id="191" w:name="_Toc11902"/>
      <w:bookmarkStart w:id="192" w:name="_Toc22210"/>
      <w:bookmarkStart w:id="193" w:name="_Toc17883"/>
      <w:bookmarkStart w:id="194" w:name="_Toc13947"/>
      <w:r>
        <w:rPr>
          <w:rFonts w:hint="eastAsia" w:ascii="楷体" w:hAnsi="楷体" w:eastAsia="楷体" w:cs="楷体"/>
          <w:sz w:val="28"/>
          <w:szCs w:val="28"/>
          <w:lang w:val="zh-CN"/>
        </w:rPr>
        <w:t>评标</w:t>
      </w:r>
      <w:bookmarkEnd w:id="190"/>
      <w:bookmarkEnd w:id="191"/>
      <w:bookmarkEnd w:id="192"/>
      <w:bookmarkEnd w:id="193"/>
      <w:bookmarkEnd w:id="194"/>
    </w:p>
    <w:p w14:paraId="30A8601A">
      <w:pPr>
        <w:numPr>
          <w:ilvl w:val="1"/>
          <w:numId w:val="35"/>
        </w:numPr>
        <w:tabs>
          <w:tab w:val="left" w:pos="1100"/>
          <w:tab w:val="left" w:pos="1220"/>
        </w:tabs>
        <w:spacing w:line="360" w:lineRule="auto"/>
        <w:ind w:left="1060" w:leftChars="228" w:hanging="581" w:hangingChars="241"/>
        <w:rPr>
          <w:rFonts w:ascii="楷体" w:hAnsi="楷体" w:eastAsia="楷体" w:cs="楷体"/>
          <w:b/>
          <w:bCs/>
          <w:sz w:val="24"/>
          <w:lang w:val="zh-CN"/>
        </w:rPr>
      </w:pPr>
      <w:r>
        <w:rPr>
          <w:rFonts w:hint="eastAsia" w:ascii="楷体" w:hAnsi="楷体" w:eastAsia="楷体" w:cs="楷体"/>
          <w:b/>
          <w:bCs/>
          <w:sz w:val="24"/>
          <w:lang w:val="zh-CN"/>
        </w:rPr>
        <w:t>评标委员会</w:t>
      </w:r>
    </w:p>
    <w:p w14:paraId="1FA1D541">
      <w:pPr>
        <w:numPr>
          <w:ilvl w:val="2"/>
          <w:numId w:val="36"/>
        </w:numPr>
        <w:tabs>
          <w:tab w:val="left" w:pos="1300"/>
        </w:tabs>
        <w:spacing w:line="360" w:lineRule="auto"/>
        <w:ind w:left="1254" w:leftChars="227" w:hanging="777" w:hangingChars="324"/>
        <w:rPr>
          <w:rFonts w:ascii="楷体" w:hAnsi="楷体" w:eastAsia="楷体" w:cs="楷体"/>
          <w:sz w:val="24"/>
          <w:lang w:val="zh-CN"/>
        </w:rPr>
      </w:pPr>
      <w:r>
        <w:rPr>
          <w:rFonts w:hint="eastAsia" w:ascii="楷体" w:hAnsi="楷体" w:eastAsia="楷体" w:cs="楷体"/>
          <w:sz w:val="24"/>
          <w:lang w:val="zh-CN"/>
        </w:rPr>
        <w:t>本项目评标由依照政府采购法律、法规、规章、规范性文件规定组建的评标委员会负责。评标委员会成员由招标人代表和技术、经济等方面的专家组成。招标人代表人数、专家人数及专业构成按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sz w:val="24"/>
          <w:lang w:val="zh-CN"/>
        </w:rPr>
        <w:t>投标人须知前附表</w:t>
      </w:r>
      <w:r>
        <w:rPr>
          <w:rFonts w:hint="eastAsia" w:ascii="楷体" w:hAnsi="楷体" w:eastAsia="楷体" w:cs="楷体"/>
          <w:sz w:val="24"/>
          <w:lang w:val="zh-CN"/>
        </w:rPr>
        <w:t>的规定确定。</w:t>
      </w:r>
    </w:p>
    <w:p w14:paraId="2ECE1938">
      <w:pPr>
        <w:numPr>
          <w:ilvl w:val="2"/>
          <w:numId w:val="36"/>
        </w:numPr>
        <w:tabs>
          <w:tab w:val="left" w:pos="1300"/>
        </w:tabs>
        <w:spacing w:line="360" w:lineRule="auto"/>
        <w:ind w:left="1269" w:leftChars="226" w:hanging="794" w:hangingChars="331"/>
        <w:rPr>
          <w:rFonts w:ascii="楷体" w:hAnsi="楷体" w:eastAsia="楷体" w:cs="楷体"/>
          <w:sz w:val="24"/>
          <w:lang w:val="zh-CN"/>
        </w:rPr>
      </w:pPr>
      <w:r>
        <w:rPr>
          <w:rFonts w:hint="eastAsia" w:ascii="楷体" w:hAnsi="楷体" w:eastAsia="楷体" w:cs="楷体"/>
          <w:sz w:val="24"/>
          <w:lang w:val="zh-CN"/>
        </w:rPr>
        <w:t>评标委员会名单在评审结果确定前严格保密。评审专家有下列情形之一的，受到邀请应主动提出回避，采购当事人也可以要求该评审专家回避：</w:t>
      </w:r>
    </w:p>
    <w:p w14:paraId="4C76208F">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三年内曾在参加该招标项目供应商（服务商）中任职或担任顾问的；</w:t>
      </w:r>
    </w:p>
    <w:p w14:paraId="1C70A3D8">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配偶或直系亲属在参加该招标项目的供应商（服务商）中任职或担任顾问的；</w:t>
      </w:r>
    </w:p>
    <w:p w14:paraId="0225F743">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与参加该招标项目供应商（服务商）发生过法律纠纷的；</w:t>
      </w:r>
    </w:p>
    <w:p w14:paraId="2F4A05C8">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评标委员会中，同一任职单位评审专家超过二名的；</w:t>
      </w:r>
    </w:p>
    <w:p w14:paraId="10A334B5">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任职单位与招标人或参与该招标项目供应商（服务商）存在行政隶属关系的；</w:t>
      </w:r>
    </w:p>
    <w:p w14:paraId="50B33E3A">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参与招标文件论证或进口产品论证的；</w:t>
      </w:r>
    </w:p>
    <w:p w14:paraId="67AD2A91">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法律、法规、规章规定应当回避以及其他可能影响公正评审的。</w:t>
      </w:r>
    </w:p>
    <w:p w14:paraId="2CB083D1">
      <w:pPr>
        <w:numPr>
          <w:ilvl w:val="2"/>
          <w:numId w:val="36"/>
        </w:numPr>
        <w:tabs>
          <w:tab w:val="left" w:pos="1300"/>
        </w:tabs>
        <w:spacing w:line="360" w:lineRule="auto"/>
        <w:ind w:left="1269" w:leftChars="226" w:hanging="794" w:hangingChars="331"/>
        <w:rPr>
          <w:rFonts w:ascii="楷体" w:hAnsi="楷体" w:eastAsia="楷体" w:cs="楷体"/>
          <w:sz w:val="24"/>
          <w:lang w:val="zh-CN"/>
        </w:rPr>
      </w:pPr>
      <w:r>
        <w:rPr>
          <w:rFonts w:hint="eastAsia" w:ascii="楷体" w:hAnsi="楷体" w:eastAsia="楷体" w:cs="楷体"/>
          <w:sz w:val="24"/>
          <w:lang w:val="zh-CN"/>
        </w:rPr>
        <w:t>评标委员会将按照投标人须知前附表中确定的评标方法和本招标文件第三章规定的评分体系与标准进行评标。</w:t>
      </w:r>
    </w:p>
    <w:p w14:paraId="007C2F6A">
      <w:pPr>
        <w:numPr>
          <w:ilvl w:val="1"/>
          <w:numId w:val="35"/>
        </w:numPr>
        <w:tabs>
          <w:tab w:val="left" w:pos="1100"/>
          <w:tab w:val="left" w:pos="1220"/>
        </w:tabs>
        <w:spacing w:line="360" w:lineRule="auto"/>
        <w:ind w:left="1060" w:leftChars="228" w:hanging="581" w:hangingChars="241"/>
        <w:rPr>
          <w:rFonts w:ascii="楷体" w:hAnsi="楷体" w:eastAsia="楷体" w:cs="楷体"/>
          <w:sz w:val="24"/>
          <w:lang w:val="zh-CN"/>
        </w:rPr>
      </w:pPr>
      <w:r>
        <w:rPr>
          <w:rFonts w:hint="eastAsia" w:ascii="楷体" w:hAnsi="楷体" w:eastAsia="楷体" w:cs="楷体"/>
          <w:b/>
          <w:bCs/>
          <w:sz w:val="24"/>
          <w:lang w:val="zh-CN"/>
        </w:rPr>
        <w:t>评标细则：</w:t>
      </w:r>
      <w:r>
        <w:rPr>
          <w:rFonts w:hint="eastAsia" w:ascii="楷体" w:hAnsi="楷体" w:eastAsia="楷体" w:cs="楷体"/>
          <w:sz w:val="24"/>
          <w:lang w:val="zh-CN"/>
        </w:rPr>
        <w:t>详见本招标文件“第三章评分体系与标准”。</w:t>
      </w:r>
    </w:p>
    <w:p w14:paraId="6EEF32DC">
      <w:pPr>
        <w:pStyle w:val="6"/>
        <w:numPr>
          <w:ilvl w:val="0"/>
          <w:numId w:val="8"/>
        </w:numPr>
        <w:ind w:hanging="5"/>
        <w:rPr>
          <w:rFonts w:ascii="楷体" w:hAnsi="楷体" w:eastAsia="楷体" w:cs="楷体"/>
          <w:sz w:val="28"/>
          <w:szCs w:val="28"/>
          <w:lang w:val="zh-CN"/>
        </w:rPr>
      </w:pPr>
      <w:bookmarkStart w:id="195" w:name="_Toc6186"/>
      <w:bookmarkStart w:id="196" w:name="_Toc24123"/>
      <w:bookmarkStart w:id="197" w:name="_Toc1619"/>
      <w:bookmarkStart w:id="198" w:name="_Toc15766"/>
      <w:bookmarkStart w:id="199" w:name="_Toc4914"/>
      <w:r>
        <w:rPr>
          <w:rFonts w:hint="eastAsia" w:ascii="楷体" w:hAnsi="楷体" w:eastAsia="楷体" w:cs="楷体"/>
          <w:sz w:val="28"/>
          <w:szCs w:val="28"/>
          <w:lang w:val="zh-CN"/>
        </w:rPr>
        <w:t>定标原则和授标</w:t>
      </w:r>
      <w:bookmarkEnd w:id="195"/>
      <w:bookmarkEnd w:id="196"/>
      <w:bookmarkEnd w:id="197"/>
      <w:bookmarkEnd w:id="198"/>
      <w:bookmarkEnd w:id="199"/>
    </w:p>
    <w:p w14:paraId="43F6F91D">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评标委员会按照招标文件确定的评标方法、步骤、标准，对投标文件进行评审，提出书面评标报告。</w:t>
      </w:r>
    </w:p>
    <w:p w14:paraId="5A48C2D7">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采用综合评分法的，按评审后投标人得分由高到低的顺序排列。得分相同的，按投标报价由低到高顺序排列。综合评分相同，且投标报价</w:t>
      </w:r>
      <w:r>
        <w:rPr>
          <w:rFonts w:hint="eastAsia" w:ascii="楷体" w:hAnsi="楷体" w:eastAsia="楷体" w:cs="楷体"/>
          <w:sz w:val="24"/>
        </w:rPr>
        <w:t>最低的</w:t>
      </w:r>
      <w:r>
        <w:rPr>
          <w:rFonts w:hint="eastAsia" w:ascii="楷体" w:hAnsi="楷体" w:eastAsia="楷体" w:cs="楷体"/>
          <w:sz w:val="24"/>
          <w:lang w:val="zh-CN"/>
        </w:rPr>
        <w:t>相同的，名次由评标委员会抽签决定。除</w:t>
      </w:r>
      <w:r>
        <w:rPr>
          <w:rFonts w:hint="eastAsia" w:ascii="楷体" w:hAnsi="楷体" w:eastAsia="楷体" w:cs="楷体"/>
          <w:b/>
          <w:bCs/>
          <w:sz w:val="24"/>
          <w:lang w:val="zh-CN"/>
        </w:rPr>
        <w:t>投标人须知前附表</w:t>
      </w:r>
      <w:r>
        <w:rPr>
          <w:rFonts w:hint="eastAsia" w:ascii="楷体" w:hAnsi="楷体" w:eastAsia="楷体" w:cs="楷体"/>
          <w:sz w:val="24"/>
          <w:lang w:val="zh-CN"/>
        </w:rPr>
        <w:t>另有规定，推荐综合得分排名第一的投标人为第一中标候选人，排名第二的投标人为第二中标候选人，排名第三的投标人为第三中标候选人。</w:t>
      </w:r>
    </w:p>
    <w:p w14:paraId="4B524A29">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评标委员会提交评标报告和推荐中标意见报招标人确认，招标人在收到评标报告后的法定时间内，按照评标报告中推荐的中标候选人顺序确定中标人，也可以事先授权评标委员会直接确定中标人。</w:t>
      </w:r>
    </w:p>
    <w:p w14:paraId="1739CD8C">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定标后，招标人将就规定的内容在信息媒体上公示三</w:t>
      </w:r>
      <w:r>
        <w:rPr>
          <w:rFonts w:hint="eastAsia" w:ascii="楷体" w:hAnsi="楷体" w:eastAsia="楷体" w:cs="楷体"/>
          <w:sz w:val="24"/>
        </w:rPr>
        <w:t>个工作日</w:t>
      </w:r>
      <w:r>
        <w:rPr>
          <w:rFonts w:hint="eastAsia" w:ascii="楷体" w:hAnsi="楷体" w:eastAsia="楷体" w:cs="楷体"/>
          <w:sz w:val="24"/>
          <w:lang w:val="zh-CN"/>
        </w:rPr>
        <w:t>。</w:t>
      </w:r>
    </w:p>
    <w:p w14:paraId="65D63068">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C0C000D">
      <w:pPr>
        <w:pStyle w:val="6"/>
        <w:numPr>
          <w:ilvl w:val="0"/>
          <w:numId w:val="8"/>
        </w:numPr>
        <w:ind w:hanging="5"/>
        <w:rPr>
          <w:rFonts w:ascii="楷体" w:hAnsi="楷体" w:eastAsia="楷体" w:cs="楷体"/>
          <w:sz w:val="28"/>
          <w:szCs w:val="28"/>
          <w:lang w:val="zh-CN"/>
        </w:rPr>
      </w:pPr>
      <w:bookmarkStart w:id="200" w:name="_Toc7028"/>
      <w:bookmarkStart w:id="201" w:name="_Toc25032"/>
      <w:bookmarkStart w:id="202" w:name="_Toc18578"/>
      <w:bookmarkStart w:id="203" w:name="_Toc4553"/>
      <w:bookmarkStart w:id="204" w:name="_Toc67"/>
      <w:r>
        <w:rPr>
          <w:rFonts w:hint="eastAsia" w:ascii="楷体" w:hAnsi="楷体" w:eastAsia="楷体" w:cs="楷体"/>
          <w:sz w:val="28"/>
          <w:szCs w:val="28"/>
          <w:lang w:val="zh-CN"/>
        </w:rPr>
        <w:t>中标通知书</w:t>
      </w:r>
      <w:bookmarkEnd w:id="200"/>
      <w:bookmarkEnd w:id="201"/>
      <w:bookmarkEnd w:id="202"/>
      <w:bookmarkEnd w:id="203"/>
      <w:bookmarkEnd w:id="204"/>
    </w:p>
    <w:p w14:paraId="48ACB80C">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公示期满后，招标代理机构在信息媒体发布中标公告，并同时向中标人发放《中标通知书》。（</w:t>
      </w:r>
      <w:r>
        <w:rPr>
          <w:rFonts w:hint="eastAsia" w:ascii="楷体" w:hAnsi="楷体" w:eastAsia="楷体" w:cs="楷体"/>
          <w:sz w:val="24"/>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sz w:val="24"/>
          <w:lang w:val="zh-CN"/>
        </w:rPr>
        <w:t>）</w:t>
      </w:r>
    </w:p>
    <w:p w14:paraId="0F57198E">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《中标通知书》对中标人和招标人具有同等法律效力。</w:t>
      </w:r>
    </w:p>
    <w:p w14:paraId="142FB987">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《中标通知书》将作为授予合同资格的合法依据，是合同的一个组成部分。</w:t>
      </w:r>
    </w:p>
    <w:p w14:paraId="070F3AB1">
      <w:pPr>
        <w:pStyle w:val="5"/>
        <w:numPr>
          <w:ilvl w:val="0"/>
          <w:numId w:val="7"/>
        </w:numPr>
        <w:jc w:val="center"/>
        <w:rPr>
          <w:rFonts w:ascii="楷体" w:hAnsi="楷体" w:eastAsia="楷体" w:cs="楷体"/>
        </w:rPr>
      </w:pPr>
      <w:bookmarkStart w:id="205" w:name="_Toc7013"/>
      <w:bookmarkStart w:id="206" w:name="_Toc25662"/>
      <w:bookmarkStart w:id="207" w:name="_Toc32640"/>
      <w:bookmarkStart w:id="208" w:name="_Toc21329"/>
      <w:r>
        <w:rPr>
          <w:rFonts w:hint="eastAsia" w:ascii="楷体" w:hAnsi="楷体" w:eastAsia="楷体" w:cs="楷体"/>
        </w:rPr>
        <w:t>异议及投诉</w:t>
      </w:r>
      <w:bookmarkEnd w:id="205"/>
      <w:bookmarkEnd w:id="206"/>
      <w:bookmarkEnd w:id="207"/>
      <w:bookmarkEnd w:id="208"/>
    </w:p>
    <w:p w14:paraId="404CB082">
      <w:pPr>
        <w:pStyle w:val="6"/>
        <w:numPr>
          <w:ilvl w:val="0"/>
          <w:numId w:val="8"/>
        </w:numPr>
        <w:ind w:hanging="5"/>
        <w:rPr>
          <w:rFonts w:ascii="楷体" w:hAnsi="楷体" w:eastAsia="楷体" w:cs="楷体"/>
          <w:sz w:val="28"/>
          <w:szCs w:val="28"/>
          <w:lang w:val="zh-CN"/>
        </w:rPr>
      </w:pPr>
      <w:bookmarkStart w:id="209" w:name="_Toc9548"/>
      <w:bookmarkStart w:id="210" w:name="_Toc2438"/>
      <w:bookmarkStart w:id="211" w:name="_Toc7531"/>
      <w:bookmarkStart w:id="212" w:name="_Toc3005"/>
      <w:r>
        <w:rPr>
          <w:rFonts w:hint="eastAsia" w:ascii="楷体" w:hAnsi="楷体" w:eastAsia="楷体" w:cs="楷体"/>
          <w:sz w:val="28"/>
          <w:szCs w:val="28"/>
          <w:lang w:val="zh-CN"/>
        </w:rPr>
        <w:t>异议</w:t>
      </w:r>
      <w:bookmarkEnd w:id="209"/>
      <w:bookmarkEnd w:id="210"/>
      <w:bookmarkEnd w:id="211"/>
      <w:bookmarkEnd w:id="212"/>
    </w:p>
    <w:p w14:paraId="4EA3C319">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投标人或者其他利害关系人对依法必须进行招标的项目的评标结果有异议的，应当在中标候选人公示期间，以书面形式向招标人或招标代理机构提出异议，逾期异议无效。</w:t>
      </w:r>
    </w:p>
    <w:p w14:paraId="3032E7BA">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异议函应当署名。异议供应商（服务商）为自然人的，应当由本人签字；异议供应商（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1D1BB7B4">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异议内容必须以书面形式向招标人或招标代理机构提出，投标人以电话、传真或电邮形式提交的异议属于无效异议。</w:t>
      </w:r>
    </w:p>
    <w:p w14:paraId="6D3F3F2E">
      <w:pPr>
        <w:pStyle w:val="6"/>
        <w:numPr>
          <w:ilvl w:val="0"/>
          <w:numId w:val="8"/>
        </w:numPr>
        <w:ind w:hanging="5"/>
        <w:rPr>
          <w:rFonts w:ascii="楷体" w:hAnsi="楷体" w:eastAsia="楷体" w:cs="楷体"/>
          <w:sz w:val="28"/>
          <w:szCs w:val="28"/>
          <w:lang w:val="zh-CN"/>
        </w:rPr>
      </w:pPr>
      <w:bookmarkStart w:id="213" w:name="_Toc13312"/>
      <w:bookmarkStart w:id="214" w:name="_Toc1415"/>
      <w:bookmarkStart w:id="215" w:name="_Toc20615"/>
      <w:bookmarkStart w:id="216" w:name="_Toc4832"/>
      <w:bookmarkStart w:id="217" w:name="_Toc25587"/>
      <w:bookmarkStart w:id="218" w:name="_Toc27632"/>
      <w:r>
        <w:rPr>
          <w:rFonts w:hint="eastAsia" w:ascii="楷体" w:hAnsi="楷体" w:eastAsia="楷体" w:cs="楷体"/>
          <w:sz w:val="28"/>
          <w:szCs w:val="28"/>
          <w:lang w:val="zh-CN"/>
        </w:rPr>
        <w:t>投诉</w:t>
      </w:r>
      <w:bookmarkEnd w:id="213"/>
      <w:bookmarkEnd w:id="214"/>
      <w:bookmarkEnd w:id="215"/>
      <w:bookmarkEnd w:id="216"/>
      <w:bookmarkEnd w:id="217"/>
      <w:bookmarkEnd w:id="218"/>
    </w:p>
    <w:p w14:paraId="64F72859">
      <w:pPr>
        <w:numPr>
          <w:ilvl w:val="1"/>
          <w:numId w:val="41"/>
        </w:numPr>
        <w:tabs>
          <w:tab w:val="left" w:pos="122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供应商（服务商）对招标人、招标代理机构的异议答复不满意，或者招标人、招标代理机构未在规定期限内作出答复的，可以在答复期满后10日内向招标人的监督部门提起投诉。</w:t>
      </w:r>
    </w:p>
    <w:p w14:paraId="3A281EA2">
      <w:pPr>
        <w:pStyle w:val="5"/>
        <w:numPr>
          <w:ilvl w:val="0"/>
          <w:numId w:val="7"/>
        </w:numPr>
        <w:jc w:val="center"/>
        <w:rPr>
          <w:rFonts w:ascii="楷体" w:hAnsi="楷体" w:eastAsia="楷体" w:cs="楷体"/>
        </w:rPr>
      </w:pPr>
      <w:bookmarkStart w:id="219" w:name="_Toc6940"/>
      <w:bookmarkStart w:id="220" w:name="_Toc423021947"/>
      <w:bookmarkStart w:id="221" w:name="_Toc13810"/>
      <w:bookmarkStart w:id="222" w:name="_Toc20670"/>
      <w:bookmarkStart w:id="223" w:name="_Toc5622"/>
      <w:bookmarkStart w:id="224" w:name="_Toc4037"/>
      <w:r>
        <w:rPr>
          <w:rFonts w:hint="eastAsia" w:ascii="楷体" w:hAnsi="楷体" w:eastAsia="楷体" w:cs="楷体"/>
        </w:rPr>
        <w:t>授予合同</w:t>
      </w:r>
      <w:bookmarkEnd w:id="219"/>
      <w:bookmarkEnd w:id="220"/>
      <w:bookmarkEnd w:id="221"/>
      <w:bookmarkEnd w:id="222"/>
      <w:bookmarkEnd w:id="223"/>
      <w:bookmarkEnd w:id="224"/>
    </w:p>
    <w:p w14:paraId="05DE5C78">
      <w:pPr>
        <w:pStyle w:val="6"/>
        <w:numPr>
          <w:ilvl w:val="0"/>
          <w:numId w:val="8"/>
        </w:numPr>
        <w:ind w:hanging="5"/>
        <w:rPr>
          <w:rFonts w:ascii="楷体" w:hAnsi="楷体" w:eastAsia="楷体" w:cs="楷体"/>
          <w:sz w:val="28"/>
          <w:szCs w:val="28"/>
          <w:lang w:val="zh-CN"/>
        </w:rPr>
      </w:pPr>
      <w:bookmarkStart w:id="225" w:name="_Toc30723"/>
      <w:bookmarkStart w:id="226" w:name="_Toc16893"/>
      <w:bookmarkStart w:id="227" w:name="_Toc9383"/>
      <w:bookmarkStart w:id="228" w:name="_Toc31689"/>
      <w:bookmarkStart w:id="229" w:name="_Toc1594"/>
      <w:r>
        <w:rPr>
          <w:rFonts w:hint="eastAsia" w:ascii="楷体" w:hAnsi="楷体" w:eastAsia="楷体" w:cs="楷体"/>
          <w:sz w:val="28"/>
          <w:szCs w:val="28"/>
          <w:lang w:val="zh-CN"/>
        </w:rPr>
        <w:t>合同的订立</w:t>
      </w:r>
      <w:bookmarkEnd w:id="225"/>
      <w:bookmarkEnd w:id="226"/>
      <w:bookmarkEnd w:id="227"/>
      <w:bookmarkEnd w:id="228"/>
      <w:bookmarkEnd w:id="229"/>
    </w:p>
    <w:p w14:paraId="7D10A446">
      <w:pPr>
        <w:numPr>
          <w:ilvl w:val="1"/>
          <w:numId w:val="42"/>
        </w:numPr>
        <w:tabs>
          <w:tab w:val="left" w:pos="122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14:paraId="73FE7C4D">
      <w:pPr>
        <w:numPr>
          <w:ilvl w:val="1"/>
          <w:numId w:val="42"/>
        </w:numPr>
        <w:tabs>
          <w:tab w:val="left" w:pos="122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招标文件、中标人的投标文件及其澄清文件等，均为签订合同的依据。</w:t>
      </w:r>
    </w:p>
    <w:p w14:paraId="183E25C2">
      <w:pPr>
        <w:pStyle w:val="6"/>
        <w:numPr>
          <w:ilvl w:val="0"/>
          <w:numId w:val="8"/>
        </w:numPr>
        <w:ind w:hanging="5"/>
        <w:rPr>
          <w:rFonts w:ascii="楷体" w:hAnsi="楷体" w:eastAsia="楷体" w:cs="楷体"/>
          <w:sz w:val="28"/>
          <w:szCs w:val="28"/>
          <w:lang w:val="zh-CN"/>
        </w:rPr>
      </w:pPr>
      <w:bookmarkStart w:id="230" w:name="_Toc28839"/>
      <w:bookmarkStart w:id="231" w:name="_Toc29"/>
      <w:bookmarkStart w:id="232" w:name="_Toc23666"/>
      <w:bookmarkStart w:id="233" w:name="_Toc5486"/>
      <w:bookmarkStart w:id="234" w:name="_Toc12285"/>
      <w:r>
        <w:rPr>
          <w:rFonts w:hint="eastAsia" w:ascii="楷体" w:hAnsi="楷体" w:eastAsia="楷体" w:cs="楷体"/>
          <w:sz w:val="28"/>
          <w:szCs w:val="28"/>
          <w:lang w:val="zh-CN"/>
        </w:rPr>
        <w:t>合同的履行</w:t>
      </w:r>
      <w:bookmarkEnd w:id="230"/>
      <w:bookmarkEnd w:id="231"/>
      <w:bookmarkEnd w:id="232"/>
      <w:bookmarkEnd w:id="233"/>
      <w:bookmarkEnd w:id="234"/>
    </w:p>
    <w:p w14:paraId="6C134C6D">
      <w:pPr>
        <w:numPr>
          <w:ilvl w:val="1"/>
          <w:numId w:val="43"/>
        </w:numPr>
        <w:tabs>
          <w:tab w:val="left" w:pos="1200"/>
          <w:tab w:val="left" w:pos="126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05D8F371">
      <w:pPr>
        <w:numPr>
          <w:ilvl w:val="1"/>
          <w:numId w:val="43"/>
        </w:numPr>
        <w:tabs>
          <w:tab w:val="left" w:pos="1200"/>
          <w:tab w:val="left" w:pos="126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14:paraId="73D20581">
      <w:pPr>
        <w:pStyle w:val="6"/>
        <w:numPr>
          <w:ilvl w:val="0"/>
          <w:numId w:val="8"/>
        </w:numPr>
        <w:ind w:hanging="5"/>
        <w:rPr>
          <w:rFonts w:ascii="楷体" w:hAnsi="楷体" w:eastAsia="楷体" w:cs="楷体"/>
          <w:sz w:val="28"/>
          <w:szCs w:val="28"/>
          <w:lang w:val="zh-CN"/>
        </w:rPr>
      </w:pPr>
      <w:bookmarkStart w:id="235" w:name="_Toc17586"/>
      <w:bookmarkStart w:id="236" w:name="_Toc19633"/>
      <w:bookmarkStart w:id="237" w:name="_Toc1536"/>
      <w:bookmarkStart w:id="238" w:name="_Toc12849"/>
      <w:bookmarkStart w:id="239" w:name="_Toc4411"/>
      <w:r>
        <w:rPr>
          <w:rFonts w:hint="eastAsia" w:ascii="楷体" w:hAnsi="楷体" w:eastAsia="楷体" w:cs="楷体"/>
          <w:sz w:val="28"/>
          <w:szCs w:val="28"/>
          <w:lang w:val="zh-CN"/>
        </w:rPr>
        <w:t>履约保证金</w:t>
      </w:r>
      <w:bookmarkEnd w:id="235"/>
      <w:bookmarkEnd w:id="236"/>
      <w:bookmarkEnd w:id="237"/>
      <w:bookmarkEnd w:id="238"/>
      <w:bookmarkEnd w:id="239"/>
    </w:p>
    <w:p w14:paraId="1F226BAB">
      <w:pPr>
        <w:numPr>
          <w:ilvl w:val="1"/>
          <w:numId w:val="44"/>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招标文件要求中标人提交履约保证金的，中标人应按照</w:t>
      </w:r>
      <w:r>
        <w:rPr>
          <w:rFonts w:hint="eastAsia" w:ascii="楷体" w:hAnsi="楷体" w:eastAsia="楷体" w:cs="楷体"/>
          <w:b/>
          <w:bCs/>
          <w:sz w:val="24"/>
          <w:lang w:val="zh-CN"/>
        </w:rPr>
        <w:t>投标人须知前附表</w:t>
      </w:r>
      <w:r>
        <w:rPr>
          <w:rFonts w:hint="eastAsia" w:ascii="楷体" w:hAnsi="楷体" w:eastAsia="楷体" w:cs="楷体"/>
          <w:sz w:val="24"/>
          <w:lang w:val="zh-CN"/>
        </w:rPr>
        <w:t>规定的金额，以银行转账的形式向招标人提交。</w:t>
      </w:r>
    </w:p>
    <w:p w14:paraId="1F358BA4">
      <w:pPr>
        <w:rPr>
          <w:rFonts w:ascii="楷体" w:hAnsi="楷体" w:eastAsia="楷体" w:cs="楷体"/>
        </w:rPr>
      </w:pPr>
      <w:bookmarkStart w:id="240" w:name="_Toc183316709"/>
      <w:bookmarkStart w:id="241" w:name="_Toc372468300"/>
      <w:bookmarkStart w:id="242" w:name="_Toc182886647"/>
      <w:bookmarkStart w:id="243" w:name="_Toc423021950"/>
      <w:bookmarkStart w:id="244" w:name="_Toc30599"/>
    </w:p>
    <w:p w14:paraId="51973F72">
      <w:pPr>
        <w:pStyle w:val="6"/>
        <w:numPr>
          <w:ilvl w:val="0"/>
          <w:numId w:val="8"/>
        </w:numPr>
        <w:ind w:hanging="5"/>
        <w:rPr>
          <w:rFonts w:ascii="楷体" w:hAnsi="楷体" w:eastAsia="楷体" w:cs="楷体"/>
          <w:sz w:val="28"/>
          <w:szCs w:val="28"/>
          <w:lang w:val="zh-CN"/>
        </w:rPr>
      </w:pPr>
      <w:bookmarkStart w:id="245" w:name="_Toc7803"/>
      <w:bookmarkStart w:id="246" w:name="_Toc30046"/>
      <w:bookmarkStart w:id="247" w:name="_Toc10914"/>
      <w:bookmarkStart w:id="248" w:name="_Toc7020"/>
      <w:bookmarkStart w:id="249" w:name="_Toc2287"/>
      <w:bookmarkStart w:id="250" w:name="_Toc14343"/>
      <w:r>
        <w:rPr>
          <w:rFonts w:hint="eastAsia" w:ascii="楷体" w:hAnsi="楷体" w:eastAsia="楷体" w:cs="楷体"/>
          <w:sz w:val="28"/>
          <w:szCs w:val="28"/>
          <w:lang w:val="zh-CN"/>
        </w:rPr>
        <w:t>招标代理服务费</w:t>
      </w:r>
      <w:bookmarkEnd w:id="245"/>
      <w:bookmarkEnd w:id="246"/>
      <w:bookmarkEnd w:id="247"/>
      <w:bookmarkEnd w:id="248"/>
      <w:bookmarkEnd w:id="249"/>
      <w:bookmarkEnd w:id="250"/>
    </w:p>
    <w:p w14:paraId="3B7052DF">
      <w:pPr>
        <w:numPr>
          <w:ilvl w:val="1"/>
          <w:numId w:val="45"/>
        </w:numPr>
        <w:tabs>
          <w:tab w:val="left" w:pos="1140"/>
        </w:tabs>
        <w:spacing w:line="360" w:lineRule="auto"/>
        <w:ind w:left="1175" w:leftChars="227" w:hanging="698" w:hangingChars="291"/>
        <w:rPr>
          <w:rFonts w:ascii="楷体" w:hAnsi="楷体" w:eastAsia="楷体" w:cs="楷体"/>
          <w:sz w:val="24"/>
          <w:lang w:val="zh-CN"/>
        </w:rPr>
      </w:pPr>
      <w:r>
        <w:rPr>
          <w:rFonts w:hint="eastAsia" w:ascii="楷体" w:hAnsi="楷体" w:eastAsia="楷体" w:cs="楷体"/>
          <w:sz w:val="24"/>
          <w:lang w:val="zh-CN"/>
        </w:rPr>
        <w:t>中标人应按照</w:t>
      </w:r>
      <w:r>
        <w:rPr>
          <w:rFonts w:hint="eastAsia" w:ascii="楷体" w:hAnsi="楷体" w:eastAsia="楷体" w:cs="楷体"/>
          <w:b/>
          <w:bCs/>
          <w:sz w:val="24"/>
          <w:lang w:val="zh-CN"/>
        </w:rPr>
        <w:t>投标人须知前附表</w:t>
      </w:r>
      <w:r>
        <w:rPr>
          <w:rFonts w:hint="eastAsia" w:ascii="楷体" w:hAnsi="楷体" w:eastAsia="楷体" w:cs="楷体"/>
          <w:sz w:val="24"/>
          <w:lang w:val="zh-CN"/>
        </w:rPr>
        <w:t>中的规定交纳招标代理服务费。</w:t>
      </w:r>
    </w:p>
    <w:p w14:paraId="26478E2F">
      <w:pPr>
        <w:rPr>
          <w:rFonts w:ascii="楷体" w:hAnsi="楷体" w:eastAsia="楷体" w:cs="楷体"/>
        </w:rPr>
      </w:pPr>
      <w:bookmarkStart w:id="251" w:name="_Toc15552"/>
      <w:bookmarkStart w:id="252" w:name="_Toc2412"/>
      <w:bookmarkStart w:id="253" w:name="_Toc15414"/>
    </w:p>
    <w:p w14:paraId="0DBA16BC">
      <w:pPr>
        <w:keepNext/>
        <w:keepLines/>
        <w:tabs>
          <w:tab w:val="left" w:pos="1440"/>
        </w:tabs>
        <w:adjustRightInd w:val="0"/>
        <w:snapToGrid w:val="0"/>
        <w:spacing w:before="5280" w:beforeLines="2200" w:after="5280" w:afterLines="2200"/>
        <w:jc w:val="center"/>
        <w:rPr>
          <w:rFonts w:ascii="楷体" w:hAnsi="楷体" w:eastAsia="楷体" w:cs="楷体"/>
        </w:rPr>
      </w:pPr>
      <w:bookmarkStart w:id="254" w:name="_Toc21808"/>
    </w:p>
    <w:p w14:paraId="2C82DA0A">
      <w:pPr>
        <w:pStyle w:val="4"/>
        <w:adjustRightInd w:val="0"/>
        <w:snapToGrid w:val="0"/>
        <w:spacing w:before="5280" w:beforeLines="2200" w:after="5280" w:afterLines="2200" w:line="240" w:lineRule="auto"/>
        <w:jc w:val="center"/>
        <w:rPr>
          <w:rFonts w:ascii="楷体" w:hAnsi="楷体" w:eastAsia="楷体" w:cs="楷体"/>
        </w:rPr>
      </w:pPr>
      <w:r>
        <w:rPr>
          <w:rFonts w:hint="eastAsia" w:ascii="楷体" w:hAnsi="楷体" w:eastAsia="楷体" w:cs="楷体"/>
        </w:rPr>
        <w:t>第三章</w:t>
      </w:r>
      <w:bookmarkEnd w:id="240"/>
      <w:bookmarkEnd w:id="241"/>
      <w:bookmarkEnd w:id="242"/>
      <w:r>
        <w:rPr>
          <w:rFonts w:hint="eastAsia" w:ascii="楷体" w:hAnsi="楷体" w:eastAsia="楷体" w:cs="楷体"/>
        </w:rPr>
        <w:t>评分体系与标准</w:t>
      </w:r>
      <w:bookmarkEnd w:id="243"/>
      <w:bookmarkEnd w:id="244"/>
      <w:bookmarkEnd w:id="251"/>
      <w:bookmarkEnd w:id="252"/>
      <w:bookmarkEnd w:id="253"/>
      <w:bookmarkEnd w:id="254"/>
    </w:p>
    <w:p w14:paraId="153514DB">
      <w:pPr>
        <w:jc w:val="center"/>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评分体系与标准</w:t>
      </w:r>
    </w:p>
    <w:p w14:paraId="139D620D">
      <w:pPr>
        <w:pStyle w:val="5"/>
        <w:numPr>
          <w:ilvl w:val="0"/>
          <w:numId w:val="46"/>
        </w:numPr>
        <w:adjustRightInd w:val="0"/>
        <w:snapToGrid w:val="0"/>
        <w:spacing w:before="0" w:after="0" w:line="360" w:lineRule="auto"/>
        <w:jc w:val="left"/>
        <w:rPr>
          <w:rFonts w:ascii="楷体" w:hAnsi="楷体" w:eastAsia="楷体" w:cs="楷体"/>
          <w:sz w:val="24"/>
          <w:szCs w:val="24"/>
        </w:rPr>
      </w:pPr>
      <w:bookmarkStart w:id="255" w:name="_Toc18113"/>
      <w:bookmarkStart w:id="256" w:name="_Toc24056"/>
      <w:bookmarkStart w:id="257" w:name="_Toc5450"/>
      <w:bookmarkStart w:id="258" w:name="_Toc23501"/>
      <w:bookmarkStart w:id="259" w:name="_Toc12756"/>
      <w:bookmarkStart w:id="260" w:name="_Toc16529"/>
      <w:bookmarkStart w:id="261" w:name="_Toc19963"/>
      <w:r>
        <w:rPr>
          <w:rFonts w:hint="eastAsia" w:ascii="楷体" w:hAnsi="楷体" w:eastAsia="楷体" w:cs="楷体"/>
          <w:sz w:val="24"/>
          <w:szCs w:val="24"/>
        </w:rPr>
        <w:t>评标方法</w:t>
      </w:r>
      <w:bookmarkEnd w:id="255"/>
      <w:bookmarkEnd w:id="256"/>
      <w:bookmarkEnd w:id="257"/>
      <w:bookmarkEnd w:id="258"/>
      <w:bookmarkEnd w:id="259"/>
      <w:bookmarkEnd w:id="260"/>
      <w:bookmarkEnd w:id="261"/>
    </w:p>
    <w:p w14:paraId="0ABCE3A1">
      <w:pPr>
        <w:adjustRightInd w:val="0"/>
        <w:snapToGrid w:val="0"/>
        <w:spacing w:line="360" w:lineRule="auto"/>
        <w:ind w:firstLine="638" w:firstLineChars="266"/>
        <w:rPr>
          <w:rFonts w:ascii="楷体" w:hAnsi="楷体" w:eastAsia="楷体" w:cs="楷体"/>
          <w:bCs/>
          <w:sz w:val="24"/>
        </w:rPr>
      </w:pPr>
      <w:r>
        <w:rPr>
          <w:rFonts w:hint="eastAsia" w:ascii="楷体" w:hAnsi="楷体" w:eastAsia="楷体" w:cs="楷体"/>
          <w:bCs/>
          <w:sz w:val="24"/>
        </w:rPr>
        <w:t>本次评标采用综合评分法，即在最大限度地满足招标文件实质性要求前提下，按照招标文件中规定的各项因素进行综合评审后，以评标总得分最高的投标人作为中标候选供应商（服务商）或者中标人（服务商）的评标方法。</w:t>
      </w:r>
    </w:p>
    <w:p w14:paraId="20DA172D">
      <w:pPr>
        <w:pStyle w:val="5"/>
        <w:numPr>
          <w:ilvl w:val="0"/>
          <w:numId w:val="46"/>
        </w:numPr>
        <w:adjustRightInd w:val="0"/>
        <w:snapToGrid w:val="0"/>
        <w:spacing w:before="0" w:after="0" w:line="360" w:lineRule="auto"/>
        <w:jc w:val="left"/>
        <w:rPr>
          <w:rFonts w:ascii="楷体" w:hAnsi="楷体" w:eastAsia="楷体" w:cs="楷体"/>
          <w:sz w:val="24"/>
          <w:szCs w:val="24"/>
        </w:rPr>
      </w:pPr>
      <w:bookmarkStart w:id="262" w:name="_Toc5726"/>
      <w:bookmarkStart w:id="263" w:name="_Toc29992"/>
      <w:bookmarkStart w:id="264" w:name="_Toc29386"/>
      <w:bookmarkStart w:id="265" w:name="_Toc3659"/>
      <w:bookmarkStart w:id="266" w:name="_Toc613"/>
      <w:bookmarkStart w:id="267" w:name="_Toc23511"/>
      <w:bookmarkStart w:id="268" w:name="_Toc30198"/>
      <w:r>
        <w:rPr>
          <w:rFonts w:hint="eastAsia" w:ascii="楷体" w:hAnsi="楷体" w:eastAsia="楷体" w:cs="楷体"/>
          <w:sz w:val="24"/>
          <w:szCs w:val="24"/>
        </w:rPr>
        <w:t>评标流程</w:t>
      </w:r>
      <w:bookmarkEnd w:id="262"/>
      <w:bookmarkEnd w:id="263"/>
      <w:bookmarkEnd w:id="264"/>
      <w:bookmarkEnd w:id="265"/>
      <w:bookmarkEnd w:id="266"/>
      <w:bookmarkEnd w:id="267"/>
      <w:bookmarkEnd w:id="268"/>
    </w:p>
    <w:p w14:paraId="5500670B">
      <w:pPr>
        <w:numPr>
          <w:ilvl w:val="1"/>
          <w:numId w:val="4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投标文件初步审查</w:t>
      </w:r>
    </w:p>
    <w:p w14:paraId="7778CEFF">
      <w:pPr>
        <w:numPr>
          <w:ilvl w:val="1"/>
          <w:numId w:val="4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投标文件详细评审（商务评审、技术评审及价格评审）</w:t>
      </w:r>
    </w:p>
    <w:p w14:paraId="2A28AE0C">
      <w:pPr>
        <w:numPr>
          <w:ilvl w:val="1"/>
          <w:numId w:val="47"/>
        </w:numPr>
        <w:tabs>
          <w:tab w:val="left" w:pos="1220"/>
        </w:tabs>
        <w:adjustRightInd w:val="0"/>
        <w:snapToGrid w:val="0"/>
        <w:spacing w:line="360" w:lineRule="auto"/>
        <w:ind w:hanging="267"/>
        <w:rPr>
          <w:rFonts w:ascii="楷体" w:hAnsi="楷体" w:eastAsia="楷体" w:cs="楷体"/>
          <w:sz w:val="24"/>
          <w:lang w:val="zh-CN"/>
        </w:rPr>
      </w:pPr>
      <w:bookmarkStart w:id="269" w:name="JudgeBidwfDesc"/>
      <w:bookmarkEnd w:id="269"/>
      <w:r>
        <w:rPr>
          <w:rFonts w:hint="eastAsia" w:ascii="楷体" w:hAnsi="楷体" w:eastAsia="楷体" w:cs="楷体"/>
          <w:sz w:val="24"/>
          <w:lang w:val="zh-CN"/>
        </w:rPr>
        <w:t>综合评分汇总及中标推荐</w:t>
      </w:r>
    </w:p>
    <w:p w14:paraId="32706360">
      <w:pPr>
        <w:pStyle w:val="5"/>
        <w:numPr>
          <w:ilvl w:val="0"/>
          <w:numId w:val="46"/>
        </w:numPr>
        <w:adjustRightInd w:val="0"/>
        <w:snapToGrid w:val="0"/>
        <w:spacing w:before="0" w:after="0" w:line="360" w:lineRule="auto"/>
        <w:jc w:val="left"/>
        <w:rPr>
          <w:rFonts w:ascii="楷体" w:hAnsi="楷体" w:eastAsia="楷体" w:cs="楷体"/>
          <w:sz w:val="24"/>
          <w:szCs w:val="24"/>
          <w:lang w:val="zh-CN"/>
        </w:rPr>
      </w:pPr>
      <w:bookmarkStart w:id="270" w:name="_Toc332"/>
      <w:bookmarkStart w:id="271" w:name="_Toc29707"/>
      <w:bookmarkStart w:id="272" w:name="_Toc7167"/>
      <w:bookmarkStart w:id="273" w:name="_Toc24498"/>
      <w:bookmarkStart w:id="274" w:name="_Toc30393"/>
      <w:bookmarkStart w:id="275" w:name="_Toc29918"/>
      <w:bookmarkStart w:id="276" w:name="_Toc18958"/>
      <w:r>
        <w:rPr>
          <w:rFonts w:hint="eastAsia" w:ascii="楷体" w:hAnsi="楷体" w:eastAsia="楷体" w:cs="楷体"/>
          <w:sz w:val="24"/>
          <w:szCs w:val="24"/>
          <w:lang w:val="zh-CN"/>
        </w:rPr>
        <w:t>初步评审</w:t>
      </w:r>
      <w:bookmarkEnd w:id="270"/>
      <w:bookmarkEnd w:id="271"/>
      <w:bookmarkEnd w:id="272"/>
      <w:bookmarkEnd w:id="273"/>
      <w:bookmarkEnd w:id="274"/>
      <w:bookmarkEnd w:id="275"/>
      <w:bookmarkEnd w:id="276"/>
    </w:p>
    <w:p w14:paraId="15DF3317">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投标文件的初审即为资格及符合性审查。评标委员会根据《资格性审查及符合性审查表》（见附表</w:t>
      </w:r>
      <w:r>
        <w:rPr>
          <w:rFonts w:hint="eastAsia" w:ascii="楷体" w:hAnsi="楷体" w:eastAsia="楷体" w:cs="楷体"/>
          <w:sz w:val="24"/>
        </w:rPr>
        <w:t>1</w:t>
      </w:r>
      <w:r>
        <w:rPr>
          <w:rFonts w:hint="eastAsia" w:ascii="楷体" w:hAnsi="楷体" w:eastAsia="楷体" w:cs="楷体"/>
          <w:sz w:val="24"/>
          <w:lang w:val="zh-CN"/>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01868875">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4CFAD2EE">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14:paraId="4939076A">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投标处理。</w:t>
      </w:r>
    </w:p>
    <w:p w14:paraId="75AA477E">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对于投标文件中不构成实质性偏差的不正规、不一致或不规则，评标委员会可以接受，但这种接受不能损害或影响任何投标人的相对排序。</w:t>
      </w:r>
    </w:p>
    <w:p w14:paraId="5740FDC1">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69291608">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4EBB4602">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投标文件没有投标人加盖公章、投标人法定代表人或经其正式授权的代表签名或盖章的；</w:t>
      </w:r>
    </w:p>
    <w:p w14:paraId="4603219F">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投标文件未编制目录、未按顺序编制页码的；</w:t>
      </w:r>
    </w:p>
    <w:p w14:paraId="788959C7">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投标文件提供虚假材料的；</w:t>
      </w:r>
    </w:p>
    <w:p w14:paraId="71D059AC">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投标文件未完全满足招标文件带“★”号的条款或指标的；</w:t>
      </w:r>
    </w:p>
    <w:p w14:paraId="653FD1D3">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投标人没有按招标文件的要求提交相关证件、证明文件、合同和其他文件的原件、复印件或提交的原件与复印件不一致的；</w:t>
      </w:r>
    </w:p>
    <w:p w14:paraId="1D37DAA8">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投标人报价不确定或超过招标文件中列出的采购预算（最高限价）的；</w:t>
      </w:r>
    </w:p>
    <w:p w14:paraId="39318FD8">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投标人未按招标文件要求交纳投标保证金的；</w:t>
      </w:r>
    </w:p>
    <w:p w14:paraId="6835ACE5">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联合体投标未提交联合体各方共同投标协议的；</w:t>
      </w:r>
    </w:p>
    <w:p w14:paraId="12185720">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投标人投标报价低于企业的成本价的；</w:t>
      </w:r>
    </w:p>
    <w:p w14:paraId="75925C35">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评审期间，投标人没有按评标委员会的要求提交经授权代表签字的澄清、说明、补正或改变了投标文件的实质性内容的；</w:t>
      </w:r>
    </w:p>
    <w:p w14:paraId="5982563F">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投标人对招标人、评标委员会、招标代理机构及其工作人员施加影响，有碍公平、公正的；</w:t>
      </w:r>
    </w:p>
    <w:p w14:paraId="5D9F376A">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法律、法规和招标文件规定的其他无效情形。</w:t>
      </w:r>
    </w:p>
    <w:p w14:paraId="0BF284E2">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如发生下列情形之一的，本项目废标：</w:t>
      </w:r>
    </w:p>
    <w:p w14:paraId="0548B85D">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符合专业条件的供应商（服务商）或者对招标文件作实质响应的供应商（服务商）不足三家的；</w:t>
      </w:r>
    </w:p>
    <w:p w14:paraId="26B085AF">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出现影响采购公正的违法、违规行为的；</w:t>
      </w:r>
    </w:p>
    <w:p w14:paraId="589B794A">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投标人的报价均超过了采购预算，招标人不能支付的；</w:t>
      </w:r>
    </w:p>
    <w:p w14:paraId="5DE821F0">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因重大变故，采购任务取消的。</w:t>
      </w:r>
    </w:p>
    <w:p w14:paraId="4E16970B">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投标文件的澄清</w:t>
      </w:r>
    </w:p>
    <w:p w14:paraId="39BA708C">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sz w:val="24"/>
          <w:lang w:val="zh-CN"/>
        </w:rPr>
      </w:pPr>
      <w:r>
        <w:rPr>
          <w:rFonts w:hint="eastAsia" w:ascii="楷体" w:hAnsi="楷体" w:eastAsia="楷体" w:cs="楷体"/>
          <w:sz w:val="24"/>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62C27AD4">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sz w:val="24"/>
          <w:lang w:val="zh-CN"/>
        </w:rPr>
      </w:pPr>
      <w:r>
        <w:rPr>
          <w:rFonts w:hint="eastAsia" w:ascii="楷体" w:hAnsi="楷体" w:eastAsia="楷体" w:cs="楷体"/>
          <w:sz w:val="24"/>
          <w:lang w:val="zh-CN"/>
        </w:rPr>
        <w:t>投标人的澄清文件是其投标文件的组成部分。</w:t>
      </w:r>
    </w:p>
    <w:p w14:paraId="002D1F20">
      <w:pPr>
        <w:pStyle w:val="5"/>
        <w:numPr>
          <w:ilvl w:val="0"/>
          <w:numId w:val="46"/>
        </w:numPr>
        <w:adjustRightInd w:val="0"/>
        <w:snapToGrid w:val="0"/>
        <w:spacing w:before="0" w:after="0" w:line="360" w:lineRule="auto"/>
        <w:jc w:val="left"/>
        <w:rPr>
          <w:rFonts w:ascii="楷体" w:hAnsi="楷体" w:eastAsia="楷体" w:cs="楷体"/>
          <w:sz w:val="24"/>
          <w:szCs w:val="24"/>
          <w:lang w:val="zh-CN"/>
        </w:rPr>
      </w:pPr>
      <w:bookmarkStart w:id="277" w:name="_Toc13133"/>
      <w:bookmarkStart w:id="278" w:name="_Toc23079"/>
      <w:bookmarkStart w:id="279" w:name="_Toc26291"/>
      <w:bookmarkStart w:id="280" w:name="_Toc8047"/>
      <w:bookmarkStart w:id="281" w:name="_Toc25270"/>
      <w:bookmarkStart w:id="282" w:name="_Toc11343"/>
      <w:bookmarkStart w:id="283" w:name="_Toc152"/>
      <w:r>
        <w:rPr>
          <w:rFonts w:hint="eastAsia" w:ascii="楷体" w:hAnsi="楷体" w:eastAsia="楷体" w:cs="楷体"/>
          <w:sz w:val="24"/>
          <w:szCs w:val="24"/>
          <w:lang w:val="zh-CN"/>
        </w:rPr>
        <w:t>详细评审</w:t>
      </w:r>
      <w:bookmarkEnd w:id="277"/>
      <w:bookmarkEnd w:id="278"/>
      <w:bookmarkEnd w:id="279"/>
      <w:bookmarkEnd w:id="280"/>
      <w:bookmarkEnd w:id="281"/>
      <w:bookmarkEnd w:id="282"/>
      <w:bookmarkEnd w:id="283"/>
    </w:p>
    <w:p w14:paraId="1C870129">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详细评审是对通过初审的有效投标人进行技术和商务方面的评分。评分总值最高为100分，各分项的分值分配见附表</w:t>
      </w:r>
      <w:r>
        <w:rPr>
          <w:rFonts w:hint="eastAsia" w:ascii="楷体" w:hAnsi="楷体" w:eastAsia="楷体" w:cs="楷体"/>
          <w:sz w:val="24"/>
        </w:rPr>
        <w:t>2</w:t>
      </w:r>
      <w:r>
        <w:rPr>
          <w:rFonts w:hint="eastAsia" w:ascii="楷体" w:hAnsi="楷体" w:eastAsia="楷体" w:cs="楷体"/>
          <w:sz w:val="24"/>
          <w:lang w:val="zh-CN"/>
        </w:rPr>
        <w:t>。</w:t>
      </w:r>
    </w:p>
    <w:p w14:paraId="73B8A97A">
      <w:pPr>
        <w:numPr>
          <w:ilvl w:val="1"/>
          <w:numId w:val="52"/>
        </w:numPr>
        <w:tabs>
          <w:tab w:val="clear" w:pos="907"/>
        </w:tabs>
        <w:adjustRightInd w:val="0"/>
        <w:snapToGrid w:val="0"/>
        <w:spacing w:line="360" w:lineRule="auto"/>
        <w:ind w:left="1207" w:hanging="567"/>
        <w:rPr>
          <w:rFonts w:ascii="楷体" w:hAnsi="楷体" w:eastAsia="楷体" w:cs="楷体"/>
          <w:sz w:val="24"/>
          <w:shd w:val="clear" w:color="auto" w:fill="FFFFFF"/>
          <w:lang w:val="zh-CN"/>
        </w:rPr>
      </w:pPr>
      <w:r>
        <w:rPr>
          <w:rFonts w:hint="eastAsia" w:ascii="楷体" w:hAnsi="楷体" w:eastAsia="楷体" w:cs="楷体"/>
          <w:sz w:val="24"/>
          <w:shd w:val="clear" w:color="auto" w:fill="FFFFFF"/>
          <w:lang w:val="zh-CN"/>
        </w:rPr>
        <w:t>技术评审：见附表3</w:t>
      </w:r>
    </w:p>
    <w:p w14:paraId="638FC5E0">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shd w:val="clear" w:color="auto" w:fill="FFFFFF"/>
          <w:lang w:val="zh-CN"/>
        </w:rPr>
        <w:t>商务评审：见附表</w:t>
      </w:r>
      <w:r>
        <w:rPr>
          <w:rFonts w:hint="eastAsia" w:ascii="楷体" w:hAnsi="楷体" w:eastAsia="楷体" w:cs="楷体"/>
          <w:sz w:val="24"/>
          <w:shd w:val="clear" w:color="auto" w:fill="FFFFFF"/>
        </w:rPr>
        <w:t>4</w:t>
      </w:r>
    </w:p>
    <w:p w14:paraId="28B4D223">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价格</w:t>
      </w:r>
      <w:r>
        <w:rPr>
          <w:rFonts w:hint="eastAsia" w:ascii="楷体" w:hAnsi="楷体" w:eastAsia="楷体" w:cs="楷体"/>
          <w:sz w:val="24"/>
          <w:shd w:val="clear" w:color="auto" w:fill="FFFFFF"/>
          <w:lang w:val="zh-CN"/>
        </w:rPr>
        <w:t>评审：</w:t>
      </w:r>
      <w:r>
        <w:rPr>
          <w:rFonts w:hint="eastAsia" w:ascii="楷体" w:hAnsi="楷体" w:eastAsia="楷体" w:cs="楷体"/>
          <w:sz w:val="24"/>
          <w:lang w:val="zh-CN"/>
        </w:rPr>
        <w:t>评标委员会对各个有效投标人的投标报价进行校核、评审或作出必要的修正，并按价格评分办法计算其价格评分。</w:t>
      </w:r>
    </w:p>
    <w:p w14:paraId="2352AEE0">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投标报价的校核及对报价错误的处理与修正原则：评标委员会详细分析、核准供应商（服务商）价格表，检查其是否存在计算上或累加上的算术错误，并按以下原则进行修正：</w:t>
      </w:r>
    </w:p>
    <w:p w14:paraId="18B05570">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投标文件的大写金额与小写金额不一致的，以大写金额为准。</w:t>
      </w:r>
    </w:p>
    <w:p w14:paraId="02F53A1F">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总价金额与按单价汇总金额不一致的，以单价金额计算结果为准。</w:t>
      </w:r>
    </w:p>
    <w:p w14:paraId="3EC1B584">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单价金额小数点有明显错位的，以总价为准，并修改单价。</w:t>
      </w:r>
    </w:p>
    <w:p w14:paraId="007DC0EB">
      <w:pPr>
        <w:tabs>
          <w:tab w:val="left" w:pos="1134"/>
        </w:tabs>
        <w:adjustRightInd w:val="0"/>
        <w:snapToGrid w:val="0"/>
        <w:spacing w:line="360" w:lineRule="auto"/>
        <w:ind w:left="840"/>
        <w:rPr>
          <w:rFonts w:ascii="楷体" w:hAnsi="楷体" w:eastAsia="楷体" w:cs="楷体"/>
          <w:sz w:val="24"/>
        </w:rPr>
      </w:pPr>
      <w:r>
        <w:rPr>
          <w:rFonts w:hint="eastAsia" w:ascii="楷体" w:hAnsi="楷体" w:eastAsia="楷体" w:cs="楷体"/>
          <w:b/>
          <w:sz w:val="24"/>
        </w:rPr>
        <w:t>同时出现两种以上不一致的，按照上述规定的顺序修正。修正后的报价经投标人确认后产生约束力，投标人不确认的，其投标无效。</w:t>
      </w:r>
    </w:p>
    <w:p w14:paraId="54016EC0">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投标报价缺漏项的处理：对投标货物投标报价缺漏项的，评标委员会将以其他投标人对应项的最高投标报价补充计入其评标总价；若其中标，有关该内容的合同价格不予调整。</w:t>
      </w:r>
    </w:p>
    <w:p w14:paraId="0BBC5FFF">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评标价的确定：按上述条款校核修正后的价格为评标价。</w:t>
      </w:r>
    </w:p>
    <w:p w14:paraId="187AD3E4">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中标价的确定：中标价将根据投标人的报价及招标文件评标办法按照下述原则修正，但无论如何修正，中标价不能大于投标人的报价。</w:t>
      </w:r>
    </w:p>
    <w:p w14:paraId="01C9B9EA">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以投标报价总表中的投标总价大写表述为准；</w:t>
      </w:r>
    </w:p>
    <w:p w14:paraId="6B84CA04">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单价与数量之积与合价不一致时以小者为准；</w:t>
      </w:r>
    </w:p>
    <w:p w14:paraId="7E61C63C">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缺项、漏项时视为包含在其他项目中；</w:t>
      </w:r>
    </w:p>
    <w:p w14:paraId="1C959C02">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其他情况按照靠小不靠大的原则予以修正调整。</w:t>
      </w:r>
    </w:p>
    <w:p w14:paraId="43B0EF3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按照上述原则修正后的总价如果超出投标人的报价，则将中标价调整至投标人的报价；如果总价小于投标人的报价，则修正后的总价为中标价。</w:t>
      </w:r>
    </w:p>
    <w:p w14:paraId="3295546D">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计算价格评分：详见附表</w:t>
      </w:r>
      <w:r>
        <w:rPr>
          <w:rFonts w:hint="eastAsia" w:ascii="楷体" w:hAnsi="楷体" w:eastAsia="楷体" w:cs="楷体"/>
          <w:sz w:val="24"/>
        </w:rPr>
        <w:t>5</w:t>
      </w:r>
      <w:r>
        <w:rPr>
          <w:rFonts w:hint="eastAsia" w:ascii="楷体" w:hAnsi="楷体" w:eastAsia="楷体" w:cs="楷体"/>
          <w:sz w:val="24"/>
          <w:lang w:val="zh-CN"/>
        </w:rPr>
        <w:t>：价格评审</w:t>
      </w:r>
    </w:p>
    <w:p w14:paraId="715AC5AB">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评标总得分及其统计</w:t>
      </w:r>
    </w:p>
    <w:p w14:paraId="4224A8F3">
      <w:pPr>
        <w:numPr>
          <w:ilvl w:val="0"/>
          <w:numId w:val="56"/>
        </w:numPr>
        <w:tabs>
          <w:tab w:val="clear" w:pos="1077"/>
        </w:tabs>
        <w:adjustRightInd w:val="0"/>
        <w:snapToGrid w:val="0"/>
        <w:spacing w:line="360" w:lineRule="auto"/>
        <w:ind w:left="1297" w:hanging="657"/>
        <w:rPr>
          <w:rFonts w:ascii="楷体" w:hAnsi="楷体" w:eastAsia="楷体" w:cs="楷体"/>
          <w:sz w:val="24"/>
          <w:lang w:val="zh-CN"/>
        </w:rPr>
      </w:pPr>
      <w:r>
        <w:rPr>
          <w:rFonts w:hint="eastAsia" w:ascii="楷体" w:hAnsi="楷体" w:eastAsia="楷体" w:cs="楷体"/>
          <w:sz w:val="24"/>
          <w:lang w:val="zh-CN"/>
        </w:rPr>
        <w:t>按照评标程序、评分标准及权重分配的规定，评标委员会各成员分别就各个有效投标人的技术商务状况及其对招标文件要求的响应情况进行评分，将各评委评分的算术平均值作为该投标人的技术商务评分。然后，根据比价原则评出价格评分。将技术商务评分和价格评分相加得出评标总得分（评标总得分分值按四舍五入原则精确到小数点后两位数）。</w:t>
      </w:r>
    </w:p>
    <w:p w14:paraId="60BFEB87">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推荐意见</w:t>
      </w:r>
    </w:p>
    <w:p w14:paraId="6D326586">
      <w:pPr>
        <w:tabs>
          <w:tab w:val="left" w:pos="1220"/>
        </w:tabs>
        <w:adjustRightInd w:val="0"/>
        <w:snapToGrid w:val="0"/>
        <w:spacing w:line="360" w:lineRule="auto"/>
        <w:ind w:firstLine="480" w:firstLineChars="200"/>
        <w:rPr>
          <w:rFonts w:ascii="楷体" w:hAnsi="楷体" w:eastAsia="楷体" w:cs="楷体"/>
          <w:sz w:val="24"/>
          <w:lang w:val="zh-CN"/>
        </w:rPr>
      </w:pPr>
      <w:r>
        <w:rPr>
          <w:rFonts w:hint="eastAsia" w:ascii="楷体" w:hAnsi="楷体" w:eastAsia="楷体" w:cs="楷体"/>
          <w:sz w:val="24"/>
          <w:lang w:val="zh-CN"/>
        </w:rPr>
        <w:t>详见本招标文件第二章投标人须知第</w:t>
      </w:r>
      <w:r>
        <w:rPr>
          <w:rFonts w:hint="eastAsia" w:ascii="楷体" w:hAnsi="楷体" w:eastAsia="楷体" w:cs="楷体"/>
          <w:sz w:val="24"/>
        </w:rPr>
        <w:t>24款相关内容。</w:t>
      </w:r>
    </w:p>
    <w:p w14:paraId="3326955C">
      <w:pPr>
        <w:pStyle w:val="5"/>
        <w:numPr>
          <w:ilvl w:val="0"/>
          <w:numId w:val="46"/>
        </w:numPr>
        <w:adjustRightInd w:val="0"/>
        <w:snapToGrid w:val="0"/>
        <w:spacing w:before="0" w:after="0" w:line="360" w:lineRule="auto"/>
        <w:jc w:val="left"/>
        <w:rPr>
          <w:rFonts w:ascii="楷体" w:hAnsi="楷体" w:eastAsia="楷体" w:cs="楷体"/>
          <w:sz w:val="24"/>
          <w:szCs w:val="24"/>
          <w:lang w:val="zh-CN"/>
        </w:rPr>
      </w:pPr>
      <w:bookmarkStart w:id="284" w:name="_Toc17517"/>
      <w:bookmarkStart w:id="285" w:name="_Toc30220"/>
      <w:bookmarkStart w:id="286" w:name="_Toc25275"/>
      <w:bookmarkStart w:id="287" w:name="_Toc11968"/>
      <w:bookmarkStart w:id="288" w:name="_Toc9215"/>
      <w:bookmarkStart w:id="289" w:name="_Toc25704"/>
      <w:bookmarkStart w:id="290" w:name="_Toc12509"/>
      <w:r>
        <w:rPr>
          <w:rFonts w:hint="eastAsia" w:ascii="楷体" w:hAnsi="楷体" w:eastAsia="楷体" w:cs="楷体"/>
          <w:sz w:val="24"/>
          <w:szCs w:val="24"/>
          <w:lang w:val="zh-CN"/>
        </w:rPr>
        <w:t>附表</w:t>
      </w:r>
      <w:bookmarkEnd w:id="284"/>
      <w:bookmarkEnd w:id="285"/>
      <w:bookmarkEnd w:id="286"/>
      <w:bookmarkEnd w:id="287"/>
      <w:bookmarkEnd w:id="288"/>
      <w:bookmarkEnd w:id="289"/>
      <w:bookmarkEnd w:id="290"/>
    </w:p>
    <w:p w14:paraId="2B18B02A">
      <w:pPr>
        <w:numPr>
          <w:ilvl w:val="1"/>
          <w:numId w:val="57"/>
        </w:numPr>
        <w:tabs>
          <w:tab w:val="left" w:pos="1220"/>
        </w:tabs>
        <w:adjustRightInd w:val="0"/>
        <w:snapToGrid w:val="0"/>
        <w:spacing w:line="360" w:lineRule="auto"/>
        <w:ind w:hanging="267"/>
        <w:rPr>
          <w:rFonts w:ascii="楷体" w:hAnsi="楷体" w:eastAsia="楷体" w:cs="楷体"/>
          <w:sz w:val="24"/>
          <w:lang w:val="zh-CN"/>
        </w:rPr>
      </w:pPr>
      <w:bookmarkStart w:id="291" w:name="_Toc23661"/>
      <w:r>
        <w:rPr>
          <w:rFonts w:hint="eastAsia" w:ascii="楷体" w:hAnsi="楷体" w:eastAsia="楷体" w:cs="楷体"/>
          <w:sz w:val="24"/>
          <w:lang w:val="zh-CN"/>
        </w:rPr>
        <w:t>附表</w:t>
      </w:r>
      <w:r>
        <w:rPr>
          <w:rFonts w:hint="eastAsia" w:ascii="楷体" w:hAnsi="楷体" w:eastAsia="楷体" w:cs="楷体"/>
          <w:sz w:val="24"/>
        </w:rPr>
        <w:t>1：</w:t>
      </w:r>
      <w:r>
        <w:rPr>
          <w:rFonts w:hint="eastAsia" w:ascii="楷体" w:hAnsi="楷体" w:eastAsia="楷体" w:cs="楷体"/>
          <w:sz w:val="24"/>
          <w:lang w:val="zh-CN"/>
        </w:rPr>
        <w:t>资格性审查及符合性审查表</w:t>
      </w:r>
    </w:p>
    <w:p w14:paraId="3A782D04">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2：</w:t>
      </w:r>
      <w:r>
        <w:rPr>
          <w:rFonts w:hint="eastAsia" w:ascii="楷体" w:hAnsi="楷体" w:eastAsia="楷体" w:cs="楷体"/>
          <w:sz w:val="24"/>
          <w:lang w:val="zh-CN"/>
        </w:rPr>
        <w:t>商务技术及价格权重分配</w:t>
      </w:r>
    </w:p>
    <w:p w14:paraId="1C3B98EA">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3：</w:t>
      </w:r>
      <w:r>
        <w:rPr>
          <w:rFonts w:hint="eastAsia" w:ascii="楷体" w:hAnsi="楷体" w:eastAsia="楷体" w:cs="楷体"/>
          <w:sz w:val="24"/>
          <w:lang w:val="zh-CN"/>
        </w:rPr>
        <w:t>商务评审表</w:t>
      </w:r>
    </w:p>
    <w:p w14:paraId="62E3A2C3">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4：</w:t>
      </w:r>
      <w:r>
        <w:rPr>
          <w:rFonts w:hint="eastAsia" w:ascii="楷体" w:hAnsi="楷体" w:eastAsia="楷体" w:cs="楷体"/>
          <w:sz w:val="24"/>
          <w:lang w:val="zh-CN"/>
        </w:rPr>
        <w:t>技术评审表</w:t>
      </w:r>
    </w:p>
    <w:p w14:paraId="78E118CD">
      <w:pPr>
        <w:numPr>
          <w:ilvl w:val="1"/>
          <w:numId w:val="57"/>
        </w:numPr>
        <w:tabs>
          <w:tab w:val="left" w:pos="1220"/>
        </w:tabs>
        <w:adjustRightInd w:val="0"/>
        <w:snapToGrid w:val="0"/>
        <w:spacing w:line="360" w:lineRule="auto"/>
        <w:ind w:hanging="267"/>
        <w:rPr>
          <w:rFonts w:ascii="楷体" w:hAnsi="楷体" w:eastAsia="楷体" w:cs="楷体"/>
          <w:b/>
          <w:sz w:val="24"/>
        </w:rPr>
      </w:pPr>
      <w:r>
        <w:rPr>
          <w:rFonts w:hint="eastAsia" w:ascii="楷体" w:hAnsi="楷体" w:eastAsia="楷体" w:cs="楷体"/>
          <w:sz w:val="24"/>
          <w:lang w:val="zh-CN"/>
        </w:rPr>
        <w:t>附表</w:t>
      </w:r>
      <w:r>
        <w:rPr>
          <w:rFonts w:hint="eastAsia" w:ascii="楷体" w:hAnsi="楷体" w:eastAsia="楷体" w:cs="楷体"/>
          <w:sz w:val="24"/>
        </w:rPr>
        <w:t>5：</w:t>
      </w:r>
      <w:r>
        <w:rPr>
          <w:rFonts w:hint="eastAsia" w:ascii="楷体" w:hAnsi="楷体" w:eastAsia="楷体" w:cs="楷体"/>
          <w:sz w:val="24"/>
          <w:lang w:val="zh-CN"/>
        </w:rPr>
        <w:t>价格评审</w:t>
      </w:r>
      <w:r>
        <w:rPr>
          <w:rFonts w:hint="eastAsia" w:ascii="楷体" w:hAnsi="楷体" w:eastAsia="楷体" w:cs="楷体"/>
          <w:b/>
          <w:sz w:val="24"/>
        </w:rPr>
        <w:br w:type="page"/>
      </w:r>
      <w:r>
        <w:rPr>
          <w:rFonts w:hint="eastAsia" w:ascii="楷体" w:hAnsi="楷体" w:eastAsia="楷体" w:cs="楷体"/>
          <w:b/>
          <w:sz w:val="24"/>
        </w:rPr>
        <w:t>附表1：资格性审查及符合性审查表</w:t>
      </w:r>
      <w:bookmarkEnd w:id="29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7EF7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415E7029">
            <w:pPr>
              <w:jc w:val="center"/>
              <w:rPr>
                <w:rFonts w:ascii="楷体" w:hAnsi="楷体" w:eastAsia="楷体" w:cs="楷体"/>
                <w:b/>
                <w:sz w:val="24"/>
                <w:lang w:eastAsia="en-US"/>
              </w:rPr>
            </w:pPr>
            <w:r>
              <w:rPr>
                <w:rFonts w:hint="eastAsia" w:ascii="楷体" w:hAnsi="楷体" w:eastAsia="楷体" w:cs="楷体"/>
                <w:b/>
                <w:sz w:val="24"/>
                <w:lang w:eastAsia="en-US"/>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02DFD05A">
            <w:pPr>
              <w:jc w:val="center"/>
              <w:rPr>
                <w:rFonts w:ascii="楷体" w:hAnsi="楷体" w:eastAsia="楷体" w:cs="楷体"/>
                <w:b/>
                <w:sz w:val="24"/>
                <w:lang w:eastAsia="en-US"/>
              </w:rPr>
            </w:pPr>
            <w:r>
              <w:rPr>
                <w:rFonts w:hint="eastAsia" w:ascii="楷体" w:hAnsi="楷体" w:eastAsia="楷体" w:cs="楷体"/>
                <w:b/>
                <w:sz w:val="24"/>
                <w:lang w:eastAsia="en-US"/>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58C3CEFE">
            <w:pPr>
              <w:jc w:val="center"/>
              <w:rPr>
                <w:rFonts w:ascii="楷体" w:hAnsi="楷体" w:eastAsia="楷体" w:cs="楷体"/>
                <w:sz w:val="24"/>
                <w:lang w:eastAsia="en-US"/>
              </w:rPr>
            </w:pPr>
            <w:r>
              <w:rPr>
                <w:rFonts w:hint="eastAsia" w:ascii="楷体" w:hAnsi="楷体" w:eastAsia="楷体" w:cs="楷体"/>
                <w:b/>
                <w:sz w:val="24"/>
                <w:lang w:eastAsia="en-US"/>
              </w:rPr>
              <w:t>评审标准</w:t>
            </w:r>
          </w:p>
        </w:tc>
      </w:tr>
      <w:tr w14:paraId="0062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EBFDD8">
            <w:pPr>
              <w:jc w:val="center"/>
              <w:rPr>
                <w:rFonts w:ascii="楷体" w:hAnsi="楷体" w:eastAsia="楷体" w:cs="楷体"/>
                <w:sz w:val="24"/>
                <w:lang w:eastAsia="en-US"/>
              </w:rPr>
            </w:pPr>
            <w:r>
              <w:rPr>
                <w:rFonts w:hint="eastAsia" w:ascii="楷体" w:hAnsi="楷体" w:eastAsia="楷体" w:cs="楷体"/>
                <w:sz w:val="24"/>
                <w:lang w:eastAsia="en-US"/>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CAE59F">
            <w:pPr>
              <w:jc w:val="center"/>
              <w:rPr>
                <w:rFonts w:ascii="楷体" w:hAnsi="楷体" w:eastAsia="楷体" w:cs="楷体"/>
                <w:sz w:val="24"/>
                <w:lang w:eastAsia="en-US"/>
              </w:rPr>
            </w:pPr>
            <w:r>
              <w:rPr>
                <w:rFonts w:hint="eastAsia" w:ascii="楷体" w:hAnsi="楷体" w:eastAsia="楷体" w:cs="楷体"/>
                <w:sz w:val="24"/>
                <w:lang w:eastAsia="en-US"/>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27D36D2">
            <w:pPr>
              <w:jc w:val="center"/>
              <w:rPr>
                <w:rFonts w:ascii="楷体" w:hAnsi="楷体" w:eastAsia="楷体" w:cs="楷体"/>
                <w:sz w:val="24"/>
                <w:lang w:eastAsia="en-US"/>
              </w:rPr>
            </w:pPr>
            <w:r>
              <w:rPr>
                <w:rFonts w:hint="eastAsia" w:ascii="楷体" w:hAnsi="楷体" w:eastAsia="楷体" w:cs="楷体"/>
                <w:sz w:val="24"/>
                <w:lang w:eastAsia="en-US"/>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EAA9C81">
            <w:pPr>
              <w:jc w:val="left"/>
              <w:rPr>
                <w:rFonts w:ascii="楷体" w:hAnsi="楷体" w:eastAsia="楷体" w:cs="楷体"/>
                <w:sz w:val="24"/>
              </w:rPr>
            </w:pPr>
            <w:r>
              <w:rPr>
                <w:rFonts w:hint="eastAsia" w:ascii="楷体" w:hAnsi="楷体" w:eastAsia="楷体" w:cs="楷体"/>
                <w:sz w:val="24"/>
              </w:rPr>
              <w:t>详见投标邀请函中“供应商（服务商）资格”相应条款</w:t>
            </w:r>
          </w:p>
        </w:tc>
      </w:tr>
      <w:tr w14:paraId="57E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75174EBA">
            <w:pPr>
              <w:jc w:val="center"/>
              <w:rPr>
                <w:rFonts w:ascii="楷体" w:hAnsi="楷体" w:eastAsia="楷体" w:cs="楷体"/>
                <w:sz w:val="24"/>
                <w:lang w:eastAsia="en-US"/>
              </w:rPr>
            </w:pPr>
            <w:r>
              <w:rPr>
                <w:rFonts w:hint="eastAsia" w:ascii="楷体" w:hAnsi="楷体" w:eastAsia="楷体" w:cs="楷体"/>
                <w:sz w:val="24"/>
                <w:lang w:eastAsia="en-US"/>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24321F3A">
            <w:pPr>
              <w:jc w:val="center"/>
              <w:rPr>
                <w:rFonts w:ascii="楷体" w:hAnsi="楷体" w:eastAsia="楷体" w:cs="楷体"/>
                <w:sz w:val="24"/>
                <w:lang w:eastAsia="en-US"/>
              </w:rPr>
            </w:pPr>
            <w:r>
              <w:rPr>
                <w:rFonts w:hint="eastAsia" w:ascii="楷体" w:hAnsi="楷体" w:eastAsia="楷体" w:cs="楷体"/>
                <w:sz w:val="24"/>
                <w:lang w:eastAsia="en-US"/>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633D986">
            <w:pPr>
              <w:jc w:val="center"/>
              <w:rPr>
                <w:rFonts w:ascii="楷体" w:hAnsi="楷体" w:eastAsia="楷体" w:cs="楷体"/>
                <w:sz w:val="24"/>
                <w:lang w:eastAsia="en-US"/>
              </w:rPr>
            </w:pPr>
            <w:r>
              <w:rPr>
                <w:rFonts w:hint="eastAsia" w:ascii="楷体" w:hAnsi="楷体" w:eastAsia="楷体" w:cs="楷体"/>
                <w:sz w:val="24"/>
                <w:lang w:eastAsia="en-US"/>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F4CD606">
            <w:pPr>
              <w:jc w:val="left"/>
              <w:rPr>
                <w:rFonts w:ascii="楷体" w:hAnsi="楷体" w:eastAsia="楷体" w:cs="楷体"/>
                <w:sz w:val="24"/>
              </w:rPr>
            </w:pPr>
            <w:r>
              <w:rPr>
                <w:rFonts w:hint="eastAsia" w:ascii="楷体" w:hAnsi="楷体" w:eastAsia="楷体" w:cs="楷体"/>
                <w:sz w:val="24"/>
              </w:rPr>
              <w:t>按对应格式文件填写、签署、盖章</w:t>
            </w:r>
          </w:p>
        </w:tc>
      </w:tr>
      <w:tr w14:paraId="3DB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762871A">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557E5DF0">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5114C155">
            <w:pPr>
              <w:jc w:val="center"/>
              <w:rPr>
                <w:rFonts w:ascii="楷体" w:hAnsi="楷体" w:eastAsia="楷体" w:cs="楷体"/>
                <w:sz w:val="24"/>
              </w:rPr>
            </w:pPr>
            <w:r>
              <w:rPr>
                <w:rFonts w:hint="eastAsia" w:ascii="楷体" w:hAnsi="楷体" w:eastAsia="楷体" w:cs="楷体"/>
                <w:sz w:val="24"/>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567FB29">
            <w:pPr>
              <w:jc w:val="left"/>
              <w:rPr>
                <w:rFonts w:ascii="楷体" w:hAnsi="楷体" w:eastAsia="楷体" w:cs="楷体"/>
                <w:sz w:val="24"/>
              </w:rPr>
            </w:pPr>
            <w:r>
              <w:rPr>
                <w:rFonts w:hint="eastAsia" w:ascii="楷体" w:hAnsi="楷体" w:eastAsia="楷体" w:cs="楷体"/>
                <w:sz w:val="24"/>
              </w:rPr>
              <w:t>按对应格式文件签署、盖章</w:t>
            </w:r>
          </w:p>
        </w:tc>
      </w:tr>
      <w:tr w14:paraId="4E95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21D16D0">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2E79D16">
            <w:pPr>
              <w:jc w:val="center"/>
              <w:rPr>
                <w:rFonts w:ascii="楷体" w:hAnsi="楷体" w:eastAsia="楷体" w:cs="楷体"/>
                <w:sz w:val="24"/>
              </w:rPr>
            </w:pPr>
          </w:p>
        </w:tc>
        <w:tc>
          <w:tcPr>
            <w:tcW w:w="2209" w:type="dxa"/>
            <w:vMerge w:val="restart"/>
            <w:tcBorders>
              <w:top w:val="single" w:color="000000" w:sz="4" w:space="0"/>
              <w:left w:val="single" w:color="000000" w:sz="4" w:space="0"/>
              <w:right w:val="single" w:color="000000" w:sz="4" w:space="0"/>
            </w:tcBorders>
            <w:noWrap/>
            <w:vAlign w:val="center"/>
          </w:tcPr>
          <w:p w14:paraId="142C3809">
            <w:pPr>
              <w:jc w:val="center"/>
              <w:rPr>
                <w:rFonts w:ascii="楷体" w:hAnsi="楷体" w:eastAsia="楷体" w:cs="楷体"/>
                <w:sz w:val="24"/>
                <w:lang w:eastAsia="en-US"/>
              </w:rPr>
            </w:pPr>
            <w:r>
              <w:rPr>
                <w:rFonts w:hint="eastAsia" w:ascii="楷体" w:hAnsi="楷体" w:eastAsia="楷体" w:cs="楷体"/>
                <w:sz w:val="24"/>
                <w:lang w:eastAsia="en-US"/>
              </w:rPr>
              <w:t>报价要求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E51B781">
            <w:pPr>
              <w:jc w:val="left"/>
              <w:rPr>
                <w:rFonts w:ascii="楷体" w:hAnsi="楷体" w:eastAsia="楷体" w:cs="楷体"/>
                <w:sz w:val="24"/>
              </w:rPr>
            </w:pPr>
            <w:r>
              <w:rPr>
                <w:rFonts w:hint="eastAsia" w:ascii="楷体" w:hAnsi="楷体" w:eastAsia="楷体" w:cs="楷体"/>
                <w:sz w:val="24"/>
              </w:rPr>
              <w:t>投标报价是固定价且是唯一的，投标报价未超出最高限价。</w:t>
            </w:r>
          </w:p>
        </w:tc>
      </w:tr>
      <w:tr w14:paraId="0890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C93372D">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C971F22">
            <w:pPr>
              <w:jc w:val="center"/>
              <w:rPr>
                <w:rFonts w:ascii="楷体" w:hAnsi="楷体" w:eastAsia="楷体" w:cs="楷体"/>
                <w:sz w:val="24"/>
              </w:rPr>
            </w:pPr>
          </w:p>
        </w:tc>
        <w:tc>
          <w:tcPr>
            <w:tcW w:w="2209" w:type="dxa"/>
            <w:vMerge w:val="continue"/>
            <w:tcBorders>
              <w:left w:val="single" w:color="000000" w:sz="4" w:space="0"/>
              <w:right w:val="single" w:color="000000" w:sz="4" w:space="0"/>
            </w:tcBorders>
            <w:noWrap/>
            <w:vAlign w:val="center"/>
          </w:tcPr>
          <w:p w14:paraId="15E750F0">
            <w:pPr>
              <w:jc w:val="center"/>
              <w:rPr>
                <w:rFonts w:ascii="楷体" w:hAnsi="楷体" w:eastAsia="楷体" w:cs="楷体"/>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3F3E5B6">
            <w:pPr>
              <w:rPr>
                <w:rFonts w:ascii="楷体" w:hAnsi="楷体" w:eastAsia="楷体" w:cs="楷体"/>
                <w:sz w:val="24"/>
              </w:rPr>
            </w:pPr>
            <w:r>
              <w:rPr>
                <w:rFonts w:hint="eastAsia" w:ascii="楷体" w:hAnsi="楷体" w:eastAsia="楷体" w:cs="楷体"/>
                <w:sz w:val="24"/>
              </w:rPr>
              <w:t>投标人的报价明显低于其他通过符合性审查投标人的报价，评标委员会有权要求投标人在规定时间内提供书面说明或提供相关证明材料，否则视为无效投标。</w:t>
            </w:r>
          </w:p>
        </w:tc>
      </w:tr>
      <w:tr w14:paraId="0D8A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6FEEF56">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D559D09">
            <w:pPr>
              <w:jc w:val="center"/>
              <w:rPr>
                <w:rFonts w:ascii="楷体" w:hAnsi="楷体" w:eastAsia="楷体" w:cs="楷体"/>
                <w:sz w:val="24"/>
              </w:rPr>
            </w:pPr>
          </w:p>
        </w:tc>
        <w:tc>
          <w:tcPr>
            <w:tcW w:w="2209" w:type="dxa"/>
            <w:vMerge w:val="continue"/>
            <w:tcBorders>
              <w:left w:val="single" w:color="000000" w:sz="4" w:space="0"/>
              <w:bottom w:val="single" w:color="000000" w:sz="4" w:space="0"/>
              <w:right w:val="single" w:color="000000" w:sz="4" w:space="0"/>
            </w:tcBorders>
            <w:noWrap/>
            <w:vAlign w:val="center"/>
          </w:tcPr>
          <w:p w14:paraId="52EC777C">
            <w:pPr>
              <w:jc w:val="center"/>
              <w:rPr>
                <w:rFonts w:ascii="楷体" w:hAnsi="楷体" w:eastAsia="楷体" w:cs="楷体"/>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1C90757">
            <w:pPr>
              <w:jc w:val="left"/>
              <w:rPr>
                <w:rFonts w:ascii="楷体" w:hAnsi="楷体" w:eastAsia="楷体" w:cs="楷体"/>
                <w:sz w:val="24"/>
              </w:rPr>
            </w:pPr>
            <w:r>
              <w:rPr>
                <w:rFonts w:hint="eastAsia" w:ascii="楷体" w:hAnsi="楷体" w:eastAsia="楷体" w:cs="楷体"/>
                <w:sz w:val="24"/>
              </w:rPr>
              <w:t>招标文件不接受提交备选方案。</w:t>
            </w:r>
          </w:p>
        </w:tc>
      </w:tr>
      <w:tr w14:paraId="098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6799422C">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F2C5D45">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22047B41">
            <w:pPr>
              <w:jc w:val="center"/>
              <w:rPr>
                <w:rFonts w:ascii="楷体" w:hAnsi="楷体" w:eastAsia="楷体" w:cs="楷体"/>
                <w:sz w:val="24"/>
                <w:lang w:eastAsia="en-US"/>
              </w:rPr>
            </w:pPr>
            <w:r>
              <w:rPr>
                <w:rFonts w:hint="eastAsia" w:ascii="楷体" w:hAnsi="楷体" w:eastAsia="楷体" w:cs="楷体"/>
                <w:sz w:val="24"/>
                <w:lang w:eastAsia="en-US"/>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CAC3162">
            <w:pPr>
              <w:jc w:val="left"/>
              <w:rPr>
                <w:rFonts w:ascii="楷体" w:hAnsi="楷体" w:eastAsia="楷体" w:cs="楷体"/>
                <w:sz w:val="24"/>
              </w:rPr>
            </w:pPr>
            <w:r>
              <w:rPr>
                <w:rFonts w:hint="eastAsia" w:ascii="楷体" w:hAnsi="楷体" w:eastAsia="楷体" w:cs="楷体"/>
                <w:sz w:val="24"/>
              </w:rPr>
              <w:t>投标文件完整且编排有序，投标内容基本完整，无重大错漏，并按要求密封、签署、盖章。</w:t>
            </w:r>
          </w:p>
        </w:tc>
      </w:tr>
      <w:tr w14:paraId="4A4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2C88E4C3">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0BE5609">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726D0D43">
            <w:pPr>
              <w:jc w:val="center"/>
              <w:rPr>
                <w:rFonts w:ascii="楷体" w:hAnsi="楷体" w:eastAsia="楷体" w:cs="楷体"/>
                <w:sz w:val="24"/>
              </w:rPr>
            </w:pPr>
            <w:r>
              <w:rPr>
                <w:rFonts w:hint="eastAsia" w:ascii="楷体" w:hAnsi="楷体" w:eastAsia="楷体" w:cs="楷体"/>
                <w:sz w:val="24"/>
              </w:rPr>
              <w:t>服务期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78B6523">
            <w:pPr>
              <w:jc w:val="left"/>
              <w:rPr>
                <w:rFonts w:ascii="楷体" w:hAnsi="楷体" w:eastAsia="楷体" w:cs="楷体"/>
                <w:sz w:val="24"/>
                <w:lang w:eastAsia="en-US"/>
              </w:rPr>
            </w:pPr>
            <w:r>
              <w:rPr>
                <w:rFonts w:hint="eastAsia" w:ascii="楷体" w:hAnsi="楷体" w:eastAsia="楷体" w:cs="楷体"/>
                <w:sz w:val="24"/>
                <w:lang w:eastAsia="en-US"/>
              </w:rPr>
              <w:t>满足招标文件要求</w:t>
            </w:r>
          </w:p>
        </w:tc>
      </w:tr>
      <w:tr w14:paraId="3B50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0D081F1">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900DCB8">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680C49C1">
            <w:pPr>
              <w:jc w:val="center"/>
              <w:rPr>
                <w:rFonts w:ascii="楷体" w:hAnsi="楷体" w:eastAsia="楷体" w:cs="楷体"/>
                <w:sz w:val="24"/>
              </w:rPr>
            </w:pPr>
            <w:r>
              <w:rPr>
                <w:rFonts w:hint="eastAsia" w:ascii="楷体" w:hAnsi="楷体" w:eastAsia="楷体" w:cs="楷体"/>
                <w:sz w:val="24"/>
                <w:lang w:eastAsia="en-US"/>
              </w:rPr>
              <w:t>★</w:t>
            </w:r>
            <w:r>
              <w:rPr>
                <w:rFonts w:hint="eastAsia" w:ascii="楷体" w:hAnsi="楷体" w:eastAsia="楷体" w:cs="楷体"/>
                <w:sz w:val="24"/>
              </w:rPr>
              <w:t>号条款</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6E67303">
            <w:pPr>
              <w:jc w:val="left"/>
              <w:rPr>
                <w:rFonts w:ascii="楷体" w:hAnsi="楷体" w:eastAsia="楷体" w:cs="楷体"/>
                <w:sz w:val="24"/>
                <w:lang w:eastAsia="en-US"/>
              </w:rPr>
            </w:pPr>
            <w:r>
              <w:rPr>
                <w:rFonts w:hint="eastAsia" w:ascii="楷体" w:hAnsi="楷体" w:eastAsia="楷体" w:cs="楷体"/>
                <w:sz w:val="24"/>
                <w:lang w:eastAsia="en-US"/>
              </w:rPr>
              <w:t>满足招标文件要求</w:t>
            </w:r>
          </w:p>
        </w:tc>
      </w:tr>
      <w:tr w14:paraId="63E3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C97D5CB">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864B818">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66722DAF">
            <w:pPr>
              <w:jc w:val="center"/>
              <w:rPr>
                <w:rFonts w:ascii="楷体" w:hAnsi="楷体" w:eastAsia="楷体" w:cs="楷体"/>
                <w:sz w:val="24"/>
                <w:lang w:eastAsia="en-US"/>
              </w:rPr>
            </w:pPr>
            <w:r>
              <w:rPr>
                <w:rFonts w:hint="eastAsia" w:ascii="楷体" w:hAnsi="楷体" w:eastAsia="楷体" w:cs="楷体"/>
                <w:sz w:val="24"/>
                <w:lang w:eastAsia="en-US"/>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0753A47">
            <w:pPr>
              <w:jc w:val="left"/>
              <w:rPr>
                <w:rFonts w:ascii="楷体" w:hAnsi="楷体" w:eastAsia="楷体" w:cs="楷体"/>
                <w:sz w:val="24"/>
                <w:lang w:eastAsia="en-US"/>
              </w:rPr>
            </w:pPr>
            <w:r>
              <w:rPr>
                <w:rFonts w:hint="eastAsia" w:ascii="楷体" w:hAnsi="楷体" w:eastAsia="楷体" w:cs="楷体"/>
                <w:sz w:val="24"/>
                <w:lang w:eastAsia="en-US"/>
              </w:rPr>
              <w:t>投标截止日起90天</w:t>
            </w:r>
          </w:p>
        </w:tc>
      </w:tr>
      <w:tr w14:paraId="50D6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4D52BFA">
            <w:pPr>
              <w:jc w:val="center"/>
              <w:rPr>
                <w:rFonts w:ascii="楷体" w:hAnsi="楷体" w:eastAsia="楷体" w:cs="楷体"/>
                <w:sz w:val="24"/>
                <w:lang w:eastAsia="en-US"/>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0AB212E">
            <w:pPr>
              <w:jc w:val="center"/>
              <w:rPr>
                <w:rFonts w:ascii="楷体" w:hAnsi="楷体" w:eastAsia="楷体" w:cs="楷体"/>
                <w:sz w:val="24"/>
                <w:lang w:eastAsia="en-US"/>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7127BF2">
            <w:pPr>
              <w:jc w:val="center"/>
              <w:rPr>
                <w:rFonts w:ascii="楷体" w:hAnsi="楷体" w:eastAsia="楷体" w:cs="楷体"/>
                <w:sz w:val="24"/>
              </w:rPr>
            </w:pPr>
            <w:r>
              <w:rPr>
                <w:rFonts w:hint="eastAsia" w:ascii="楷体" w:hAnsi="楷体" w:eastAsia="楷体" w:cs="楷体"/>
                <w:sz w:val="24"/>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CCB96BF">
            <w:pPr>
              <w:jc w:val="left"/>
              <w:rPr>
                <w:rFonts w:ascii="楷体" w:hAnsi="楷体" w:eastAsia="楷体" w:cs="楷体"/>
                <w:sz w:val="24"/>
              </w:rPr>
            </w:pPr>
            <w:r>
              <w:rPr>
                <w:rFonts w:hint="eastAsia" w:ascii="楷体" w:hAnsi="楷体" w:eastAsia="楷体" w:cs="楷体"/>
                <w:sz w:val="24"/>
              </w:rPr>
              <w:t>已按招标文件要求提交招标代理服务费支付承诺书</w:t>
            </w:r>
          </w:p>
        </w:tc>
      </w:tr>
      <w:tr w14:paraId="7BC1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E716787">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5C29DA9B">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3409728">
            <w:pPr>
              <w:jc w:val="center"/>
              <w:rPr>
                <w:rFonts w:ascii="楷体" w:hAnsi="楷体" w:eastAsia="楷体" w:cs="楷体"/>
                <w:sz w:val="24"/>
                <w:lang w:eastAsia="en-US"/>
              </w:rPr>
            </w:pPr>
            <w:r>
              <w:rPr>
                <w:rFonts w:hint="eastAsia" w:ascii="楷体" w:hAnsi="楷体" w:eastAsia="楷体" w:cs="楷体"/>
                <w:sz w:val="24"/>
                <w:lang w:eastAsia="en-US"/>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FFA481E">
            <w:pPr>
              <w:jc w:val="left"/>
              <w:rPr>
                <w:rFonts w:ascii="楷体" w:hAnsi="楷体" w:eastAsia="楷体" w:cs="楷体"/>
                <w:sz w:val="24"/>
              </w:rPr>
            </w:pPr>
            <w:r>
              <w:rPr>
                <w:rFonts w:hint="eastAsia" w:ascii="楷体" w:hAnsi="楷体" w:eastAsia="楷体" w:cs="楷体"/>
                <w:sz w:val="24"/>
              </w:rPr>
              <w:t>没有出现法律、法规和招标文件规定的其他投标无效情形</w:t>
            </w:r>
          </w:p>
        </w:tc>
      </w:tr>
    </w:tbl>
    <w:p w14:paraId="4B113547">
      <w:pPr>
        <w:spacing w:line="360" w:lineRule="auto"/>
        <w:rPr>
          <w:rFonts w:ascii="楷体" w:hAnsi="楷体" w:eastAsia="楷体" w:cs="楷体"/>
          <w:sz w:val="24"/>
        </w:rPr>
      </w:pPr>
      <w:r>
        <w:rPr>
          <w:rFonts w:hint="eastAsia" w:ascii="楷体" w:hAnsi="楷体" w:eastAsia="楷体" w:cs="楷体"/>
          <w:sz w:val="24"/>
        </w:rPr>
        <w:t>备注：1、每一项符合的打“○”，不符合的打“×”。2、“结论”一栏填写“通过”或“不通过”；任何一项出现“×”的，结论为不通过。不通过的为无效投标。3、汇总时出现不同意见的，评标委员会按简单多数原则表决决定。</w:t>
      </w:r>
    </w:p>
    <w:p w14:paraId="110B3197">
      <w:pPr>
        <w:tabs>
          <w:tab w:val="left" w:pos="360"/>
          <w:tab w:val="left" w:pos="1030"/>
        </w:tabs>
        <w:spacing w:before="240" w:beforeLines="100" w:line="360" w:lineRule="auto"/>
        <w:rPr>
          <w:rFonts w:ascii="楷体" w:hAnsi="楷体" w:eastAsia="楷体" w:cs="楷体"/>
          <w:b/>
          <w:sz w:val="24"/>
        </w:rPr>
      </w:pPr>
      <w:r>
        <w:rPr>
          <w:rFonts w:hint="eastAsia" w:ascii="楷体" w:hAnsi="楷体" w:eastAsia="楷体" w:cs="楷体"/>
          <w:b/>
          <w:sz w:val="24"/>
        </w:rPr>
        <w:br w:type="page"/>
      </w:r>
      <w:bookmarkStart w:id="292" w:name="_Toc5954"/>
      <w:bookmarkStart w:id="293" w:name="_Toc10825"/>
      <w:r>
        <w:rPr>
          <w:rFonts w:hint="eastAsia" w:ascii="楷体" w:hAnsi="楷体" w:eastAsia="楷体" w:cs="楷体"/>
          <w:b/>
          <w:sz w:val="24"/>
        </w:rPr>
        <w:t>附表2：商务技术及价格分值分配</w:t>
      </w:r>
      <w:bookmarkEnd w:id="292"/>
      <w:bookmarkEnd w:id="293"/>
    </w:p>
    <w:tbl>
      <w:tblPr>
        <w:tblStyle w:val="44"/>
        <w:tblW w:w="83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66"/>
        <w:gridCol w:w="1781"/>
        <w:gridCol w:w="1892"/>
        <w:gridCol w:w="1272"/>
      </w:tblGrid>
      <w:tr w14:paraId="1C67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658" w:type="dxa"/>
            <w:shd w:val="clear" w:color="auto" w:fill="EAEAEA"/>
            <w:vAlign w:val="center"/>
          </w:tcPr>
          <w:p w14:paraId="21F3CC28">
            <w:pPr>
              <w:spacing w:before="72" w:after="72"/>
              <w:jc w:val="center"/>
              <w:rPr>
                <w:rFonts w:ascii="楷体" w:hAnsi="楷体" w:eastAsia="楷体" w:cs="楷体"/>
                <w:b/>
                <w:bCs/>
                <w:sz w:val="24"/>
              </w:rPr>
            </w:pPr>
            <w:bookmarkStart w:id="294" w:name="_Toc17151"/>
            <w:r>
              <w:rPr>
                <w:rFonts w:hint="eastAsia" w:ascii="楷体" w:hAnsi="楷体" w:eastAsia="楷体" w:cs="楷体"/>
                <w:b/>
                <w:bCs/>
                <w:sz w:val="24"/>
              </w:rPr>
              <w:t>评分项目</w:t>
            </w:r>
          </w:p>
        </w:tc>
        <w:tc>
          <w:tcPr>
            <w:tcW w:w="1766" w:type="dxa"/>
            <w:shd w:val="clear" w:color="auto" w:fill="EAEAEA"/>
            <w:vAlign w:val="center"/>
          </w:tcPr>
          <w:p w14:paraId="5CEF380B">
            <w:pPr>
              <w:spacing w:before="72" w:after="72"/>
              <w:jc w:val="center"/>
              <w:rPr>
                <w:rFonts w:ascii="楷体" w:hAnsi="楷体" w:eastAsia="楷体" w:cs="楷体"/>
                <w:b/>
                <w:bCs/>
                <w:sz w:val="24"/>
              </w:rPr>
            </w:pPr>
            <w:r>
              <w:rPr>
                <w:rFonts w:hint="eastAsia" w:ascii="楷体" w:hAnsi="楷体" w:eastAsia="楷体" w:cs="楷体"/>
                <w:b/>
                <w:bCs/>
                <w:sz w:val="24"/>
              </w:rPr>
              <w:t>商务</w:t>
            </w:r>
          </w:p>
        </w:tc>
        <w:tc>
          <w:tcPr>
            <w:tcW w:w="1781" w:type="dxa"/>
            <w:shd w:val="clear" w:color="auto" w:fill="EAEAEA"/>
            <w:vAlign w:val="center"/>
          </w:tcPr>
          <w:p w14:paraId="5D124CFD">
            <w:pPr>
              <w:spacing w:before="72" w:after="72"/>
              <w:jc w:val="center"/>
              <w:rPr>
                <w:rFonts w:ascii="楷体" w:hAnsi="楷体" w:eastAsia="楷体" w:cs="楷体"/>
                <w:b/>
                <w:bCs/>
                <w:sz w:val="24"/>
              </w:rPr>
            </w:pPr>
            <w:r>
              <w:rPr>
                <w:rFonts w:hint="eastAsia" w:ascii="楷体" w:hAnsi="楷体" w:eastAsia="楷体" w:cs="楷体"/>
                <w:b/>
                <w:bCs/>
                <w:sz w:val="24"/>
              </w:rPr>
              <w:t>技术</w:t>
            </w:r>
          </w:p>
        </w:tc>
        <w:tc>
          <w:tcPr>
            <w:tcW w:w="1892" w:type="dxa"/>
            <w:shd w:val="clear" w:color="auto" w:fill="EAEAEA"/>
            <w:vAlign w:val="center"/>
          </w:tcPr>
          <w:p w14:paraId="62446371">
            <w:pPr>
              <w:spacing w:before="72" w:after="72"/>
              <w:jc w:val="center"/>
              <w:rPr>
                <w:rFonts w:ascii="楷体" w:hAnsi="楷体" w:eastAsia="楷体" w:cs="楷体"/>
                <w:b/>
                <w:bCs/>
                <w:sz w:val="24"/>
              </w:rPr>
            </w:pPr>
            <w:r>
              <w:rPr>
                <w:rFonts w:hint="eastAsia" w:ascii="楷体" w:hAnsi="楷体" w:eastAsia="楷体" w:cs="楷体"/>
                <w:b/>
                <w:bCs/>
                <w:sz w:val="24"/>
              </w:rPr>
              <w:t>价格</w:t>
            </w:r>
          </w:p>
        </w:tc>
        <w:tc>
          <w:tcPr>
            <w:tcW w:w="1272" w:type="dxa"/>
            <w:shd w:val="clear" w:color="auto" w:fill="EAEAEA"/>
            <w:vAlign w:val="center"/>
          </w:tcPr>
          <w:p w14:paraId="07D78EF5">
            <w:pPr>
              <w:spacing w:before="72" w:after="72"/>
              <w:jc w:val="center"/>
              <w:rPr>
                <w:rFonts w:ascii="楷体" w:hAnsi="楷体" w:eastAsia="楷体" w:cs="楷体"/>
                <w:b/>
                <w:bCs/>
                <w:sz w:val="24"/>
              </w:rPr>
            </w:pPr>
            <w:r>
              <w:rPr>
                <w:rFonts w:hint="eastAsia" w:ascii="楷体" w:hAnsi="楷体" w:eastAsia="楷体" w:cs="楷体"/>
                <w:b/>
                <w:bCs/>
                <w:sz w:val="24"/>
              </w:rPr>
              <w:t>合计</w:t>
            </w:r>
          </w:p>
        </w:tc>
      </w:tr>
      <w:tr w14:paraId="3143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8" w:type="dxa"/>
            <w:vAlign w:val="center"/>
          </w:tcPr>
          <w:p w14:paraId="00667463">
            <w:pPr>
              <w:spacing w:before="72" w:after="72"/>
              <w:jc w:val="center"/>
              <w:rPr>
                <w:rFonts w:ascii="楷体" w:hAnsi="楷体" w:eastAsia="楷体" w:cs="楷体"/>
                <w:sz w:val="24"/>
              </w:rPr>
            </w:pPr>
            <w:r>
              <w:rPr>
                <w:rFonts w:hint="eastAsia" w:ascii="楷体" w:hAnsi="楷体" w:eastAsia="楷体" w:cs="楷体"/>
                <w:sz w:val="24"/>
              </w:rPr>
              <w:t>分值</w:t>
            </w:r>
          </w:p>
        </w:tc>
        <w:tc>
          <w:tcPr>
            <w:tcW w:w="1766" w:type="dxa"/>
            <w:vAlign w:val="center"/>
          </w:tcPr>
          <w:p w14:paraId="18170D8A">
            <w:pPr>
              <w:spacing w:before="72" w:after="72"/>
              <w:jc w:val="center"/>
              <w:rPr>
                <w:rFonts w:ascii="楷体" w:hAnsi="楷体" w:eastAsia="楷体" w:cs="楷体"/>
                <w:sz w:val="24"/>
              </w:rPr>
            </w:pPr>
            <w:r>
              <w:rPr>
                <w:rFonts w:hint="eastAsia" w:ascii="楷体" w:hAnsi="楷体" w:eastAsia="楷体" w:cs="楷体"/>
                <w:sz w:val="24"/>
              </w:rPr>
              <w:t>30分</w:t>
            </w:r>
          </w:p>
        </w:tc>
        <w:tc>
          <w:tcPr>
            <w:tcW w:w="1781" w:type="dxa"/>
            <w:vAlign w:val="center"/>
          </w:tcPr>
          <w:p w14:paraId="73FED28C">
            <w:pPr>
              <w:spacing w:before="72" w:after="72"/>
              <w:jc w:val="center"/>
              <w:rPr>
                <w:rFonts w:ascii="楷体" w:hAnsi="楷体" w:eastAsia="楷体" w:cs="楷体"/>
                <w:sz w:val="24"/>
              </w:rPr>
            </w:pPr>
            <w:r>
              <w:rPr>
                <w:rFonts w:hint="eastAsia" w:ascii="楷体" w:hAnsi="楷体" w:eastAsia="楷体" w:cs="楷体"/>
                <w:sz w:val="24"/>
              </w:rPr>
              <w:t>40分</w:t>
            </w:r>
          </w:p>
        </w:tc>
        <w:tc>
          <w:tcPr>
            <w:tcW w:w="1892" w:type="dxa"/>
            <w:vAlign w:val="center"/>
          </w:tcPr>
          <w:p w14:paraId="335916C0">
            <w:pPr>
              <w:spacing w:before="72" w:after="72"/>
              <w:jc w:val="center"/>
              <w:rPr>
                <w:rFonts w:ascii="楷体" w:hAnsi="楷体" w:eastAsia="楷体" w:cs="楷体"/>
                <w:sz w:val="24"/>
              </w:rPr>
            </w:pPr>
            <w:r>
              <w:rPr>
                <w:rFonts w:ascii="楷体" w:hAnsi="楷体" w:eastAsia="楷体" w:cs="楷体"/>
                <w:sz w:val="24"/>
              </w:rPr>
              <w:t>3</w:t>
            </w:r>
            <w:r>
              <w:rPr>
                <w:rFonts w:hint="eastAsia" w:ascii="楷体" w:hAnsi="楷体" w:eastAsia="楷体" w:cs="楷体"/>
                <w:sz w:val="24"/>
              </w:rPr>
              <w:t>0分</w:t>
            </w:r>
          </w:p>
        </w:tc>
        <w:tc>
          <w:tcPr>
            <w:tcW w:w="1272" w:type="dxa"/>
            <w:vAlign w:val="center"/>
          </w:tcPr>
          <w:p w14:paraId="35DFE849">
            <w:pPr>
              <w:spacing w:before="72" w:after="72"/>
              <w:jc w:val="center"/>
              <w:rPr>
                <w:rFonts w:ascii="楷体" w:hAnsi="楷体" w:eastAsia="楷体" w:cs="楷体"/>
                <w:sz w:val="24"/>
              </w:rPr>
            </w:pPr>
            <w:r>
              <w:rPr>
                <w:rFonts w:hint="eastAsia" w:ascii="楷体" w:hAnsi="楷体" w:eastAsia="楷体" w:cs="楷体"/>
                <w:sz w:val="24"/>
              </w:rPr>
              <w:t>100分</w:t>
            </w:r>
          </w:p>
        </w:tc>
      </w:tr>
    </w:tbl>
    <w:p w14:paraId="3393EAA9">
      <w:pPr>
        <w:tabs>
          <w:tab w:val="left" w:pos="360"/>
          <w:tab w:val="left" w:pos="1030"/>
        </w:tabs>
        <w:spacing w:before="120" w:line="360" w:lineRule="auto"/>
        <w:rPr>
          <w:rFonts w:ascii="楷体" w:hAnsi="楷体" w:eastAsia="楷体" w:cs="楷体"/>
          <w:b/>
          <w:sz w:val="24"/>
        </w:rPr>
      </w:pPr>
      <w:bookmarkStart w:id="295" w:name="_Toc32753"/>
      <w:r>
        <w:rPr>
          <w:rFonts w:hint="eastAsia" w:ascii="楷体" w:hAnsi="楷体" w:eastAsia="楷体" w:cs="楷体"/>
          <w:b/>
          <w:sz w:val="24"/>
        </w:rPr>
        <w:t>附表3：</w:t>
      </w:r>
      <w:bookmarkEnd w:id="294"/>
      <w:r>
        <w:rPr>
          <w:rFonts w:hint="eastAsia" w:ascii="楷体" w:hAnsi="楷体" w:eastAsia="楷体" w:cs="楷体"/>
          <w:b/>
          <w:sz w:val="24"/>
        </w:rPr>
        <w:t>商务评审表</w:t>
      </w:r>
      <w:bookmarkEnd w:id="295"/>
    </w:p>
    <w:tbl>
      <w:tblPr>
        <w:tblStyle w:val="44"/>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88"/>
        <w:gridCol w:w="5501"/>
        <w:gridCol w:w="838"/>
      </w:tblGrid>
      <w:tr w14:paraId="76F5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 w:type="pct"/>
            <w:shd w:val="clear" w:color="auto" w:fill="EAEAEA"/>
            <w:vAlign w:val="center"/>
          </w:tcPr>
          <w:p w14:paraId="74D36216">
            <w:pPr>
              <w:widowControl/>
              <w:jc w:val="center"/>
              <w:rPr>
                <w:rFonts w:ascii="楷体" w:hAnsi="楷体" w:eastAsia="楷体" w:cs="楷体"/>
                <w:b/>
                <w:bCs/>
                <w:kern w:val="0"/>
                <w:sz w:val="24"/>
              </w:rPr>
            </w:pPr>
            <w:r>
              <w:rPr>
                <w:rFonts w:hint="eastAsia" w:ascii="楷体" w:hAnsi="楷体" w:eastAsia="楷体" w:cs="楷体"/>
                <w:b/>
                <w:bCs/>
                <w:kern w:val="0"/>
                <w:sz w:val="24"/>
              </w:rPr>
              <w:t>序号</w:t>
            </w:r>
          </w:p>
        </w:tc>
        <w:tc>
          <w:tcPr>
            <w:tcW w:w="719" w:type="pct"/>
            <w:shd w:val="clear" w:color="auto" w:fill="EAEAEA"/>
            <w:vAlign w:val="center"/>
          </w:tcPr>
          <w:p w14:paraId="65763C19">
            <w:pPr>
              <w:widowControl/>
              <w:jc w:val="center"/>
              <w:rPr>
                <w:rFonts w:ascii="楷体" w:hAnsi="楷体" w:eastAsia="楷体" w:cs="楷体"/>
                <w:b/>
                <w:bCs/>
                <w:kern w:val="0"/>
                <w:sz w:val="24"/>
              </w:rPr>
            </w:pPr>
            <w:r>
              <w:rPr>
                <w:rFonts w:hint="eastAsia" w:ascii="楷体" w:hAnsi="楷体" w:eastAsia="楷体" w:cs="楷体"/>
                <w:b/>
                <w:bCs/>
                <w:kern w:val="0"/>
                <w:sz w:val="24"/>
              </w:rPr>
              <w:t>评审因素</w:t>
            </w:r>
          </w:p>
        </w:tc>
        <w:tc>
          <w:tcPr>
            <w:tcW w:w="3328" w:type="pct"/>
            <w:shd w:val="clear" w:color="auto" w:fill="EAEAEA"/>
            <w:vAlign w:val="center"/>
          </w:tcPr>
          <w:p w14:paraId="05979FE6">
            <w:pPr>
              <w:widowControl/>
              <w:jc w:val="center"/>
              <w:rPr>
                <w:rFonts w:ascii="楷体" w:hAnsi="楷体" w:eastAsia="楷体" w:cs="楷体"/>
                <w:b/>
                <w:bCs/>
                <w:kern w:val="0"/>
                <w:sz w:val="24"/>
              </w:rPr>
            </w:pPr>
            <w:r>
              <w:rPr>
                <w:rFonts w:hint="eastAsia" w:ascii="楷体" w:hAnsi="楷体" w:eastAsia="楷体" w:cs="楷体"/>
                <w:b/>
                <w:bCs/>
                <w:kern w:val="0"/>
                <w:sz w:val="24"/>
              </w:rPr>
              <w:t>评分标准</w:t>
            </w:r>
          </w:p>
        </w:tc>
        <w:tc>
          <w:tcPr>
            <w:tcW w:w="507" w:type="pct"/>
            <w:shd w:val="clear" w:color="auto" w:fill="EAEAEA"/>
            <w:vAlign w:val="center"/>
          </w:tcPr>
          <w:p w14:paraId="3E5939FC">
            <w:pPr>
              <w:widowControl/>
              <w:jc w:val="center"/>
              <w:rPr>
                <w:rFonts w:ascii="楷体" w:hAnsi="楷体" w:eastAsia="楷体" w:cs="楷体"/>
                <w:b/>
                <w:bCs/>
                <w:kern w:val="0"/>
                <w:sz w:val="24"/>
              </w:rPr>
            </w:pPr>
            <w:r>
              <w:rPr>
                <w:rFonts w:hint="eastAsia" w:ascii="楷体" w:hAnsi="楷体" w:eastAsia="楷体" w:cs="楷体"/>
                <w:b/>
                <w:bCs/>
                <w:kern w:val="0"/>
                <w:sz w:val="24"/>
              </w:rPr>
              <w:t>最高</w:t>
            </w:r>
          </w:p>
          <w:p w14:paraId="5D2ABE2D">
            <w:pPr>
              <w:widowControl/>
              <w:jc w:val="center"/>
              <w:rPr>
                <w:rFonts w:ascii="楷体" w:hAnsi="楷体" w:eastAsia="楷体" w:cs="楷体"/>
                <w:b/>
                <w:bCs/>
                <w:kern w:val="0"/>
                <w:sz w:val="24"/>
              </w:rPr>
            </w:pPr>
            <w:r>
              <w:rPr>
                <w:rFonts w:hint="eastAsia" w:ascii="楷体" w:hAnsi="楷体" w:eastAsia="楷体" w:cs="楷体"/>
                <w:b/>
                <w:bCs/>
                <w:kern w:val="0"/>
                <w:sz w:val="24"/>
              </w:rPr>
              <w:t>分值</w:t>
            </w:r>
          </w:p>
        </w:tc>
      </w:tr>
      <w:tr w14:paraId="1EE1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 w:type="pct"/>
            <w:vAlign w:val="center"/>
          </w:tcPr>
          <w:p w14:paraId="19C0B1C7">
            <w:pPr>
              <w:snapToGrid w:val="0"/>
              <w:jc w:val="center"/>
              <w:rPr>
                <w:rFonts w:ascii="楷体" w:hAnsi="楷体" w:eastAsia="楷体" w:cs="楷体"/>
                <w:kern w:val="0"/>
                <w:sz w:val="24"/>
              </w:rPr>
            </w:pPr>
            <w:r>
              <w:rPr>
                <w:rFonts w:hint="eastAsia" w:ascii="楷体" w:hAnsi="楷体" w:eastAsia="楷体" w:cs="楷体"/>
                <w:bCs/>
                <w:color w:val="000000"/>
                <w:sz w:val="24"/>
              </w:rPr>
              <w:t>1</w:t>
            </w:r>
          </w:p>
        </w:tc>
        <w:tc>
          <w:tcPr>
            <w:tcW w:w="719" w:type="pct"/>
            <w:vAlign w:val="center"/>
          </w:tcPr>
          <w:p w14:paraId="2FC2B651">
            <w:pPr>
              <w:snapToGrid w:val="0"/>
              <w:jc w:val="center"/>
              <w:rPr>
                <w:rFonts w:ascii="楷体" w:hAnsi="楷体" w:eastAsia="楷体" w:cs="楷体"/>
                <w:kern w:val="0"/>
                <w:sz w:val="24"/>
              </w:rPr>
            </w:pPr>
            <w:r>
              <w:rPr>
                <w:rFonts w:hint="eastAsia" w:ascii="楷体" w:hAnsi="楷体" w:eastAsia="楷体" w:cs="楷体"/>
                <w:bCs/>
                <w:color w:val="000000"/>
                <w:sz w:val="24"/>
              </w:rPr>
              <w:t>同类项目业绩</w:t>
            </w:r>
          </w:p>
        </w:tc>
        <w:tc>
          <w:tcPr>
            <w:tcW w:w="3328" w:type="pct"/>
            <w:vAlign w:val="center"/>
          </w:tcPr>
          <w:p w14:paraId="6CE0A7AB">
            <w:pPr>
              <w:snapToGrid w:val="0"/>
              <w:rPr>
                <w:rFonts w:ascii="楷体" w:hAnsi="楷体" w:eastAsia="楷体" w:cs="楷体"/>
                <w:bCs/>
                <w:sz w:val="24"/>
              </w:rPr>
            </w:pPr>
            <w:r>
              <w:rPr>
                <w:rFonts w:hint="eastAsia" w:ascii="楷体" w:hAnsi="楷体" w:eastAsia="楷体" w:cs="楷体"/>
                <w:bCs/>
                <w:sz w:val="24"/>
              </w:rPr>
              <w:t>投标人具有2022年1月1日至今（以合同签订时间为准）同类项目业绩的，每有1个得1分，最高得10分。</w:t>
            </w:r>
          </w:p>
          <w:p w14:paraId="766D095B">
            <w:pPr>
              <w:snapToGrid w:val="0"/>
              <w:rPr>
                <w:rFonts w:ascii="楷体" w:hAnsi="楷体" w:eastAsia="楷体" w:cs="楷体"/>
                <w:bCs/>
                <w:sz w:val="24"/>
              </w:rPr>
            </w:pPr>
            <w:r>
              <w:rPr>
                <w:rFonts w:hint="eastAsia" w:ascii="楷体" w:hAnsi="楷体" w:eastAsia="楷体" w:cs="楷体"/>
                <w:bCs/>
                <w:sz w:val="24"/>
              </w:rPr>
              <w:t>注：需提供合同关键页（含签订合同双方的单位名称、合同项目名称、签订合同双方的落款盖章、签订日期的关键页）加盖投标人公章为证明文件，不提供不得分。</w:t>
            </w:r>
          </w:p>
        </w:tc>
        <w:tc>
          <w:tcPr>
            <w:tcW w:w="507" w:type="pct"/>
            <w:vAlign w:val="center"/>
          </w:tcPr>
          <w:p w14:paraId="25B7B501">
            <w:pPr>
              <w:snapToGrid w:val="0"/>
              <w:jc w:val="center"/>
              <w:rPr>
                <w:rFonts w:ascii="楷体" w:hAnsi="楷体" w:eastAsia="楷体" w:cs="楷体"/>
                <w:b/>
                <w:bCs/>
                <w:kern w:val="0"/>
                <w:sz w:val="24"/>
              </w:rPr>
            </w:pPr>
            <w:r>
              <w:rPr>
                <w:rFonts w:hint="eastAsia" w:ascii="楷体" w:hAnsi="楷体" w:eastAsia="楷体" w:cs="楷体"/>
                <w:bCs/>
                <w:color w:val="000000"/>
                <w:sz w:val="24"/>
              </w:rPr>
              <w:t>10</w:t>
            </w:r>
          </w:p>
        </w:tc>
      </w:tr>
      <w:tr w14:paraId="21DD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44" w:type="pct"/>
            <w:vAlign w:val="center"/>
          </w:tcPr>
          <w:p w14:paraId="2C0E8227">
            <w:pPr>
              <w:snapToGrid w:val="0"/>
              <w:jc w:val="center"/>
              <w:rPr>
                <w:rFonts w:ascii="楷体" w:hAnsi="楷体" w:eastAsia="楷体" w:cs="楷体"/>
                <w:bCs/>
                <w:color w:val="000000"/>
                <w:sz w:val="24"/>
              </w:rPr>
            </w:pPr>
            <w:r>
              <w:rPr>
                <w:rFonts w:hint="eastAsia" w:ascii="楷体" w:hAnsi="楷体" w:eastAsia="楷体" w:cs="楷体"/>
                <w:bCs/>
                <w:color w:val="000000"/>
                <w:sz w:val="24"/>
              </w:rPr>
              <w:t>2</w:t>
            </w:r>
          </w:p>
        </w:tc>
        <w:tc>
          <w:tcPr>
            <w:tcW w:w="719" w:type="pct"/>
            <w:vAlign w:val="center"/>
          </w:tcPr>
          <w:p w14:paraId="2CDFAC31">
            <w:pPr>
              <w:snapToGrid w:val="0"/>
              <w:jc w:val="center"/>
              <w:rPr>
                <w:rFonts w:ascii="楷体" w:hAnsi="楷体" w:eastAsia="楷体" w:cs="楷体"/>
                <w:bCs/>
                <w:color w:val="000000"/>
                <w:sz w:val="24"/>
              </w:rPr>
            </w:pPr>
            <w:r>
              <w:rPr>
                <w:rFonts w:hint="eastAsia" w:ascii="楷体" w:hAnsi="楷体" w:eastAsia="楷体" w:cs="楷体"/>
                <w:bCs/>
                <w:color w:val="000000"/>
                <w:sz w:val="24"/>
              </w:rPr>
              <w:t>用户需求响应程度</w:t>
            </w:r>
          </w:p>
        </w:tc>
        <w:tc>
          <w:tcPr>
            <w:tcW w:w="3328" w:type="pct"/>
            <w:vAlign w:val="center"/>
          </w:tcPr>
          <w:p w14:paraId="657F93C4">
            <w:pPr>
              <w:ind w:right="-141" w:rightChars="-67"/>
              <w:jc w:val="left"/>
              <w:rPr>
                <w:rFonts w:ascii="楷体" w:hAnsi="楷体" w:eastAsia="楷体"/>
                <w:sz w:val="24"/>
              </w:rPr>
            </w:pPr>
            <w:r>
              <w:rPr>
                <w:rFonts w:hint="eastAsia" w:ascii="楷体" w:hAnsi="楷体" w:eastAsia="楷体"/>
                <w:sz w:val="24"/>
              </w:rPr>
              <w:t>对用户需求书响应程度进行评审：</w:t>
            </w:r>
          </w:p>
          <w:p w14:paraId="190927B6">
            <w:pPr>
              <w:snapToGrid w:val="0"/>
              <w:rPr>
                <w:rFonts w:ascii="楷体" w:hAnsi="楷体" w:eastAsia="楷体"/>
                <w:sz w:val="24"/>
              </w:rPr>
            </w:pPr>
            <w:r>
              <w:rPr>
                <w:rFonts w:hint="eastAsia" w:ascii="楷体" w:hAnsi="楷体" w:eastAsia="楷体"/>
                <w:sz w:val="24"/>
              </w:rPr>
              <w:t>完全满足或优于用户需求书要求的，得5分；每不满足一项或无响应或不提供不得分。</w:t>
            </w:r>
          </w:p>
          <w:p w14:paraId="40207991">
            <w:pPr>
              <w:snapToGrid w:val="0"/>
              <w:rPr>
                <w:rFonts w:ascii="楷体" w:hAnsi="楷体" w:eastAsia="楷体"/>
                <w:sz w:val="24"/>
              </w:rPr>
            </w:pPr>
            <w:r>
              <w:rPr>
                <w:rFonts w:hint="eastAsia" w:ascii="楷体" w:hAnsi="楷体" w:eastAsia="楷体"/>
                <w:sz w:val="24"/>
              </w:rPr>
              <w:t>注：如用户需求中有明确提供的证明资料，则以用户需求中要求的为准，无或未按要求提供证明材料的不得分；如用户需求中无明确证明材料的，以投标人投标文件中的《用户需求响应表》中的响应情况填写内容为准，未填写或内容不满足的视为负偏离。</w:t>
            </w:r>
          </w:p>
        </w:tc>
        <w:tc>
          <w:tcPr>
            <w:tcW w:w="507" w:type="pct"/>
            <w:vAlign w:val="center"/>
          </w:tcPr>
          <w:p w14:paraId="4BF68B23">
            <w:pPr>
              <w:snapToGrid w:val="0"/>
              <w:jc w:val="center"/>
              <w:rPr>
                <w:rFonts w:ascii="楷体" w:hAnsi="楷体" w:eastAsia="楷体" w:cs="楷体"/>
                <w:bCs/>
                <w:color w:val="000000"/>
                <w:sz w:val="24"/>
              </w:rPr>
            </w:pPr>
            <w:r>
              <w:rPr>
                <w:rFonts w:hint="eastAsia" w:ascii="楷体" w:hAnsi="楷体" w:eastAsia="楷体" w:cs="楷体"/>
                <w:bCs/>
                <w:color w:val="000000"/>
                <w:sz w:val="24"/>
              </w:rPr>
              <w:t>5</w:t>
            </w:r>
          </w:p>
        </w:tc>
      </w:tr>
      <w:tr w14:paraId="2790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44" w:type="pct"/>
            <w:vAlign w:val="center"/>
          </w:tcPr>
          <w:p w14:paraId="64E069A4">
            <w:pPr>
              <w:snapToGrid w:val="0"/>
              <w:jc w:val="center"/>
              <w:rPr>
                <w:rFonts w:ascii="楷体" w:hAnsi="楷体" w:eastAsia="楷体" w:cs="楷体"/>
                <w:bCs/>
                <w:color w:val="000000"/>
                <w:sz w:val="24"/>
              </w:rPr>
            </w:pPr>
            <w:r>
              <w:rPr>
                <w:rFonts w:hint="eastAsia" w:ascii="楷体" w:hAnsi="楷体" w:eastAsia="楷体" w:cs="楷体"/>
                <w:bCs/>
                <w:color w:val="000000"/>
                <w:sz w:val="24"/>
              </w:rPr>
              <w:t>3</w:t>
            </w:r>
          </w:p>
        </w:tc>
        <w:tc>
          <w:tcPr>
            <w:tcW w:w="719" w:type="pct"/>
            <w:vAlign w:val="center"/>
          </w:tcPr>
          <w:p w14:paraId="4310207E">
            <w:pPr>
              <w:snapToGrid w:val="0"/>
              <w:jc w:val="center"/>
              <w:rPr>
                <w:rFonts w:ascii="楷体" w:hAnsi="楷体" w:eastAsia="楷体" w:cs="楷体"/>
                <w:bCs/>
                <w:color w:val="000000"/>
                <w:sz w:val="24"/>
              </w:rPr>
            </w:pPr>
            <w:r>
              <w:rPr>
                <w:rFonts w:hint="eastAsia" w:ascii="楷体" w:hAnsi="楷体" w:eastAsia="楷体" w:cs="楷体"/>
                <w:bCs/>
                <w:color w:val="000000"/>
                <w:sz w:val="24"/>
              </w:rPr>
              <w:t>项目负责人</w:t>
            </w:r>
          </w:p>
        </w:tc>
        <w:tc>
          <w:tcPr>
            <w:tcW w:w="3328" w:type="pct"/>
            <w:vAlign w:val="center"/>
          </w:tcPr>
          <w:p w14:paraId="236FADB5">
            <w:pPr>
              <w:snapToGrid w:val="0"/>
              <w:rPr>
                <w:rFonts w:ascii="楷体" w:hAnsi="楷体" w:eastAsia="楷体" w:cs="楷体"/>
                <w:color w:val="000000"/>
                <w:sz w:val="24"/>
              </w:rPr>
            </w:pPr>
            <w:r>
              <w:rPr>
                <w:rFonts w:hint="eastAsia" w:ascii="楷体" w:hAnsi="楷体" w:eastAsia="楷体" w:cs="楷体"/>
                <w:color w:val="000000"/>
                <w:sz w:val="24"/>
              </w:rPr>
              <w:t>具有园林绿化类或者保洁类中级或以上职称或职业技能证书的，得5分，</w:t>
            </w:r>
            <w:r>
              <w:rPr>
                <w:rFonts w:hint="eastAsia" w:ascii="楷体" w:hAnsi="楷体" w:eastAsia="楷体" w:cs="楷体"/>
                <w:color w:val="000000"/>
                <w:sz w:val="24"/>
                <w:lang w:eastAsia="zh-CN"/>
              </w:rPr>
              <w:t>不提供不得分，</w:t>
            </w:r>
            <w:r>
              <w:rPr>
                <w:rFonts w:hint="eastAsia" w:ascii="楷体" w:hAnsi="楷体" w:eastAsia="楷体" w:cs="楷体"/>
                <w:color w:val="000000"/>
                <w:sz w:val="24"/>
              </w:rPr>
              <w:t>本项最高得5分。</w:t>
            </w:r>
          </w:p>
          <w:p w14:paraId="0CB9E218">
            <w:pPr>
              <w:snapToGrid w:val="0"/>
              <w:rPr>
                <w:rFonts w:ascii="楷体" w:hAnsi="楷体" w:eastAsia="楷体" w:cs="楷体"/>
                <w:color w:val="000000"/>
                <w:sz w:val="24"/>
              </w:rPr>
            </w:pPr>
            <w:r>
              <w:rPr>
                <w:rFonts w:hint="eastAsia" w:ascii="楷体" w:hAnsi="楷体" w:eastAsia="楷体" w:cs="楷体"/>
                <w:color w:val="000000"/>
                <w:sz w:val="24"/>
              </w:rPr>
              <w:t>注：需提供相关证书复印件及投标截止时间前六个月内任意一个月供应商为其缴纳社保证明材料复印件，不提供或提供不全不得分。</w:t>
            </w:r>
          </w:p>
        </w:tc>
        <w:tc>
          <w:tcPr>
            <w:tcW w:w="507" w:type="pct"/>
            <w:vAlign w:val="center"/>
          </w:tcPr>
          <w:p w14:paraId="5BA8FA6F">
            <w:pPr>
              <w:snapToGrid w:val="0"/>
              <w:jc w:val="center"/>
              <w:rPr>
                <w:rFonts w:ascii="楷体" w:hAnsi="楷体" w:eastAsia="楷体" w:cs="楷体"/>
                <w:bCs/>
                <w:color w:val="000000"/>
                <w:sz w:val="24"/>
              </w:rPr>
            </w:pPr>
            <w:r>
              <w:rPr>
                <w:rFonts w:hint="eastAsia" w:ascii="楷体" w:hAnsi="楷体" w:eastAsia="楷体" w:cs="楷体"/>
                <w:bCs/>
                <w:color w:val="000000"/>
                <w:sz w:val="24"/>
              </w:rPr>
              <w:t>5</w:t>
            </w:r>
          </w:p>
        </w:tc>
      </w:tr>
      <w:tr w14:paraId="6796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44" w:type="pct"/>
            <w:vAlign w:val="center"/>
          </w:tcPr>
          <w:p w14:paraId="5614D492">
            <w:pPr>
              <w:snapToGrid w:val="0"/>
              <w:jc w:val="center"/>
              <w:rPr>
                <w:rFonts w:ascii="楷体" w:hAnsi="楷体" w:eastAsia="楷体" w:cs="楷体"/>
                <w:bCs/>
                <w:color w:val="000000"/>
                <w:sz w:val="24"/>
              </w:rPr>
            </w:pPr>
            <w:r>
              <w:rPr>
                <w:rFonts w:hint="eastAsia" w:ascii="楷体" w:hAnsi="楷体" w:eastAsia="楷体" w:cs="楷体"/>
                <w:bCs/>
                <w:color w:val="000000"/>
                <w:sz w:val="24"/>
              </w:rPr>
              <w:t>4</w:t>
            </w:r>
          </w:p>
        </w:tc>
        <w:tc>
          <w:tcPr>
            <w:tcW w:w="719" w:type="pct"/>
            <w:vAlign w:val="center"/>
          </w:tcPr>
          <w:p w14:paraId="7F557C6C">
            <w:pPr>
              <w:snapToGrid w:val="0"/>
              <w:jc w:val="center"/>
              <w:rPr>
                <w:rFonts w:ascii="楷体" w:hAnsi="楷体" w:eastAsia="楷体" w:cs="楷体"/>
                <w:bCs/>
                <w:color w:val="000000"/>
                <w:sz w:val="24"/>
              </w:rPr>
            </w:pPr>
            <w:r>
              <w:rPr>
                <w:rFonts w:hint="eastAsia" w:ascii="楷体" w:hAnsi="楷体" w:eastAsia="楷体" w:cs="楷体"/>
                <w:bCs/>
                <w:color w:val="000000"/>
                <w:sz w:val="24"/>
              </w:rPr>
              <w:t>拟投入服务人员（项目负责人除外）</w:t>
            </w:r>
          </w:p>
        </w:tc>
        <w:tc>
          <w:tcPr>
            <w:tcW w:w="3328" w:type="pct"/>
            <w:vAlign w:val="center"/>
          </w:tcPr>
          <w:p w14:paraId="312D35F1">
            <w:pPr>
              <w:snapToGrid w:val="0"/>
              <w:rPr>
                <w:rFonts w:ascii="楷体" w:hAnsi="楷体" w:eastAsia="楷体" w:cs="楷体"/>
                <w:color w:val="000000"/>
                <w:sz w:val="24"/>
              </w:rPr>
            </w:pPr>
            <w:r>
              <w:rPr>
                <w:rFonts w:hint="eastAsia" w:ascii="楷体" w:hAnsi="楷体" w:eastAsia="楷体" w:cs="楷体"/>
                <w:color w:val="000000"/>
                <w:sz w:val="24"/>
              </w:rPr>
              <w:t>投标人</w:t>
            </w:r>
            <w:r>
              <w:rPr>
                <w:rFonts w:ascii="楷体" w:hAnsi="楷体" w:eastAsia="楷体" w:cs="楷体"/>
                <w:color w:val="000000"/>
                <w:sz w:val="24"/>
              </w:rPr>
              <w:t>拟为本项目投入服务人员</w:t>
            </w:r>
            <w:r>
              <w:rPr>
                <w:rFonts w:hint="eastAsia" w:ascii="楷体" w:hAnsi="楷体" w:eastAsia="楷体" w:cs="楷体"/>
                <w:bCs/>
                <w:color w:val="000000"/>
                <w:sz w:val="24"/>
              </w:rPr>
              <w:t>（项目负责人除外）</w:t>
            </w:r>
            <w:r>
              <w:rPr>
                <w:rFonts w:ascii="楷体" w:hAnsi="楷体" w:eastAsia="楷体" w:cs="楷体"/>
                <w:color w:val="000000"/>
                <w:sz w:val="24"/>
              </w:rPr>
              <w:t>：</w:t>
            </w:r>
          </w:p>
          <w:p w14:paraId="7F31948F">
            <w:pPr>
              <w:numPr>
                <w:ilvl w:val="0"/>
                <w:numId w:val="58"/>
              </w:numPr>
              <w:snapToGrid w:val="0"/>
              <w:rPr>
                <w:rFonts w:ascii="楷体" w:hAnsi="楷体" w:eastAsia="楷体" w:cs="楷体"/>
                <w:color w:val="000000"/>
                <w:sz w:val="24"/>
              </w:rPr>
            </w:pPr>
            <w:r>
              <w:rPr>
                <w:rFonts w:ascii="楷体" w:hAnsi="楷体" w:eastAsia="楷体" w:cs="楷体"/>
                <w:color w:val="000000"/>
                <w:sz w:val="24"/>
              </w:rPr>
              <w:t>具备绿化工证</w:t>
            </w:r>
            <w:r>
              <w:rPr>
                <w:rFonts w:hint="eastAsia" w:ascii="楷体" w:hAnsi="楷体" w:eastAsia="楷体" w:cs="楷体"/>
                <w:color w:val="000000"/>
                <w:sz w:val="24"/>
              </w:rPr>
              <w:t>书</w:t>
            </w:r>
            <w:r>
              <w:rPr>
                <w:rFonts w:ascii="楷体" w:hAnsi="楷体" w:eastAsia="楷体" w:cs="楷体"/>
                <w:color w:val="000000"/>
                <w:sz w:val="24"/>
              </w:rPr>
              <w:t>的，每提供一个得2</w:t>
            </w:r>
            <w:r>
              <w:rPr>
                <w:rFonts w:hint="eastAsia" w:ascii="楷体" w:hAnsi="楷体" w:eastAsia="楷体" w:cs="楷体"/>
                <w:color w:val="000000"/>
                <w:sz w:val="24"/>
              </w:rPr>
              <w:t>.5</w:t>
            </w:r>
            <w:r>
              <w:rPr>
                <w:rFonts w:ascii="楷体" w:hAnsi="楷体" w:eastAsia="楷体" w:cs="楷体"/>
                <w:color w:val="000000"/>
                <w:sz w:val="24"/>
              </w:rPr>
              <w:t>分，本小项最高</w:t>
            </w:r>
            <w:r>
              <w:rPr>
                <w:rFonts w:hint="eastAsia" w:ascii="楷体" w:hAnsi="楷体" w:eastAsia="楷体" w:cs="楷体"/>
                <w:color w:val="000000"/>
                <w:sz w:val="24"/>
              </w:rPr>
              <w:t>得5</w:t>
            </w:r>
            <w:r>
              <w:rPr>
                <w:rFonts w:ascii="楷体" w:hAnsi="楷体" w:eastAsia="楷体" w:cs="楷体"/>
                <w:color w:val="000000"/>
                <w:sz w:val="24"/>
              </w:rPr>
              <w:t>分</w:t>
            </w:r>
            <w:r>
              <w:rPr>
                <w:rFonts w:hint="eastAsia" w:ascii="楷体" w:hAnsi="楷体" w:eastAsia="楷体" w:cs="楷体"/>
                <w:color w:val="000000"/>
                <w:sz w:val="24"/>
              </w:rPr>
              <w:t>；</w:t>
            </w:r>
          </w:p>
          <w:p w14:paraId="7EE0F74F">
            <w:pPr>
              <w:numPr>
                <w:ilvl w:val="0"/>
                <w:numId w:val="58"/>
              </w:numPr>
              <w:snapToGrid w:val="0"/>
              <w:rPr>
                <w:rFonts w:ascii="楷体" w:hAnsi="楷体" w:eastAsia="楷体" w:cs="楷体"/>
                <w:color w:val="000000"/>
                <w:sz w:val="24"/>
              </w:rPr>
            </w:pPr>
            <w:r>
              <w:rPr>
                <w:rFonts w:hint="eastAsia" w:ascii="楷体" w:hAnsi="楷体" w:eastAsia="楷体" w:cs="楷体"/>
                <w:color w:val="000000"/>
                <w:sz w:val="24"/>
              </w:rPr>
              <w:t>具备保洁员证书的，</w:t>
            </w:r>
            <w:r>
              <w:rPr>
                <w:rFonts w:ascii="楷体" w:hAnsi="楷体" w:eastAsia="楷体" w:cs="楷体"/>
                <w:color w:val="000000"/>
                <w:sz w:val="24"/>
              </w:rPr>
              <w:t>每提供一个得2</w:t>
            </w:r>
            <w:r>
              <w:rPr>
                <w:rFonts w:hint="eastAsia" w:ascii="楷体" w:hAnsi="楷体" w:eastAsia="楷体" w:cs="楷体"/>
                <w:color w:val="000000"/>
                <w:sz w:val="24"/>
              </w:rPr>
              <w:t>.5</w:t>
            </w:r>
            <w:r>
              <w:rPr>
                <w:rFonts w:ascii="楷体" w:hAnsi="楷体" w:eastAsia="楷体" w:cs="楷体"/>
                <w:color w:val="000000"/>
                <w:sz w:val="24"/>
              </w:rPr>
              <w:t>分，本小项最高</w:t>
            </w:r>
            <w:r>
              <w:rPr>
                <w:rFonts w:hint="eastAsia" w:ascii="楷体" w:hAnsi="楷体" w:eastAsia="楷体" w:cs="楷体"/>
                <w:color w:val="000000"/>
                <w:sz w:val="24"/>
              </w:rPr>
              <w:t>得5</w:t>
            </w:r>
            <w:r>
              <w:rPr>
                <w:rFonts w:ascii="楷体" w:hAnsi="楷体" w:eastAsia="楷体" w:cs="楷体"/>
                <w:color w:val="000000"/>
                <w:sz w:val="24"/>
              </w:rPr>
              <w:t>分</w:t>
            </w:r>
            <w:r>
              <w:rPr>
                <w:rFonts w:hint="eastAsia" w:ascii="楷体" w:hAnsi="楷体" w:eastAsia="楷体" w:cs="楷体"/>
                <w:color w:val="000000"/>
                <w:sz w:val="24"/>
              </w:rPr>
              <w:t>。</w:t>
            </w:r>
          </w:p>
          <w:p w14:paraId="7E0ACCD5">
            <w:pPr>
              <w:snapToGrid w:val="0"/>
              <w:rPr>
                <w:rFonts w:ascii="楷体" w:hAnsi="楷体" w:eastAsia="楷体" w:cs="楷体"/>
                <w:color w:val="000000"/>
                <w:sz w:val="24"/>
              </w:rPr>
            </w:pPr>
            <w:r>
              <w:rPr>
                <w:rFonts w:hint="eastAsia" w:ascii="楷体" w:hAnsi="楷体" w:eastAsia="楷体" w:cs="楷体"/>
                <w:color w:val="000000"/>
                <w:sz w:val="24"/>
              </w:rPr>
              <w:t>本项最高得10分。</w:t>
            </w:r>
          </w:p>
          <w:p w14:paraId="78FF62E5">
            <w:pPr>
              <w:snapToGrid w:val="0"/>
              <w:rPr>
                <w:rFonts w:ascii="楷体" w:hAnsi="楷体" w:cs="楷体"/>
                <w:color w:val="000000"/>
                <w:sz w:val="24"/>
              </w:rPr>
            </w:pPr>
            <w:r>
              <w:rPr>
                <w:rFonts w:hint="eastAsia" w:ascii="楷体" w:hAnsi="楷体" w:eastAsia="楷体" w:cs="楷体"/>
                <w:color w:val="000000"/>
                <w:sz w:val="24"/>
              </w:rPr>
              <w:t>注：需提供相关证书复印件及投标截止时间前六个月内任意一个月供应商为其缴纳社保证明材料复印件，不提供或提供不全不得分。同一人具有多项证书，不可累计计算。</w:t>
            </w:r>
          </w:p>
        </w:tc>
        <w:tc>
          <w:tcPr>
            <w:tcW w:w="507" w:type="pct"/>
            <w:vAlign w:val="center"/>
          </w:tcPr>
          <w:p w14:paraId="10A206C8">
            <w:pPr>
              <w:snapToGrid w:val="0"/>
              <w:jc w:val="center"/>
              <w:rPr>
                <w:rFonts w:ascii="楷体" w:hAnsi="楷体" w:eastAsia="楷体" w:cs="楷体"/>
                <w:bCs/>
                <w:color w:val="000000"/>
                <w:sz w:val="24"/>
              </w:rPr>
            </w:pPr>
            <w:r>
              <w:rPr>
                <w:rFonts w:hint="eastAsia" w:ascii="楷体" w:hAnsi="楷体" w:eastAsia="楷体" w:cs="楷体"/>
                <w:bCs/>
                <w:color w:val="000000"/>
                <w:sz w:val="24"/>
              </w:rPr>
              <w:t>10</w:t>
            </w:r>
          </w:p>
        </w:tc>
      </w:tr>
      <w:tr w14:paraId="697F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2" w:type="pct"/>
            <w:gridSpan w:val="3"/>
            <w:shd w:val="clear" w:color="auto" w:fill="EAEAEA"/>
            <w:vAlign w:val="center"/>
          </w:tcPr>
          <w:p w14:paraId="05FDADDB">
            <w:pPr>
              <w:widowControl/>
              <w:jc w:val="center"/>
              <w:rPr>
                <w:rFonts w:ascii="楷体" w:hAnsi="楷体" w:eastAsia="楷体" w:cs="楷体"/>
                <w:b/>
                <w:bCs/>
                <w:kern w:val="0"/>
                <w:sz w:val="24"/>
              </w:rPr>
            </w:pPr>
            <w:r>
              <w:rPr>
                <w:rFonts w:hint="eastAsia" w:ascii="楷体" w:hAnsi="楷体" w:eastAsia="楷体" w:cs="楷体"/>
                <w:b/>
                <w:bCs/>
                <w:kern w:val="0"/>
                <w:sz w:val="24"/>
              </w:rPr>
              <w:t>合计</w:t>
            </w:r>
          </w:p>
        </w:tc>
        <w:tc>
          <w:tcPr>
            <w:tcW w:w="507" w:type="pct"/>
            <w:shd w:val="clear" w:color="auto" w:fill="EAEAEA"/>
            <w:vAlign w:val="center"/>
          </w:tcPr>
          <w:p w14:paraId="3DD8EF0F">
            <w:pPr>
              <w:widowControl/>
              <w:jc w:val="center"/>
              <w:rPr>
                <w:rFonts w:ascii="楷体" w:hAnsi="楷体" w:eastAsia="楷体" w:cs="楷体"/>
                <w:b/>
                <w:bCs/>
                <w:kern w:val="0"/>
                <w:sz w:val="24"/>
              </w:rPr>
            </w:pPr>
            <w:r>
              <w:rPr>
                <w:rFonts w:hint="eastAsia" w:ascii="楷体" w:hAnsi="楷体" w:eastAsia="楷体" w:cs="楷体"/>
                <w:b/>
                <w:bCs/>
                <w:kern w:val="0"/>
                <w:sz w:val="24"/>
              </w:rPr>
              <w:t>30</w:t>
            </w:r>
            <w:r>
              <w:rPr>
                <w:rFonts w:hint="eastAsia" w:ascii="楷体" w:hAnsi="楷体" w:eastAsia="楷体" w:cs="楷体"/>
                <w:b/>
                <w:kern w:val="0"/>
                <w:sz w:val="24"/>
              </w:rPr>
              <w:t>分</w:t>
            </w:r>
          </w:p>
        </w:tc>
      </w:tr>
    </w:tbl>
    <w:p w14:paraId="1A653EEF">
      <w:pPr>
        <w:spacing w:line="360" w:lineRule="exact"/>
        <w:ind w:firstLine="480" w:firstLineChars="200"/>
        <w:rPr>
          <w:rFonts w:ascii="楷体" w:hAnsi="楷体" w:eastAsia="楷体" w:cs="楷体"/>
          <w:sz w:val="24"/>
        </w:rPr>
      </w:pPr>
      <w:r>
        <w:rPr>
          <w:rFonts w:hint="eastAsia" w:ascii="楷体" w:hAnsi="楷体" w:eastAsia="楷体" w:cs="楷体"/>
          <w:sz w:val="24"/>
        </w:rPr>
        <w:t>备注：上表中要求提供佐证材料的，投标人必须提供，否则</w:t>
      </w:r>
      <w:r>
        <w:rPr>
          <w:rFonts w:hint="eastAsia" w:ascii="楷体" w:hAnsi="楷体" w:eastAsia="楷体" w:cs="楷体"/>
          <w:sz w:val="24"/>
          <w:lang w:eastAsia="zh-CN"/>
        </w:rPr>
        <w:t>该项</w:t>
      </w:r>
      <w:r>
        <w:rPr>
          <w:rFonts w:hint="eastAsia" w:ascii="楷体" w:hAnsi="楷体" w:eastAsia="楷体" w:cs="楷体"/>
          <w:sz w:val="24"/>
        </w:rPr>
        <w:t>计0分。（得分四舍五入后，小数点后保留两位有效数）</w:t>
      </w:r>
    </w:p>
    <w:p w14:paraId="394CD054">
      <w:pPr>
        <w:tabs>
          <w:tab w:val="left" w:pos="360"/>
          <w:tab w:val="left" w:pos="1030"/>
        </w:tabs>
        <w:spacing w:before="120" w:line="360" w:lineRule="auto"/>
        <w:rPr>
          <w:rFonts w:ascii="楷体" w:hAnsi="楷体" w:eastAsia="楷体" w:cs="楷体"/>
        </w:rPr>
      </w:pPr>
      <w:bookmarkStart w:id="296" w:name="_Toc22061"/>
      <w:r>
        <w:rPr>
          <w:rFonts w:hint="eastAsia" w:ascii="楷体" w:hAnsi="楷体" w:eastAsia="楷体" w:cs="楷体"/>
          <w:b/>
          <w:sz w:val="24"/>
        </w:rPr>
        <w:br w:type="page"/>
      </w:r>
      <w:bookmarkStart w:id="297" w:name="_Toc14338"/>
      <w:r>
        <w:rPr>
          <w:rFonts w:hint="eastAsia" w:ascii="楷体" w:hAnsi="楷体" w:eastAsia="楷体" w:cs="楷体"/>
          <w:b/>
          <w:sz w:val="24"/>
        </w:rPr>
        <w:t>附表4：技术评审表</w:t>
      </w:r>
      <w:bookmarkEnd w:id="297"/>
    </w:p>
    <w:tbl>
      <w:tblPr>
        <w:tblStyle w:val="4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567"/>
        <w:gridCol w:w="5700"/>
        <w:gridCol w:w="956"/>
      </w:tblGrid>
      <w:tr w14:paraId="7FC8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0C8D0198">
            <w:pPr>
              <w:widowControl/>
              <w:jc w:val="center"/>
              <w:rPr>
                <w:rFonts w:ascii="楷体" w:hAnsi="楷体" w:eastAsia="楷体" w:cs="楷体"/>
                <w:b/>
                <w:bCs/>
                <w:kern w:val="0"/>
                <w:sz w:val="24"/>
              </w:rPr>
            </w:pPr>
            <w:r>
              <w:rPr>
                <w:rFonts w:hint="eastAsia" w:ascii="楷体" w:hAnsi="楷体" w:eastAsia="楷体" w:cs="楷体"/>
                <w:b/>
                <w:bCs/>
                <w:kern w:val="0"/>
                <w:sz w:val="24"/>
              </w:rPr>
              <w:t>序号</w:t>
            </w:r>
          </w:p>
        </w:tc>
        <w:tc>
          <w:tcPr>
            <w:tcW w:w="1567" w:type="dxa"/>
            <w:shd w:val="clear" w:color="auto" w:fill="EAEAEA"/>
            <w:vAlign w:val="center"/>
          </w:tcPr>
          <w:p w14:paraId="3904493B">
            <w:pPr>
              <w:widowControl/>
              <w:jc w:val="center"/>
              <w:rPr>
                <w:rFonts w:ascii="楷体" w:hAnsi="楷体" w:eastAsia="楷体" w:cs="楷体"/>
                <w:b/>
                <w:bCs/>
                <w:kern w:val="0"/>
                <w:sz w:val="24"/>
              </w:rPr>
            </w:pPr>
            <w:r>
              <w:rPr>
                <w:rFonts w:hint="eastAsia" w:ascii="楷体" w:hAnsi="楷体" w:eastAsia="楷体" w:cs="楷体"/>
                <w:b/>
                <w:bCs/>
                <w:kern w:val="0"/>
                <w:sz w:val="24"/>
              </w:rPr>
              <w:t>评审因素</w:t>
            </w:r>
          </w:p>
        </w:tc>
        <w:tc>
          <w:tcPr>
            <w:tcW w:w="5700" w:type="dxa"/>
            <w:shd w:val="clear" w:color="auto" w:fill="EAEAEA"/>
            <w:vAlign w:val="center"/>
          </w:tcPr>
          <w:p w14:paraId="572DB2D4">
            <w:pPr>
              <w:widowControl/>
              <w:jc w:val="center"/>
              <w:rPr>
                <w:rFonts w:ascii="楷体" w:hAnsi="楷体" w:eastAsia="楷体" w:cs="楷体"/>
                <w:b/>
                <w:bCs/>
                <w:kern w:val="0"/>
                <w:sz w:val="24"/>
              </w:rPr>
            </w:pPr>
            <w:r>
              <w:rPr>
                <w:rFonts w:hint="eastAsia" w:ascii="楷体" w:hAnsi="楷体" w:eastAsia="楷体" w:cs="楷体"/>
                <w:b/>
                <w:bCs/>
                <w:kern w:val="0"/>
                <w:sz w:val="24"/>
              </w:rPr>
              <w:t>评分标准</w:t>
            </w:r>
          </w:p>
        </w:tc>
        <w:tc>
          <w:tcPr>
            <w:tcW w:w="956" w:type="dxa"/>
            <w:shd w:val="clear" w:color="auto" w:fill="EAEAEA"/>
            <w:vAlign w:val="center"/>
          </w:tcPr>
          <w:p w14:paraId="2BEFA17A">
            <w:pPr>
              <w:widowControl/>
              <w:jc w:val="center"/>
              <w:rPr>
                <w:rFonts w:ascii="楷体" w:hAnsi="楷体" w:eastAsia="楷体" w:cs="楷体"/>
                <w:b/>
                <w:bCs/>
                <w:kern w:val="0"/>
                <w:sz w:val="24"/>
              </w:rPr>
            </w:pPr>
            <w:r>
              <w:rPr>
                <w:rFonts w:hint="eastAsia" w:ascii="楷体" w:hAnsi="楷体" w:eastAsia="楷体" w:cs="楷体"/>
                <w:b/>
                <w:bCs/>
                <w:kern w:val="0"/>
                <w:sz w:val="24"/>
              </w:rPr>
              <w:t>分值</w:t>
            </w:r>
          </w:p>
        </w:tc>
      </w:tr>
      <w:tr w14:paraId="5C7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5929591">
            <w:pPr>
              <w:widowControl/>
              <w:jc w:val="center"/>
              <w:rPr>
                <w:rFonts w:ascii="楷体" w:hAnsi="楷体" w:eastAsia="楷体" w:cs="楷体"/>
                <w:bCs/>
                <w:kern w:val="0"/>
                <w:sz w:val="24"/>
              </w:rPr>
            </w:pPr>
            <w:r>
              <w:rPr>
                <w:rFonts w:hint="eastAsia" w:ascii="楷体" w:hAnsi="楷体" w:eastAsia="楷体" w:cs="楷体"/>
                <w:bCs/>
                <w:kern w:val="0"/>
                <w:sz w:val="24"/>
              </w:rPr>
              <w:t>1</w:t>
            </w:r>
          </w:p>
        </w:tc>
        <w:tc>
          <w:tcPr>
            <w:tcW w:w="1567" w:type="dxa"/>
            <w:vAlign w:val="center"/>
          </w:tcPr>
          <w:p w14:paraId="7AD70162">
            <w:pPr>
              <w:snapToGrid w:val="0"/>
              <w:jc w:val="center"/>
              <w:rPr>
                <w:rFonts w:ascii="楷体" w:hAnsi="楷体" w:eastAsia="楷体" w:cs="楷体"/>
                <w:sz w:val="24"/>
              </w:rPr>
            </w:pPr>
            <w:r>
              <w:rPr>
                <w:rFonts w:hint="eastAsia" w:ascii="楷体" w:hAnsi="楷体" w:eastAsia="楷体" w:cs="楷体"/>
                <w:sz w:val="24"/>
              </w:rPr>
              <w:t>绿化养护服务方案</w:t>
            </w:r>
          </w:p>
        </w:tc>
        <w:tc>
          <w:tcPr>
            <w:tcW w:w="5700" w:type="dxa"/>
            <w:vAlign w:val="center"/>
          </w:tcPr>
          <w:p w14:paraId="60641D14">
            <w:pPr>
              <w:pStyle w:val="104"/>
              <w:adjustRightInd w:val="0"/>
              <w:snapToGrid w:val="0"/>
              <w:rPr>
                <w:rFonts w:hint="default" w:ascii="楷体" w:hAnsi="楷体" w:eastAsia="楷体" w:cs="楷体"/>
                <w:sz w:val="24"/>
                <w:szCs w:val="24"/>
              </w:rPr>
            </w:pPr>
            <w:r>
              <w:rPr>
                <w:rFonts w:ascii="楷体" w:hAnsi="楷体" w:eastAsia="楷体" w:cs="楷体"/>
                <w:sz w:val="24"/>
                <w:szCs w:val="24"/>
              </w:rPr>
              <w:t>根据投标人提供的绿化养护服务方案（包括修剪、浇水、施肥、补种、除杂草等）进行评分：</w:t>
            </w:r>
          </w:p>
          <w:p w14:paraId="7CC32CEE">
            <w:pPr>
              <w:pStyle w:val="104"/>
              <w:numPr>
                <w:ilvl w:val="0"/>
                <w:numId w:val="59"/>
              </w:numPr>
              <w:adjustRightInd w:val="0"/>
              <w:snapToGrid w:val="0"/>
              <w:rPr>
                <w:rFonts w:hint="default" w:ascii="楷体" w:hAnsi="楷体" w:eastAsia="楷体" w:cs="楷体"/>
                <w:sz w:val="24"/>
                <w:szCs w:val="24"/>
              </w:rPr>
            </w:pPr>
            <w:r>
              <w:rPr>
                <w:rFonts w:ascii="楷体" w:hAnsi="楷体" w:eastAsia="楷体" w:cs="楷体"/>
                <w:sz w:val="24"/>
                <w:szCs w:val="24"/>
              </w:rPr>
              <w:t xml:space="preserve">绿化养护服务方案详细完整，绿化养护计划清晰，修剪得当，浇水、施肥频率合理，补种、除杂草及时，绿植设计美观，得12分；   </w:t>
            </w:r>
          </w:p>
          <w:p w14:paraId="673CAD5F">
            <w:pPr>
              <w:pStyle w:val="104"/>
              <w:numPr>
                <w:ilvl w:val="0"/>
                <w:numId w:val="59"/>
              </w:numPr>
              <w:adjustRightInd w:val="0"/>
              <w:snapToGrid w:val="0"/>
              <w:rPr>
                <w:rFonts w:hint="default" w:ascii="楷体" w:hAnsi="楷体" w:eastAsia="楷体" w:cs="楷体"/>
                <w:sz w:val="24"/>
                <w:szCs w:val="24"/>
              </w:rPr>
            </w:pPr>
            <w:r>
              <w:rPr>
                <w:rFonts w:ascii="楷体" w:hAnsi="楷体" w:eastAsia="楷体" w:cs="楷体"/>
                <w:sz w:val="24"/>
                <w:szCs w:val="24"/>
              </w:rPr>
              <w:t>绿化养护服务方案较详细完整，绿化养护计划较清晰，修剪比较得当，浇水、施肥频率较合理，补种、除杂草较及时，绿植设计较美观，得8分；</w:t>
            </w:r>
          </w:p>
          <w:p w14:paraId="60CAB25B">
            <w:pPr>
              <w:pStyle w:val="104"/>
              <w:numPr>
                <w:ilvl w:val="0"/>
                <w:numId w:val="59"/>
              </w:numPr>
              <w:adjustRightInd w:val="0"/>
              <w:snapToGrid w:val="0"/>
              <w:rPr>
                <w:rFonts w:hint="default" w:ascii="楷体" w:hAnsi="楷体" w:eastAsia="楷体" w:cs="楷体"/>
                <w:sz w:val="24"/>
                <w:szCs w:val="24"/>
              </w:rPr>
            </w:pPr>
            <w:r>
              <w:rPr>
                <w:rFonts w:ascii="楷体" w:hAnsi="楷体" w:eastAsia="楷体" w:cs="楷体"/>
                <w:sz w:val="24"/>
                <w:szCs w:val="24"/>
              </w:rPr>
              <w:t>绿化养护服务方案部分完整，绿化养护计划简单，修剪基本得当，浇水、施肥频率合理性一般，补种、除杂草基本及时，绿植设计具有一定美观性，得4分；</w:t>
            </w:r>
          </w:p>
          <w:p w14:paraId="1FBEC178">
            <w:pPr>
              <w:pStyle w:val="54"/>
              <w:ind w:firstLine="0" w:firstLineChars="0"/>
              <w:rPr>
                <w:rFonts w:eastAsia="楷体"/>
                <w:sz w:val="24"/>
              </w:rPr>
            </w:pPr>
            <w:r>
              <w:rPr>
                <w:rFonts w:hint="eastAsia" w:ascii="楷体" w:hAnsi="楷体" w:eastAsia="楷体" w:cs="楷体"/>
                <w:sz w:val="24"/>
              </w:rPr>
              <w:t>4.其他或没有提供，得0分。</w:t>
            </w:r>
          </w:p>
        </w:tc>
        <w:tc>
          <w:tcPr>
            <w:tcW w:w="956" w:type="dxa"/>
            <w:vAlign w:val="center"/>
          </w:tcPr>
          <w:p w14:paraId="153D7B64">
            <w:pPr>
              <w:snapToGrid w:val="0"/>
              <w:jc w:val="center"/>
              <w:rPr>
                <w:rFonts w:ascii="楷体" w:hAnsi="楷体" w:eastAsia="楷体" w:cs="楷体"/>
                <w:sz w:val="24"/>
              </w:rPr>
            </w:pPr>
            <w:r>
              <w:rPr>
                <w:rFonts w:hint="eastAsia" w:ascii="楷体" w:hAnsi="楷体" w:eastAsia="楷体" w:cs="楷体"/>
                <w:bCs/>
                <w:color w:val="000000"/>
                <w:sz w:val="24"/>
              </w:rPr>
              <w:t>12</w:t>
            </w:r>
          </w:p>
        </w:tc>
      </w:tr>
      <w:tr w14:paraId="7C38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1" w:hRule="atLeast"/>
          <w:jc w:val="center"/>
        </w:trPr>
        <w:tc>
          <w:tcPr>
            <w:tcW w:w="692" w:type="dxa"/>
            <w:vAlign w:val="center"/>
          </w:tcPr>
          <w:p w14:paraId="49BFEA1F">
            <w:pPr>
              <w:widowControl/>
              <w:jc w:val="center"/>
              <w:rPr>
                <w:rFonts w:ascii="楷体" w:hAnsi="楷体" w:eastAsia="楷体" w:cs="楷体"/>
                <w:bCs/>
                <w:kern w:val="0"/>
                <w:sz w:val="24"/>
              </w:rPr>
            </w:pPr>
            <w:r>
              <w:rPr>
                <w:rFonts w:hint="eastAsia" w:ascii="楷体" w:hAnsi="楷体" w:eastAsia="楷体" w:cs="楷体"/>
                <w:bCs/>
                <w:kern w:val="0"/>
                <w:sz w:val="24"/>
              </w:rPr>
              <w:t>2</w:t>
            </w:r>
          </w:p>
        </w:tc>
        <w:tc>
          <w:tcPr>
            <w:tcW w:w="1567" w:type="dxa"/>
            <w:vAlign w:val="center"/>
          </w:tcPr>
          <w:p w14:paraId="289AB9BA">
            <w:pPr>
              <w:snapToGrid w:val="0"/>
              <w:jc w:val="center"/>
              <w:rPr>
                <w:rFonts w:ascii="楷体" w:hAnsi="楷体" w:eastAsia="楷体" w:cs="楷体"/>
                <w:sz w:val="24"/>
              </w:rPr>
            </w:pPr>
            <w:r>
              <w:rPr>
                <w:rFonts w:hint="eastAsia" w:ascii="楷体" w:hAnsi="楷体" w:eastAsia="楷体" w:cs="楷体"/>
                <w:sz w:val="24"/>
              </w:rPr>
              <w:t>保洁服务方案</w:t>
            </w:r>
          </w:p>
        </w:tc>
        <w:tc>
          <w:tcPr>
            <w:tcW w:w="5700" w:type="dxa"/>
            <w:vAlign w:val="center"/>
          </w:tcPr>
          <w:p w14:paraId="552EA335">
            <w:pPr>
              <w:pStyle w:val="104"/>
              <w:adjustRightInd w:val="0"/>
              <w:snapToGrid w:val="0"/>
              <w:rPr>
                <w:rFonts w:hint="default" w:ascii="楷体" w:hAnsi="楷体" w:eastAsia="楷体" w:cs="楷体"/>
                <w:sz w:val="24"/>
                <w:szCs w:val="24"/>
              </w:rPr>
            </w:pPr>
            <w:r>
              <w:rPr>
                <w:rFonts w:ascii="楷体" w:hAnsi="楷体" w:eastAsia="楷体" w:cs="楷体"/>
                <w:sz w:val="24"/>
                <w:szCs w:val="24"/>
              </w:rPr>
              <w:t>根据投标人针提供的保洁服务方案（包括保洁计划、保洁时间、频次、人员安排、设备和工具配置等）进行评分：</w:t>
            </w:r>
          </w:p>
          <w:p w14:paraId="28ECDC5C">
            <w:pPr>
              <w:pStyle w:val="104"/>
              <w:numPr>
                <w:ilvl w:val="0"/>
                <w:numId w:val="60"/>
              </w:numPr>
              <w:adjustRightInd w:val="0"/>
              <w:snapToGrid w:val="0"/>
              <w:rPr>
                <w:rFonts w:hint="default" w:ascii="楷体" w:hAnsi="楷体" w:eastAsia="楷体" w:cs="楷体"/>
                <w:sz w:val="24"/>
                <w:szCs w:val="24"/>
              </w:rPr>
            </w:pPr>
            <w:r>
              <w:rPr>
                <w:rFonts w:ascii="楷体" w:hAnsi="楷体" w:eastAsia="楷体" w:cs="楷体"/>
                <w:sz w:val="24"/>
                <w:szCs w:val="24"/>
              </w:rPr>
              <w:t xml:space="preserve">保洁服务方案完善，可行性高，保洁计划全面细致，保洁频次科学合理，人员安排专业高效，设备和工具齐全，得12分；   </w:t>
            </w:r>
          </w:p>
          <w:p w14:paraId="26A116CF">
            <w:pPr>
              <w:pStyle w:val="104"/>
              <w:numPr>
                <w:ilvl w:val="0"/>
                <w:numId w:val="60"/>
              </w:numPr>
              <w:adjustRightInd w:val="0"/>
              <w:snapToGrid w:val="0"/>
              <w:rPr>
                <w:rFonts w:hint="default" w:ascii="楷体" w:hAnsi="楷体" w:eastAsia="楷体" w:cs="楷体"/>
                <w:sz w:val="24"/>
                <w:szCs w:val="24"/>
              </w:rPr>
            </w:pPr>
            <w:r>
              <w:rPr>
                <w:rFonts w:ascii="楷体" w:hAnsi="楷体" w:eastAsia="楷体" w:cs="楷体"/>
                <w:sz w:val="24"/>
                <w:szCs w:val="24"/>
              </w:rPr>
              <w:t>保洁服务方案较完善，可行性较高，保洁计划较全面细致，保洁频次较科学合理，人员安排较专业高效，设备和工具较齐全，得8分；</w:t>
            </w:r>
          </w:p>
          <w:p w14:paraId="67C1ED0C">
            <w:pPr>
              <w:pStyle w:val="104"/>
              <w:numPr>
                <w:ilvl w:val="0"/>
                <w:numId w:val="60"/>
              </w:numPr>
              <w:adjustRightInd w:val="0"/>
              <w:snapToGrid w:val="0"/>
              <w:rPr>
                <w:rFonts w:hint="default" w:ascii="楷体" w:hAnsi="楷体" w:eastAsia="楷体" w:cs="楷体"/>
                <w:sz w:val="24"/>
                <w:szCs w:val="24"/>
              </w:rPr>
            </w:pPr>
            <w:r>
              <w:rPr>
                <w:rFonts w:ascii="楷体" w:hAnsi="楷体" w:eastAsia="楷体" w:cs="楷体"/>
                <w:sz w:val="24"/>
                <w:szCs w:val="24"/>
              </w:rPr>
              <w:t>保洁服务方案部分完善，可行性一般，保洁计划基本具备但不全面，保洁频次具有一定科学合理性，人员安排基本充足，设备和工具配置基本满足项目要求，得4分；</w:t>
            </w:r>
          </w:p>
          <w:p w14:paraId="321F5E4A">
            <w:pPr>
              <w:rPr>
                <w:rFonts w:eastAsia="楷体"/>
                <w:sz w:val="24"/>
              </w:rPr>
            </w:pPr>
            <w:r>
              <w:rPr>
                <w:rFonts w:hint="eastAsia" w:ascii="楷体" w:hAnsi="楷体" w:eastAsia="楷体" w:cs="楷体"/>
                <w:sz w:val="24"/>
              </w:rPr>
              <w:t>4.其他或没有提供，得0分。</w:t>
            </w:r>
          </w:p>
        </w:tc>
        <w:tc>
          <w:tcPr>
            <w:tcW w:w="956" w:type="dxa"/>
            <w:vAlign w:val="center"/>
          </w:tcPr>
          <w:p w14:paraId="6DAFACED">
            <w:pPr>
              <w:snapToGrid w:val="0"/>
              <w:jc w:val="center"/>
              <w:rPr>
                <w:rFonts w:ascii="楷体" w:hAnsi="楷体" w:eastAsia="楷体" w:cs="楷体"/>
                <w:sz w:val="24"/>
              </w:rPr>
            </w:pPr>
            <w:r>
              <w:rPr>
                <w:rFonts w:hint="eastAsia" w:ascii="楷体" w:hAnsi="楷体" w:eastAsia="楷体" w:cs="楷体"/>
                <w:bCs/>
                <w:color w:val="000000"/>
                <w:sz w:val="24"/>
              </w:rPr>
              <w:t>12</w:t>
            </w:r>
          </w:p>
        </w:tc>
      </w:tr>
      <w:tr w14:paraId="545D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2" w:type="dxa"/>
            <w:vAlign w:val="center"/>
          </w:tcPr>
          <w:p w14:paraId="391E324F">
            <w:pPr>
              <w:widowControl/>
              <w:jc w:val="center"/>
              <w:rPr>
                <w:rFonts w:ascii="楷体" w:hAnsi="楷体" w:eastAsia="楷体" w:cs="楷体"/>
                <w:bCs/>
                <w:kern w:val="0"/>
                <w:sz w:val="24"/>
              </w:rPr>
            </w:pPr>
            <w:r>
              <w:rPr>
                <w:rFonts w:hint="eastAsia" w:ascii="楷体" w:hAnsi="楷体" w:eastAsia="楷体" w:cs="楷体"/>
                <w:bCs/>
                <w:kern w:val="0"/>
                <w:sz w:val="24"/>
              </w:rPr>
              <w:t>3</w:t>
            </w:r>
          </w:p>
        </w:tc>
        <w:tc>
          <w:tcPr>
            <w:tcW w:w="1567" w:type="dxa"/>
            <w:vAlign w:val="center"/>
          </w:tcPr>
          <w:p w14:paraId="37388EE1">
            <w:pPr>
              <w:snapToGrid w:val="0"/>
              <w:jc w:val="center"/>
              <w:rPr>
                <w:rFonts w:ascii="楷体" w:hAnsi="楷体" w:eastAsia="楷体" w:cs="楷体"/>
                <w:sz w:val="24"/>
              </w:rPr>
            </w:pPr>
            <w:r>
              <w:rPr>
                <w:rFonts w:hint="eastAsia" w:ascii="楷体" w:hAnsi="楷体" w:eastAsia="楷体" w:cs="楷体"/>
                <w:sz w:val="24"/>
              </w:rPr>
              <w:t>人员培训和管理方案</w:t>
            </w:r>
          </w:p>
        </w:tc>
        <w:tc>
          <w:tcPr>
            <w:tcW w:w="5700" w:type="dxa"/>
            <w:vAlign w:val="center"/>
          </w:tcPr>
          <w:p w14:paraId="292C6AAA">
            <w:pPr>
              <w:snapToGrid w:val="0"/>
              <w:rPr>
                <w:rFonts w:ascii="楷体" w:hAnsi="楷体" w:eastAsia="楷体" w:cs="楷体"/>
                <w:sz w:val="24"/>
              </w:rPr>
            </w:pPr>
            <w:r>
              <w:rPr>
                <w:rFonts w:hint="eastAsia" w:ascii="楷体" w:hAnsi="楷体" w:eastAsia="楷体" w:cs="楷体"/>
                <w:sz w:val="24"/>
              </w:rPr>
              <w:t>根据投标人提供的人员培训和管理方案（包括但不限于对人员培训、录用与考核淘汰机制、奖惩制度管理等）进行评审：</w:t>
            </w:r>
          </w:p>
          <w:p w14:paraId="0B255316">
            <w:pPr>
              <w:snapToGrid w:val="0"/>
              <w:rPr>
                <w:rFonts w:ascii="楷体" w:hAnsi="楷体" w:eastAsia="楷体" w:cs="楷体"/>
                <w:sz w:val="24"/>
              </w:rPr>
            </w:pPr>
            <w:r>
              <w:rPr>
                <w:rFonts w:hint="eastAsia" w:ascii="楷体" w:hAnsi="楷体" w:eastAsia="楷体" w:cs="楷体"/>
                <w:sz w:val="24"/>
              </w:rPr>
              <w:t>1.人员培训和管理方案详细完整，各类人员录用与考核淘汰机制科学完善，奖惩制度管理规范，可行性高，得6分；</w:t>
            </w:r>
          </w:p>
          <w:p w14:paraId="3306AA9C">
            <w:pPr>
              <w:snapToGrid w:val="0"/>
              <w:rPr>
                <w:rFonts w:ascii="楷体" w:hAnsi="楷体" w:eastAsia="楷体" w:cs="楷体"/>
                <w:sz w:val="24"/>
              </w:rPr>
            </w:pPr>
            <w:r>
              <w:rPr>
                <w:rFonts w:hint="eastAsia" w:ascii="楷体" w:hAnsi="楷体" w:eastAsia="楷体" w:cs="楷体"/>
                <w:sz w:val="24"/>
              </w:rPr>
              <w:t>2.人员培训和管理方案较详细完整，各类人员录用与考核淘汰机制较科学完善，奖惩制度管理较规范，可行性较高，得3分；</w:t>
            </w:r>
          </w:p>
          <w:p w14:paraId="266E9D3E">
            <w:pPr>
              <w:snapToGrid w:val="0"/>
              <w:rPr>
                <w:rFonts w:ascii="楷体" w:hAnsi="楷体" w:eastAsia="楷体" w:cs="楷体"/>
                <w:sz w:val="24"/>
              </w:rPr>
            </w:pPr>
            <w:r>
              <w:rPr>
                <w:rFonts w:hint="eastAsia" w:ascii="楷体" w:hAnsi="楷体" w:eastAsia="楷体" w:cs="楷体"/>
                <w:sz w:val="24"/>
              </w:rPr>
              <w:t>3.人员培训和管理方案基本完整，各类人员录用与考核淘汰机制基本完善，奖惩制度管理基本规范，具有一定的可行性，得1分；</w:t>
            </w:r>
          </w:p>
          <w:p w14:paraId="53B572A0">
            <w:pPr>
              <w:snapToGrid w:val="0"/>
              <w:rPr>
                <w:rFonts w:ascii="楷体" w:hAnsi="楷体" w:eastAsia="楷体" w:cs="楷体"/>
                <w:sz w:val="24"/>
              </w:rPr>
            </w:pPr>
            <w:r>
              <w:rPr>
                <w:rFonts w:hint="eastAsia" w:ascii="楷体" w:hAnsi="楷体" w:eastAsia="楷体" w:cs="楷体"/>
                <w:sz w:val="24"/>
              </w:rPr>
              <w:t>4.其他或没有提供，得0分。</w:t>
            </w:r>
          </w:p>
        </w:tc>
        <w:tc>
          <w:tcPr>
            <w:tcW w:w="956" w:type="dxa"/>
            <w:vAlign w:val="center"/>
          </w:tcPr>
          <w:p w14:paraId="2602FB0B">
            <w:pPr>
              <w:snapToGrid w:val="0"/>
              <w:jc w:val="center"/>
              <w:rPr>
                <w:rFonts w:ascii="楷体" w:hAnsi="楷体" w:eastAsia="楷体" w:cs="楷体"/>
                <w:bCs/>
                <w:color w:val="000000"/>
                <w:sz w:val="24"/>
              </w:rPr>
            </w:pPr>
            <w:r>
              <w:rPr>
                <w:rFonts w:hint="eastAsia" w:ascii="楷体" w:hAnsi="楷体" w:eastAsia="楷体" w:cs="楷体"/>
                <w:bCs/>
                <w:color w:val="000000"/>
                <w:sz w:val="24"/>
              </w:rPr>
              <w:t>6</w:t>
            </w:r>
          </w:p>
        </w:tc>
      </w:tr>
      <w:tr w14:paraId="05B9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2" w:type="dxa"/>
            <w:vMerge w:val="restart"/>
            <w:vAlign w:val="center"/>
          </w:tcPr>
          <w:p w14:paraId="754D052D">
            <w:pPr>
              <w:widowControl/>
              <w:jc w:val="center"/>
              <w:rPr>
                <w:rFonts w:ascii="楷体" w:hAnsi="楷体" w:eastAsia="楷体" w:cs="楷体"/>
                <w:bCs/>
                <w:kern w:val="0"/>
                <w:sz w:val="24"/>
              </w:rPr>
            </w:pPr>
            <w:r>
              <w:rPr>
                <w:rFonts w:hint="eastAsia" w:ascii="楷体" w:hAnsi="楷体" w:eastAsia="楷体" w:cs="楷体"/>
                <w:bCs/>
                <w:kern w:val="0"/>
                <w:sz w:val="24"/>
              </w:rPr>
              <w:t>4</w:t>
            </w:r>
          </w:p>
        </w:tc>
        <w:tc>
          <w:tcPr>
            <w:tcW w:w="1567" w:type="dxa"/>
            <w:vMerge w:val="restart"/>
            <w:vAlign w:val="center"/>
          </w:tcPr>
          <w:p w14:paraId="16B63041">
            <w:pPr>
              <w:snapToGrid w:val="0"/>
              <w:jc w:val="center"/>
              <w:rPr>
                <w:rFonts w:ascii="楷体" w:hAnsi="楷体" w:eastAsia="楷体" w:cs="楷体"/>
                <w:sz w:val="24"/>
              </w:rPr>
            </w:pPr>
            <w:r>
              <w:rPr>
                <w:rFonts w:hint="eastAsia" w:ascii="楷体" w:hAnsi="楷体" w:eastAsia="楷体" w:cs="楷体"/>
                <w:sz w:val="24"/>
              </w:rPr>
              <w:t>应急处置方案</w:t>
            </w:r>
          </w:p>
        </w:tc>
        <w:tc>
          <w:tcPr>
            <w:tcW w:w="5700" w:type="dxa"/>
            <w:vAlign w:val="center"/>
          </w:tcPr>
          <w:p w14:paraId="19A03F87">
            <w:pPr>
              <w:pStyle w:val="104"/>
              <w:adjustRightInd w:val="0"/>
              <w:snapToGrid w:val="0"/>
              <w:rPr>
                <w:rFonts w:hint="default" w:ascii="楷体" w:hAnsi="楷体" w:eastAsia="楷体" w:cs="楷体"/>
                <w:sz w:val="24"/>
                <w:szCs w:val="24"/>
              </w:rPr>
            </w:pPr>
            <w:r>
              <w:rPr>
                <w:rFonts w:ascii="楷体" w:hAnsi="楷体" w:eastAsia="楷体" w:cs="楷体"/>
                <w:sz w:val="24"/>
                <w:szCs w:val="24"/>
              </w:rPr>
              <w:t>根据投标人针对本项目服务特点所制定的符合实际的突发事件应急方案（包括但不限于针对台风、暴雨等天气影响，重大节假日或活动，突发事件的处理等特殊情况制定应急处置方案、人员和设备调配等）进行评分：</w:t>
            </w:r>
          </w:p>
          <w:p w14:paraId="73CEA47C">
            <w:pPr>
              <w:pStyle w:val="104"/>
              <w:numPr>
                <w:ilvl w:val="0"/>
                <w:numId w:val="61"/>
              </w:numPr>
              <w:adjustRightInd w:val="0"/>
              <w:snapToGrid w:val="0"/>
              <w:rPr>
                <w:rFonts w:hint="default" w:ascii="楷体" w:hAnsi="楷体" w:eastAsia="楷体" w:cs="楷体"/>
                <w:sz w:val="24"/>
                <w:szCs w:val="24"/>
              </w:rPr>
            </w:pPr>
            <w:r>
              <w:rPr>
                <w:rFonts w:ascii="楷体" w:hAnsi="楷体" w:eastAsia="楷体" w:cs="楷体"/>
                <w:sz w:val="24"/>
                <w:szCs w:val="24"/>
              </w:rPr>
              <w:t xml:space="preserve">应急处置方案合理，内容详细，应急预案场景丰富，表达清晰，人员和设备调配能力强，责任分工明确，可行性高，得7分；  </w:t>
            </w:r>
          </w:p>
          <w:p w14:paraId="35FF59A0">
            <w:pPr>
              <w:pStyle w:val="104"/>
              <w:numPr>
                <w:ilvl w:val="0"/>
                <w:numId w:val="61"/>
              </w:numPr>
              <w:adjustRightInd w:val="0"/>
              <w:snapToGrid w:val="0"/>
              <w:rPr>
                <w:rFonts w:hint="default" w:ascii="楷体" w:hAnsi="楷体" w:eastAsia="楷体" w:cs="楷体"/>
                <w:sz w:val="24"/>
                <w:szCs w:val="24"/>
              </w:rPr>
            </w:pPr>
            <w:r>
              <w:rPr>
                <w:rFonts w:ascii="楷体" w:hAnsi="楷体" w:eastAsia="楷体" w:cs="楷体"/>
                <w:sz w:val="24"/>
                <w:szCs w:val="24"/>
              </w:rPr>
              <w:t>应急处置方案较合理，内容较详细，应急预案场景较丰富，表达较清晰，人员和设备调配能力较强，责任分工较明确，可行性较高，得4分；</w:t>
            </w:r>
          </w:p>
          <w:p w14:paraId="430D923C">
            <w:pPr>
              <w:pStyle w:val="104"/>
              <w:numPr>
                <w:ilvl w:val="0"/>
                <w:numId w:val="61"/>
              </w:numPr>
              <w:adjustRightInd w:val="0"/>
              <w:snapToGrid w:val="0"/>
              <w:rPr>
                <w:rFonts w:hint="default" w:ascii="楷体" w:hAnsi="楷体" w:eastAsia="楷体" w:cs="楷体"/>
                <w:sz w:val="24"/>
                <w:szCs w:val="24"/>
              </w:rPr>
            </w:pPr>
            <w:r>
              <w:rPr>
                <w:rFonts w:ascii="楷体" w:hAnsi="楷体" w:eastAsia="楷体" w:cs="楷体"/>
                <w:sz w:val="24"/>
                <w:szCs w:val="24"/>
              </w:rPr>
              <w:t>应急处置方案部分完整，应急预案场景基本涵盖但不全面，表达不够清晰，人员和设备调配能力一般，具有一定的可行性，得1分；</w:t>
            </w:r>
          </w:p>
          <w:p w14:paraId="702B5847">
            <w:pPr>
              <w:snapToGrid w:val="0"/>
              <w:rPr>
                <w:sz w:val="24"/>
              </w:rPr>
            </w:pPr>
            <w:r>
              <w:rPr>
                <w:rFonts w:hint="eastAsia" w:ascii="楷体" w:hAnsi="楷体" w:eastAsia="楷体" w:cs="楷体"/>
                <w:sz w:val="24"/>
              </w:rPr>
              <w:t>4.其他或没有提供，得0分。</w:t>
            </w:r>
          </w:p>
        </w:tc>
        <w:tc>
          <w:tcPr>
            <w:tcW w:w="956" w:type="dxa"/>
            <w:vAlign w:val="center"/>
          </w:tcPr>
          <w:p w14:paraId="4C8EDCA6">
            <w:pPr>
              <w:snapToGrid w:val="0"/>
              <w:jc w:val="center"/>
              <w:rPr>
                <w:rFonts w:ascii="楷体" w:hAnsi="楷体" w:eastAsia="楷体" w:cs="楷体"/>
                <w:bCs/>
                <w:color w:val="000000"/>
                <w:sz w:val="24"/>
              </w:rPr>
            </w:pPr>
            <w:r>
              <w:rPr>
                <w:rFonts w:hint="eastAsia" w:ascii="楷体" w:hAnsi="楷体" w:eastAsia="楷体" w:cs="楷体"/>
                <w:bCs/>
                <w:color w:val="000000"/>
                <w:sz w:val="24"/>
              </w:rPr>
              <w:t>7</w:t>
            </w:r>
          </w:p>
        </w:tc>
      </w:tr>
      <w:tr w14:paraId="0C7E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2" w:type="dxa"/>
            <w:vMerge w:val="continue"/>
            <w:vAlign w:val="center"/>
          </w:tcPr>
          <w:p w14:paraId="762AE90C">
            <w:pPr>
              <w:widowControl/>
              <w:jc w:val="center"/>
              <w:rPr>
                <w:rFonts w:ascii="楷体" w:hAnsi="楷体" w:eastAsia="楷体" w:cs="楷体"/>
                <w:bCs/>
                <w:kern w:val="0"/>
                <w:sz w:val="24"/>
              </w:rPr>
            </w:pPr>
          </w:p>
        </w:tc>
        <w:tc>
          <w:tcPr>
            <w:tcW w:w="1567" w:type="dxa"/>
            <w:vMerge w:val="continue"/>
            <w:vAlign w:val="center"/>
          </w:tcPr>
          <w:p w14:paraId="4E2A51E0">
            <w:pPr>
              <w:snapToGrid w:val="0"/>
              <w:jc w:val="center"/>
              <w:rPr>
                <w:rFonts w:ascii="楷体" w:hAnsi="楷体" w:eastAsia="楷体" w:cs="楷体"/>
                <w:sz w:val="24"/>
              </w:rPr>
            </w:pPr>
          </w:p>
        </w:tc>
        <w:tc>
          <w:tcPr>
            <w:tcW w:w="5700" w:type="dxa"/>
            <w:vAlign w:val="center"/>
          </w:tcPr>
          <w:p w14:paraId="52A85E75">
            <w:pPr>
              <w:pStyle w:val="2"/>
              <w:autoSpaceDE/>
              <w:autoSpaceDN/>
              <w:snapToGrid w:val="0"/>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投标人承诺接到采购人应急通知后，</w:t>
            </w:r>
            <w:r>
              <w:rPr>
                <w:rFonts w:hint="eastAsia" w:ascii="楷体" w:hAnsi="楷体" w:eastAsia="楷体" w:cs="楷体"/>
                <w:color w:val="auto"/>
                <w:sz w:val="24"/>
                <w:szCs w:val="24"/>
                <w:highlight w:val="none"/>
                <w:lang w:val="en-US" w:eastAsia="zh-CN"/>
              </w:rPr>
              <w:t>30分钟内（含）响应并安排人员到达现场处理，得3分；60分钟内（含）响应并安排人员到达现场处理，得2分；超过60分钟响应并安排人员到达现场处理，得1分。</w:t>
            </w:r>
          </w:p>
          <w:p w14:paraId="6A382640">
            <w:pPr>
              <w:pStyle w:val="2"/>
              <w:numPr>
                <w:ilvl w:val="255"/>
                <w:numId w:val="0"/>
              </w:numPr>
              <w:autoSpaceDE/>
              <w:autoSpaceDN/>
              <w:snapToGrid w:val="0"/>
              <w:spacing w:line="240" w:lineRule="auto"/>
            </w:pPr>
            <w:r>
              <w:rPr>
                <w:rFonts w:hint="eastAsia" w:ascii="楷体" w:hAnsi="楷体" w:eastAsia="楷体" w:cs="楷体"/>
                <w:color w:val="auto"/>
                <w:sz w:val="24"/>
                <w:szCs w:val="24"/>
              </w:rPr>
              <w:t>注：须提供承诺函，不提供或内容不符不得分。</w:t>
            </w:r>
          </w:p>
        </w:tc>
        <w:tc>
          <w:tcPr>
            <w:tcW w:w="956" w:type="dxa"/>
            <w:vAlign w:val="center"/>
          </w:tcPr>
          <w:p w14:paraId="2408AA34">
            <w:pPr>
              <w:snapToGrid w:val="0"/>
              <w:jc w:val="center"/>
              <w:rPr>
                <w:rFonts w:ascii="楷体" w:hAnsi="楷体" w:eastAsia="楷体" w:cs="楷体"/>
                <w:bCs/>
                <w:color w:val="000000"/>
                <w:sz w:val="24"/>
              </w:rPr>
            </w:pPr>
            <w:r>
              <w:rPr>
                <w:rFonts w:hint="eastAsia" w:ascii="楷体" w:hAnsi="楷体" w:eastAsia="楷体" w:cs="楷体"/>
                <w:bCs/>
                <w:color w:val="000000"/>
                <w:sz w:val="24"/>
              </w:rPr>
              <w:t>3</w:t>
            </w:r>
          </w:p>
        </w:tc>
      </w:tr>
      <w:tr w14:paraId="4B1C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959" w:type="dxa"/>
            <w:gridSpan w:val="3"/>
            <w:shd w:val="clear" w:color="auto" w:fill="EAEAEA"/>
            <w:vAlign w:val="center"/>
          </w:tcPr>
          <w:p w14:paraId="5B16906D">
            <w:pPr>
              <w:widowControl/>
              <w:jc w:val="center"/>
              <w:rPr>
                <w:rFonts w:ascii="楷体" w:hAnsi="楷体" w:eastAsia="楷体" w:cs="楷体"/>
                <w:b/>
                <w:kern w:val="0"/>
                <w:sz w:val="24"/>
              </w:rPr>
            </w:pPr>
            <w:r>
              <w:rPr>
                <w:rFonts w:hint="eastAsia" w:ascii="楷体" w:hAnsi="楷体" w:eastAsia="楷体" w:cs="楷体"/>
                <w:b/>
                <w:kern w:val="0"/>
                <w:sz w:val="24"/>
              </w:rPr>
              <w:t>合计</w:t>
            </w:r>
          </w:p>
        </w:tc>
        <w:tc>
          <w:tcPr>
            <w:tcW w:w="956" w:type="dxa"/>
            <w:shd w:val="clear" w:color="auto" w:fill="EAEAEA"/>
            <w:vAlign w:val="center"/>
          </w:tcPr>
          <w:p w14:paraId="06E0E873">
            <w:pPr>
              <w:widowControl/>
              <w:jc w:val="center"/>
              <w:rPr>
                <w:rFonts w:ascii="楷体" w:hAnsi="楷体" w:eastAsia="楷体" w:cs="楷体"/>
                <w:b/>
                <w:kern w:val="0"/>
                <w:sz w:val="24"/>
              </w:rPr>
            </w:pPr>
            <w:r>
              <w:rPr>
                <w:rFonts w:hint="eastAsia" w:ascii="楷体" w:hAnsi="楷体" w:eastAsia="楷体" w:cs="楷体"/>
                <w:b/>
                <w:kern w:val="0"/>
                <w:sz w:val="24"/>
              </w:rPr>
              <w:t>40分</w:t>
            </w:r>
          </w:p>
        </w:tc>
      </w:tr>
    </w:tbl>
    <w:p w14:paraId="135E9601">
      <w:pPr>
        <w:spacing w:line="360" w:lineRule="exact"/>
        <w:ind w:firstLine="480" w:firstLineChars="200"/>
        <w:rPr>
          <w:rFonts w:ascii="楷体" w:hAnsi="楷体" w:eastAsia="楷体" w:cs="楷体"/>
          <w:sz w:val="24"/>
        </w:rPr>
      </w:pPr>
      <w:r>
        <w:rPr>
          <w:rFonts w:hint="eastAsia" w:ascii="楷体" w:hAnsi="楷体" w:eastAsia="楷体" w:cs="楷体"/>
          <w:sz w:val="24"/>
        </w:rPr>
        <w:t>备注：上表中要求提供佐证材料的，投标人必须提供，否则</w:t>
      </w:r>
      <w:r>
        <w:rPr>
          <w:rFonts w:hint="eastAsia" w:ascii="楷体" w:hAnsi="楷体" w:eastAsia="楷体" w:cs="楷体"/>
          <w:sz w:val="24"/>
          <w:lang w:eastAsia="zh-CN"/>
        </w:rPr>
        <w:t>该项</w:t>
      </w:r>
      <w:r>
        <w:rPr>
          <w:rFonts w:hint="eastAsia" w:ascii="楷体" w:hAnsi="楷体" w:eastAsia="楷体" w:cs="楷体"/>
          <w:sz w:val="24"/>
        </w:rPr>
        <w:t>计0分。（得分四舍五入后，小数点后保留两位有效数）</w:t>
      </w:r>
    </w:p>
    <w:p w14:paraId="6AF8DAF4">
      <w:pPr>
        <w:spacing w:line="360" w:lineRule="exact"/>
        <w:rPr>
          <w:rFonts w:ascii="楷体" w:hAnsi="楷体" w:eastAsia="楷体" w:cs="楷体"/>
          <w:b/>
          <w:sz w:val="24"/>
        </w:rPr>
      </w:pPr>
    </w:p>
    <w:p w14:paraId="7B801930">
      <w:pPr>
        <w:rPr>
          <w:rFonts w:ascii="楷体" w:hAnsi="楷体" w:eastAsia="楷体" w:cs="楷体"/>
          <w:b/>
          <w:sz w:val="24"/>
        </w:rPr>
      </w:pPr>
    </w:p>
    <w:bookmarkEnd w:id="296"/>
    <w:p w14:paraId="79064841">
      <w:pPr>
        <w:adjustRightInd w:val="0"/>
        <w:snapToGrid w:val="0"/>
      </w:pPr>
      <w:bookmarkStart w:id="298" w:name="_Toc14045"/>
      <w:bookmarkStart w:id="299" w:name="_Toc6184"/>
      <w:bookmarkStart w:id="300" w:name="_Toc17733"/>
      <w:bookmarkStart w:id="301" w:name="_Toc6782"/>
      <w:bookmarkStart w:id="302" w:name="_Toc423021951"/>
      <w:bookmarkStart w:id="303" w:name="_Toc2252"/>
      <w:r>
        <w:rPr>
          <w:rFonts w:hint="eastAsia" w:ascii="楷体" w:hAnsi="楷体" w:eastAsia="楷体" w:cs="楷体"/>
          <w:b/>
          <w:color w:val="000000" w:themeColor="text1"/>
          <w:sz w:val="26"/>
          <w:szCs w:val="26"/>
          <w14:textFill>
            <w14:solidFill>
              <w14:schemeClr w14:val="tx1"/>
            </w14:solidFill>
          </w14:textFill>
        </w:rPr>
        <w:t>附表5：价格评审</w:t>
      </w:r>
    </w:p>
    <w:p w14:paraId="44CF4BBA">
      <w:pPr>
        <w:adjustRightInd w:val="0"/>
        <w:snapToGrid w:val="0"/>
      </w:pPr>
    </w:p>
    <w:tbl>
      <w:tblPr>
        <w:tblStyle w:val="44"/>
        <w:tblW w:w="90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907"/>
        <w:gridCol w:w="6538"/>
        <w:gridCol w:w="797"/>
      </w:tblGrid>
      <w:tr w14:paraId="0FF81C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12" w:space="0"/>
              <w:bottom w:val="single" w:color="000000" w:sz="4" w:space="0"/>
            </w:tcBorders>
            <w:shd w:val="clear" w:color="auto" w:fill="D9D9D9"/>
            <w:vAlign w:val="center"/>
          </w:tcPr>
          <w:p w14:paraId="1C66F5CA">
            <w:pPr>
              <w:jc w:val="center"/>
              <w:rPr>
                <w:rFonts w:ascii="楷体" w:hAnsi="楷体" w:eastAsia="楷体" w:cs="楷体"/>
                <w:sz w:val="24"/>
              </w:rPr>
            </w:pPr>
            <w:r>
              <w:rPr>
                <w:rFonts w:hint="eastAsia" w:ascii="楷体" w:hAnsi="楷体" w:eastAsia="楷体" w:cs="楷体"/>
                <w:b/>
                <w:sz w:val="24"/>
              </w:rPr>
              <w:t>序号</w:t>
            </w:r>
          </w:p>
        </w:tc>
        <w:tc>
          <w:tcPr>
            <w:tcW w:w="907" w:type="dxa"/>
            <w:tcBorders>
              <w:top w:val="single" w:color="000000" w:sz="12" w:space="0"/>
              <w:bottom w:val="single" w:color="000000" w:sz="4" w:space="0"/>
            </w:tcBorders>
            <w:shd w:val="clear" w:color="auto" w:fill="D9D9D9"/>
            <w:vAlign w:val="center"/>
          </w:tcPr>
          <w:p w14:paraId="4C822CFB">
            <w:pPr>
              <w:jc w:val="center"/>
              <w:rPr>
                <w:rFonts w:ascii="楷体" w:hAnsi="楷体" w:eastAsia="楷体" w:cs="楷体"/>
                <w:sz w:val="24"/>
              </w:rPr>
            </w:pPr>
            <w:r>
              <w:rPr>
                <w:rFonts w:hint="eastAsia" w:ascii="楷体" w:hAnsi="楷体" w:eastAsia="楷体" w:cs="楷体"/>
                <w:b/>
                <w:sz w:val="24"/>
              </w:rPr>
              <w:t>评审因素</w:t>
            </w:r>
          </w:p>
        </w:tc>
        <w:tc>
          <w:tcPr>
            <w:tcW w:w="6538" w:type="dxa"/>
            <w:tcBorders>
              <w:top w:val="single" w:color="000000" w:sz="12" w:space="0"/>
              <w:bottom w:val="single" w:color="000000" w:sz="4" w:space="0"/>
            </w:tcBorders>
            <w:shd w:val="clear" w:color="auto" w:fill="D9D9D9"/>
            <w:vAlign w:val="center"/>
          </w:tcPr>
          <w:p w14:paraId="53C08112">
            <w:pPr>
              <w:jc w:val="center"/>
              <w:rPr>
                <w:rFonts w:ascii="楷体" w:hAnsi="楷体" w:eastAsia="楷体" w:cs="楷体"/>
                <w:bCs/>
                <w:sz w:val="24"/>
              </w:rPr>
            </w:pPr>
            <w:r>
              <w:rPr>
                <w:rFonts w:hint="eastAsia" w:ascii="楷体" w:hAnsi="楷体" w:eastAsia="楷体" w:cs="楷体"/>
                <w:b/>
                <w:sz w:val="24"/>
              </w:rPr>
              <w:t>评分细则</w:t>
            </w:r>
          </w:p>
        </w:tc>
        <w:tc>
          <w:tcPr>
            <w:tcW w:w="797" w:type="dxa"/>
            <w:tcBorders>
              <w:top w:val="single" w:color="000000" w:sz="12" w:space="0"/>
              <w:bottom w:val="single" w:color="000000" w:sz="4" w:space="0"/>
            </w:tcBorders>
            <w:shd w:val="clear" w:color="auto" w:fill="D9D9D9"/>
            <w:vAlign w:val="center"/>
          </w:tcPr>
          <w:p w14:paraId="72E356DE">
            <w:pPr>
              <w:widowControl/>
              <w:jc w:val="center"/>
              <w:rPr>
                <w:rFonts w:ascii="楷体" w:hAnsi="楷体" w:eastAsia="楷体" w:cs="楷体"/>
                <w:b/>
                <w:bCs/>
                <w:kern w:val="0"/>
                <w:sz w:val="24"/>
              </w:rPr>
            </w:pPr>
            <w:r>
              <w:rPr>
                <w:rFonts w:hint="eastAsia" w:ascii="楷体" w:hAnsi="楷体" w:eastAsia="楷体" w:cs="楷体"/>
                <w:b/>
                <w:bCs/>
                <w:kern w:val="0"/>
                <w:sz w:val="24"/>
              </w:rPr>
              <w:t>最高</w:t>
            </w:r>
          </w:p>
          <w:p w14:paraId="381DC137">
            <w:pPr>
              <w:jc w:val="center"/>
              <w:rPr>
                <w:rFonts w:ascii="楷体" w:hAnsi="楷体" w:eastAsia="楷体" w:cs="楷体"/>
                <w:sz w:val="24"/>
              </w:rPr>
            </w:pPr>
            <w:r>
              <w:rPr>
                <w:rFonts w:hint="eastAsia" w:ascii="楷体" w:hAnsi="楷体" w:eastAsia="楷体" w:cs="楷体"/>
                <w:b/>
                <w:bCs/>
                <w:kern w:val="0"/>
                <w:sz w:val="24"/>
              </w:rPr>
              <w:t>分值</w:t>
            </w:r>
          </w:p>
        </w:tc>
      </w:tr>
      <w:tr w14:paraId="4FACFC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4" w:space="0"/>
            </w:tcBorders>
            <w:vAlign w:val="center"/>
          </w:tcPr>
          <w:p w14:paraId="108F6160">
            <w:pPr>
              <w:jc w:val="center"/>
              <w:rPr>
                <w:rFonts w:ascii="楷体" w:hAnsi="楷体" w:eastAsia="楷体" w:cs="楷体"/>
                <w:sz w:val="24"/>
              </w:rPr>
            </w:pPr>
            <w:r>
              <w:rPr>
                <w:rFonts w:hint="eastAsia" w:ascii="楷体" w:hAnsi="楷体" w:eastAsia="楷体" w:cs="楷体"/>
                <w:sz w:val="24"/>
              </w:rPr>
              <w:t>1</w:t>
            </w:r>
          </w:p>
        </w:tc>
        <w:tc>
          <w:tcPr>
            <w:tcW w:w="907" w:type="dxa"/>
            <w:tcBorders>
              <w:top w:val="single" w:color="000000" w:sz="4" w:space="0"/>
            </w:tcBorders>
            <w:vAlign w:val="center"/>
          </w:tcPr>
          <w:p w14:paraId="7DB7AC57">
            <w:pPr>
              <w:snapToGrid w:val="0"/>
              <w:jc w:val="center"/>
              <w:rPr>
                <w:rFonts w:ascii="楷体" w:hAnsi="楷体" w:eastAsia="楷体" w:cs="楷体"/>
                <w:sz w:val="24"/>
              </w:rPr>
            </w:pPr>
            <w:r>
              <w:rPr>
                <w:rFonts w:hint="eastAsia" w:ascii="楷体" w:hAnsi="楷体" w:eastAsia="楷体" w:cs="楷体"/>
                <w:sz w:val="24"/>
              </w:rPr>
              <w:t>绿化养护及卫生保洁服务</w:t>
            </w:r>
          </w:p>
        </w:tc>
        <w:tc>
          <w:tcPr>
            <w:tcW w:w="6538" w:type="dxa"/>
            <w:tcBorders>
              <w:top w:val="single" w:color="000000" w:sz="4" w:space="0"/>
            </w:tcBorders>
            <w:vAlign w:val="center"/>
          </w:tcPr>
          <w:p w14:paraId="54FAC620">
            <w:pPr>
              <w:snapToGrid w:val="0"/>
              <w:spacing w:line="360" w:lineRule="auto"/>
              <w:rPr>
                <w:rFonts w:ascii="楷体" w:hAnsi="楷体" w:eastAsia="楷体" w:cs="楷体"/>
                <w:bCs/>
                <w:sz w:val="24"/>
              </w:rPr>
            </w:pPr>
            <w:r>
              <w:rPr>
                <w:rFonts w:hint="eastAsia" w:ascii="楷体" w:hAnsi="楷体" w:eastAsia="楷体" w:cs="楷体"/>
                <w:bCs/>
                <w:sz w:val="24"/>
              </w:rPr>
              <w:t>(1)以满足招标文件要求（通过资格性审查及符合性审查）的有效投标人的投标报价进行计算。</w:t>
            </w:r>
          </w:p>
          <w:p w14:paraId="563F5C20">
            <w:pPr>
              <w:snapToGrid w:val="0"/>
              <w:spacing w:line="360" w:lineRule="auto"/>
              <w:rPr>
                <w:rFonts w:ascii="楷体" w:hAnsi="楷体" w:eastAsia="楷体" w:cs="楷体"/>
                <w:bCs/>
                <w:sz w:val="24"/>
              </w:rPr>
            </w:pPr>
            <w:r>
              <w:rPr>
                <w:rFonts w:hint="eastAsia" w:ascii="楷体" w:hAnsi="楷体" w:eastAsia="楷体" w:cs="楷体"/>
                <w:bCs/>
                <w:sz w:val="24"/>
              </w:rPr>
              <w:t>(2)以有效评标价算术平均值为基准价。</w:t>
            </w:r>
          </w:p>
          <w:p w14:paraId="71C5A4CE">
            <w:pPr>
              <w:snapToGrid w:val="0"/>
              <w:spacing w:line="360" w:lineRule="auto"/>
              <w:rPr>
                <w:rFonts w:ascii="楷体" w:hAnsi="楷体" w:eastAsia="楷体" w:cs="楷体"/>
                <w:bCs/>
                <w:sz w:val="24"/>
              </w:rPr>
            </w:pPr>
            <w:r>
              <w:rPr>
                <w:rFonts w:hint="eastAsia" w:ascii="楷体" w:hAnsi="楷体" w:eastAsia="楷体" w:cs="楷体"/>
                <w:bCs/>
                <w:sz w:val="24"/>
              </w:rPr>
              <w:t>(3)价格评审用以下方式进行计算</w:t>
            </w:r>
          </w:p>
          <w:p w14:paraId="33B42527">
            <w:pPr>
              <w:snapToGrid w:val="0"/>
              <w:spacing w:line="360" w:lineRule="auto"/>
              <w:rPr>
                <w:rFonts w:ascii="楷体" w:hAnsi="楷体" w:eastAsia="楷体" w:cs="楷体"/>
                <w:bCs/>
                <w:sz w:val="24"/>
              </w:rPr>
            </w:pPr>
            <w:r>
              <w:rPr>
                <w:rFonts w:hint="eastAsia" w:ascii="楷体" w:hAnsi="楷体" w:eastAsia="楷体" w:cs="楷体"/>
                <w:bCs/>
                <w:sz w:val="24"/>
              </w:rPr>
              <w:t>①投标报价等于基准价的得20分；</w:t>
            </w:r>
          </w:p>
          <w:p w14:paraId="3B9366F6">
            <w:pPr>
              <w:snapToGrid w:val="0"/>
              <w:spacing w:line="360" w:lineRule="auto"/>
              <w:rPr>
                <w:rFonts w:ascii="楷体" w:hAnsi="楷体" w:eastAsia="楷体" w:cs="楷体"/>
                <w:bCs/>
                <w:sz w:val="24"/>
              </w:rPr>
            </w:pPr>
            <w:r>
              <w:rPr>
                <w:rFonts w:hint="eastAsia" w:ascii="楷体" w:hAnsi="楷体" w:eastAsia="楷体" w:cs="楷体"/>
                <w:bCs/>
                <w:sz w:val="24"/>
              </w:rPr>
              <w:t>②投标报价高于基准价的，每高于1个百分点扣0.5分。</w:t>
            </w:r>
          </w:p>
          <w:p w14:paraId="6E395382">
            <w:pPr>
              <w:snapToGrid w:val="0"/>
              <w:spacing w:line="360" w:lineRule="auto"/>
              <w:rPr>
                <w:rFonts w:ascii="楷体" w:hAnsi="楷体" w:eastAsia="楷体" w:cs="楷体"/>
                <w:bCs/>
                <w:sz w:val="24"/>
              </w:rPr>
            </w:pPr>
            <w:r>
              <w:rPr>
                <w:rFonts w:hint="eastAsia" w:ascii="楷体" w:hAnsi="楷体" w:eastAsia="楷体" w:cs="楷体"/>
                <w:bCs/>
                <w:sz w:val="24"/>
              </w:rPr>
              <w:t>价格得分=20-|评标总价-评标基准价|/评标基准价*50</w:t>
            </w:r>
          </w:p>
          <w:p w14:paraId="730D10B0">
            <w:pPr>
              <w:snapToGrid w:val="0"/>
              <w:spacing w:line="360" w:lineRule="auto"/>
              <w:rPr>
                <w:rFonts w:ascii="楷体" w:hAnsi="楷体" w:eastAsia="楷体" w:cs="楷体"/>
                <w:bCs/>
                <w:sz w:val="24"/>
              </w:rPr>
            </w:pPr>
            <w:r>
              <w:rPr>
                <w:rFonts w:hint="eastAsia" w:ascii="楷体" w:hAnsi="楷体" w:eastAsia="楷体" w:cs="楷体"/>
                <w:bCs/>
                <w:sz w:val="24"/>
              </w:rPr>
              <w:t>③投标报价低于基准价的，每低于1个百分点扣0.25分。</w:t>
            </w:r>
          </w:p>
          <w:p w14:paraId="732D5C92">
            <w:pPr>
              <w:snapToGrid w:val="0"/>
              <w:spacing w:line="360" w:lineRule="auto"/>
              <w:rPr>
                <w:rFonts w:ascii="楷体" w:hAnsi="楷体" w:eastAsia="楷体" w:cs="楷体"/>
                <w:bCs/>
                <w:sz w:val="24"/>
              </w:rPr>
            </w:pPr>
            <w:r>
              <w:rPr>
                <w:rFonts w:hint="eastAsia" w:ascii="楷体" w:hAnsi="楷体" w:eastAsia="楷体" w:cs="楷体"/>
                <w:bCs/>
                <w:sz w:val="24"/>
              </w:rPr>
              <w:t>价格得分=20-|评标总价-评标基准价|/评标基准价*25</w:t>
            </w:r>
          </w:p>
          <w:p w14:paraId="6D3CFC74">
            <w:pPr>
              <w:snapToGrid w:val="0"/>
              <w:spacing w:line="360" w:lineRule="auto"/>
              <w:rPr>
                <w:rFonts w:ascii="楷体" w:hAnsi="楷体" w:eastAsia="楷体" w:cs="楷体"/>
                <w:bCs/>
                <w:sz w:val="24"/>
              </w:rPr>
            </w:pPr>
            <w:r>
              <w:rPr>
                <w:rFonts w:hint="eastAsia" w:ascii="楷体" w:hAnsi="楷体" w:eastAsia="楷体" w:cs="楷体"/>
                <w:bCs/>
                <w:sz w:val="24"/>
              </w:rPr>
              <w:t>不为1%整数倍数的按比例计算，百分率四舍五入取小数点后2位，最终分值精确到小数点后二位，由评标委员会当场统一计算。</w:t>
            </w:r>
          </w:p>
        </w:tc>
        <w:tc>
          <w:tcPr>
            <w:tcW w:w="797" w:type="dxa"/>
            <w:tcBorders>
              <w:top w:val="single" w:color="000000" w:sz="4" w:space="0"/>
            </w:tcBorders>
            <w:vAlign w:val="center"/>
          </w:tcPr>
          <w:p w14:paraId="5F593C34">
            <w:pPr>
              <w:jc w:val="center"/>
              <w:rPr>
                <w:rFonts w:ascii="楷体" w:hAnsi="楷体" w:eastAsia="楷体" w:cs="楷体"/>
                <w:sz w:val="24"/>
              </w:rPr>
            </w:pPr>
            <w:r>
              <w:rPr>
                <w:rFonts w:hint="eastAsia" w:ascii="楷体" w:hAnsi="楷体" w:eastAsia="楷体" w:cs="楷体"/>
                <w:sz w:val="24"/>
              </w:rPr>
              <w:t>20</w:t>
            </w:r>
          </w:p>
        </w:tc>
      </w:tr>
      <w:tr w14:paraId="17D240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4" w:space="0"/>
            </w:tcBorders>
            <w:vAlign w:val="center"/>
          </w:tcPr>
          <w:p w14:paraId="1A0AA141">
            <w:pPr>
              <w:jc w:val="center"/>
              <w:rPr>
                <w:rFonts w:ascii="楷体" w:hAnsi="楷体" w:eastAsia="楷体" w:cs="楷体"/>
                <w:sz w:val="24"/>
              </w:rPr>
            </w:pPr>
            <w:r>
              <w:rPr>
                <w:rFonts w:hint="eastAsia" w:ascii="楷体" w:hAnsi="楷体" w:eastAsia="楷体" w:cs="楷体"/>
                <w:sz w:val="24"/>
              </w:rPr>
              <w:t>2</w:t>
            </w:r>
          </w:p>
        </w:tc>
        <w:tc>
          <w:tcPr>
            <w:tcW w:w="907" w:type="dxa"/>
            <w:tcBorders>
              <w:top w:val="single" w:color="000000" w:sz="4" w:space="0"/>
            </w:tcBorders>
            <w:vAlign w:val="center"/>
          </w:tcPr>
          <w:p w14:paraId="5A52A22B">
            <w:pPr>
              <w:snapToGrid w:val="0"/>
              <w:jc w:val="center"/>
              <w:rPr>
                <w:rFonts w:ascii="楷体" w:hAnsi="楷体" w:eastAsia="楷体" w:cs="楷体"/>
                <w:sz w:val="24"/>
              </w:rPr>
            </w:pPr>
            <w:r>
              <w:rPr>
                <w:rFonts w:hint="eastAsia" w:ascii="楷体" w:hAnsi="楷体" w:eastAsia="楷体" w:cs="楷体"/>
                <w:sz w:val="24"/>
              </w:rPr>
              <w:t>新增绿化种植、局部绿化补种服务</w:t>
            </w:r>
          </w:p>
        </w:tc>
        <w:tc>
          <w:tcPr>
            <w:tcW w:w="6538" w:type="dxa"/>
            <w:tcBorders>
              <w:top w:val="single" w:color="000000" w:sz="4" w:space="0"/>
            </w:tcBorders>
            <w:vAlign w:val="center"/>
          </w:tcPr>
          <w:p w14:paraId="46C5C8F5">
            <w:pPr>
              <w:snapToGrid w:val="0"/>
              <w:spacing w:line="360" w:lineRule="auto"/>
              <w:rPr>
                <w:rFonts w:ascii="楷体" w:hAnsi="楷体" w:eastAsia="楷体" w:cs="楷体"/>
                <w:bCs/>
                <w:sz w:val="24"/>
              </w:rPr>
            </w:pPr>
            <w:r>
              <w:rPr>
                <w:rFonts w:hint="eastAsia" w:ascii="楷体" w:hAnsi="楷体" w:eastAsia="楷体" w:cs="楷体"/>
                <w:bCs/>
                <w:sz w:val="24"/>
              </w:rPr>
              <w:t>(1)以满足招标文件要求（通过资格性审查及符合性审查）的有效投标人的投标报价进行计算。</w:t>
            </w:r>
          </w:p>
          <w:p w14:paraId="61D2815E">
            <w:pPr>
              <w:snapToGrid w:val="0"/>
              <w:spacing w:line="360" w:lineRule="auto"/>
              <w:rPr>
                <w:rFonts w:ascii="楷体" w:hAnsi="楷体" w:eastAsia="楷体" w:cs="楷体"/>
                <w:bCs/>
                <w:sz w:val="24"/>
              </w:rPr>
            </w:pPr>
            <w:r>
              <w:rPr>
                <w:rFonts w:hint="eastAsia" w:ascii="楷体" w:hAnsi="楷体" w:eastAsia="楷体" w:cs="楷体"/>
                <w:bCs/>
                <w:sz w:val="24"/>
              </w:rPr>
              <w:t>(2)以有效评标价算术平均值为基准价。</w:t>
            </w:r>
          </w:p>
          <w:p w14:paraId="13960247">
            <w:pPr>
              <w:snapToGrid w:val="0"/>
              <w:spacing w:line="360" w:lineRule="auto"/>
              <w:rPr>
                <w:rFonts w:ascii="楷体" w:hAnsi="楷体" w:eastAsia="楷体" w:cs="楷体"/>
                <w:bCs/>
                <w:sz w:val="24"/>
              </w:rPr>
            </w:pPr>
            <w:r>
              <w:rPr>
                <w:rFonts w:hint="eastAsia" w:ascii="楷体" w:hAnsi="楷体" w:eastAsia="楷体" w:cs="楷体"/>
                <w:bCs/>
                <w:sz w:val="24"/>
              </w:rPr>
              <w:t>(3)价格评审用以下方式进行计算</w:t>
            </w:r>
          </w:p>
          <w:p w14:paraId="0D2DCE2E">
            <w:pPr>
              <w:snapToGrid w:val="0"/>
              <w:spacing w:line="360" w:lineRule="auto"/>
              <w:rPr>
                <w:rFonts w:ascii="楷体" w:hAnsi="楷体" w:eastAsia="楷体" w:cs="楷体"/>
                <w:bCs/>
                <w:sz w:val="24"/>
              </w:rPr>
            </w:pPr>
            <w:r>
              <w:rPr>
                <w:rFonts w:hint="eastAsia" w:ascii="楷体" w:hAnsi="楷体" w:eastAsia="楷体" w:cs="楷体"/>
                <w:bCs/>
                <w:sz w:val="24"/>
              </w:rPr>
              <w:t>①投标报价等于基准价的得10分；</w:t>
            </w:r>
          </w:p>
          <w:p w14:paraId="0D32D70A">
            <w:pPr>
              <w:snapToGrid w:val="0"/>
              <w:spacing w:line="360" w:lineRule="auto"/>
              <w:rPr>
                <w:rFonts w:ascii="楷体" w:hAnsi="楷体" w:eastAsia="楷体" w:cs="楷体"/>
                <w:bCs/>
                <w:sz w:val="24"/>
              </w:rPr>
            </w:pPr>
            <w:r>
              <w:rPr>
                <w:rFonts w:hint="eastAsia" w:ascii="楷体" w:hAnsi="楷体" w:eastAsia="楷体" w:cs="楷体"/>
                <w:bCs/>
                <w:sz w:val="24"/>
              </w:rPr>
              <w:t>②投标报价高于基准价的，每高于1个百分点扣0.5分。</w:t>
            </w:r>
          </w:p>
          <w:p w14:paraId="3D435384">
            <w:pPr>
              <w:snapToGrid w:val="0"/>
              <w:spacing w:line="360" w:lineRule="auto"/>
              <w:rPr>
                <w:rFonts w:ascii="楷体" w:hAnsi="楷体" w:eastAsia="楷体" w:cs="楷体"/>
                <w:bCs/>
                <w:sz w:val="24"/>
              </w:rPr>
            </w:pPr>
            <w:r>
              <w:rPr>
                <w:rFonts w:hint="eastAsia" w:ascii="楷体" w:hAnsi="楷体" w:eastAsia="楷体" w:cs="楷体"/>
                <w:bCs/>
                <w:sz w:val="24"/>
              </w:rPr>
              <w:t>价格得分=10-|评标总价-评标基准价|/评标基准价*50</w:t>
            </w:r>
          </w:p>
          <w:p w14:paraId="14DFE96B">
            <w:pPr>
              <w:snapToGrid w:val="0"/>
              <w:spacing w:line="360" w:lineRule="auto"/>
              <w:rPr>
                <w:rFonts w:ascii="楷体" w:hAnsi="楷体" w:eastAsia="楷体" w:cs="楷体"/>
                <w:bCs/>
                <w:sz w:val="24"/>
              </w:rPr>
            </w:pPr>
            <w:r>
              <w:rPr>
                <w:rFonts w:hint="eastAsia" w:ascii="楷体" w:hAnsi="楷体" w:eastAsia="楷体" w:cs="楷体"/>
                <w:bCs/>
                <w:sz w:val="24"/>
              </w:rPr>
              <w:t>③投标报价低于基准价的，每低于1个百分点扣0.25分。</w:t>
            </w:r>
          </w:p>
          <w:p w14:paraId="0E6FCCCF">
            <w:pPr>
              <w:snapToGrid w:val="0"/>
              <w:spacing w:line="360" w:lineRule="auto"/>
              <w:rPr>
                <w:rFonts w:ascii="楷体" w:hAnsi="楷体" w:eastAsia="楷体" w:cs="楷体"/>
                <w:bCs/>
                <w:sz w:val="24"/>
              </w:rPr>
            </w:pPr>
            <w:r>
              <w:rPr>
                <w:rFonts w:hint="eastAsia" w:ascii="楷体" w:hAnsi="楷体" w:eastAsia="楷体" w:cs="楷体"/>
                <w:bCs/>
                <w:sz w:val="24"/>
              </w:rPr>
              <w:t>价格得分=10-|评标总价-评标基准价|/评标基准价*25</w:t>
            </w:r>
          </w:p>
          <w:p w14:paraId="5DCCB5C7">
            <w:pPr>
              <w:snapToGrid w:val="0"/>
              <w:spacing w:line="360" w:lineRule="auto"/>
              <w:rPr>
                <w:rFonts w:ascii="楷体" w:hAnsi="楷体" w:eastAsia="楷体" w:cs="楷体"/>
                <w:bCs/>
                <w:sz w:val="24"/>
              </w:rPr>
            </w:pPr>
            <w:r>
              <w:rPr>
                <w:rFonts w:hint="eastAsia" w:ascii="楷体" w:hAnsi="楷体" w:eastAsia="楷体" w:cs="楷体"/>
                <w:bCs/>
                <w:sz w:val="24"/>
              </w:rPr>
              <w:t>不为1%整数倍数的按比例计算，百分率四舍五入取小数点后2位，最终分值精确到小数点后二位，由评标委员会当场统一计算。</w:t>
            </w:r>
          </w:p>
        </w:tc>
        <w:tc>
          <w:tcPr>
            <w:tcW w:w="797" w:type="dxa"/>
            <w:tcBorders>
              <w:top w:val="single" w:color="000000" w:sz="4" w:space="0"/>
            </w:tcBorders>
            <w:vAlign w:val="center"/>
          </w:tcPr>
          <w:p w14:paraId="662BF992">
            <w:pPr>
              <w:jc w:val="center"/>
              <w:rPr>
                <w:rFonts w:ascii="楷体" w:hAnsi="楷体" w:eastAsia="楷体" w:cs="楷体"/>
                <w:sz w:val="24"/>
              </w:rPr>
            </w:pPr>
            <w:r>
              <w:rPr>
                <w:rFonts w:hint="eastAsia" w:ascii="楷体" w:hAnsi="楷体" w:eastAsia="楷体" w:cs="楷体"/>
                <w:sz w:val="24"/>
              </w:rPr>
              <w:t>10</w:t>
            </w:r>
          </w:p>
        </w:tc>
      </w:tr>
      <w:tr w14:paraId="5A5BA8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14" w:type="dxa"/>
            <w:gridSpan w:val="3"/>
            <w:tcBorders>
              <w:top w:val="single" w:color="000000" w:sz="4" w:space="0"/>
            </w:tcBorders>
            <w:shd w:val="clear" w:color="auto" w:fill="D7D7D7" w:themeFill="background1" w:themeFillShade="D8"/>
            <w:vAlign w:val="center"/>
          </w:tcPr>
          <w:p w14:paraId="5E47BC8C">
            <w:pPr>
              <w:jc w:val="center"/>
              <w:rPr>
                <w:rFonts w:ascii="楷体" w:hAnsi="楷体" w:eastAsia="楷体" w:cs="楷体"/>
                <w:b/>
                <w:sz w:val="24"/>
              </w:rPr>
            </w:pPr>
            <w:r>
              <w:rPr>
                <w:rFonts w:hint="eastAsia" w:ascii="楷体" w:hAnsi="楷体" w:eastAsia="楷体" w:cs="楷体"/>
                <w:b/>
                <w:sz w:val="24"/>
              </w:rPr>
              <w:t>合计</w:t>
            </w:r>
          </w:p>
        </w:tc>
        <w:tc>
          <w:tcPr>
            <w:tcW w:w="797" w:type="dxa"/>
            <w:tcBorders>
              <w:top w:val="single" w:color="000000" w:sz="4" w:space="0"/>
            </w:tcBorders>
            <w:shd w:val="clear" w:color="auto" w:fill="D7D7D7" w:themeFill="background1" w:themeFillShade="D8"/>
            <w:vAlign w:val="center"/>
          </w:tcPr>
          <w:p w14:paraId="0ED57D44">
            <w:pPr>
              <w:jc w:val="center"/>
              <w:rPr>
                <w:rFonts w:ascii="楷体" w:hAnsi="楷体" w:eastAsia="楷体" w:cs="楷体"/>
                <w:b/>
                <w:sz w:val="24"/>
              </w:rPr>
            </w:pPr>
            <w:r>
              <w:rPr>
                <w:rFonts w:hint="eastAsia" w:ascii="楷体" w:hAnsi="楷体" w:eastAsia="楷体" w:cs="楷体"/>
                <w:b/>
                <w:sz w:val="24"/>
              </w:rPr>
              <w:t>30分</w:t>
            </w:r>
          </w:p>
        </w:tc>
      </w:tr>
    </w:tbl>
    <w:p w14:paraId="31CCB9E9">
      <w:pPr>
        <w:adjustRightInd w:val="0"/>
        <w:snapToGrid w:val="0"/>
      </w:pPr>
    </w:p>
    <w:p w14:paraId="6A8FF72C">
      <w:pPr>
        <w:pStyle w:val="23"/>
        <w:adjustRightInd w:val="0"/>
        <w:snapToGrid w:val="0"/>
        <w:spacing w:line="360" w:lineRule="auto"/>
        <w:ind w:firstLine="0" w:firstLineChars="0"/>
        <w:rPr>
          <w:rFonts w:ascii="楷体" w:hAnsi="楷体" w:eastAsia="楷体" w:cs="楷体"/>
          <w:b/>
          <w:bCs/>
          <w:color w:val="000000" w:themeColor="text1"/>
          <w:sz w:val="26"/>
          <w:szCs w:val="26"/>
          <w14:textFill>
            <w14:solidFill>
              <w14:schemeClr w14:val="tx1"/>
            </w14:solidFill>
          </w14:textFill>
        </w:rPr>
      </w:pPr>
      <w:r>
        <w:rPr>
          <w:rFonts w:hint="eastAsia" w:ascii="楷体" w:hAnsi="楷体" w:eastAsia="楷体" w:cs="楷体"/>
          <w:b/>
          <w:bCs/>
          <w:color w:val="000000" w:themeColor="text1"/>
          <w:sz w:val="26"/>
          <w:szCs w:val="26"/>
          <w14:textFill>
            <w14:solidFill>
              <w14:schemeClr w14:val="tx1"/>
            </w14:solidFill>
          </w14:textFill>
        </w:rPr>
        <w:t>价格评定得分=绿化养护及卫生保洁服务投标报价得分+新增绿化种植、局部绿化补种服务投标报价得分</w:t>
      </w:r>
    </w:p>
    <w:p w14:paraId="71CD200E">
      <w:pPr>
        <w:pStyle w:val="24"/>
        <w:rPr>
          <w:rFonts w:hint="default" w:ascii="楷体" w:hAnsi="楷体" w:eastAsia="楷体" w:cs="楷体"/>
          <w:color w:val="000000" w:themeColor="text1"/>
          <w:sz w:val="26"/>
          <w:szCs w:val="26"/>
          <w14:textFill>
            <w14:solidFill>
              <w14:schemeClr w14:val="tx1"/>
            </w14:solidFill>
          </w14:textFill>
        </w:rPr>
      </w:pPr>
    </w:p>
    <w:p w14:paraId="59428FB7">
      <w:pPr>
        <w:pStyle w:val="24"/>
        <w:rPr>
          <w:rFonts w:hint="default" w:ascii="楷体" w:hAnsi="楷体" w:eastAsia="楷体" w:cs="楷体"/>
          <w:color w:val="000000" w:themeColor="text1"/>
          <w:sz w:val="26"/>
          <w:szCs w:val="26"/>
          <w14:textFill>
            <w14:solidFill>
              <w14:schemeClr w14:val="tx1"/>
            </w14:solidFill>
          </w14:textFill>
        </w:rPr>
      </w:pPr>
    </w:p>
    <w:p w14:paraId="4B7A74D2">
      <w:pPr>
        <w:pStyle w:val="24"/>
        <w:rPr>
          <w:rFonts w:hint="default" w:ascii="楷体" w:hAnsi="楷体" w:eastAsia="楷体" w:cs="楷体"/>
          <w:color w:val="000000" w:themeColor="text1"/>
          <w:sz w:val="26"/>
          <w:szCs w:val="26"/>
          <w14:textFill>
            <w14:solidFill>
              <w14:schemeClr w14:val="tx1"/>
            </w14:solidFill>
          </w14:textFill>
        </w:rPr>
      </w:pPr>
    </w:p>
    <w:p w14:paraId="1A691469">
      <w:pPr>
        <w:pStyle w:val="4"/>
        <w:adjustRightInd w:val="0"/>
        <w:snapToGrid w:val="0"/>
        <w:spacing w:before="5280" w:beforeLines="2200" w:after="5280" w:afterLines="2200" w:line="240" w:lineRule="auto"/>
        <w:jc w:val="center"/>
        <w:rPr>
          <w:rFonts w:ascii="楷体" w:hAnsi="楷体" w:eastAsia="楷体" w:cs="楷体"/>
        </w:rPr>
      </w:pPr>
    </w:p>
    <w:p w14:paraId="42EA52C8">
      <w:pPr>
        <w:pStyle w:val="4"/>
        <w:adjustRightInd w:val="0"/>
        <w:snapToGrid w:val="0"/>
        <w:spacing w:before="5280" w:beforeLines="2200" w:after="5280" w:afterLines="2200" w:line="240" w:lineRule="auto"/>
        <w:jc w:val="center"/>
        <w:rPr>
          <w:rFonts w:ascii="楷体" w:hAnsi="楷体" w:eastAsia="楷体" w:cs="楷体"/>
        </w:rPr>
      </w:pPr>
      <w:r>
        <w:rPr>
          <w:rFonts w:hint="eastAsia" w:ascii="楷体" w:hAnsi="楷体" w:eastAsia="楷体" w:cs="楷体"/>
        </w:rPr>
        <w:t>第四章用户需求书</w:t>
      </w:r>
      <w:bookmarkEnd w:id="298"/>
      <w:bookmarkEnd w:id="299"/>
      <w:bookmarkEnd w:id="300"/>
      <w:bookmarkEnd w:id="301"/>
      <w:bookmarkEnd w:id="302"/>
      <w:bookmarkEnd w:id="303"/>
    </w:p>
    <w:p w14:paraId="6099D7EF">
      <w:pPr>
        <w:widowControl/>
        <w:spacing w:before="240" w:beforeLines="100" w:after="240" w:afterLines="100" w:line="360" w:lineRule="auto"/>
        <w:jc w:val="center"/>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用户需求书</w:t>
      </w:r>
    </w:p>
    <w:p w14:paraId="21624E3B">
      <w:pPr>
        <w:adjustRightInd w:val="0"/>
        <w:snapToGrid w:val="0"/>
        <w:spacing w:line="360" w:lineRule="auto"/>
        <w:ind w:firstLine="480" w:firstLineChars="200"/>
        <w:rPr>
          <w:rFonts w:ascii="楷体" w:hAnsi="楷体" w:eastAsia="楷体" w:cs="楷体"/>
          <w:sz w:val="24"/>
        </w:rPr>
      </w:pPr>
      <w:bookmarkStart w:id="304" w:name="_Toc31787"/>
      <w:bookmarkStart w:id="305" w:name="_Toc7134"/>
      <w:r>
        <w:rPr>
          <w:rFonts w:hint="eastAsia" w:ascii="楷体" w:hAnsi="楷体" w:eastAsia="楷体" w:cs="楷体"/>
          <w:sz w:val="24"/>
        </w:rPr>
        <w:t>一、项目一览表</w:t>
      </w:r>
    </w:p>
    <w:tbl>
      <w:tblPr>
        <w:tblStyle w:val="44"/>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2958"/>
        <w:gridCol w:w="2884"/>
      </w:tblGrid>
      <w:tr w14:paraId="326E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2912" w:type="dxa"/>
            <w:vAlign w:val="center"/>
          </w:tcPr>
          <w:p w14:paraId="0B10C2B4">
            <w:pPr>
              <w:adjustRightInd w:val="0"/>
              <w:snapToGrid w:val="0"/>
              <w:spacing w:line="360" w:lineRule="auto"/>
              <w:jc w:val="center"/>
              <w:rPr>
                <w:rFonts w:ascii="楷体" w:hAnsi="楷体" w:eastAsia="楷体" w:cs="楷体"/>
                <w:sz w:val="24"/>
              </w:rPr>
            </w:pPr>
            <w:r>
              <w:rPr>
                <w:rFonts w:hint="eastAsia" w:ascii="楷体" w:hAnsi="楷体" w:eastAsia="楷体" w:cs="楷体"/>
                <w:sz w:val="24"/>
              </w:rPr>
              <w:t>服务内容</w:t>
            </w:r>
          </w:p>
        </w:tc>
        <w:tc>
          <w:tcPr>
            <w:tcW w:w="2958" w:type="dxa"/>
            <w:vAlign w:val="center"/>
          </w:tcPr>
          <w:p w14:paraId="55D82F2B">
            <w:pPr>
              <w:adjustRightInd w:val="0"/>
              <w:snapToGrid w:val="0"/>
              <w:spacing w:line="360" w:lineRule="auto"/>
              <w:jc w:val="center"/>
              <w:rPr>
                <w:rFonts w:ascii="楷体" w:hAnsi="楷体" w:eastAsia="楷体" w:cs="楷体"/>
                <w:sz w:val="24"/>
              </w:rPr>
            </w:pPr>
            <w:r>
              <w:rPr>
                <w:rFonts w:hint="eastAsia" w:ascii="楷体" w:hAnsi="楷体" w:eastAsia="楷体" w:cs="楷体"/>
                <w:sz w:val="24"/>
              </w:rPr>
              <w:t>服务期</w:t>
            </w:r>
          </w:p>
        </w:tc>
        <w:tc>
          <w:tcPr>
            <w:tcW w:w="2884" w:type="dxa"/>
            <w:tcBorders>
              <w:bottom w:val="single" w:color="auto" w:sz="4" w:space="0"/>
            </w:tcBorders>
            <w:vAlign w:val="center"/>
          </w:tcPr>
          <w:p w14:paraId="00E7E477">
            <w:pPr>
              <w:adjustRightInd w:val="0"/>
              <w:snapToGrid w:val="0"/>
              <w:spacing w:line="360" w:lineRule="auto"/>
              <w:jc w:val="center"/>
              <w:rPr>
                <w:rFonts w:ascii="楷体" w:hAnsi="楷体" w:eastAsia="楷体" w:cs="楷体"/>
                <w:sz w:val="24"/>
              </w:rPr>
            </w:pPr>
            <w:r>
              <w:rPr>
                <w:rFonts w:hint="eastAsia" w:ascii="楷体" w:hAnsi="楷体" w:eastAsia="楷体" w:cs="楷体"/>
                <w:sz w:val="24"/>
              </w:rPr>
              <w:t>最高单价限价</w:t>
            </w:r>
          </w:p>
        </w:tc>
      </w:tr>
      <w:tr w14:paraId="517F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912" w:type="dxa"/>
            <w:vAlign w:val="center"/>
          </w:tcPr>
          <w:p w14:paraId="59C65EEC">
            <w:pPr>
              <w:adjustRightInd w:val="0"/>
              <w:snapToGrid w:val="0"/>
              <w:spacing w:line="360" w:lineRule="auto"/>
              <w:jc w:val="center"/>
              <w:rPr>
                <w:rFonts w:ascii="楷体" w:hAnsi="楷体" w:eastAsia="楷体" w:cs="楷体"/>
                <w:sz w:val="24"/>
              </w:rPr>
            </w:pPr>
            <w:r>
              <w:rPr>
                <w:rFonts w:hint="eastAsia" w:ascii="楷体" w:hAnsi="楷体" w:eastAsia="楷体" w:cs="楷体"/>
                <w:sz w:val="24"/>
              </w:rPr>
              <w:t>绿化养护及卫生保洁服务</w:t>
            </w:r>
          </w:p>
        </w:tc>
        <w:tc>
          <w:tcPr>
            <w:tcW w:w="2958" w:type="dxa"/>
            <w:tcBorders>
              <w:right w:val="single" w:color="auto" w:sz="4" w:space="0"/>
            </w:tcBorders>
            <w:vAlign w:val="center"/>
          </w:tcPr>
          <w:p w14:paraId="0C068AFD">
            <w:pPr>
              <w:adjustRightInd w:val="0"/>
              <w:snapToGrid w:val="0"/>
              <w:spacing w:line="360" w:lineRule="auto"/>
              <w:jc w:val="center"/>
              <w:rPr>
                <w:rFonts w:ascii="楷体" w:hAnsi="楷体" w:eastAsia="楷体" w:cs="楷体"/>
                <w:sz w:val="24"/>
              </w:rPr>
            </w:pPr>
            <w:r>
              <w:rPr>
                <w:rFonts w:hint="eastAsia" w:ascii="楷体" w:hAnsi="楷体" w:eastAsia="楷体" w:cs="楷体"/>
                <w:sz w:val="24"/>
              </w:rPr>
              <w:t>合同签订之日起三年</w:t>
            </w:r>
          </w:p>
        </w:tc>
        <w:tc>
          <w:tcPr>
            <w:tcW w:w="2884" w:type="dxa"/>
            <w:tcBorders>
              <w:top w:val="single" w:color="auto" w:sz="4" w:space="0"/>
              <w:left w:val="single" w:color="auto" w:sz="4" w:space="0"/>
              <w:bottom w:val="single" w:color="auto" w:sz="4" w:space="0"/>
              <w:right w:val="single" w:color="auto" w:sz="4" w:space="0"/>
            </w:tcBorders>
            <w:vAlign w:val="center"/>
          </w:tcPr>
          <w:p w14:paraId="5789CB27">
            <w:pPr>
              <w:adjustRightInd w:val="0"/>
              <w:snapToGrid w:val="0"/>
              <w:spacing w:line="360" w:lineRule="auto"/>
              <w:jc w:val="center"/>
              <w:rPr>
                <w:rFonts w:ascii="楷体" w:hAnsi="楷体" w:eastAsia="楷体" w:cs="楷体"/>
                <w:sz w:val="24"/>
              </w:rPr>
            </w:pPr>
            <w:r>
              <w:rPr>
                <w:rFonts w:hint="eastAsia" w:ascii="楷体" w:hAnsi="楷体" w:eastAsia="楷体" w:cs="楷体"/>
                <w:sz w:val="24"/>
              </w:rPr>
              <w:t>11万元/年</w:t>
            </w:r>
          </w:p>
        </w:tc>
      </w:tr>
      <w:tr w14:paraId="661B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2" w:type="dxa"/>
            <w:vAlign w:val="center"/>
          </w:tcPr>
          <w:p w14:paraId="4E6522D7">
            <w:pPr>
              <w:adjustRightInd w:val="0"/>
              <w:snapToGrid w:val="0"/>
              <w:spacing w:line="360" w:lineRule="auto"/>
              <w:jc w:val="center"/>
              <w:rPr>
                <w:rFonts w:ascii="楷体" w:hAnsi="楷体" w:eastAsia="楷体" w:cs="楷体"/>
                <w:sz w:val="24"/>
              </w:rPr>
            </w:pPr>
            <w:r>
              <w:rPr>
                <w:rFonts w:hint="eastAsia" w:ascii="楷体" w:hAnsi="楷体" w:eastAsia="楷体" w:cs="楷体"/>
                <w:sz w:val="24"/>
              </w:rPr>
              <w:t>新增绿化种植、局部绿化补种服务</w:t>
            </w:r>
          </w:p>
        </w:tc>
        <w:tc>
          <w:tcPr>
            <w:tcW w:w="2958" w:type="dxa"/>
            <w:vAlign w:val="center"/>
          </w:tcPr>
          <w:p w14:paraId="0B73E2BF">
            <w:pPr>
              <w:adjustRightInd w:val="0"/>
              <w:snapToGrid w:val="0"/>
              <w:spacing w:line="360" w:lineRule="auto"/>
              <w:jc w:val="center"/>
              <w:rPr>
                <w:rFonts w:ascii="楷体" w:hAnsi="楷体" w:eastAsia="楷体" w:cs="楷体"/>
                <w:sz w:val="24"/>
              </w:rPr>
            </w:pPr>
            <w:r>
              <w:rPr>
                <w:rFonts w:hint="eastAsia" w:ascii="楷体" w:hAnsi="楷体" w:eastAsia="楷体" w:cs="楷体"/>
                <w:sz w:val="24"/>
              </w:rPr>
              <w:t>合同签订之日起三年</w:t>
            </w:r>
          </w:p>
        </w:tc>
        <w:tc>
          <w:tcPr>
            <w:tcW w:w="2884" w:type="dxa"/>
            <w:tcBorders>
              <w:top w:val="single" w:color="auto" w:sz="4" w:space="0"/>
              <w:right w:val="single" w:color="auto" w:sz="4" w:space="0"/>
            </w:tcBorders>
            <w:vAlign w:val="center"/>
          </w:tcPr>
          <w:p w14:paraId="70B26D4D">
            <w:pPr>
              <w:adjustRightInd w:val="0"/>
              <w:snapToGrid w:val="0"/>
              <w:spacing w:line="360" w:lineRule="auto"/>
              <w:jc w:val="center"/>
              <w:rPr>
                <w:rFonts w:ascii="楷体" w:hAnsi="楷体" w:eastAsia="楷体" w:cs="楷体"/>
                <w:sz w:val="24"/>
              </w:rPr>
            </w:pPr>
            <w:r>
              <w:rPr>
                <w:rFonts w:hint="eastAsia" w:ascii="楷体" w:hAnsi="楷体" w:eastAsia="楷体" w:cs="楷体"/>
                <w:sz w:val="24"/>
              </w:rPr>
              <w:t>4万元</w:t>
            </w:r>
          </w:p>
        </w:tc>
      </w:tr>
      <w:tr w14:paraId="2720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4" w:type="dxa"/>
            <w:gridSpan w:val="3"/>
            <w:vAlign w:val="center"/>
          </w:tcPr>
          <w:p w14:paraId="07F754B3">
            <w:pPr>
              <w:adjustRightInd w:val="0"/>
              <w:snapToGrid w:val="0"/>
              <w:spacing w:line="360" w:lineRule="auto"/>
              <w:rPr>
                <w:rFonts w:ascii="楷体" w:hAnsi="楷体" w:eastAsia="楷体" w:cs="楷体"/>
                <w:sz w:val="24"/>
              </w:rPr>
            </w:pPr>
            <w:r>
              <w:rPr>
                <w:rFonts w:hint="eastAsia" w:ascii="楷体" w:hAnsi="楷体" w:eastAsia="楷体" w:cs="楷体"/>
                <w:sz w:val="24"/>
              </w:rPr>
              <w:t>备注：本项目服务期限为三年，项目预算总额37万元，不保证全部执行完，如遇结算总金额超合同金额，则合同提前终止。招标人在服务期内将对中标人的服务质量、产品质量等方面进行综合评价，若评价不合格，招标人有权终止服务合同。</w:t>
            </w:r>
          </w:p>
        </w:tc>
      </w:tr>
    </w:tbl>
    <w:p w14:paraId="45D5E4F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投标人必须对所投的全部内容进行投标报价，如有缺漏或超出限价金额，将导致投标无效。</w:t>
      </w:r>
    </w:p>
    <w:p w14:paraId="102CDD7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二、服务内容</w:t>
      </w:r>
    </w:p>
    <w:p w14:paraId="234A405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绿化养护及卫生保洁明细：广东烟草梅州市有限公司丰顺县分公司办公大楼绿化面积约为400㎡；潘田烟叶工作点绿化面积约为1200㎡；合计1600㎡。机关办公大楼室外场地卫生保洁面积约为2500㎡，室内面积约为5800㎡，潘田烟叶工作点室外场地卫生保洁面积约为2260㎡，室内面积约为1980㎡，合计    4240㎡。</w:t>
      </w:r>
    </w:p>
    <w:p w14:paraId="6CDF4FF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2.绿化养护范围包括行政办公大楼所有绿化植物、植被、花草和围墙外花带绿化植物以及潘田烟叶工作点所有绿化植物、植被、花草。</w:t>
      </w:r>
    </w:p>
    <w:p w14:paraId="0AB71A9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★3.卫生保洁包括机关大楼和潘田烟叶工作点内外所有场地保洁及清运；场地排水、排污管沟清理及清运。</w:t>
      </w:r>
    </w:p>
    <w:p w14:paraId="7B54F3A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★4.提供树木购置、人工和因新增种植造成的局部绿化补种以及经营业务用房室内绿植盆栽和养护等服务。新种植树木等绿化存活养护期为6个月，后续保存养护期以投标文件为准。</w:t>
      </w:r>
    </w:p>
    <w:p w14:paraId="4728284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三、服务要求及标准</w:t>
      </w:r>
    </w:p>
    <w:p w14:paraId="67961A2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★（一）绿化养护要求</w:t>
      </w:r>
    </w:p>
    <w:p w14:paraId="3A7227F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1.绿地草坪“八无”：无杂草、无杂树、无积水、无沙土、无垃圾、无纸屑、无烟头、无塑料袋；</w:t>
      </w:r>
    </w:p>
    <w:p w14:paraId="71C57B7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2.树木四无：无刻画、无挂贴、无干枝、无杂物；</w:t>
      </w:r>
    </w:p>
    <w:p w14:paraId="0115F96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围墙内绿化带除杂草、修剪，围墙外绿化带修剪，保持花灌木、绿篱的整洁及良好的形状和长势，及时清理绿化带内的枯枝落叶等。落叶乔木应在冬季或在次年萌芽前适时进行修枝整形，常绿乔木应在春季萌芽前适时进行大幅度的修枝整形，其余季节时期根据现场需要进行病虫枝、枯枝、内膛枝、平行枝等影响生长的枝条进行修剪即可；</w:t>
      </w:r>
    </w:p>
    <w:p w14:paraId="7873899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4.按各植物的特点及天气情况不定期进行浇水及施肥除虫，保证花草树木青绿茂盛，如有枯死、病死由中标人负责更换；</w:t>
      </w:r>
    </w:p>
    <w:p w14:paraId="6F263A7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5.及时清理枯草、落叶、干枝，保持绿地、路面的清洁、美观。</w:t>
      </w:r>
    </w:p>
    <w:p w14:paraId="3001100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6.协助对办公区域内的盆栽进行养护，及时浇水、施肥等。</w:t>
      </w:r>
    </w:p>
    <w:p w14:paraId="2275315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7.协助对经营业务用房室内摆放盆栽进行养护。</w:t>
      </w:r>
    </w:p>
    <w:p w14:paraId="78D2A3C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8.对于需要支撑或加固的树木，应及时采取措施，确保树木在恶劣天气条件下的安全和稳定。支撑和加固措施应符合相关安全标准，定期检查和维护。</w:t>
      </w:r>
    </w:p>
    <w:p w14:paraId="52232CD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★（二）养护标准</w:t>
      </w:r>
    </w:p>
    <w:p w14:paraId="75F104F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1.乔木养护管理标准</w:t>
      </w:r>
    </w:p>
    <w:p w14:paraId="12C4725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1)生长势正常，枝叶正常，无枯枝残叶；</w:t>
      </w:r>
    </w:p>
    <w:p w14:paraId="588FC8E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2)充分考虑树木与环境的关系，依据树龄及生长势强弱进行修剪；</w:t>
      </w:r>
    </w:p>
    <w:p w14:paraId="0430921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3)及时剪去干枯枝叶和病枝；</w:t>
      </w:r>
    </w:p>
    <w:p w14:paraId="06708CA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4)适时灌溉、施肥，对高龄树木进行复壮；</w:t>
      </w:r>
    </w:p>
    <w:p w14:paraId="326B64D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5)及时补植，力求苗木、规格等与原有的接近；</w:t>
      </w:r>
    </w:p>
    <w:p w14:paraId="3705068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6)病虫害防治，以防为主，精心管理，早发现早处理。</w:t>
      </w:r>
    </w:p>
    <w:p w14:paraId="619396A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2.花灌木养护管理标准</w:t>
      </w:r>
    </w:p>
    <w:p w14:paraId="6EB8B8E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1)生长势正常，无枯枝残叶；</w:t>
      </w:r>
    </w:p>
    <w:p w14:paraId="54646FC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2)造型美观，与环境协调；花灌木可适时开花，及时修剪残花败叶；</w:t>
      </w:r>
    </w:p>
    <w:p w14:paraId="78E43E4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3)根据生长及开花特性适时灌溉和施肥；</w:t>
      </w:r>
    </w:p>
    <w:p w14:paraId="06E8DC3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4)每季度适时除杂草；</w:t>
      </w:r>
    </w:p>
    <w:p w14:paraId="0FA3D38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5)及时补植，力求种类、规格等与原有的接近；</w:t>
      </w:r>
    </w:p>
    <w:p w14:paraId="6569796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6)病虫害防治，以防为主，精心管理，早发现早处理。</w:t>
      </w:r>
    </w:p>
    <w:p w14:paraId="0A8D28E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3.绿篱、色块养护管理标准</w:t>
      </w:r>
    </w:p>
    <w:p w14:paraId="680B63E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1)修剪应使轮廓清楚，线条整齐，按花木长势情况修剪；</w:t>
      </w:r>
    </w:p>
    <w:p w14:paraId="3560065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2)修剪后残留的枝叶应及时清除干净；</w:t>
      </w:r>
    </w:p>
    <w:p w14:paraId="5F7929B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3)适时灌溉和施肥、防治病虫害及杂草。</w:t>
      </w:r>
    </w:p>
    <w:p w14:paraId="0FB34F8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4.草坪养护管理标准</w:t>
      </w:r>
    </w:p>
    <w:p w14:paraId="7F044FD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1)根据立地条件和草坪的功能进行养护管理；</w:t>
      </w:r>
    </w:p>
    <w:p w14:paraId="0643F38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2)草坪草生长旺盛，生机勃勃，整齐雅观，覆盖率达≥90％，杂草率≤5％，绿期240天以上，无明显坑洼积水，裸露地及时补植／补种；</w:t>
      </w:r>
    </w:p>
    <w:p w14:paraId="5F8E0B4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3)根据不同草种的特性和观赏效果、使用方向，进行定期修剪，使草坪草的高度一致，边缘整齐；</w:t>
      </w:r>
    </w:p>
    <w:p w14:paraId="61C984B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4)草坪的留茬高度、修剪次数因草坪草种类、季节、环境等因素而定，切实遵守“1／3”原则；</w:t>
      </w:r>
    </w:p>
    <w:p w14:paraId="415067A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5)草坪灌溉应适时、适量，务必灌好返青水和越冬水；</w:t>
      </w:r>
    </w:p>
    <w:p w14:paraId="22055C0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6)草坪施肥时期、施肥量应根据草坪草的生长状况而定，施肥必须均匀，颗粒型追肥应及时灌水；</w:t>
      </w:r>
    </w:p>
    <w:p w14:paraId="1EC2C26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7)及时进行病虫害防治，清除杂草。</w:t>
      </w:r>
    </w:p>
    <w:p w14:paraId="2ACA442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5.办公区域、经营业务用房室内摆放盆栽养护管理标准</w:t>
      </w:r>
    </w:p>
    <w:p w14:paraId="1FF23D6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1)生长势正常，枝叶正常，无枯枝残叶。</w:t>
      </w:r>
    </w:p>
    <w:p w14:paraId="31A9D38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2)及时剪去干枯枝叶和病枝。</w:t>
      </w:r>
    </w:p>
    <w:p w14:paraId="4AA055C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3)适时松土、喷洒灌溉、施肥。</w:t>
      </w:r>
    </w:p>
    <w:p w14:paraId="7084051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★（三）卫生保洁要求</w:t>
      </w:r>
    </w:p>
    <w:p w14:paraId="39EFE1A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质量标准：绿化地带无杂草、无杂树、无积水、无沙土、无垃圾、无纸屑、无烟头、无塑料袋；树木无刻画、无挂贴、无干枝、无杂物；及时清理枯草、落叶、干枝，保持绿地、路面的清洁、美观。修剪下来的病枝、枯枝及相关垃圾及时清运，清运过程中保证垃圾不掉落路面，确保卫生要求。保持场地排水、排污管沟畅通；排水沟无杂物、杂草、垃圾和沙尘堵塞。</w:t>
      </w:r>
    </w:p>
    <w:p w14:paraId="0D39359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招标人有权指派专人定期或不定期按照合同提供的卫生保洁标准进行检查，如发现卫生不符合标准，招标人先以口头形式通知中标人管理人员立即整改，若不及时整改，再以书面形式通知中标人并视情况给予一定的经济处罚，处罚标准为每书面通知整改一次，罚当季度清洁服务费总额的2‰，直至终止合同。</w:t>
      </w:r>
    </w:p>
    <w:p w14:paraId="6934CA5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3.每天进行打扫，在重大节假日正常进行清扫保洁工作，如果招标人有突击任务或重要活动，需中标人协助，中标人应积极配合，适当增加人手，应招标人的要求清扫保洁。</w:t>
      </w:r>
    </w:p>
    <w:p w14:paraId="7E0B95E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所有的卫生保洁工具、设备、清洁剂等均由中标人提供。使用的清洁剂必须是正规工厂所生产的合格产品（注明品牌、产地、规格、价格），其产品质量必须达到国家有关质量和环保标准，严禁使用含强酸、强碱的清洁剂，严禁使用易燃、闪点低的清洁剂，如天那水、汽油等。</w:t>
      </w:r>
    </w:p>
    <w:p w14:paraId="661905E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四、双方责任与义务</w:t>
      </w:r>
    </w:p>
    <w:p w14:paraId="076BE910">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（一）招标人责任与义务</w:t>
      </w:r>
    </w:p>
    <w:p w14:paraId="1B020C2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1.有权监督、指导和考核中标人。</w:t>
      </w:r>
    </w:p>
    <w:p w14:paraId="0B6E820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2.协助和配合中标人搞好承包范围内的绿化管护、场地保洁工作。</w:t>
      </w:r>
    </w:p>
    <w:p w14:paraId="11677B1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3.不定期检查、按季度考核。</w:t>
      </w:r>
    </w:p>
    <w:p w14:paraId="54BF586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4.按约定支付承包费。</w:t>
      </w:r>
    </w:p>
    <w:p w14:paraId="25F0D80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5.因人力不可抗拒的自然灾害及非中标人人为造成的损坏或植物死亡的，由招标人出资补种。</w:t>
      </w:r>
    </w:p>
    <w:p w14:paraId="0FFDB48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6.招标人免费提供管护工作用房、绿化工作用水、用电。</w:t>
      </w:r>
    </w:p>
    <w:p w14:paraId="255B173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（二）中标人责任与义务</w:t>
      </w:r>
    </w:p>
    <w:p w14:paraId="14B3CD5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1.严格遵守招标人的相关管理规章制度。中标人使用的服务人员必须身体健康、仪容端正、品德良好，无违法犯罪记录。对在工作期间出现偷盗或其他违法违纪的人员应及时解聘。</w:t>
      </w:r>
    </w:p>
    <w:p w14:paraId="19B9BC8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2.按时、保质、保量地完成承包范围内的相关工作。</w:t>
      </w:r>
    </w:p>
    <w:p w14:paraId="0B7DAB7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3.种植一年以上已成活的树木、花草因中标人管护工作不力而造成死亡的由中标人负责出资补种。</w:t>
      </w:r>
    </w:p>
    <w:p w14:paraId="505FF0A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4.与招标人做好沟通、协调和配合工作，协助招标人做好重大节假日或需要布置的其他重要工作。</w:t>
      </w:r>
    </w:p>
    <w:p w14:paraId="4C20765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5.负责承包范围内的保洁，处理日常产生的垃圾。</w:t>
      </w:r>
    </w:p>
    <w:p w14:paraId="2E79DCA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6.负责承包范围内的农药、肥料等。所使用的药物必须经正规渠道供应。使用农药严格按操作规程和有关规定进行配比、用量正确，无药害产生。</w:t>
      </w:r>
    </w:p>
    <w:p w14:paraId="7435724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7.中标人在进行病虫防治及施肥项目工作时，必须通知招标人，招标人提前做好应对策略。</w:t>
      </w:r>
    </w:p>
    <w:p w14:paraId="1663E9A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8.中标人负责服务人员的培训。</w:t>
      </w:r>
    </w:p>
    <w:p w14:paraId="2F2ECA4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9.树立“安全第一”的思想，做好安全防护措施，中标人在合同期间因管护工作发生的人身伤亡等安全事故，一切由中标人负责，与招标人无关。</w:t>
      </w:r>
    </w:p>
    <w:p w14:paraId="0FB213F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10.合同期内，中标人因工作疏忽等原因，造成承包范围内的断枝、枯枝砸伤行人的，由中标人承担一切后果。</w:t>
      </w:r>
    </w:p>
    <w:p w14:paraId="0D2376E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11.中标人定期或不定期指派管理人员对保洁工作进行检查，并定期征求招标人对保洁工作的意见和建议，对存在的问题及时处理。</w:t>
      </w:r>
    </w:p>
    <w:p w14:paraId="479BD51D">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12.协助招标人检查、考核。</w:t>
      </w:r>
    </w:p>
    <w:p w14:paraId="7D9029B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五、报价要求</w:t>
      </w:r>
    </w:p>
    <w:p w14:paraId="68BB6FB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报价以人民币为计算单位，投标报价包含但不仅限于服务的成本费、税费、保险费、合理利润和所需的其他一切费用。如果中标人签署合同后，若因没有充分考虑所有涉及的费用事项，在报价工作中出现的任何遗漏，均由中标人承担，招标人将不再额外支付任何费用。</w:t>
      </w:r>
    </w:p>
    <w:p w14:paraId="0869E98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2.投标人需对项目整体进行投标报价，不得对项目部分内容进行投标报价，不得以任何方式转包或分包本项目。</w:t>
      </w:r>
    </w:p>
    <w:p w14:paraId="0C74432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14:paraId="5E9D4F9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六、付款方式</w:t>
      </w:r>
    </w:p>
    <w:p w14:paraId="429926B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合同期内，招标范围内绿化养护及卫生保洁服务按照中标金额费用由招标人每半年付给中标人，采取转账汇款方式给付至中标人提供的固定账户中，中标人需在每半年结束后向招标人提供正规合法的等额增值税专用发票及带中标人印章的半年结算清单。</w:t>
      </w:r>
    </w:p>
    <w:p w14:paraId="05CFEBE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2.购置树木、人工和因新增种植造成的局部绿化补种以及经营业务用房室内绿植盆栽等服务产生的费用另外按实结算。</w:t>
      </w:r>
    </w:p>
    <w:p w14:paraId="3CC30DE0">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3.招标人自收到上述全部结算资料及等额增值税专用发票之日起25个工作日内，根据合同有关约定，向中标人支付上半年的绿化养护及卫生保洁服务结算服务费。</w:t>
      </w:r>
    </w:p>
    <w:p w14:paraId="687FA6F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七、供应商不良行为管理</w:t>
      </w:r>
    </w:p>
    <w:p w14:paraId="2E5BBE6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(一)供应商不良行为认定情形及处理</w:t>
      </w:r>
    </w:p>
    <w:p w14:paraId="470C19F0">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在采购实施、合同履约和考核评价等过程中，招标人发现中标人存在以下情形之一的，中标人将被认定为供应商不良行为，且招标人将按照有关法律、法规、规章和国务院及行业主管部门文件、地方行政部门、烟草企业的有关规定，禁止或限制其参与烟草行业采购活动：</w:t>
      </w:r>
    </w:p>
    <w:p w14:paraId="532032B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1.司法机关发布的刑事判决书、裁定书和党政机关作出的党政纪处分决定记录的供应商行贿事实，包括，供应商向招标人、招标代理机构、采购项目评审人员行贿或提供其他不正当利益。</w:t>
      </w:r>
    </w:p>
    <w:p w14:paraId="7E3E7E6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各级人民政府及行业主管部门公告的供应商不良行为，包括：违反国家、省、市、县（区）有关工程建设和服务、合同管理、劳动用工、环境保护等相关法律、法规、规章、规范性文件，经各级工商、发改、住建、工信、财政等行政主管部门认定的不良行为。</w:t>
      </w:r>
    </w:p>
    <w:p w14:paraId="6242AEB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3.严重违反招标投标有关规定和烟草企业供应商管理规定。</w:t>
      </w:r>
    </w:p>
    <w:p w14:paraId="466808A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3.1中</w:t>
      </w:r>
      <w:r>
        <w:rPr>
          <w:rFonts w:ascii="楷体" w:hAnsi="楷体" w:eastAsia="楷体" w:cs="楷体"/>
          <w:sz w:val="24"/>
        </w:rPr>
        <w:t>选</w:t>
      </w:r>
      <w:r>
        <w:rPr>
          <w:rFonts w:hint="eastAsia" w:ascii="楷体" w:hAnsi="楷体" w:eastAsia="楷体" w:cs="楷体"/>
          <w:sz w:val="24"/>
        </w:rPr>
        <w:t>或者成交后无正当理由拒不与招标人签订采购合同，或未按照招标文件确定的主要条款签订采购合同；</w:t>
      </w:r>
    </w:p>
    <w:p w14:paraId="7C438FF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3.2中标人将采购项目违反合同约定进行转包、分包；</w:t>
      </w:r>
    </w:p>
    <w:p w14:paraId="7AADF5A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3.3中标人擅自变更、中止或终止采购合同；</w:t>
      </w:r>
    </w:p>
    <w:p w14:paraId="39D8D3D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3.4中标人履约过程中，提供假冒伪劣产品或弄虚作假、偷工减料，或产品和服务质量严重偏离合同约定，验收或考核评价不合格；</w:t>
      </w:r>
    </w:p>
    <w:p w14:paraId="0483A4F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3.5与招标人、其他供应商或招标代理机构恶意串通；</w:t>
      </w:r>
    </w:p>
    <w:p w14:paraId="248FD35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3.6提供虚假材料谋取中</w:t>
      </w:r>
      <w:r>
        <w:rPr>
          <w:rFonts w:ascii="楷体" w:hAnsi="楷体" w:eastAsia="楷体" w:cs="楷体"/>
          <w:sz w:val="24"/>
        </w:rPr>
        <w:t>选</w:t>
      </w:r>
      <w:r>
        <w:rPr>
          <w:rFonts w:hint="eastAsia" w:ascii="楷体" w:hAnsi="楷体" w:eastAsia="楷体" w:cs="楷体"/>
          <w:sz w:val="24"/>
        </w:rPr>
        <w:t>、成交；</w:t>
      </w:r>
    </w:p>
    <w:p w14:paraId="7D59226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3.7供应商捏造事实、提供虚假材料或以非法手段取得证明材料进行投诉的；</w:t>
      </w:r>
    </w:p>
    <w:p w14:paraId="66DB36A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3.8供应商直接或间接从招标人或招标代理机构处获得其他供应商的相关情况，并修改其投标文件或响应文件；</w:t>
      </w:r>
    </w:p>
    <w:p w14:paraId="752239E4">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3.9供应商之间事先约定由某一特定供应商中</w:t>
      </w:r>
      <w:r>
        <w:rPr>
          <w:rFonts w:ascii="楷体" w:hAnsi="楷体" w:eastAsia="楷体" w:cs="楷体"/>
          <w:sz w:val="24"/>
        </w:rPr>
        <w:t>选</w:t>
      </w:r>
      <w:r>
        <w:rPr>
          <w:rFonts w:hint="eastAsia" w:ascii="楷体" w:hAnsi="楷体" w:eastAsia="楷体" w:cs="楷体"/>
          <w:sz w:val="24"/>
        </w:rPr>
        <w:t>、成交，或商定部分供应商放弃参加采购活动或放弃中选、成交；</w:t>
      </w:r>
    </w:p>
    <w:p w14:paraId="437B3D9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3.10供应商之间协商报价、技术方案等投标文件或响应文件的实质性内容；</w:t>
      </w:r>
    </w:p>
    <w:p w14:paraId="128DFF9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3.11属于同一集团、协会、商会等组织成员的供应商按照该组织要求协同参加采购活动；</w:t>
      </w:r>
    </w:p>
    <w:p w14:paraId="0293052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3.12供应商与招标人或招标代理机构之间、供应商相互之间，为谋求特定供应商中</w:t>
      </w:r>
      <w:r>
        <w:rPr>
          <w:rFonts w:ascii="楷体" w:hAnsi="楷体" w:eastAsia="楷体" w:cs="楷体"/>
          <w:sz w:val="24"/>
        </w:rPr>
        <w:t>选</w:t>
      </w:r>
      <w:r>
        <w:rPr>
          <w:rFonts w:hint="eastAsia" w:ascii="楷体" w:hAnsi="楷体" w:eastAsia="楷体" w:cs="楷体"/>
          <w:sz w:val="24"/>
        </w:rPr>
        <w:t>、成交或排斥其他供应商等串通行为；</w:t>
      </w:r>
    </w:p>
    <w:p w14:paraId="098826D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3.13拒绝有关部门监督检查或过程中提供虚假信息；</w:t>
      </w:r>
    </w:p>
    <w:p w14:paraId="610D637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3.14法律法规和制度规定的其他采购严重违法失信行为。</w:t>
      </w:r>
    </w:p>
    <w:p w14:paraId="60E09AE4">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3.15其他违法犯罪行为。</w:t>
      </w:r>
    </w:p>
    <w:p w14:paraId="2921AE6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（二）列入烟草行业行贿行为供应商名单情形</w:t>
      </w:r>
    </w:p>
    <w:p w14:paraId="0E9375C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在参加烟草行业采购活动中，</w:t>
      </w:r>
      <w:r>
        <w:rPr>
          <w:rFonts w:ascii="楷体" w:hAnsi="楷体" w:eastAsia="楷体" w:cs="楷体"/>
          <w:sz w:val="24"/>
        </w:rPr>
        <w:t>采购</w:t>
      </w:r>
      <w:r>
        <w:rPr>
          <w:rFonts w:hint="eastAsia" w:ascii="楷体" w:hAnsi="楷体" w:eastAsia="楷体" w:cs="楷体"/>
          <w:sz w:val="24"/>
        </w:rPr>
        <w:t>人发现中</w:t>
      </w:r>
      <w:r>
        <w:rPr>
          <w:rFonts w:ascii="楷体" w:hAnsi="楷体" w:eastAsia="楷体" w:cs="楷体"/>
          <w:sz w:val="24"/>
        </w:rPr>
        <w:t>选供应商</w:t>
      </w:r>
      <w:r>
        <w:rPr>
          <w:rFonts w:hint="eastAsia" w:ascii="楷体" w:hAnsi="楷体" w:eastAsia="楷体" w:cs="楷体"/>
          <w:sz w:val="24"/>
        </w:rPr>
        <w:t>向烟草行业干部职工行贿的，将其列入存在行贿行为供应商名单，实施严格禁入措施，禁止参加新采购项目，根据生效的刑事判决书、刑事裁定书、党政纪处分决定书认定的数额：</w:t>
      </w:r>
    </w:p>
    <w:p w14:paraId="727E720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1.行贿数额不满100万元的，禁入期限1年；</w:t>
      </w:r>
    </w:p>
    <w:p w14:paraId="75B741B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2.行贿数额在100万元以上不满500万元的，禁入期限2年；</w:t>
      </w:r>
    </w:p>
    <w:p w14:paraId="176ECBC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3.行贿数额在500万元以上的，禁入期限3年；</w:t>
      </w:r>
    </w:p>
    <w:p w14:paraId="4FB41DE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4.行贿行为情节特别严重的，永久禁入。</w:t>
      </w:r>
    </w:p>
    <w:p w14:paraId="3266D80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对中选供应商被列入行贿行为供应商名单的禁入措施，适用于其法定代表人、主要负责人和行贿人。在列入行贿行为供应商名单期限内，上述人员担任法定代表人、主要负责人或实际控制人的其他企业，均不得参加行业新采购项目。</w:t>
      </w:r>
    </w:p>
    <w:p w14:paraId="77C06D2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6.对被列入烟草行业行贿行为供应商名单的在供供应商，</w:t>
      </w:r>
      <w:r>
        <w:rPr>
          <w:rFonts w:ascii="楷体" w:hAnsi="楷体" w:eastAsia="楷体" w:cs="楷体"/>
          <w:sz w:val="24"/>
        </w:rPr>
        <w:t>采购</w:t>
      </w:r>
      <w:r>
        <w:rPr>
          <w:rFonts w:hint="eastAsia" w:ascii="楷体" w:hAnsi="楷体" w:eastAsia="楷体" w:cs="楷体"/>
          <w:sz w:val="24"/>
        </w:rPr>
        <w:t>人有权单方面采取降低服务期间考核评价分数、降低供货份额、缩短服务期限、终止或解除合同等处理措施。</w:t>
      </w:r>
    </w:p>
    <w:p w14:paraId="0D9204D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7.对于中选供应商在行业外发生行贿行为的，参照对“列入烟草行业行贿行为供应商名单”情形进行处理。</w:t>
      </w:r>
    </w:p>
    <w:p w14:paraId="7FBC6B9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八、复核调查权利</w:t>
      </w:r>
    </w:p>
    <w:p w14:paraId="2C1D311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p>
    <w:p w14:paraId="35BA3C78">
      <w:pPr>
        <w:rPr>
          <w:rFonts w:ascii="楷体" w:hAnsi="楷体" w:eastAsia="楷体" w:cs="楷体"/>
          <w:sz w:val="24"/>
        </w:rPr>
      </w:pPr>
    </w:p>
    <w:p w14:paraId="7D5CB72D">
      <w:pPr>
        <w:pStyle w:val="2"/>
      </w:pPr>
    </w:p>
    <w:bookmarkEnd w:id="304"/>
    <w:bookmarkEnd w:id="305"/>
    <w:p w14:paraId="6A024259">
      <w:pPr>
        <w:pStyle w:val="4"/>
        <w:spacing w:before="5280" w:beforeLines="2200" w:after="5280" w:afterLines="2200"/>
        <w:jc w:val="center"/>
        <w:rPr>
          <w:rFonts w:ascii="楷体" w:hAnsi="楷体" w:eastAsia="楷体" w:cs="楷体"/>
        </w:rPr>
      </w:pPr>
      <w:bookmarkStart w:id="306" w:name="_Toc50737290"/>
      <w:bookmarkStart w:id="307" w:name="_Toc50737322"/>
      <w:bookmarkStart w:id="308" w:name="_Toc50736470"/>
      <w:bookmarkStart w:id="309" w:name="_Toc50691023"/>
      <w:bookmarkStart w:id="310" w:name="_Toc168288368"/>
      <w:bookmarkStart w:id="311" w:name="_Toc29839"/>
      <w:bookmarkStart w:id="312" w:name="_Toc25940"/>
      <w:bookmarkStart w:id="313" w:name="_Toc183316721"/>
      <w:bookmarkStart w:id="314" w:name="_Toc182886660"/>
      <w:bookmarkStart w:id="315" w:name="_Toc372468320"/>
      <w:bookmarkStart w:id="316" w:name="_Toc16117"/>
      <w:bookmarkStart w:id="317" w:name="_Toc464"/>
      <w:bookmarkStart w:id="318" w:name="_Toc32670"/>
      <w:bookmarkStart w:id="319" w:name="_Toc423021952"/>
    </w:p>
    <w:p w14:paraId="20B3631D">
      <w:pPr>
        <w:pStyle w:val="4"/>
        <w:spacing w:before="5280" w:beforeLines="2200" w:after="5280" w:afterLines="2200"/>
        <w:jc w:val="center"/>
        <w:rPr>
          <w:rFonts w:ascii="楷体" w:hAnsi="楷体" w:eastAsia="楷体" w:cs="楷体"/>
        </w:rPr>
      </w:pPr>
      <w:r>
        <w:rPr>
          <w:rFonts w:hint="eastAsia" w:ascii="楷体" w:hAnsi="楷体" w:eastAsia="楷体" w:cs="楷体"/>
        </w:rPr>
        <w:t>第五章</w:t>
      </w:r>
      <w:bookmarkEnd w:id="306"/>
      <w:bookmarkEnd w:id="307"/>
      <w:bookmarkEnd w:id="308"/>
      <w:bookmarkEnd w:id="309"/>
      <w:bookmarkEnd w:id="310"/>
      <w:r>
        <w:rPr>
          <w:rFonts w:hint="eastAsia" w:ascii="楷体" w:hAnsi="楷体" w:eastAsia="楷体" w:cs="楷体"/>
        </w:rPr>
        <w:t>合同格式</w:t>
      </w:r>
      <w:bookmarkEnd w:id="311"/>
      <w:bookmarkEnd w:id="312"/>
      <w:bookmarkEnd w:id="313"/>
      <w:bookmarkEnd w:id="314"/>
      <w:bookmarkEnd w:id="315"/>
      <w:bookmarkEnd w:id="316"/>
      <w:bookmarkEnd w:id="317"/>
      <w:bookmarkEnd w:id="318"/>
      <w:bookmarkEnd w:id="319"/>
    </w:p>
    <w:p w14:paraId="151345AC">
      <w:pPr>
        <w:adjustRightInd w:val="0"/>
        <w:snapToGrid w:val="0"/>
        <w:spacing w:line="360" w:lineRule="auto"/>
        <w:jc w:val="left"/>
        <w:rPr>
          <w:rFonts w:ascii="楷体" w:hAnsi="楷体" w:eastAsia="楷体" w:cs="楷体"/>
          <w:b/>
          <w:sz w:val="48"/>
          <w:szCs w:val="48"/>
        </w:rPr>
      </w:pPr>
      <w:r>
        <w:rPr>
          <w:rFonts w:hint="eastAsia" w:ascii="楷体" w:hAnsi="楷体" w:eastAsia="楷体" w:cs="楷体"/>
          <w:b/>
          <w:sz w:val="52"/>
          <w:szCs w:val="52"/>
        </w:rPr>
        <w:br w:type="page"/>
      </w:r>
      <w:bookmarkStart w:id="320" w:name="_Toc42272395"/>
      <w:bookmarkEnd w:id="320"/>
      <w:bookmarkStart w:id="321" w:name="_Toc510095285"/>
      <w:bookmarkEnd w:id="321"/>
      <w:bookmarkStart w:id="322" w:name="_Toc502738619"/>
      <w:bookmarkEnd w:id="322"/>
      <w:bookmarkStart w:id="323" w:name="_Toc263670121"/>
      <w:bookmarkStart w:id="324" w:name="_Toc13659"/>
      <w:bookmarkStart w:id="325" w:name="_Toc263336367"/>
      <w:bookmarkStart w:id="326" w:name="_Toc263437593"/>
      <w:bookmarkStart w:id="327" w:name="_Toc322033402"/>
    </w:p>
    <w:bookmarkEnd w:id="323"/>
    <w:bookmarkEnd w:id="324"/>
    <w:bookmarkEnd w:id="325"/>
    <w:bookmarkEnd w:id="326"/>
    <w:bookmarkEnd w:id="327"/>
    <w:p w14:paraId="654C17D6">
      <w:pPr>
        <w:spacing w:line="560" w:lineRule="exact"/>
        <w:rPr>
          <w:rFonts w:ascii="宋体" w:hAnsi="宋体" w:cs="宋体"/>
          <w:b/>
          <w:bCs/>
          <w:color w:val="000000"/>
          <w:spacing w:val="100"/>
          <w:sz w:val="52"/>
          <w:szCs w:val="52"/>
        </w:rPr>
      </w:pPr>
      <w:bookmarkStart w:id="328" w:name="_Toc87417453"/>
      <w:bookmarkStart w:id="329" w:name="_Toc50737291"/>
      <w:bookmarkStart w:id="330" w:name="_Toc50691025"/>
      <w:bookmarkStart w:id="331" w:name="_Toc50736471"/>
      <w:bookmarkStart w:id="332" w:name="_Toc50737323"/>
      <w:bookmarkStart w:id="333" w:name="_Toc28392"/>
      <w:bookmarkStart w:id="334" w:name="_Toc372468321"/>
      <w:bookmarkStart w:id="335" w:name="_Toc182886662"/>
      <w:bookmarkStart w:id="336" w:name="_Toc183316722"/>
      <w:bookmarkStart w:id="337" w:name="_Toc15305"/>
      <w:bookmarkStart w:id="338" w:name="_Toc168288374"/>
      <w:bookmarkStart w:id="339" w:name="_Toc423021953"/>
      <w:bookmarkStart w:id="340" w:name="_Toc29541"/>
      <w:bookmarkStart w:id="341" w:name="_Toc3577"/>
      <w:r>
        <w:rPr>
          <w:rFonts w:hint="eastAsia" w:ascii="宋体" w:hAnsi="宋体" w:cs="宋体"/>
          <w:b/>
          <w:bCs/>
          <w:color w:val="000000"/>
          <w:spacing w:val="100"/>
          <w:sz w:val="52"/>
          <w:szCs w:val="52"/>
        </w:rPr>
        <w:drawing>
          <wp:anchor distT="0" distB="0" distL="114300" distR="114300" simplePos="0" relativeHeight="251665408" behindDoc="0" locked="0" layoutInCell="1" allowOverlap="1">
            <wp:simplePos x="0" y="0"/>
            <wp:positionH relativeFrom="column">
              <wp:posOffset>1102995</wp:posOffset>
            </wp:positionH>
            <wp:positionV relativeFrom="paragraph">
              <wp:posOffset>126365</wp:posOffset>
            </wp:positionV>
            <wp:extent cx="2940685" cy="2237105"/>
            <wp:effectExtent l="0" t="0" r="12065" b="10795"/>
            <wp:wrapNone/>
            <wp:docPr id="2"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8"/>
                    <pic:cNvPicPr>
                      <a:picLocks noChangeAspect="1"/>
                    </pic:cNvPicPr>
                  </pic:nvPicPr>
                  <pic:blipFill>
                    <a:blip r:embed="rId10"/>
                    <a:stretch>
                      <a:fillRect/>
                    </a:stretch>
                  </pic:blipFill>
                  <pic:spPr>
                    <a:xfrm>
                      <a:off x="0" y="0"/>
                      <a:ext cx="2940685" cy="2237105"/>
                    </a:xfrm>
                    <a:prstGeom prst="rect">
                      <a:avLst/>
                    </a:prstGeom>
                    <a:noFill/>
                    <a:ln>
                      <a:noFill/>
                    </a:ln>
                  </pic:spPr>
                </pic:pic>
              </a:graphicData>
            </a:graphic>
          </wp:anchor>
        </w:drawing>
      </w:r>
    </w:p>
    <w:p w14:paraId="205BE919">
      <w:pPr>
        <w:spacing w:line="560" w:lineRule="exact"/>
        <w:rPr>
          <w:rFonts w:ascii="宋体" w:hAnsi="宋体" w:cs="宋体"/>
          <w:b/>
          <w:bCs/>
          <w:color w:val="000000"/>
          <w:spacing w:val="100"/>
          <w:sz w:val="52"/>
          <w:szCs w:val="52"/>
        </w:rPr>
      </w:pPr>
    </w:p>
    <w:p w14:paraId="231755CC">
      <w:pPr>
        <w:spacing w:line="560" w:lineRule="exact"/>
        <w:rPr>
          <w:rFonts w:ascii="宋体" w:hAnsi="宋体" w:cs="宋体"/>
          <w:b/>
          <w:bCs/>
          <w:color w:val="000000"/>
          <w:spacing w:val="100"/>
          <w:sz w:val="52"/>
          <w:szCs w:val="52"/>
        </w:rPr>
      </w:pPr>
    </w:p>
    <w:p w14:paraId="4DA2E48B">
      <w:pPr>
        <w:spacing w:line="560" w:lineRule="exact"/>
        <w:rPr>
          <w:rFonts w:ascii="宋体" w:hAnsi="宋体" w:cs="宋体"/>
          <w:b/>
          <w:bCs/>
          <w:color w:val="000000"/>
          <w:spacing w:val="100"/>
          <w:sz w:val="52"/>
          <w:szCs w:val="52"/>
        </w:rPr>
      </w:pPr>
    </w:p>
    <w:p w14:paraId="766217D2">
      <w:pPr>
        <w:pStyle w:val="4"/>
      </w:pPr>
    </w:p>
    <w:p w14:paraId="2E4DA807">
      <w:pPr>
        <w:spacing w:line="560" w:lineRule="exact"/>
        <w:rPr>
          <w:rFonts w:ascii="宋体" w:hAnsi="宋体" w:cs="宋体"/>
          <w:b/>
          <w:bCs/>
          <w:color w:val="000000"/>
          <w:spacing w:val="100"/>
          <w:sz w:val="52"/>
          <w:szCs w:val="52"/>
        </w:rPr>
      </w:pPr>
    </w:p>
    <w:p w14:paraId="07E598E9">
      <w:pPr>
        <w:ind w:left="105" w:leftChars="50" w:right="105" w:rightChars="50"/>
        <w:jc w:val="center"/>
        <w:rPr>
          <w:rFonts w:ascii="楷体" w:hAnsi="楷体" w:eastAsia="楷体" w:cs="楷体"/>
          <w:b/>
          <w:bCs/>
          <w:spacing w:val="-2"/>
          <w:sz w:val="48"/>
          <w:szCs w:val="48"/>
        </w:rPr>
      </w:pPr>
      <w:r>
        <w:rPr>
          <w:rFonts w:hint="eastAsia" w:ascii="楷体" w:hAnsi="楷体" w:eastAsia="楷体" w:cs="楷体"/>
          <w:b/>
          <w:bCs/>
          <w:spacing w:val="-2"/>
          <w:sz w:val="48"/>
          <w:szCs w:val="48"/>
        </w:rPr>
        <w:t>广东烟草梅州市有限公司</w:t>
      </w:r>
    </w:p>
    <w:p w14:paraId="22728377">
      <w:pPr>
        <w:ind w:left="105" w:leftChars="50" w:right="105" w:rightChars="50"/>
        <w:jc w:val="center"/>
        <w:rPr>
          <w:rFonts w:ascii="楷体" w:hAnsi="楷体" w:eastAsia="楷体" w:cs="楷体"/>
          <w:b/>
          <w:bCs/>
          <w:spacing w:val="-2"/>
          <w:sz w:val="48"/>
          <w:szCs w:val="48"/>
        </w:rPr>
      </w:pPr>
      <w:r>
        <w:rPr>
          <w:rFonts w:hint="eastAsia" w:ascii="楷体" w:hAnsi="楷体" w:eastAsia="楷体" w:cs="楷体"/>
          <w:b/>
          <w:bCs/>
          <w:spacing w:val="-2"/>
          <w:sz w:val="48"/>
          <w:szCs w:val="48"/>
        </w:rPr>
        <w:t>丰顺县分公司合同</w:t>
      </w:r>
    </w:p>
    <w:p w14:paraId="30DA2BAB">
      <w:pPr>
        <w:shd w:val="clear" w:color="auto" w:fill="FFFFFF"/>
        <w:spacing w:line="1160" w:lineRule="exact"/>
        <w:rPr>
          <w:rFonts w:ascii="楷体" w:hAnsi="楷体" w:eastAsia="楷体" w:cs="楷体"/>
          <w:color w:val="000000"/>
        </w:rPr>
      </w:pPr>
    </w:p>
    <w:p w14:paraId="654DB4EB">
      <w:pPr>
        <w:adjustRightInd w:val="0"/>
        <w:snapToGrid w:val="0"/>
        <w:spacing w:line="560" w:lineRule="exact"/>
        <w:ind w:left="840" w:leftChars="400"/>
        <w:outlineLvl w:val="0"/>
        <w:rPr>
          <w:rFonts w:ascii="楷体" w:hAnsi="楷体" w:eastAsia="楷体" w:cs="楷体"/>
          <w:b/>
          <w:bCs/>
          <w:color w:val="000000"/>
          <w:sz w:val="32"/>
          <w:szCs w:val="32"/>
        </w:rPr>
      </w:pPr>
      <w:bookmarkStart w:id="342" w:name="_Toc12293"/>
      <w:bookmarkStart w:id="343" w:name="_Toc24217"/>
      <w:bookmarkStart w:id="344" w:name="_Toc25374"/>
      <w:r>
        <w:rPr>
          <w:rFonts w:hint="eastAsia" w:ascii="楷体" w:hAnsi="楷体" w:eastAsia="楷体" w:cs="楷体"/>
          <w:b/>
          <w:bCs/>
          <w:color w:val="000000"/>
          <w:sz w:val="32"/>
          <w:szCs w:val="32"/>
        </w:rPr>
        <w:t>合同名称：</w:t>
      </w:r>
      <w:bookmarkEnd w:id="342"/>
      <w:bookmarkEnd w:id="343"/>
      <w:bookmarkEnd w:id="344"/>
      <w:bookmarkStart w:id="345" w:name="_Toc32710"/>
      <w:bookmarkStart w:id="346" w:name="_Toc13433"/>
      <w:bookmarkStart w:id="347" w:name="_Toc21135"/>
      <w:r>
        <w:rPr>
          <w:rFonts w:hint="eastAsia" w:ascii="楷体" w:hAnsi="楷体" w:eastAsia="楷体" w:cs="楷体"/>
          <w:b/>
          <w:bCs/>
          <w:color w:val="000000"/>
          <w:sz w:val="32"/>
          <w:szCs w:val="32"/>
        </w:rPr>
        <w:t>绿化种植及养护、保洁服务项目合同</w:t>
      </w:r>
    </w:p>
    <w:p w14:paraId="1E222045">
      <w:pPr>
        <w:adjustRightInd w:val="0"/>
        <w:snapToGrid w:val="0"/>
        <w:spacing w:line="560" w:lineRule="exact"/>
        <w:ind w:left="840" w:leftChars="400" w:right="1218" w:rightChars="580"/>
        <w:outlineLvl w:val="0"/>
        <w:rPr>
          <w:rFonts w:ascii="楷体" w:hAnsi="楷体" w:eastAsia="楷体" w:cs="楷体"/>
          <w:b/>
          <w:bCs/>
          <w:color w:val="000000"/>
          <w:sz w:val="32"/>
          <w:szCs w:val="32"/>
          <w:u w:val="single"/>
        </w:rPr>
      </w:pPr>
      <w:r>
        <w:rPr>
          <w:rFonts w:hint="eastAsia" w:ascii="楷体" w:hAnsi="楷体" w:eastAsia="楷体" w:cs="楷体"/>
          <w:b/>
          <w:bCs/>
          <w:color w:val="000000"/>
          <w:sz w:val="32"/>
          <w:szCs w:val="32"/>
        </w:rPr>
        <w:t>合同编号：</w:t>
      </w:r>
      <w:bookmarkEnd w:id="345"/>
      <w:bookmarkEnd w:id="346"/>
      <w:bookmarkEnd w:id="347"/>
      <w:r>
        <w:rPr>
          <w:rFonts w:hint="eastAsia" w:ascii="楷体" w:hAnsi="楷体" w:eastAsia="楷体" w:cs="楷体"/>
          <w:b/>
          <w:bCs/>
          <w:color w:val="000000"/>
          <w:sz w:val="32"/>
          <w:szCs w:val="32"/>
        </w:rPr>
        <w:t xml:space="preserve"> </w:t>
      </w:r>
    </w:p>
    <w:p w14:paraId="65EA3426">
      <w:pPr>
        <w:spacing w:line="560" w:lineRule="exact"/>
        <w:ind w:left="840" w:leftChars="400" w:right="1218" w:rightChars="580"/>
        <w:rPr>
          <w:rFonts w:ascii="楷体" w:hAnsi="楷体" w:eastAsia="楷体" w:cs="楷体"/>
          <w:b/>
          <w:bCs/>
          <w:color w:val="000000"/>
          <w:sz w:val="32"/>
          <w:szCs w:val="32"/>
          <w:u w:val="single"/>
        </w:rPr>
      </w:pPr>
      <w:r>
        <w:rPr>
          <w:rFonts w:hint="eastAsia" w:ascii="楷体" w:hAnsi="楷体" w:eastAsia="楷体" w:cs="楷体"/>
          <w:b/>
          <w:bCs/>
          <w:color w:val="000000"/>
          <w:sz w:val="32"/>
          <w:szCs w:val="32"/>
        </w:rPr>
        <w:t>承办部门：</w:t>
      </w:r>
    </w:p>
    <w:p w14:paraId="60B114A2">
      <w:pPr>
        <w:spacing w:line="560" w:lineRule="exact"/>
        <w:ind w:left="840" w:leftChars="400" w:right="1218" w:rightChars="580"/>
        <w:rPr>
          <w:rFonts w:ascii="楷体" w:hAnsi="楷体" w:eastAsia="楷体" w:cs="楷体"/>
          <w:b/>
          <w:bCs/>
          <w:color w:val="000000"/>
          <w:sz w:val="32"/>
          <w:szCs w:val="32"/>
        </w:rPr>
      </w:pPr>
      <w:r>
        <w:rPr>
          <w:rFonts w:hint="eastAsia" w:ascii="楷体" w:hAnsi="楷体" w:eastAsia="楷体" w:cs="楷体"/>
          <w:b/>
          <w:bCs/>
          <w:color w:val="000000"/>
          <w:sz w:val="32"/>
          <w:szCs w:val="32"/>
        </w:rPr>
        <w:t>甲    方：</w:t>
      </w:r>
    </w:p>
    <w:p w14:paraId="29DB098A">
      <w:pPr>
        <w:spacing w:line="560" w:lineRule="exact"/>
        <w:ind w:left="840" w:leftChars="400" w:right="1218" w:rightChars="580"/>
        <w:rPr>
          <w:rFonts w:ascii="楷体" w:hAnsi="楷体" w:eastAsia="楷体" w:cs="楷体"/>
          <w:b/>
          <w:bCs/>
          <w:color w:val="000000"/>
          <w:sz w:val="32"/>
          <w:szCs w:val="32"/>
        </w:rPr>
      </w:pPr>
      <w:r>
        <w:rPr>
          <w:rFonts w:hint="eastAsia" w:ascii="楷体" w:hAnsi="楷体" w:eastAsia="楷体" w:cs="楷体"/>
          <w:b/>
          <w:bCs/>
          <w:color w:val="000000"/>
          <w:sz w:val="32"/>
          <w:szCs w:val="32"/>
        </w:rPr>
        <w:t>乙    方：</w:t>
      </w:r>
    </w:p>
    <w:p w14:paraId="5669A6CB">
      <w:pPr>
        <w:spacing w:line="384" w:lineRule="auto"/>
        <w:ind w:left="840" w:leftChars="400"/>
        <w:jc w:val="left"/>
        <w:rPr>
          <w:rFonts w:ascii="楷体" w:hAnsi="楷体" w:eastAsia="楷体" w:cs="楷体"/>
          <w:b/>
          <w:bCs/>
          <w:color w:val="000000"/>
          <w:sz w:val="32"/>
          <w:szCs w:val="32"/>
        </w:rPr>
      </w:pPr>
      <w:r>
        <w:rPr>
          <w:rFonts w:hint="eastAsia" w:ascii="楷体" w:hAnsi="楷体" w:eastAsia="楷体" w:cs="楷体"/>
          <w:b/>
          <w:bCs/>
          <w:color w:val="000000"/>
          <w:sz w:val="32"/>
          <w:szCs w:val="32"/>
        </w:rPr>
        <w:t>签订地点：</w:t>
      </w:r>
    </w:p>
    <w:p w14:paraId="0B1FEEBD">
      <w:pPr>
        <w:spacing w:line="384" w:lineRule="auto"/>
        <w:ind w:left="840" w:leftChars="400"/>
        <w:rPr>
          <w:rFonts w:ascii="楷体" w:hAnsi="楷体" w:eastAsia="楷体" w:cs="楷体"/>
          <w:color w:val="000000"/>
          <w:sz w:val="72"/>
          <w:szCs w:val="72"/>
        </w:rPr>
      </w:pPr>
      <w:r>
        <w:rPr>
          <w:rFonts w:hint="eastAsia" w:ascii="楷体" w:hAnsi="楷体" w:eastAsia="楷体" w:cs="楷体"/>
          <w:b/>
          <w:bCs/>
          <w:color w:val="000000"/>
          <w:sz w:val="32"/>
          <w:szCs w:val="32"/>
        </w:rPr>
        <w:t>签约日期：   年  月  日</w:t>
      </w:r>
    </w:p>
    <w:p w14:paraId="238AC06F"/>
    <w:p w14:paraId="33957613">
      <w:pPr>
        <w:widowControl/>
        <w:jc w:val="left"/>
        <w:rPr>
          <w:rFonts w:ascii="宋体" w:hAnsi="宋体" w:cs="宋体"/>
          <w:b/>
          <w:color w:val="000000"/>
          <w:sz w:val="24"/>
        </w:rPr>
      </w:pPr>
      <w:r>
        <w:rPr>
          <w:rFonts w:ascii="宋体" w:hAnsi="宋体" w:cs="宋体"/>
          <w:b/>
          <w:color w:val="000000"/>
          <w:sz w:val="24"/>
        </w:rPr>
        <w:br w:type="page"/>
      </w:r>
    </w:p>
    <w:p w14:paraId="4317EDF9">
      <w:pPr>
        <w:jc w:val="center"/>
        <w:rPr>
          <w:rFonts w:ascii="楷体" w:hAnsi="楷体" w:eastAsia="楷体" w:cs="楷体"/>
          <w:b/>
          <w:bCs/>
          <w:sz w:val="44"/>
          <w:szCs w:val="44"/>
        </w:rPr>
      </w:pPr>
      <w:r>
        <w:rPr>
          <w:rFonts w:hint="eastAsia" w:ascii="楷体" w:hAnsi="楷体" w:eastAsia="楷体" w:cs="楷体"/>
          <w:b/>
          <w:bCs/>
          <w:sz w:val="44"/>
          <w:szCs w:val="44"/>
        </w:rPr>
        <w:t>广东烟草梅州市有限公司丰顺县分公司绿化种植及养护、保洁服务项目合同</w:t>
      </w:r>
    </w:p>
    <w:p w14:paraId="5DCBCCEA">
      <w:pPr>
        <w:tabs>
          <w:tab w:val="left" w:pos="720"/>
        </w:tabs>
        <w:spacing w:line="360" w:lineRule="auto"/>
        <w:rPr>
          <w:rFonts w:ascii="楷体" w:hAnsi="楷体" w:eastAsia="楷体" w:cs="楷体"/>
          <w:szCs w:val="21"/>
        </w:rPr>
      </w:pPr>
    </w:p>
    <w:p w14:paraId="141B8B11">
      <w:pPr>
        <w:spacing w:line="500" w:lineRule="exact"/>
        <w:ind w:firstLine="420" w:firstLineChars="200"/>
        <w:rPr>
          <w:rFonts w:ascii="楷体" w:hAnsi="楷体" w:eastAsia="楷体" w:cs="楷体"/>
          <w:kern w:val="0"/>
          <w:szCs w:val="21"/>
        </w:rPr>
      </w:pPr>
      <w:r>
        <w:rPr>
          <w:rFonts w:hint="eastAsia" w:ascii="楷体" w:hAnsi="楷体" w:eastAsia="楷体" w:cs="楷体"/>
          <w:szCs w:val="21"/>
        </w:rPr>
        <w:t>甲</w:t>
      </w:r>
      <w:r>
        <w:rPr>
          <w:rFonts w:hint="eastAsia" w:ascii="楷体" w:hAnsi="楷体" w:eastAsia="楷体" w:cs="楷体"/>
          <w:kern w:val="0"/>
          <w:szCs w:val="21"/>
        </w:rPr>
        <w:t>方：</w:t>
      </w:r>
    </w:p>
    <w:p w14:paraId="16BB7C4D">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负责人：</w:t>
      </w:r>
    </w:p>
    <w:p w14:paraId="20B92B52">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地址：</w:t>
      </w:r>
    </w:p>
    <w:p w14:paraId="1730FA24">
      <w:pPr>
        <w:spacing w:line="360" w:lineRule="auto"/>
        <w:ind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账户名称:</w:t>
      </w:r>
    </w:p>
    <w:p w14:paraId="09176079">
      <w:pPr>
        <w:spacing w:line="360" w:lineRule="auto"/>
        <w:ind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账    号：</w:t>
      </w:r>
    </w:p>
    <w:p w14:paraId="246F1D20">
      <w:pPr>
        <w:spacing w:line="360" w:lineRule="auto"/>
        <w:ind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开 户 行：</w:t>
      </w:r>
    </w:p>
    <w:p w14:paraId="36F6D445">
      <w:pPr>
        <w:spacing w:line="500" w:lineRule="exact"/>
        <w:ind w:firstLine="420" w:firstLineChars="200"/>
        <w:rPr>
          <w:rFonts w:ascii="楷体" w:hAnsi="楷体" w:eastAsia="楷体" w:cs="楷体"/>
          <w:kern w:val="0"/>
          <w:szCs w:val="21"/>
        </w:rPr>
      </w:pPr>
    </w:p>
    <w:p w14:paraId="74B3DA80">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乙方：</w:t>
      </w:r>
    </w:p>
    <w:p w14:paraId="30D15C20">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法定代表人：</w:t>
      </w:r>
    </w:p>
    <w:p w14:paraId="19365771">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联系人：</w:t>
      </w:r>
    </w:p>
    <w:p w14:paraId="10DDAC40">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联系方式：</w:t>
      </w:r>
    </w:p>
    <w:p w14:paraId="361DD174">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地址：</w:t>
      </w:r>
    </w:p>
    <w:p w14:paraId="707880E7">
      <w:pPr>
        <w:spacing w:line="360" w:lineRule="auto"/>
        <w:ind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账户名称:</w:t>
      </w:r>
    </w:p>
    <w:p w14:paraId="7B1041F6">
      <w:pPr>
        <w:spacing w:line="360" w:lineRule="auto"/>
        <w:ind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账    号：</w:t>
      </w:r>
    </w:p>
    <w:p w14:paraId="5D6D71B6">
      <w:pPr>
        <w:spacing w:line="360" w:lineRule="auto"/>
        <w:ind w:firstLine="420" w:firstLineChars="200"/>
        <w:rPr>
          <w:rFonts w:ascii="楷体" w:hAnsi="楷体" w:eastAsia="楷体" w:cs="楷体"/>
        </w:rPr>
      </w:pPr>
      <w:r>
        <w:rPr>
          <w:rStyle w:val="108"/>
          <w:rFonts w:hint="eastAsia" w:ascii="楷体" w:hAnsi="楷体" w:eastAsia="楷体" w:cs="楷体"/>
          <w:kern w:val="0"/>
          <w:szCs w:val="21"/>
        </w:rPr>
        <w:t>开 户 行：</w:t>
      </w:r>
    </w:p>
    <w:p w14:paraId="4F78052D">
      <w:pPr>
        <w:spacing w:line="500" w:lineRule="exact"/>
        <w:ind w:firstLine="420" w:firstLineChars="200"/>
        <w:rPr>
          <w:rFonts w:ascii="楷体" w:hAnsi="楷体" w:eastAsia="楷体" w:cs="楷体"/>
          <w:kern w:val="0"/>
          <w:szCs w:val="21"/>
        </w:rPr>
      </w:pPr>
      <w:r>
        <w:rPr>
          <w:rFonts w:hint="eastAsia" w:ascii="楷体" w:hAnsi="楷体" w:eastAsia="楷体" w:cs="楷体"/>
          <w:kern w:val="0"/>
          <w:szCs w:val="21"/>
        </w:rPr>
        <w:t xml:space="preserve">           </w:t>
      </w:r>
    </w:p>
    <w:p w14:paraId="795BD665">
      <w:pPr>
        <w:adjustRightInd w:val="0"/>
        <w:snapToGrid w:val="0"/>
        <w:spacing w:line="360" w:lineRule="auto"/>
        <w:ind w:left="420" w:firstLine="420" w:firstLineChars="200"/>
        <w:rPr>
          <w:rFonts w:ascii="楷体" w:hAnsi="楷体" w:eastAsia="楷体" w:cs="楷体"/>
          <w:szCs w:val="21"/>
        </w:rPr>
      </w:pPr>
      <w:r>
        <w:rPr>
          <w:rFonts w:hint="eastAsia" w:ascii="楷体" w:hAnsi="楷体" w:eastAsia="楷体" w:cs="楷体"/>
          <w:szCs w:val="21"/>
        </w:rPr>
        <w:t>甲、乙双方</w:t>
      </w:r>
      <w:r>
        <w:rPr>
          <w:rFonts w:hint="eastAsia" w:ascii="楷体" w:hAnsi="楷体" w:eastAsia="楷体" w:cs="楷体"/>
          <w:kern w:val="0"/>
          <w:szCs w:val="21"/>
        </w:rPr>
        <w:t>依照《中华人民共和国民法典》及其他有关法律法规和</w:t>
      </w:r>
      <w:r>
        <w:rPr>
          <w:rFonts w:hint="eastAsia" w:ascii="楷体" w:hAnsi="楷体" w:eastAsia="楷体" w:cs="楷体"/>
          <w:szCs w:val="21"/>
          <w:u w:val="single"/>
        </w:rPr>
        <w:t xml:space="preserve">             采购项目（项目编号：）</w:t>
      </w:r>
      <w:r>
        <w:rPr>
          <w:rFonts w:hint="eastAsia" w:ascii="楷体" w:hAnsi="楷体" w:eastAsia="楷体" w:cs="楷体"/>
          <w:szCs w:val="21"/>
        </w:rPr>
        <w:t>的采购结果，经双方协调一致，订立本合同：</w:t>
      </w:r>
    </w:p>
    <w:p w14:paraId="021F0205">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一、承包范围及项目</w:t>
      </w:r>
    </w:p>
    <w:p w14:paraId="387763AA">
      <w:pPr>
        <w:spacing w:line="360" w:lineRule="auto"/>
        <w:ind w:left="420" w:leftChars="200" w:firstLine="420" w:firstLineChars="200"/>
        <w:rPr>
          <w:rFonts w:ascii="楷体" w:hAnsi="楷体" w:eastAsia="楷体" w:cs="楷体"/>
          <w:szCs w:val="21"/>
        </w:rPr>
      </w:pPr>
      <w:r>
        <w:rPr>
          <w:rFonts w:hint="eastAsia" w:ascii="楷体" w:hAnsi="楷体" w:eastAsia="楷体" w:cs="楷体"/>
          <w:szCs w:val="21"/>
        </w:rPr>
        <w:t>1.绿化养护及卫生保洁明细：广东烟草梅州市有限公司丰顺县分公司办公大楼绿化面积约为400㎡；潘田烟叶工作点绿化面积约为1200㎡；合计1600㎡。机关办公大楼室外场地卫生保洁面积约为2500㎡，室内面积约为5800㎡，潘田烟叶工作点室外场地卫生保洁面积约为2260㎡，室内面积约为1980㎡，合计4240 ㎡。</w:t>
      </w:r>
    </w:p>
    <w:p w14:paraId="7ABD7F88">
      <w:pPr>
        <w:spacing w:line="360" w:lineRule="auto"/>
        <w:ind w:left="420" w:leftChars="200" w:firstLine="420" w:firstLineChars="200"/>
        <w:rPr>
          <w:rFonts w:ascii="楷体" w:hAnsi="楷体" w:eastAsia="楷体" w:cs="楷体"/>
          <w:szCs w:val="21"/>
        </w:rPr>
      </w:pPr>
      <w:r>
        <w:rPr>
          <w:rFonts w:hint="eastAsia" w:ascii="楷体" w:hAnsi="楷体" w:eastAsia="楷体" w:cs="楷体"/>
          <w:szCs w:val="21"/>
        </w:rPr>
        <w:t>2.绿化养护范围包括行政办公大楼所有绿化植物、植被、花草和围墙外花带绿化植物以及潘田烟叶工作点所有绿化植物、植被、花草。</w:t>
      </w:r>
    </w:p>
    <w:p w14:paraId="0EEA6D40">
      <w:pPr>
        <w:spacing w:line="360" w:lineRule="auto"/>
        <w:ind w:left="420" w:leftChars="200" w:firstLine="420" w:firstLineChars="200"/>
        <w:rPr>
          <w:rFonts w:ascii="楷体" w:hAnsi="楷体" w:eastAsia="楷体" w:cs="楷体"/>
          <w:szCs w:val="21"/>
        </w:rPr>
      </w:pPr>
      <w:r>
        <w:rPr>
          <w:rFonts w:hint="eastAsia" w:ascii="楷体" w:hAnsi="楷体" w:eastAsia="楷体" w:cs="楷体"/>
          <w:szCs w:val="21"/>
        </w:rPr>
        <w:t>3.卫生保洁包括机关大楼和潘田烟叶工作点内外所有场地保洁及清运；场地排水、排污管沟清理及清运。</w:t>
      </w:r>
    </w:p>
    <w:p w14:paraId="6FBB7700">
      <w:pPr>
        <w:spacing w:line="360" w:lineRule="auto"/>
        <w:ind w:left="420" w:leftChars="200" w:firstLine="420" w:firstLineChars="200"/>
        <w:rPr>
          <w:rFonts w:ascii="楷体" w:hAnsi="楷体" w:eastAsia="楷体" w:cs="楷体"/>
          <w:szCs w:val="21"/>
        </w:rPr>
      </w:pPr>
      <w:r>
        <w:rPr>
          <w:rFonts w:hint="eastAsia" w:ascii="楷体" w:hAnsi="楷体" w:eastAsia="楷体" w:cs="楷体"/>
          <w:szCs w:val="21"/>
        </w:rPr>
        <w:t>4.提供树木购置、人工和因新增种植造成的局部绿化补种以及经营业务用房室内绿植盆栽和养护等服务。新种植树木等绿化存活养护期为6个月，后续保存养护期以投标文件为准。</w:t>
      </w:r>
    </w:p>
    <w:p w14:paraId="6D5B619E">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二、承包期限</w:t>
      </w:r>
    </w:p>
    <w:p w14:paraId="53733F83">
      <w:pPr>
        <w:spacing w:line="360" w:lineRule="auto"/>
        <w:ind w:left="420" w:leftChars="200" w:firstLine="420" w:firstLineChars="200"/>
        <w:rPr>
          <w:rFonts w:ascii="楷体" w:hAnsi="楷体" w:eastAsia="楷体" w:cs="楷体"/>
          <w:b/>
          <w:bCs/>
          <w:szCs w:val="21"/>
        </w:rPr>
      </w:pPr>
      <w:r>
        <w:rPr>
          <w:rFonts w:hint="eastAsia" w:ascii="楷体" w:hAnsi="楷体" w:eastAsia="楷体" w:cs="楷体"/>
          <w:szCs w:val="21"/>
        </w:rPr>
        <w:t>服务有效期限自   年  月  日起至   年  月  日。</w:t>
      </w:r>
    </w:p>
    <w:p w14:paraId="77C0433B">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三、承包款与支付</w:t>
      </w:r>
    </w:p>
    <w:p w14:paraId="3E68F8A5">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1.本项目中标金额为：¥</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元（大写：</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元），中标单价如下：</w:t>
      </w:r>
    </w:p>
    <w:tbl>
      <w:tblPr>
        <w:tblStyle w:val="44"/>
        <w:tblW w:w="4997" w:type="pct"/>
        <w:tblInd w:w="0" w:type="dxa"/>
        <w:tblLayout w:type="autofit"/>
        <w:tblCellMar>
          <w:top w:w="0" w:type="dxa"/>
          <w:left w:w="108" w:type="dxa"/>
          <w:bottom w:w="0" w:type="dxa"/>
          <w:right w:w="108" w:type="dxa"/>
        </w:tblCellMar>
      </w:tblPr>
      <w:tblGrid>
        <w:gridCol w:w="473"/>
        <w:gridCol w:w="2145"/>
        <w:gridCol w:w="730"/>
        <w:gridCol w:w="473"/>
        <w:gridCol w:w="666"/>
        <w:gridCol w:w="860"/>
        <w:gridCol w:w="3175"/>
      </w:tblGrid>
      <w:tr w14:paraId="4C652C91">
        <w:tblPrEx>
          <w:tblCellMar>
            <w:top w:w="0" w:type="dxa"/>
            <w:left w:w="108" w:type="dxa"/>
            <w:bottom w:w="0" w:type="dxa"/>
            <w:right w:w="108" w:type="dxa"/>
          </w:tblCellMar>
        </w:tblPrEx>
        <w:trPr>
          <w:trHeight w:val="720"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4DE994E7">
            <w:pPr>
              <w:widowControl/>
              <w:jc w:val="center"/>
              <w:textAlignment w:val="center"/>
              <w:rPr>
                <w:rFonts w:ascii="楷体" w:hAnsi="楷体" w:eastAsia="楷体" w:cs="楷体"/>
                <w:szCs w:val="21"/>
              </w:rPr>
            </w:pPr>
            <w:r>
              <w:rPr>
                <w:rFonts w:hint="eastAsia" w:ascii="楷体" w:hAnsi="楷体" w:eastAsia="楷体" w:cs="楷体"/>
                <w:kern w:val="0"/>
                <w:szCs w:val="21"/>
                <w:lang w:bidi="ar"/>
              </w:rPr>
              <w:t>序号</w:t>
            </w:r>
          </w:p>
        </w:tc>
        <w:tc>
          <w:tcPr>
            <w:tcW w:w="754" w:type="pct"/>
            <w:tcBorders>
              <w:top w:val="single" w:color="auto" w:sz="4" w:space="0"/>
              <w:left w:val="nil"/>
              <w:bottom w:val="single" w:color="auto" w:sz="4" w:space="0"/>
              <w:right w:val="single" w:color="auto" w:sz="4" w:space="0"/>
            </w:tcBorders>
            <w:noWrap/>
            <w:vAlign w:val="center"/>
          </w:tcPr>
          <w:p w14:paraId="647D59A7">
            <w:pPr>
              <w:widowControl/>
              <w:jc w:val="center"/>
              <w:textAlignment w:val="center"/>
              <w:rPr>
                <w:rFonts w:ascii="楷体" w:hAnsi="楷体" w:eastAsia="楷体" w:cs="楷体"/>
                <w:szCs w:val="21"/>
              </w:rPr>
            </w:pPr>
            <w:r>
              <w:rPr>
                <w:rFonts w:hint="eastAsia" w:ascii="楷体" w:hAnsi="楷体" w:eastAsia="楷体" w:cs="楷体"/>
                <w:kern w:val="0"/>
                <w:szCs w:val="21"/>
                <w:lang w:bidi="ar"/>
              </w:rPr>
              <w:t>内容</w:t>
            </w:r>
          </w:p>
        </w:tc>
        <w:tc>
          <w:tcPr>
            <w:tcW w:w="1259" w:type="pct"/>
            <w:tcBorders>
              <w:top w:val="single" w:color="auto" w:sz="4" w:space="0"/>
              <w:left w:val="nil"/>
              <w:bottom w:val="single" w:color="auto" w:sz="4" w:space="0"/>
              <w:right w:val="single" w:color="auto" w:sz="4" w:space="0"/>
            </w:tcBorders>
            <w:noWrap/>
            <w:vAlign w:val="center"/>
          </w:tcPr>
          <w:p w14:paraId="0B3D45A4">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详细内容</w:t>
            </w:r>
          </w:p>
        </w:tc>
        <w:tc>
          <w:tcPr>
            <w:tcW w:w="542" w:type="pct"/>
            <w:tcBorders>
              <w:top w:val="single" w:color="auto" w:sz="4" w:space="0"/>
              <w:left w:val="nil"/>
              <w:bottom w:val="single" w:color="auto" w:sz="4" w:space="0"/>
              <w:right w:val="single" w:color="auto" w:sz="4" w:space="0"/>
            </w:tcBorders>
            <w:noWrap/>
            <w:vAlign w:val="center"/>
          </w:tcPr>
          <w:p w14:paraId="16D488D8">
            <w:pPr>
              <w:widowControl/>
              <w:jc w:val="center"/>
              <w:textAlignment w:val="center"/>
              <w:rPr>
                <w:rFonts w:ascii="楷体" w:hAnsi="楷体" w:eastAsia="楷体" w:cs="楷体"/>
                <w:szCs w:val="21"/>
              </w:rPr>
            </w:pPr>
            <w:r>
              <w:rPr>
                <w:rFonts w:hint="eastAsia" w:ascii="楷体" w:hAnsi="楷体" w:eastAsia="楷体" w:cs="楷体"/>
                <w:kern w:val="0"/>
                <w:szCs w:val="21"/>
                <w:lang w:bidi="ar"/>
              </w:rPr>
              <w:t>数量</w:t>
            </w:r>
          </w:p>
        </w:tc>
        <w:tc>
          <w:tcPr>
            <w:tcW w:w="716" w:type="pct"/>
            <w:tcBorders>
              <w:top w:val="single" w:color="auto" w:sz="4" w:space="0"/>
              <w:left w:val="nil"/>
              <w:bottom w:val="single" w:color="auto" w:sz="4" w:space="0"/>
              <w:right w:val="single" w:color="auto" w:sz="4" w:space="0"/>
            </w:tcBorders>
            <w:noWrap/>
            <w:vAlign w:val="center"/>
          </w:tcPr>
          <w:p w14:paraId="1DDE079C">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单位</w:t>
            </w:r>
          </w:p>
        </w:tc>
        <w:tc>
          <w:tcPr>
            <w:tcW w:w="682" w:type="pct"/>
            <w:tcBorders>
              <w:top w:val="single" w:color="auto" w:sz="4" w:space="0"/>
              <w:left w:val="nil"/>
              <w:bottom w:val="single" w:color="auto" w:sz="4" w:space="0"/>
              <w:right w:val="single" w:color="auto" w:sz="4" w:space="0"/>
            </w:tcBorders>
            <w:noWrap/>
            <w:vAlign w:val="center"/>
          </w:tcPr>
          <w:p w14:paraId="18F3558A">
            <w:pPr>
              <w:widowControl/>
              <w:jc w:val="center"/>
              <w:textAlignment w:val="center"/>
              <w:rPr>
                <w:rFonts w:ascii="楷体" w:hAnsi="楷体" w:eastAsia="楷体" w:cs="楷体"/>
                <w:szCs w:val="21"/>
              </w:rPr>
            </w:pPr>
            <w:r>
              <w:rPr>
                <w:rFonts w:hint="eastAsia" w:ascii="楷体" w:hAnsi="楷体" w:eastAsia="楷体" w:cs="楷体"/>
                <w:kern w:val="0"/>
                <w:szCs w:val="21"/>
                <w:lang w:bidi="ar"/>
              </w:rPr>
              <w:t>单价（元）</w:t>
            </w:r>
          </w:p>
        </w:tc>
        <w:tc>
          <w:tcPr>
            <w:tcW w:w="699" w:type="pct"/>
            <w:tcBorders>
              <w:top w:val="single" w:color="auto" w:sz="4" w:space="0"/>
              <w:left w:val="nil"/>
              <w:bottom w:val="single" w:color="auto" w:sz="4" w:space="0"/>
              <w:right w:val="single" w:color="auto" w:sz="4" w:space="0"/>
            </w:tcBorders>
            <w:noWrap/>
            <w:vAlign w:val="center"/>
          </w:tcPr>
          <w:p w14:paraId="2289DEFB">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备注</w:t>
            </w:r>
          </w:p>
        </w:tc>
      </w:tr>
      <w:tr w14:paraId="6C298986">
        <w:tblPrEx>
          <w:tblCellMar>
            <w:top w:w="0" w:type="dxa"/>
            <w:left w:w="108" w:type="dxa"/>
            <w:bottom w:w="0" w:type="dxa"/>
            <w:right w:w="108" w:type="dxa"/>
          </w:tblCellMar>
        </w:tblPrEx>
        <w:trPr>
          <w:trHeight w:val="720" w:hRule="atLeast"/>
        </w:trPr>
        <w:tc>
          <w:tcPr>
            <w:tcW w:w="345" w:type="pct"/>
            <w:tcBorders>
              <w:top w:val="nil"/>
              <w:left w:val="single" w:color="auto" w:sz="4" w:space="0"/>
              <w:bottom w:val="single" w:color="auto" w:sz="4" w:space="0"/>
              <w:right w:val="single" w:color="auto" w:sz="4" w:space="0"/>
            </w:tcBorders>
            <w:noWrap/>
            <w:vAlign w:val="center"/>
          </w:tcPr>
          <w:p w14:paraId="02508F83">
            <w:pPr>
              <w:widowControl/>
              <w:jc w:val="center"/>
              <w:textAlignment w:val="center"/>
              <w:rPr>
                <w:rFonts w:ascii="楷体" w:hAnsi="楷体" w:eastAsia="楷体" w:cs="楷体"/>
                <w:szCs w:val="21"/>
              </w:rPr>
            </w:pPr>
            <w:r>
              <w:rPr>
                <w:rFonts w:hint="eastAsia" w:ascii="楷体" w:hAnsi="楷体" w:eastAsia="楷体" w:cs="楷体"/>
                <w:kern w:val="0"/>
                <w:szCs w:val="21"/>
                <w:lang w:bidi="ar"/>
              </w:rPr>
              <w:t>1</w:t>
            </w:r>
          </w:p>
        </w:tc>
        <w:tc>
          <w:tcPr>
            <w:tcW w:w="754" w:type="pct"/>
            <w:tcBorders>
              <w:top w:val="nil"/>
              <w:left w:val="nil"/>
              <w:bottom w:val="single" w:color="auto" w:sz="4" w:space="0"/>
              <w:right w:val="single" w:color="auto" w:sz="4" w:space="0"/>
            </w:tcBorders>
            <w:noWrap/>
            <w:vAlign w:val="center"/>
          </w:tcPr>
          <w:p w14:paraId="35B1BDF9">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绿化养护及卫生保洁服务</w:t>
            </w:r>
          </w:p>
        </w:tc>
        <w:tc>
          <w:tcPr>
            <w:tcW w:w="1259" w:type="pct"/>
            <w:tcBorders>
              <w:top w:val="nil"/>
              <w:left w:val="nil"/>
              <w:bottom w:val="single" w:color="auto" w:sz="4" w:space="0"/>
              <w:right w:val="single" w:color="auto" w:sz="4" w:space="0"/>
            </w:tcBorders>
            <w:noWrap/>
            <w:vAlign w:val="center"/>
          </w:tcPr>
          <w:p w14:paraId="072D5B70">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w:t>
            </w:r>
          </w:p>
        </w:tc>
        <w:tc>
          <w:tcPr>
            <w:tcW w:w="542" w:type="pct"/>
            <w:tcBorders>
              <w:top w:val="nil"/>
              <w:left w:val="nil"/>
              <w:bottom w:val="single" w:color="auto" w:sz="4" w:space="0"/>
              <w:right w:val="single" w:color="auto" w:sz="4" w:space="0"/>
            </w:tcBorders>
            <w:noWrap/>
            <w:vAlign w:val="center"/>
          </w:tcPr>
          <w:p w14:paraId="55F8B84F">
            <w:pPr>
              <w:widowControl/>
              <w:jc w:val="center"/>
              <w:textAlignment w:val="center"/>
              <w:rPr>
                <w:rFonts w:ascii="楷体" w:hAnsi="楷体" w:eastAsia="楷体" w:cs="楷体"/>
                <w:szCs w:val="21"/>
              </w:rPr>
            </w:pPr>
            <w:r>
              <w:rPr>
                <w:rFonts w:hint="eastAsia" w:ascii="楷体" w:hAnsi="楷体" w:eastAsia="楷体" w:cs="楷体"/>
                <w:kern w:val="0"/>
                <w:szCs w:val="21"/>
                <w:lang w:bidi="ar"/>
              </w:rPr>
              <w:t>3年</w:t>
            </w:r>
          </w:p>
        </w:tc>
        <w:tc>
          <w:tcPr>
            <w:tcW w:w="716" w:type="pct"/>
            <w:tcBorders>
              <w:top w:val="nil"/>
              <w:left w:val="nil"/>
              <w:bottom w:val="single" w:color="auto" w:sz="4" w:space="0"/>
              <w:right w:val="single" w:color="auto" w:sz="4" w:space="0"/>
            </w:tcBorders>
            <w:noWrap/>
            <w:vAlign w:val="center"/>
          </w:tcPr>
          <w:p w14:paraId="4E08B57A">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万元/年</w:t>
            </w:r>
          </w:p>
        </w:tc>
        <w:tc>
          <w:tcPr>
            <w:tcW w:w="682" w:type="pct"/>
            <w:tcBorders>
              <w:top w:val="nil"/>
              <w:left w:val="nil"/>
              <w:bottom w:val="single" w:color="auto" w:sz="4" w:space="0"/>
              <w:right w:val="single" w:color="auto" w:sz="4" w:space="0"/>
            </w:tcBorders>
            <w:noWrap/>
            <w:vAlign w:val="center"/>
          </w:tcPr>
          <w:p w14:paraId="2B398894">
            <w:pPr>
              <w:widowControl/>
              <w:jc w:val="center"/>
              <w:textAlignment w:val="center"/>
              <w:rPr>
                <w:rFonts w:ascii="楷体" w:hAnsi="楷体" w:eastAsia="楷体" w:cs="楷体"/>
                <w:szCs w:val="21"/>
              </w:rPr>
            </w:pPr>
            <w:r>
              <w:rPr>
                <w:rFonts w:hint="eastAsia" w:ascii="楷体" w:hAnsi="楷体" w:eastAsia="楷体" w:cs="楷体"/>
                <w:kern w:val="0"/>
                <w:szCs w:val="21"/>
                <w:lang w:bidi="ar"/>
              </w:rPr>
              <w:t>　</w:t>
            </w:r>
          </w:p>
        </w:tc>
        <w:tc>
          <w:tcPr>
            <w:tcW w:w="699" w:type="pct"/>
            <w:vMerge w:val="restart"/>
            <w:tcBorders>
              <w:top w:val="nil"/>
              <w:left w:val="nil"/>
              <w:right w:val="single" w:color="auto" w:sz="4" w:space="0"/>
            </w:tcBorders>
            <w:noWrap/>
            <w:vAlign w:val="center"/>
          </w:tcPr>
          <w:p w14:paraId="4DCEFC33">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新增绿化种植、局部绿化补种服务按实际发生额结算</w:t>
            </w:r>
          </w:p>
        </w:tc>
      </w:tr>
      <w:tr w14:paraId="75AEEDE7">
        <w:tblPrEx>
          <w:tblCellMar>
            <w:top w:w="0" w:type="dxa"/>
            <w:left w:w="108" w:type="dxa"/>
            <w:bottom w:w="0" w:type="dxa"/>
            <w:right w:w="108" w:type="dxa"/>
          </w:tblCellMar>
        </w:tblPrEx>
        <w:trPr>
          <w:trHeight w:val="720" w:hRule="atLeast"/>
        </w:trPr>
        <w:tc>
          <w:tcPr>
            <w:tcW w:w="345" w:type="pct"/>
            <w:tcBorders>
              <w:top w:val="nil"/>
              <w:left w:val="single" w:color="auto" w:sz="4" w:space="0"/>
              <w:bottom w:val="single" w:color="auto" w:sz="4" w:space="0"/>
              <w:right w:val="single" w:color="auto" w:sz="4" w:space="0"/>
            </w:tcBorders>
            <w:noWrap/>
            <w:vAlign w:val="center"/>
          </w:tcPr>
          <w:p w14:paraId="40182271">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2</w:t>
            </w:r>
          </w:p>
        </w:tc>
        <w:tc>
          <w:tcPr>
            <w:tcW w:w="754" w:type="pct"/>
            <w:tcBorders>
              <w:top w:val="nil"/>
              <w:left w:val="nil"/>
              <w:bottom w:val="single" w:color="auto" w:sz="4" w:space="0"/>
              <w:right w:val="single" w:color="auto" w:sz="4" w:space="0"/>
            </w:tcBorders>
            <w:noWrap/>
            <w:vAlign w:val="center"/>
          </w:tcPr>
          <w:p w14:paraId="763E13AA">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新增绿化种植、局部绿化补种服务</w:t>
            </w:r>
          </w:p>
        </w:tc>
        <w:tc>
          <w:tcPr>
            <w:tcW w:w="1259" w:type="pct"/>
            <w:tcBorders>
              <w:top w:val="nil"/>
              <w:left w:val="nil"/>
              <w:bottom w:val="single" w:color="auto" w:sz="4" w:space="0"/>
              <w:right w:val="single" w:color="auto" w:sz="4" w:space="0"/>
            </w:tcBorders>
            <w:noWrap/>
            <w:vAlign w:val="center"/>
          </w:tcPr>
          <w:p w14:paraId="67B30C2A">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w:t>
            </w:r>
          </w:p>
        </w:tc>
        <w:tc>
          <w:tcPr>
            <w:tcW w:w="542" w:type="pct"/>
            <w:tcBorders>
              <w:top w:val="nil"/>
              <w:left w:val="nil"/>
              <w:bottom w:val="single" w:color="auto" w:sz="4" w:space="0"/>
              <w:right w:val="single" w:color="auto" w:sz="4" w:space="0"/>
            </w:tcBorders>
            <w:noWrap/>
            <w:vAlign w:val="center"/>
          </w:tcPr>
          <w:p w14:paraId="136EC70C">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3年</w:t>
            </w:r>
          </w:p>
        </w:tc>
        <w:tc>
          <w:tcPr>
            <w:tcW w:w="716" w:type="pct"/>
            <w:tcBorders>
              <w:top w:val="nil"/>
              <w:left w:val="nil"/>
              <w:bottom w:val="single" w:color="auto" w:sz="4" w:space="0"/>
              <w:right w:val="single" w:color="auto" w:sz="4" w:space="0"/>
            </w:tcBorders>
            <w:noWrap/>
            <w:vAlign w:val="center"/>
          </w:tcPr>
          <w:p w14:paraId="2B3483A4">
            <w:pPr>
              <w:widowControl/>
              <w:jc w:val="center"/>
              <w:textAlignment w:val="center"/>
              <w:rPr>
                <w:rFonts w:ascii="楷体" w:hAnsi="楷体" w:eastAsia="楷体" w:cs="楷体"/>
                <w:kern w:val="0"/>
                <w:szCs w:val="21"/>
                <w:lang w:bidi="ar"/>
              </w:rPr>
            </w:pPr>
            <w:r>
              <w:rPr>
                <w:rFonts w:hint="eastAsia" w:ascii="楷体" w:hAnsi="楷体" w:eastAsia="楷体" w:cs="楷体"/>
                <w:kern w:val="0"/>
                <w:szCs w:val="21"/>
                <w:lang w:bidi="ar"/>
              </w:rPr>
              <w:t>/</w:t>
            </w:r>
          </w:p>
        </w:tc>
        <w:tc>
          <w:tcPr>
            <w:tcW w:w="682" w:type="pct"/>
            <w:tcBorders>
              <w:top w:val="nil"/>
              <w:left w:val="nil"/>
              <w:bottom w:val="single" w:color="auto" w:sz="4" w:space="0"/>
              <w:right w:val="single" w:color="auto" w:sz="4" w:space="0"/>
            </w:tcBorders>
            <w:noWrap/>
            <w:vAlign w:val="center"/>
          </w:tcPr>
          <w:p w14:paraId="1F7FFA50">
            <w:pPr>
              <w:widowControl/>
              <w:jc w:val="center"/>
              <w:textAlignment w:val="center"/>
              <w:rPr>
                <w:rFonts w:ascii="楷体" w:hAnsi="楷体" w:eastAsia="楷体" w:cs="楷体"/>
                <w:kern w:val="0"/>
                <w:szCs w:val="21"/>
                <w:lang w:bidi="ar"/>
              </w:rPr>
            </w:pPr>
          </w:p>
        </w:tc>
        <w:tc>
          <w:tcPr>
            <w:tcW w:w="699" w:type="pct"/>
            <w:vMerge w:val="continue"/>
            <w:tcBorders>
              <w:left w:val="nil"/>
              <w:bottom w:val="single" w:color="auto" w:sz="4" w:space="0"/>
              <w:right w:val="single" w:color="auto" w:sz="4" w:space="0"/>
            </w:tcBorders>
            <w:noWrap/>
            <w:vAlign w:val="center"/>
          </w:tcPr>
          <w:p w14:paraId="20B5143D">
            <w:pPr>
              <w:widowControl/>
              <w:jc w:val="center"/>
              <w:textAlignment w:val="center"/>
              <w:rPr>
                <w:rFonts w:ascii="楷体" w:hAnsi="楷体" w:eastAsia="楷体" w:cs="楷体"/>
                <w:kern w:val="0"/>
                <w:szCs w:val="21"/>
                <w:lang w:bidi="ar"/>
              </w:rPr>
            </w:pPr>
          </w:p>
        </w:tc>
      </w:tr>
    </w:tbl>
    <w:p w14:paraId="7EF7F3EF">
      <w:pPr>
        <w:spacing w:line="360" w:lineRule="auto"/>
        <w:ind w:left="420" w:leftChars="200" w:firstLine="420" w:firstLineChars="200"/>
        <w:rPr>
          <w:rStyle w:val="108"/>
          <w:rFonts w:ascii="楷体" w:hAnsi="楷体" w:eastAsia="楷体" w:cs="楷体"/>
          <w:kern w:val="0"/>
          <w:szCs w:val="21"/>
        </w:rPr>
      </w:pPr>
    </w:p>
    <w:p w14:paraId="1100CE1E">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2.合同期内，承包范围内绿化养护及卫生保洁服务费每年</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元整,（小写：¥</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元/年），甲方每半年支付一次服务费给乙方（</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元整，小写：¥</w:t>
      </w:r>
      <w:r>
        <w:rPr>
          <w:rStyle w:val="108"/>
          <w:rFonts w:hint="eastAsia" w:ascii="楷体" w:hAnsi="楷体" w:eastAsia="楷体" w:cs="楷体"/>
          <w:kern w:val="0"/>
          <w:szCs w:val="21"/>
          <w:u w:val="single"/>
        </w:rPr>
        <w:t xml:space="preserve">      </w:t>
      </w:r>
      <w:r>
        <w:rPr>
          <w:rStyle w:val="108"/>
          <w:rFonts w:hint="eastAsia" w:ascii="楷体" w:hAnsi="楷体" w:eastAsia="楷体" w:cs="楷体"/>
          <w:kern w:val="0"/>
          <w:szCs w:val="21"/>
        </w:rPr>
        <w:t>元/半年），每半年后乙方向甲方提供合法合规的等额增值税专用发票，甲方25个工作日内以银行转账方式将服务费支付至乙方账户。</w:t>
      </w:r>
    </w:p>
    <w:p w14:paraId="33419FC7">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3.购置树木、人工和因新增种植造成的局部绿化补种以及经营业务用房室内绿植盆栽等服务产生的费用另外按实结算。</w:t>
      </w:r>
    </w:p>
    <w:p w14:paraId="532575AF">
      <w:pPr>
        <w:spacing w:line="360" w:lineRule="auto"/>
        <w:ind w:left="420" w:leftChars="200" w:firstLine="420" w:firstLineChars="200"/>
        <w:rPr>
          <w:rStyle w:val="108"/>
          <w:rFonts w:ascii="楷体" w:hAnsi="楷体" w:eastAsia="楷体" w:cs="楷体"/>
          <w:kern w:val="0"/>
          <w:szCs w:val="21"/>
        </w:rPr>
      </w:pPr>
      <w:r>
        <w:rPr>
          <w:rFonts w:hint="eastAsia" w:ascii="楷体" w:hAnsi="楷体" w:eastAsia="楷体" w:cs="楷体"/>
          <w:bCs/>
          <w:szCs w:val="21"/>
        </w:rPr>
        <w:t>4.项目合同总金额37万元，不保证全部执行完，如遇结算总金额超合同金额，则合同提前终止。</w:t>
      </w:r>
    </w:p>
    <w:p w14:paraId="1C6F56F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5.甲方有权对乙方履约情况开展定期或不定期检查，如检查发现问题，甲方将通过书面方式告知乙方，乙方须做好整改工作，如连续三次告知仍不整改或整改不到位的，甲方有权单方面取消乙方服务资格。</w:t>
      </w:r>
    </w:p>
    <w:p w14:paraId="5590B031">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四、项目要求及相关标准</w:t>
      </w:r>
    </w:p>
    <w:p w14:paraId="414B3F89">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（一）绿化养护要求</w:t>
      </w:r>
    </w:p>
    <w:p w14:paraId="0EF84CA6">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1、绿地草坪“八无”：无杂草、无杂树、无积水、无沙土、无垃圾、无纸屑、无烟头、无塑料袋；</w:t>
      </w:r>
    </w:p>
    <w:p w14:paraId="529C9363">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2、树木四无：无刻画、无挂贴、无干枝、无杂物；</w:t>
      </w:r>
    </w:p>
    <w:p w14:paraId="6A3AD2F8">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围墙内绿化带除杂草、修剪，围墙外绿化带修剪，保持花灌木、绿篱的整洁及良好的形状和长势，及时清理绿化带内的枯枝落叶等。落叶乔木应在冬季或在次年萌芽前适时进行修枝整形，常绿乔木应在春季萌芽前适时进行大幅度的修枝整形，其余季节时期根据现场需要进行病虫枝、枯枝、内膛枝、平行枝等影响生长的枝条进行修剪即可；</w:t>
      </w:r>
    </w:p>
    <w:p w14:paraId="7D90B454">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4、按各植物的特点及天气情况不定期进行浇水及施肥除虫，保证花草树木青绿茂盛，如有枯死、病死由乙方负责更换；</w:t>
      </w:r>
    </w:p>
    <w:p w14:paraId="4AA6CCF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5、及时清理枯草、落叶、干枝，保持绿地、路面的清洁、美观。</w:t>
      </w:r>
    </w:p>
    <w:p w14:paraId="28BE879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6、协助对办公区域内的盆栽进行养护，及时浇水、施肥等。</w:t>
      </w:r>
    </w:p>
    <w:p w14:paraId="3DC48D85">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7、协助对经营业务用房室内摆放盆栽进行养护。</w:t>
      </w:r>
    </w:p>
    <w:p w14:paraId="084654C4">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8、对于需要支撑或加固的树木，应及时采取措施，确保树木在恶劣天气条件下的安全和稳定。支撑和加固措施应符合相关安全标准，定期检查和维护。</w:t>
      </w:r>
    </w:p>
    <w:p w14:paraId="791036A9">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（二）养护标准</w:t>
      </w:r>
    </w:p>
    <w:p w14:paraId="365210D5">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1、乔木养护管理标准</w:t>
      </w:r>
    </w:p>
    <w:p w14:paraId="22746B1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1）生长势正常，枝叶正常，无枯枝残叶；</w:t>
      </w:r>
    </w:p>
    <w:p w14:paraId="2E2E5511">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2）充分考虑树木与环境的关系，依据树龄及生长势强弱进行修剪；</w:t>
      </w:r>
    </w:p>
    <w:p w14:paraId="74E4682D">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3）及时剪去干枯枝叶和病枝；</w:t>
      </w:r>
    </w:p>
    <w:p w14:paraId="7079FD8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4）适时灌溉、施肥，对高龄树木进行复壮；</w:t>
      </w:r>
    </w:p>
    <w:p w14:paraId="2207BF30">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5）及时补植，力求苗木、规格等与原有的接近；</w:t>
      </w:r>
    </w:p>
    <w:p w14:paraId="41A9D0DB">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6）病虫害防治，以防为主，精心管理，早发现早处理。</w:t>
      </w:r>
    </w:p>
    <w:p w14:paraId="6DDBEF76">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2、花灌木养护管理标准</w:t>
      </w:r>
    </w:p>
    <w:p w14:paraId="2675EE7B">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1）生长势正常，无枯枝残叶；</w:t>
      </w:r>
    </w:p>
    <w:p w14:paraId="132BC54B">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2）造型美观，与环境协调；花灌木可适时开花，及时修剪残花败叶；</w:t>
      </w:r>
    </w:p>
    <w:p w14:paraId="6F4DBC40">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3）根据生长及开花特性适时灌溉和施肥；</w:t>
      </w:r>
    </w:p>
    <w:p w14:paraId="5D9638F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4）每季度适时除杂草；</w:t>
      </w:r>
    </w:p>
    <w:p w14:paraId="1BD8C118">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5）及时补植，力求种类、规格等与原有的接近；</w:t>
      </w:r>
    </w:p>
    <w:p w14:paraId="27A2A31E">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6）病虫害防治，以防为主，精心管理，早发现早处理。</w:t>
      </w:r>
    </w:p>
    <w:p w14:paraId="1D0CA1B4">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3、绿篱、色块养护管理标准</w:t>
      </w:r>
    </w:p>
    <w:p w14:paraId="3D1176C5">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1）修剪应使轮廓清楚，线条整齐，按花木长势情况修剪；</w:t>
      </w:r>
    </w:p>
    <w:p w14:paraId="6F15399E">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2）修剪后残留的枝叶应及时清除干净；</w:t>
      </w:r>
    </w:p>
    <w:p w14:paraId="3DEE8075">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3）适时灌溉和施肥、防治病虫害及杂草。</w:t>
      </w:r>
    </w:p>
    <w:p w14:paraId="13F1CB98">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4、草坪养护管理标准</w:t>
      </w:r>
    </w:p>
    <w:p w14:paraId="2735310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1）根据立地条件和草坪的功能进行养护管理；</w:t>
      </w:r>
    </w:p>
    <w:p w14:paraId="7AF49E5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2）草坪草生长旺盛，生机勃勃，整齐雅观，覆盖率达≥90％，杂草率≤5％，绿期240天以上，无明显坑洼积水，裸露地及时补植／补种；</w:t>
      </w:r>
    </w:p>
    <w:p w14:paraId="53293824">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3）根据不同草种的特性和观赏效果、使用方向，进行定期修剪，使草坪草的高度一致，边缘整齐；</w:t>
      </w:r>
    </w:p>
    <w:p w14:paraId="7FB042D3">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4）草坪的留茬高度、修剪次数因草坪草种类、季节、环境等因素而定，切实遵守“1／3”原则；</w:t>
      </w:r>
    </w:p>
    <w:p w14:paraId="1AE946EB">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5）草坪灌溉应适时、适量，务必灌好返青水和越冬水；</w:t>
      </w:r>
    </w:p>
    <w:p w14:paraId="4E9504CD">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6）草坪施肥时期、施肥量应根据草坪草的生长状况而定，施肥必须均匀，颗粒型追肥应及时灌水；</w:t>
      </w:r>
    </w:p>
    <w:p w14:paraId="359FDF2A">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7）及时进行病虫害防治，清除杂草。</w:t>
      </w:r>
    </w:p>
    <w:p w14:paraId="06A3F1CA">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5、办公区域、经营业务用房室内摆放盆栽养护管理标准</w:t>
      </w:r>
    </w:p>
    <w:p w14:paraId="177B06D3">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1）生长势正常，枝叶正常，无枯枝残叶。</w:t>
      </w:r>
    </w:p>
    <w:p w14:paraId="062E5A9D">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2）及时剪去干枯枝叶和病枝。</w:t>
      </w:r>
    </w:p>
    <w:p w14:paraId="55537AD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3）适时松土、喷洒灌溉、施肥。</w:t>
      </w:r>
    </w:p>
    <w:p w14:paraId="1119439A">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（三）卫生保洁要求</w:t>
      </w:r>
    </w:p>
    <w:p w14:paraId="1FEF6FC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质量标准：绿化地带无杂草、无杂树、无积水、无沙土、无垃圾、无纸屑、无烟头、无塑料袋；树木无刻画、无挂贴、无干枝、无杂物；及时清理枯草、落叶、干枝，保持绿地、路面的清洁、美观。修剪下来的病枝、枯枝及相关垃圾及时清运，清运过程中保证垃圾不掉落路面，确保卫生要求。保持场地排水、排污管沟畅通；排水沟无杂物、杂草、垃圾和沙尘堵塞。</w:t>
      </w:r>
    </w:p>
    <w:p w14:paraId="75696A1E">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甲方有权指派专人定期或不定期按照本合同提供的卫生保洁标准进行检查，如发现卫生不符合标准，甲方先以口头形式通知乙方管理人员立即整改，若不及时整改，再以书面形式通知乙方，书面通知整改通知书累计达三次，终止合同。</w:t>
      </w:r>
    </w:p>
    <w:p w14:paraId="4EDDD511">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3、每天进行打扫，在重大节假日正常进行清扫保洁工作，如果甲方有突击任务或重要活动，需乙方协助，乙方应积极配合，适当增加人手，应甲方的要求清扫保洁。</w:t>
      </w:r>
    </w:p>
    <w:p w14:paraId="7945F36F">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所有的卫生保洁工具、设备、清洁剂等均由乙方提供。使用的清洁剂必须是正规工厂所生产的合格产品（注明品牌、产地、规格、价格），其产品质量必须达到国家有关质量和环保标准，严禁使用含强酸、强碱的清洁剂，严禁使用易燃、闪点低的清洁剂，如天那水、汽油等。</w:t>
      </w:r>
    </w:p>
    <w:p w14:paraId="7CEDBD2D">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五、甲乙双方权利和义务</w:t>
      </w:r>
    </w:p>
    <w:p w14:paraId="3C6B548E">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（一）甲方责任与义务</w:t>
      </w:r>
    </w:p>
    <w:p w14:paraId="504E3A07">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1、有权监督、指导和考核乙方。</w:t>
      </w:r>
    </w:p>
    <w:p w14:paraId="20C857D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2、协助和配合乙方搞好承包范围内的绿化管护、场地保洁工作。</w:t>
      </w:r>
    </w:p>
    <w:p w14:paraId="008BF861">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3、不定期检查、按季度考核。</w:t>
      </w:r>
    </w:p>
    <w:p w14:paraId="7219FDAE">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4、按约定支付承包费。</w:t>
      </w:r>
    </w:p>
    <w:p w14:paraId="53776593">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5、因人力不可抗拒的自然灾害及非乙方人为造成的损坏或植物死亡的，由甲方出资补种。</w:t>
      </w:r>
    </w:p>
    <w:p w14:paraId="523DC384">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6、甲方免费提供管护工作用房、绿化工作用水、用电。</w:t>
      </w:r>
    </w:p>
    <w:p w14:paraId="1D4B53CE">
      <w:pPr>
        <w:spacing w:line="360" w:lineRule="auto"/>
        <w:ind w:left="420" w:leftChars="200" w:firstLine="422" w:firstLineChars="200"/>
        <w:rPr>
          <w:rFonts w:ascii="楷体" w:hAnsi="楷体" w:eastAsia="楷体" w:cs="楷体"/>
          <w:b/>
          <w:bCs/>
          <w:szCs w:val="21"/>
        </w:rPr>
      </w:pPr>
      <w:r>
        <w:rPr>
          <w:rFonts w:hint="eastAsia" w:ascii="楷体" w:hAnsi="楷体" w:eastAsia="楷体" w:cs="楷体"/>
          <w:b/>
          <w:bCs/>
          <w:szCs w:val="21"/>
        </w:rPr>
        <w:t>（二）乙方责任与义务</w:t>
      </w:r>
    </w:p>
    <w:p w14:paraId="019B247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1、严格遵守甲方的相关管理规章制度。乙方使用的服务人员必须身体健康、仪容端正、品德良好，无违法犯罪记录。对在工作期间出现偷盗或其他违法违纪的人员应及时解聘。</w:t>
      </w:r>
    </w:p>
    <w:p w14:paraId="0AF9778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2、按时、保质、保量地完成承包范围内的相关工作。</w:t>
      </w:r>
    </w:p>
    <w:p w14:paraId="052A5484">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3、种植一年以上已成活的树木、花草因乙方管护工作不力而造成死亡的由乙方负责出资补种。</w:t>
      </w:r>
    </w:p>
    <w:p w14:paraId="460D5E50">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4、与甲方做好沟通、协调和配合工作，协助甲方做好重大节假日或需要布置的其他重要工作。</w:t>
      </w:r>
    </w:p>
    <w:p w14:paraId="1177C4D6">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5、负责承包范围内的保洁，处理日常产生的垃圾。</w:t>
      </w:r>
    </w:p>
    <w:p w14:paraId="5498E3BA">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6、负责承包范围内的农药、肥料等。所使用的药物必须经正规渠道供应。使用农药严格按操作规程和有关规定进行配比、用量正确，无药害产生。</w:t>
      </w:r>
    </w:p>
    <w:p w14:paraId="7CF23328">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7、乙方在进行病虫防治及施肥项目工作时，必须通知甲方，甲方提前做好应对策略。</w:t>
      </w:r>
    </w:p>
    <w:p w14:paraId="03FEB727">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8、乙方负责服务人员的培训。</w:t>
      </w:r>
    </w:p>
    <w:p w14:paraId="36C90D29">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9、树立“安全第一”的思想，做好安全防护措施，乙方在合同期间因管护工作发生的人身伤亡等安全事故，一切由乙方负责，与甲方无关。</w:t>
      </w:r>
    </w:p>
    <w:p w14:paraId="49D3C38C">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10、合同期内，乙方因工作疏忽等原因，造成承包范围内的断枝、枯枝砸伤行人的，由乙方承担一切后果。</w:t>
      </w:r>
    </w:p>
    <w:p w14:paraId="23A3E3BB">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11、乙方定期或不定期指派管理人员对保洁工作进行检查，并定期征求甲方对保洁工作的意见和建议，对存在的问题及时处理。</w:t>
      </w:r>
    </w:p>
    <w:p w14:paraId="03AD1068">
      <w:pPr>
        <w:spacing w:line="360" w:lineRule="auto"/>
        <w:ind w:left="420" w:leftChars="200" w:firstLine="420" w:firstLineChars="200"/>
        <w:rPr>
          <w:rStyle w:val="108"/>
          <w:rFonts w:ascii="楷体" w:hAnsi="楷体" w:eastAsia="楷体" w:cs="楷体"/>
          <w:kern w:val="0"/>
          <w:szCs w:val="21"/>
        </w:rPr>
      </w:pPr>
      <w:r>
        <w:rPr>
          <w:rStyle w:val="108"/>
          <w:rFonts w:hint="eastAsia" w:ascii="楷体" w:hAnsi="楷体" w:eastAsia="楷体" w:cs="楷体"/>
          <w:kern w:val="0"/>
          <w:szCs w:val="21"/>
        </w:rPr>
        <w:t>12、协助甲方检查、考核。</w:t>
      </w:r>
    </w:p>
    <w:p w14:paraId="2F4A67B4">
      <w:pPr>
        <w:widowControl/>
        <w:spacing w:line="360" w:lineRule="auto"/>
        <w:ind w:left="420" w:leftChars="200" w:firstLine="422" w:firstLineChars="200"/>
        <w:jc w:val="left"/>
        <w:rPr>
          <w:rFonts w:ascii="楷体" w:hAnsi="楷体" w:eastAsia="楷体" w:cs="楷体"/>
          <w:b/>
          <w:bCs/>
          <w:kern w:val="0"/>
          <w:szCs w:val="21"/>
        </w:rPr>
      </w:pPr>
      <w:r>
        <w:rPr>
          <w:rFonts w:hint="eastAsia" w:ascii="楷体" w:hAnsi="楷体" w:eastAsia="楷体" w:cs="楷体"/>
          <w:b/>
          <w:bCs/>
          <w:kern w:val="0"/>
          <w:szCs w:val="21"/>
        </w:rPr>
        <w:t>六、违约责任</w:t>
      </w:r>
    </w:p>
    <w:p w14:paraId="4B667E41">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1.如甲方违约，造成合同不能履行，乙方有权终止合同，并要求违约方支付违约金人民币壹仟元。</w:t>
      </w:r>
    </w:p>
    <w:p w14:paraId="1559115F">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Style w:val="108"/>
          <w:rFonts w:hint="eastAsia" w:ascii="楷体" w:hAnsi="楷体" w:eastAsia="楷体" w:cs="楷体"/>
          <w:sz w:val="21"/>
          <w:szCs w:val="21"/>
        </w:rPr>
        <w:t>2.甲方按照本合同之条款按时支付乙方服务费用，逾期未付清本合同约定款项的，每延迟一日，按应支付未支付总额的1‰向乙方支付违约金。违约金总额不超过甲方应支付未支付总额的5％。</w:t>
      </w:r>
    </w:p>
    <w:p w14:paraId="7663E8BA">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3.如乙方违约，致使本合同不能履行，甲方有权终止合同。</w:t>
      </w:r>
    </w:p>
    <w:p w14:paraId="79CD512D">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sz w:val="21"/>
          <w:szCs w:val="21"/>
        </w:rPr>
        <w:t>4.乙方不得将本合同约定承包范围及项目以任何形式转包或分包给第三方，如有违反，甲方有权单方面解除合同，并且不退还履约保证金</w:t>
      </w:r>
      <w:r>
        <w:rPr>
          <w:rFonts w:hint="eastAsia" w:ascii="楷体" w:hAnsi="楷体" w:eastAsia="楷体" w:cs="楷体"/>
          <w:color w:val="000000"/>
          <w:sz w:val="21"/>
          <w:szCs w:val="21"/>
        </w:rPr>
        <w:t>。</w:t>
      </w:r>
    </w:p>
    <w:p w14:paraId="6DE7ED1E">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5.未达到合同约定的养护标准（如植物存活率低、草坪不平整等），甲方有权不接受，并且乙方须向甲方支付1000元的违约金，同时乙方应无条件返工，直到符合合同约定的质量要求，返工所需全部费用由乙方自行承担，如乙方给甲方造成的实际损失超过该违约金的，甲方有权要求乙方赔偿超过部分。违约金可在履约保证金中直接扣除。若连续三次出现此情况，甲方有权单方解除合同。</w:t>
      </w:r>
    </w:p>
    <w:p w14:paraId="79CF0D65">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6.乙方未按约定时间完成种植养护或保洁工作，每逾期一日需支付本半年服务费的1</w:t>
      </w:r>
      <w:r>
        <w:rPr>
          <w:rStyle w:val="108"/>
          <w:rFonts w:hint="eastAsia" w:ascii="楷体" w:hAnsi="楷体" w:eastAsia="楷体" w:cs="楷体"/>
          <w:sz w:val="21"/>
          <w:szCs w:val="21"/>
        </w:rPr>
        <w:t>‰</w:t>
      </w:r>
      <w:r>
        <w:rPr>
          <w:rFonts w:hint="eastAsia" w:ascii="楷体" w:hAnsi="楷体" w:eastAsia="楷体" w:cs="楷体"/>
          <w:color w:val="000000"/>
          <w:sz w:val="21"/>
          <w:szCs w:val="21"/>
        </w:rPr>
        <w:t>作为违约金，可在履约保证金中直接扣除，逾期超10天，甲方有权单方解除合同。</w:t>
      </w:r>
    </w:p>
    <w:p w14:paraId="7B3347D1">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7.若乙方在合同期内，超过2次（不含2次）拒绝提供服务，经甲方研究确定后，甲方有权单方面解除合同。</w:t>
      </w:r>
    </w:p>
    <w:p w14:paraId="77116EAD">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8.由于乙方代表及其他乙方人员的行为给甲方及绿化造成损失的，乙方应向甲方支付1000元作为违约金，并承担给甲方造成的所有实际损失。</w:t>
      </w:r>
    </w:p>
    <w:p w14:paraId="53C98090">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9.如因乙方发生安全事故等原因使受害人通过投诉、起诉、信访等方式向甲方主张权利，乙方应承担甲方因此支出的调查费、律师费等一切费用，每发生一起安全事故，乙方应向甲方支付1000元作为违约金，并承担给甲方造成的所有实际损失。</w:t>
      </w:r>
    </w:p>
    <w:p w14:paraId="1D4EBD25">
      <w:pPr>
        <w:pStyle w:val="109"/>
        <w:widowControl w:val="0"/>
        <w:autoSpaceDE w:val="0"/>
        <w:autoSpaceDN w:val="0"/>
        <w:adjustRightInd w:val="0"/>
        <w:spacing w:before="0" w:after="0" w:line="360" w:lineRule="auto"/>
        <w:ind w:left="420" w:leftChars="200"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10.乙方明确表示或者以其行为表明不履行合同主要义务的，甲方有权解除合同，并且不退还履约保证金。</w:t>
      </w:r>
    </w:p>
    <w:p w14:paraId="5155BB0C">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11.</w:t>
      </w:r>
      <w:r>
        <w:rPr>
          <w:rFonts w:hint="eastAsia"/>
        </w:rPr>
        <w:t xml:space="preserve"> </w:t>
      </w:r>
      <w:r>
        <w:rPr>
          <w:rFonts w:hint="eastAsia" w:ascii="楷体" w:hAnsi="楷体" w:eastAsia="楷体" w:cs="楷体"/>
          <w:color w:val="000000"/>
          <w:sz w:val="21"/>
          <w:szCs w:val="21"/>
        </w:rPr>
        <w:t>甲方因自身原因而无法继续履行合同时，甲方应提前10天告知乙方，乙方应无条件与甲方解除本合同，甲方不负任何违约和赔偿责任。</w:t>
      </w:r>
    </w:p>
    <w:p w14:paraId="686997DB">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color w:val="000000"/>
          <w:sz w:val="21"/>
          <w:szCs w:val="21"/>
        </w:rPr>
      </w:pPr>
      <w:r>
        <w:rPr>
          <w:rFonts w:hint="eastAsia" w:ascii="楷体" w:hAnsi="楷体" w:eastAsia="楷体" w:cs="楷体"/>
          <w:color w:val="000000"/>
          <w:sz w:val="21"/>
          <w:szCs w:val="21"/>
        </w:rPr>
        <w:t>12.其它违约责任按《中华人民共和国民法典》处理。</w:t>
      </w:r>
    </w:p>
    <w:p w14:paraId="770B90D4">
      <w:pPr>
        <w:widowControl/>
        <w:spacing w:line="360" w:lineRule="auto"/>
        <w:ind w:left="840" w:leftChars="400"/>
        <w:jc w:val="left"/>
        <w:rPr>
          <w:rFonts w:ascii="楷体" w:hAnsi="楷体" w:eastAsia="楷体" w:cs="楷体"/>
          <w:b/>
          <w:bCs/>
          <w:color w:val="000000"/>
          <w:kern w:val="0"/>
          <w:szCs w:val="21"/>
        </w:rPr>
      </w:pPr>
      <w:r>
        <w:rPr>
          <w:rFonts w:hint="eastAsia" w:ascii="楷体" w:hAnsi="楷体" w:eastAsia="楷体" w:cs="楷体"/>
          <w:b/>
          <w:bCs/>
          <w:color w:val="000000"/>
          <w:kern w:val="0"/>
          <w:szCs w:val="21"/>
        </w:rPr>
        <w:t>七、供应商不良行为约定</w:t>
      </w:r>
    </w:p>
    <w:p w14:paraId="6936C18D">
      <w:pPr>
        <w:widowControl/>
        <w:spacing w:line="360" w:lineRule="auto"/>
        <w:ind w:left="840" w:leftChars="400"/>
        <w:jc w:val="left"/>
        <w:rPr>
          <w:rFonts w:ascii="楷体" w:hAnsi="楷体" w:eastAsia="楷体" w:cs="楷体"/>
          <w:b/>
          <w:bCs/>
          <w:color w:val="000000"/>
          <w:kern w:val="0"/>
          <w:szCs w:val="21"/>
        </w:rPr>
      </w:pPr>
      <w:r>
        <w:rPr>
          <w:rStyle w:val="108"/>
          <w:rFonts w:hint="eastAsia" w:ascii="楷体" w:hAnsi="楷体" w:eastAsia="楷体" w:cs="楷体"/>
          <w:szCs w:val="21"/>
        </w:rPr>
        <w:t>乙方须遵守甲方关于供应商不良行为管理的一切规定。</w:t>
      </w:r>
    </w:p>
    <w:p w14:paraId="600F11FF">
      <w:pPr>
        <w:widowControl/>
        <w:numPr>
          <w:ilvl w:val="0"/>
          <w:numId w:val="62"/>
        </w:numPr>
        <w:spacing w:line="360" w:lineRule="auto"/>
        <w:ind w:left="420" w:leftChars="200" w:firstLine="422" w:firstLineChars="200"/>
        <w:jc w:val="left"/>
        <w:rPr>
          <w:rFonts w:ascii="楷体" w:hAnsi="楷体" w:eastAsia="楷体" w:cs="楷体"/>
          <w:b/>
          <w:bCs/>
          <w:color w:val="000000"/>
          <w:kern w:val="0"/>
          <w:szCs w:val="21"/>
        </w:rPr>
      </w:pPr>
      <w:r>
        <w:rPr>
          <w:rFonts w:hint="eastAsia" w:ascii="楷体" w:hAnsi="楷体" w:eastAsia="楷体" w:cs="楷体"/>
          <w:b/>
          <w:bCs/>
          <w:color w:val="000000"/>
          <w:kern w:val="0"/>
          <w:szCs w:val="21"/>
        </w:rPr>
        <w:t>争端的解决</w:t>
      </w:r>
    </w:p>
    <w:p w14:paraId="5226BFD6">
      <w:pPr>
        <w:widowControl/>
        <w:spacing w:line="360" w:lineRule="auto"/>
        <w:ind w:left="420" w:leftChars="200" w:firstLine="420" w:firstLineChars="200"/>
        <w:jc w:val="left"/>
        <w:rPr>
          <w:rFonts w:ascii="楷体" w:hAnsi="楷体" w:eastAsia="楷体" w:cs="楷体"/>
          <w:szCs w:val="21"/>
        </w:rPr>
      </w:pPr>
      <w:r>
        <w:rPr>
          <w:rFonts w:hint="eastAsia" w:ascii="楷体" w:hAnsi="楷体" w:eastAsia="楷体" w:cs="楷体"/>
          <w:szCs w:val="21"/>
        </w:rPr>
        <w:t>1.本协议依据中华人民共和国法律订立，适用中华人民共和国法律、法规和规章。</w:t>
      </w:r>
    </w:p>
    <w:p w14:paraId="226BC87C">
      <w:pPr>
        <w:widowControl/>
        <w:spacing w:line="360" w:lineRule="auto"/>
        <w:ind w:left="420" w:leftChars="200" w:firstLine="420" w:firstLineChars="200"/>
        <w:jc w:val="left"/>
        <w:rPr>
          <w:rFonts w:ascii="楷体" w:hAnsi="楷体" w:eastAsia="楷体" w:cs="楷体"/>
          <w:szCs w:val="21"/>
        </w:rPr>
      </w:pPr>
      <w:r>
        <w:rPr>
          <w:rFonts w:hint="eastAsia" w:ascii="楷体" w:hAnsi="楷体" w:eastAsia="楷体" w:cs="楷体"/>
          <w:szCs w:val="21"/>
        </w:rPr>
        <w:t>2.所有因本合同引起的或与本合同有关的任何争议将通过双方友好协商解决。如果双方不能通过友好协商解决争议，则任何一方均可向</w:t>
      </w:r>
      <w:r>
        <w:rPr>
          <w:rFonts w:hint="eastAsia" w:ascii="楷体" w:hAnsi="楷体" w:eastAsia="楷体" w:cs="楷体"/>
          <w:szCs w:val="21"/>
          <w:u w:val="single"/>
        </w:rPr>
        <w:t>（甲方所在地）</w:t>
      </w:r>
      <w:r>
        <w:rPr>
          <w:rFonts w:hint="eastAsia" w:ascii="楷体" w:hAnsi="楷体" w:eastAsia="楷体" w:cs="楷体"/>
          <w:szCs w:val="21"/>
        </w:rPr>
        <w:t>人民法院起诉。</w:t>
      </w:r>
    </w:p>
    <w:p w14:paraId="7F2F662B">
      <w:pPr>
        <w:widowControl/>
        <w:spacing w:line="360" w:lineRule="auto"/>
        <w:ind w:left="420" w:leftChars="200" w:firstLine="420" w:firstLineChars="200"/>
        <w:jc w:val="left"/>
        <w:rPr>
          <w:rFonts w:ascii="楷体" w:hAnsi="楷体" w:eastAsia="楷体" w:cs="楷体"/>
          <w:szCs w:val="21"/>
        </w:rPr>
      </w:pPr>
      <w:r>
        <w:rPr>
          <w:rFonts w:hint="eastAsia" w:ascii="楷体" w:hAnsi="楷体" w:eastAsia="楷体" w:cs="楷体"/>
          <w:szCs w:val="21"/>
        </w:rPr>
        <w:t>3.在争议解决期间，除争议事项外，双方将继续履行在本协议项下的其它义务。</w:t>
      </w:r>
    </w:p>
    <w:p w14:paraId="3D9A9D84">
      <w:pPr>
        <w:widowControl/>
        <w:numPr>
          <w:ilvl w:val="0"/>
          <w:numId w:val="62"/>
        </w:numPr>
        <w:spacing w:line="360" w:lineRule="auto"/>
        <w:ind w:left="420" w:leftChars="200" w:firstLine="422" w:firstLineChars="200"/>
        <w:jc w:val="left"/>
        <w:rPr>
          <w:rFonts w:ascii="楷体" w:hAnsi="楷体" w:eastAsia="楷体" w:cs="楷体"/>
          <w:b/>
          <w:bCs/>
          <w:kern w:val="0"/>
          <w:szCs w:val="21"/>
        </w:rPr>
      </w:pPr>
      <w:r>
        <w:rPr>
          <w:rFonts w:hint="eastAsia" w:ascii="楷体" w:hAnsi="楷体" w:eastAsia="楷体" w:cs="楷体"/>
          <w:b/>
          <w:bCs/>
          <w:kern w:val="0"/>
          <w:szCs w:val="21"/>
        </w:rPr>
        <w:t>不可抗力</w:t>
      </w:r>
    </w:p>
    <w:p w14:paraId="21A8E3F0">
      <w:pPr>
        <w:widowControl/>
        <w:spacing w:line="360" w:lineRule="auto"/>
        <w:ind w:left="420" w:leftChars="200" w:firstLine="420" w:firstLineChars="200"/>
        <w:jc w:val="left"/>
        <w:rPr>
          <w:rFonts w:ascii="楷体" w:hAnsi="楷体" w:eastAsia="楷体" w:cs="楷体"/>
          <w:szCs w:val="21"/>
        </w:rPr>
      </w:pPr>
      <w:r>
        <w:rPr>
          <w:rFonts w:hint="eastAsia" w:ascii="楷体" w:hAnsi="楷体" w:eastAsia="楷体" w:cs="楷体"/>
          <w:szCs w:val="21"/>
        </w:rPr>
        <w:t>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在发生2天内书面通知对方，并提供不可抗力的详细情况及合同不能履行，或者部分不能履行，或者需要延期履行的理由和有效的证明文件，另一方在7天之内答复。按不可抗力对履行合同影响的程度，由双方协商决定是否解除合同，或者部分免除履行合同的义务，或者延期履行合同。一方迟延履行本合同时发生不可抗力的，迟延方的合同义务不能免除。</w:t>
      </w:r>
    </w:p>
    <w:p w14:paraId="7455CD7A">
      <w:pPr>
        <w:widowControl/>
        <w:spacing w:line="360" w:lineRule="auto"/>
        <w:ind w:left="420" w:leftChars="200" w:firstLine="420" w:firstLineChars="200"/>
        <w:jc w:val="left"/>
        <w:rPr>
          <w:rFonts w:ascii="楷体" w:hAnsi="楷体" w:eastAsia="楷体" w:cs="楷体"/>
          <w:szCs w:val="21"/>
        </w:rPr>
      </w:pPr>
      <w:r>
        <w:rPr>
          <w:rFonts w:hint="eastAsia" w:ascii="楷体" w:hAnsi="楷体" w:eastAsia="楷体" w:cs="楷体"/>
          <w:szCs w:val="21"/>
        </w:rPr>
        <w:t>2.受到不可抗力影响的一方，应尽可能地采取合理的行为和适当的措施减轻不可抗力对本合同的履行所造成的影响。没有采取适当措施致使损失扩大的，该方不得就扩大损失的部分要求免责或赔偿。</w:t>
      </w:r>
    </w:p>
    <w:p w14:paraId="6470715A">
      <w:pPr>
        <w:widowControl/>
        <w:numPr>
          <w:ilvl w:val="0"/>
          <w:numId w:val="62"/>
        </w:numPr>
        <w:spacing w:line="360" w:lineRule="auto"/>
        <w:ind w:left="420" w:leftChars="200" w:firstLine="422" w:firstLineChars="200"/>
        <w:jc w:val="left"/>
        <w:rPr>
          <w:rFonts w:ascii="楷体" w:hAnsi="楷体" w:eastAsia="楷体" w:cs="楷体"/>
          <w:b/>
          <w:bCs/>
          <w:kern w:val="0"/>
          <w:szCs w:val="21"/>
        </w:rPr>
      </w:pPr>
      <w:r>
        <w:rPr>
          <w:rFonts w:hint="eastAsia" w:ascii="楷体" w:hAnsi="楷体" w:eastAsia="楷体" w:cs="楷体"/>
          <w:b/>
          <w:bCs/>
          <w:kern w:val="0"/>
          <w:szCs w:val="21"/>
        </w:rPr>
        <w:t>履约保证金</w:t>
      </w:r>
    </w:p>
    <w:p w14:paraId="7AA4A459">
      <w:pPr>
        <w:pStyle w:val="42"/>
        <w:spacing w:line="360" w:lineRule="auto"/>
        <w:ind w:firstLineChars="200"/>
        <w:rPr>
          <w:rFonts w:ascii="楷体" w:hAnsi="楷体" w:eastAsia="楷体" w:cs="楷体"/>
          <w:szCs w:val="21"/>
        </w:rPr>
      </w:pPr>
      <w:r>
        <w:rPr>
          <w:rFonts w:hint="eastAsia" w:ascii="楷体" w:hAnsi="楷体" w:eastAsia="楷体" w:cs="楷体"/>
          <w:szCs w:val="21"/>
        </w:rPr>
        <w:t>乙方应在签订合同前五个工作日内向甲方支付人民币叁仟元整（小写：¥3,000.00）作为履约保证金或提供银行保函作为担保，如未按时提供履约保证金，</w:t>
      </w:r>
      <w:r>
        <w:rPr>
          <w:rFonts w:hint="eastAsia" w:ascii="楷体" w:hAnsi="楷体" w:eastAsia="楷体" w:cs="楷体"/>
          <w:szCs w:val="21"/>
          <w:lang w:val="zh-CN"/>
        </w:rPr>
        <w:t>甲方有权按照评标委员会提出的中标候选人名单排序依次确定其他中标候选人作为合同签订方；如在合同期内有被扣除，应在</w:t>
      </w:r>
      <w:r>
        <w:rPr>
          <w:rFonts w:hint="eastAsia" w:ascii="楷体" w:hAnsi="楷体" w:eastAsia="楷体" w:cs="楷体"/>
          <w:szCs w:val="21"/>
        </w:rPr>
        <w:t>5个工作日补充完整，未按时补充视为以其行为表明不履行合同主要义务；如合同期内乙方没有违反合同约定，则甲方于合同期满后30个工作日内退还履约保证金或归还银行保函。</w:t>
      </w:r>
    </w:p>
    <w:p w14:paraId="5C384FCB">
      <w:pPr>
        <w:pStyle w:val="42"/>
        <w:spacing w:line="360" w:lineRule="auto"/>
        <w:ind w:firstLineChars="200"/>
        <w:rPr>
          <w:rFonts w:ascii="楷体" w:hAnsi="楷体" w:eastAsia="楷体" w:cs="楷体"/>
          <w:szCs w:val="21"/>
        </w:rPr>
      </w:pPr>
      <w:r>
        <w:rPr>
          <w:rFonts w:hint="eastAsia" w:ascii="楷体" w:hAnsi="楷体" w:eastAsia="楷体" w:cs="楷体"/>
          <w:szCs w:val="21"/>
        </w:rPr>
        <w:t>本项目履约保证金不计息退回。银行转账方式递交履约保证金的，必须用乙方名称的账号以银行转账方式提交。</w:t>
      </w:r>
    </w:p>
    <w:p w14:paraId="220E0153">
      <w:pPr>
        <w:pStyle w:val="42"/>
        <w:spacing w:line="360" w:lineRule="auto"/>
        <w:ind w:firstLine="420" w:firstLineChars="200"/>
        <w:rPr>
          <w:rFonts w:hint="eastAsia" w:ascii="楷体" w:hAnsi="楷体" w:eastAsia="楷体" w:cs="楷体"/>
          <w:szCs w:val="21"/>
        </w:rPr>
      </w:pPr>
      <w:r>
        <w:rPr>
          <w:rFonts w:hint="eastAsia" w:ascii="楷体" w:hAnsi="楷体" w:eastAsia="楷体" w:cs="楷体"/>
          <w:szCs w:val="21"/>
        </w:rPr>
        <w:t>若乙方未按上述规定向甲方支付履约保证金，则甲方有权通过书面通知单方解除本合同。</w:t>
      </w:r>
    </w:p>
    <w:p w14:paraId="0E9ED2E6">
      <w:pPr>
        <w:widowControl/>
        <w:numPr>
          <w:ilvl w:val="0"/>
          <w:numId w:val="62"/>
        </w:numPr>
        <w:spacing w:line="360" w:lineRule="auto"/>
        <w:ind w:left="420" w:leftChars="200" w:firstLine="422" w:firstLineChars="200"/>
        <w:jc w:val="left"/>
        <w:rPr>
          <w:rFonts w:ascii="楷体" w:hAnsi="楷体" w:eastAsia="楷体" w:cs="楷体"/>
          <w:b/>
          <w:bCs/>
          <w:kern w:val="0"/>
          <w:szCs w:val="21"/>
        </w:rPr>
      </w:pPr>
      <w:r>
        <w:rPr>
          <w:rFonts w:hint="eastAsia" w:ascii="楷体" w:hAnsi="楷体" w:eastAsia="楷体" w:cs="楷体"/>
          <w:b/>
          <w:bCs/>
          <w:kern w:val="0"/>
          <w:szCs w:val="21"/>
        </w:rPr>
        <w:t>税费</w:t>
      </w:r>
    </w:p>
    <w:p w14:paraId="002EE1CC">
      <w:pPr>
        <w:widowControl/>
        <w:spacing w:line="360" w:lineRule="auto"/>
        <w:ind w:left="420" w:leftChars="200" w:firstLine="420" w:firstLineChars="200"/>
        <w:jc w:val="left"/>
        <w:rPr>
          <w:rFonts w:ascii="楷体" w:hAnsi="楷体" w:eastAsia="楷体" w:cs="楷体"/>
          <w:kern w:val="0"/>
          <w:szCs w:val="21"/>
        </w:rPr>
      </w:pPr>
      <w:r>
        <w:rPr>
          <w:rFonts w:hint="eastAsia" w:ascii="楷体" w:hAnsi="楷体" w:eastAsia="楷体" w:cs="楷体"/>
          <w:kern w:val="0"/>
          <w:szCs w:val="21"/>
        </w:rPr>
        <w:t>在中国境内、外发生的与本合同执行有关的一切税费均由乙方负担。</w:t>
      </w:r>
    </w:p>
    <w:p w14:paraId="5AA3994F">
      <w:pPr>
        <w:widowControl/>
        <w:numPr>
          <w:ilvl w:val="0"/>
          <w:numId w:val="62"/>
        </w:numPr>
        <w:spacing w:line="360" w:lineRule="auto"/>
        <w:ind w:left="420" w:leftChars="200" w:firstLine="422" w:firstLineChars="200"/>
        <w:jc w:val="left"/>
        <w:rPr>
          <w:rFonts w:ascii="楷体" w:hAnsi="楷体" w:eastAsia="楷体" w:cs="楷体"/>
          <w:b/>
          <w:bCs/>
          <w:kern w:val="0"/>
          <w:szCs w:val="21"/>
        </w:rPr>
      </w:pPr>
      <w:r>
        <w:rPr>
          <w:rFonts w:hint="eastAsia" w:ascii="楷体" w:hAnsi="楷体" w:eastAsia="楷体" w:cs="楷体"/>
          <w:b/>
          <w:bCs/>
          <w:kern w:val="0"/>
          <w:szCs w:val="21"/>
        </w:rPr>
        <w:t>其他</w:t>
      </w:r>
    </w:p>
    <w:p w14:paraId="350448FA">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1.本合同所有附件、招标文件、投标文件、中标通知书均为合同的有效组成部分，与本合同具有同等法律效力。</w:t>
      </w:r>
    </w:p>
    <w:p w14:paraId="3CCB7A72">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2.在执行本合同的过程中，所有经双方签署确认的文件（包括会议纪要、补充协议、往来信函）即成为本合同的有效组成部分。</w:t>
      </w:r>
    </w:p>
    <w:p w14:paraId="48354F12">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3.本合同条款与国家政策、法律规定相悖的，以国家政策、法律法规为准。本合同未尽事宜，由甲乙双方另行协商，签订的补充合同与本合同具有同等法律效力。</w:t>
      </w:r>
    </w:p>
    <w:p w14:paraId="48711466">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4.本合同规定的条款，如需变更，需经双方协商同意，方可变更。</w:t>
      </w:r>
    </w:p>
    <w:p w14:paraId="3E974AE5">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5.本合同壹式陆份，甲方执肆份，乙方执壹份，代理机构执壹份，具有同等法律效力，自双方法定代表人或委托代理人签订之日起生效。</w:t>
      </w:r>
    </w:p>
    <w:p w14:paraId="663BB841">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p>
    <w:p w14:paraId="4EF88881">
      <w:pPr>
        <w:pStyle w:val="109"/>
        <w:widowControl w:val="0"/>
        <w:autoSpaceDE w:val="0"/>
        <w:autoSpaceDN w:val="0"/>
        <w:adjustRightInd w:val="0"/>
        <w:spacing w:before="0" w:after="0" w:line="360" w:lineRule="auto"/>
        <w:ind w:left="420" w:leftChars="200" w:firstLine="420" w:firstLineChars="200"/>
        <w:jc w:val="left"/>
        <w:rPr>
          <w:rFonts w:ascii="楷体" w:hAnsi="楷体" w:eastAsia="楷体" w:cs="楷体"/>
          <w:sz w:val="21"/>
          <w:szCs w:val="21"/>
        </w:rPr>
      </w:pPr>
      <w:r>
        <w:rPr>
          <w:rFonts w:hint="eastAsia" w:ascii="楷体" w:hAnsi="楷体" w:eastAsia="楷体" w:cs="楷体"/>
          <w:sz w:val="21"/>
          <w:szCs w:val="21"/>
        </w:rPr>
        <w:t>附件：安全协议</w:t>
      </w:r>
    </w:p>
    <w:p w14:paraId="2D9DAB42">
      <w:pPr>
        <w:pStyle w:val="109"/>
        <w:widowControl w:val="0"/>
        <w:autoSpaceDE w:val="0"/>
        <w:autoSpaceDN w:val="0"/>
        <w:adjustRightInd w:val="0"/>
        <w:spacing w:before="0" w:after="0" w:line="500" w:lineRule="exact"/>
        <w:ind w:right="397" w:rightChars="189"/>
        <w:jc w:val="left"/>
        <w:rPr>
          <w:rFonts w:ascii="楷体" w:hAnsi="楷体" w:eastAsia="楷体" w:cs="楷体"/>
          <w:sz w:val="21"/>
          <w:szCs w:val="21"/>
        </w:rPr>
      </w:pPr>
    </w:p>
    <w:p w14:paraId="7A588D49">
      <w:pPr>
        <w:pStyle w:val="109"/>
        <w:widowControl w:val="0"/>
        <w:autoSpaceDE w:val="0"/>
        <w:autoSpaceDN w:val="0"/>
        <w:adjustRightInd w:val="0"/>
        <w:spacing w:before="0" w:after="0" w:line="500" w:lineRule="exact"/>
        <w:ind w:left="420" w:leftChars="200" w:right="397" w:rightChars="189" w:firstLine="476" w:firstLineChars="227"/>
        <w:jc w:val="left"/>
        <w:rPr>
          <w:rFonts w:ascii="楷体" w:hAnsi="楷体" w:eastAsia="楷体" w:cs="楷体"/>
          <w:sz w:val="21"/>
          <w:szCs w:val="21"/>
        </w:rPr>
      </w:pPr>
    </w:p>
    <w:p w14:paraId="36A7E87E">
      <w:pPr>
        <w:tabs>
          <w:tab w:val="left" w:pos="5040"/>
        </w:tabs>
        <w:spacing w:line="500" w:lineRule="exact"/>
        <w:ind w:left="420" w:leftChars="200" w:right="397" w:rightChars="189"/>
        <w:rPr>
          <w:rFonts w:ascii="楷体" w:hAnsi="楷体" w:eastAsia="楷体" w:cs="楷体"/>
          <w:kern w:val="0"/>
          <w:szCs w:val="21"/>
        </w:rPr>
      </w:pPr>
      <w:r>
        <w:rPr>
          <w:rFonts w:hint="eastAsia" w:ascii="楷体" w:hAnsi="楷体" w:eastAsia="楷体" w:cs="楷体"/>
          <w:szCs w:val="21"/>
        </w:rPr>
        <w:t>甲方（盖章）：                       乙方（盖章）：</w:t>
      </w:r>
    </w:p>
    <w:p w14:paraId="7903EE4D">
      <w:pPr>
        <w:spacing w:line="500" w:lineRule="exact"/>
        <w:ind w:left="420" w:leftChars="200" w:right="397" w:rightChars="189"/>
        <w:rPr>
          <w:rFonts w:ascii="楷体" w:hAnsi="楷体" w:eastAsia="楷体" w:cs="楷体"/>
          <w:szCs w:val="21"/>
        </w:rPr>
      </w:pPr>
      <w:r>
        <w:rPr>
          <w:rFonts w:hint="eastAsia" w:ascii="楷体" w:hAnsi="楷体" w:eastAsia="楷体" w:cs="楷体"/>
          <w:szCs w:val="21"/>
        </w:rPr>
        <w:t>法定代表人                        法定代表人</w:t>
      </w:r>
    </w:p>
    <w:p w14:paraId="04159348">
      <w:pPr>
        <w:spacing w:line="500" w:lineRule="exact"/>
        <w:ind w:left="420" w:leftChars="200" w:right="397" w:rightChars="189"/>
        <w:rPr>
          <w:rFonts w:ascii="楷体" w:hAnsi="楷体" w:eastAsia="楷体" w:cs="楷体"/>
          <w:szCs w:val="21"/>
        </w:rPr>
      </w:pPr>
      <w:r>
        <w:rPr>
          <w:rFonts w:hint="eastAsia" w:ascii="楷体" w:hAnsi="楷体" w:eastAsia="楷体" w:cs="楷体"/>
          <w:szCs w:val="21"/>
        </w:rPr>
        <w:t>或委托代理人：                      或委托代理人：</w:t>
      </w:r>
    </w:p>
    <w:p w14:paraId="76F36244">
      <w:pPr>
        <w:spacing w:line="500" w:lineRule="exact"/>
        <w:ind w:left="420" w:leftChars="200" w:right="397" w:rightChars="189"/>
        <w:rPr>
          <w:rFonts w:ascii="楷体" w:hAnsi="楷体" w:eastAsia="楷体" w:cs="楷体"/>
          <w:szCs w:val="21"/>
        </w:rPr>
      </w:pPr>
    </w:p>
    <w:p w14:paraId="269FD975">
      <w:pPr>
        <w:spacing w:line="500" w:lineRule="exact"/>
        <w:ind w:right="397" w:rightChars="189" w:firstLine="420" w:firstLineChars="200"/>
        <w:rPr>
          <w:rFonts w:ascii="楷体" w:hAnsi="楷体" w:eastAsia="楷体" w:cs="楷体"/>
          <w:szCs w:val="21"/>
        </w:rPr>
      </w:pPr>
      <w:r>
        <w:rPr>
          <w:rFonts w:hint="eastAsia" w:ascii="楷体" w:hAnsi="楷体" w:eastAsia="楷体" w:cs="楷体"/>
          <w:szCs w:val="21"/>
          <w:u w:val="single"/>
        </w:rPr>
        <w:t xml:space="preserve">    </w:t>
      </w:r>
      <w:r>
        <w:rPr>
          <w:rFonts w:hint="eastAsia" w:ascii="楷体" w:hAnsi="楷体" w:eastAsia="楷体" w:cs="楷体"/>
          <w:szCs w:val="21"/>
        </w:rPr>
        <w:t xml:space="preserve"> 年</w:t>
      </w:r>
      <w:r>
        <w:rPr>
          <w:rFonts w:hint="eastAsia" w:ascii="楷体" w:hAnsi="楷体" w:eastAsia="楷体" w:cs="楷体"/>
          <w:szCs w:val="21"/>
          <w:u w:val="single"/>
        </w:rPr>
        <w:t xml:space="preserve">    </w:t>
      </w:r>
      <w:r>
        <w:rPr>
          <w:rFonts w:hint="eastAsia" w:ascii="楷体" w:hAnsi="楷体" w:eastAsia="楷体" w:cs="楷体"/>
          <w:szCs w:val="21"/>
        </w:rPr>
        <w:t xml:space="preserve"> 月</w:t>
      </w:r>
      <w:r>
        <w:rPr>
          <w:rFonts w:hint="eastAsia" w:ascii="楷体" w:hAnsi="楷体" w:eastAsia="楷体" w:cs="楷体"/>
          <w:szCs w:val="21"/>
          <w:u w:val="single"/>
        </w:rPr>
        <w:t xml:space="preserve">    </w:t>
      </w:r>
      <w:r>
        <w:rPr>
          <w:rFonts w:hint="eastAsia" w:ascii="楷体" w:hAnsi="楷体" w:eastAsia="楷体" w:cs="楷体"/>
          <w:szCs w:val="21"/>
        </w:rPr>
        <w:t xml:space="preserve"> 日                </w:t>
      </w:r>
      <w:r>
        <w:rPr>
          <w:rFonts w:hint="eastAsia" w:ascii="楷体" w:hAnsi="楷体" w:eastAsia="楷体" w:cs="楷体"/>
          <w:szCs w:val="21"/>
          <w:u w:val="single"/>
        </w:rPr>
        <w:t xml:space="preserve">    </w:t>
      </w:r>
      <w:r>
        <w:rPr>
          <w:rFonts w:hint="eastAsia" w:ascii="楷体" w:hAnsi="楷体" w:eastAsia="楷体" w:cs="楷体"/>
          <w:szCs w:val="21"/>
        </w:rPr>
        <w:t xml:space="preserve"> 年</w:t>
      </w:r>
      <w:r>
        <w:rPr>
          <w:rFonts w:hint="eastAsia" w:ascii="楷体" w:hAnsi="楷体" w:eastAsia="楷体" w:cs="楷体"/>
          <w:szCs w:val="21"/>
          <w:u w:val="single"/>
        </w:rPr>
        <w:t xml:space="preserve">    </w:t>
      </w:r>
      <w:r>
        <w:rPr>
          <w:rFonts w:hint="eastAsia" w:ascii="楷体" w:hAnsi="楷体" w:eastAsia="楷体" w:cs="楷体"/>
          <w:szCs w:val="21"/>
        </w:rPr>
        <w:t xml:space="preserve"> 月</w:t>
      </w:r>
      <w:r>
        <w:rPr>
          <w:rFonts w:hint="eastAsia" w:ascii="楷体" w:hAnsi="楷体" w:eastAsia="楷体" w:cs="楷体"/>
          <w:szCs w:val="21"/>
          <w:u w:val="single"/>
        </w:rPr>
        <w:t xml:space="preserve">    </w:t>
      </w:r>
      <w:r>
        <w:rPr>
          <w:rFonts w:hint="eastAsia" w:ascii="楷体" w:hAnsi="楷体" w:eastAsia="楷体" w:cs="楷体"/>
          <w:szCs w:val="21"/>
        </w:rPr>
        <w:t xml:space="preserve"> 日</w:t>
      </w:r>
    </w:p>
    <w:p w14:paraId="3702CBC4">
      <w:pPr>
        <w:spacing w:line="500" w:lineRule="exact"/>
        <w:jc w:val="center"/>
        <w:rPr>
          <w:rFonts w:ascii="楷体" w:hAnsi="楷体" w:eastAsia="楷体" w:cs="楷体"/>
          <w:b/>
          <w:sz w:val="36"/>
          <w:szCs w:val="36"/>
        </w:rPr>
      </w:pPr>
      <w:r>
        <w:rPr>
          <w:rFonts w:hint="eastAsia" w:ascii="宋体" w:hAnsi="宋体" w:cs="宋体"/>
          <w:b/>
          <w:sz w:val="36"/>
          <w:szCs w:val="36"/>
        </w:rPr>
        <w:br w:type="page"/>
      </w:r>
      <w:r>
        <w:rPr>
          <w:rFonts w:hint="eastAsia" w:ascii="楷体" w:hAnsi="楷体" w:eastAsia="楷体" w:cs="楷体"/>
          <w:b/>
          <w:sz w:val="36"/>
          <w:szCs w:val="36"/>
        </w:rPr>
        <w:t>安 全 协 议</w:t>
      </w:r>
    </w:p>
    <w:p w14:paraId="2AB5405E">
      <w:pPr>
        <w:spacing w:line="500" w:lineRule="exact"/>
        <w:jc w:val="center"/>
        <w:rPr>
          <w:rFonts w:ascii="楷体" w:hAnsi="楷体" w:eastAsia="楷体" w:cs="楷体"/>
          <w:b/>
          <w:szCs w:val="21"/>
        </w:rPr>
      </w:pPr>
    </w:p>
    <w:p w14:paraId="7093A2EB">
      <w:pPr>
        <w:spacing w:line="500" w:lineRule="exact"/>
        <w:ind w:firstLine="420" w:firstLineChars="200"/>
        <w:rPr>
          <w:rFonts w:ascii="楷体" w:hAnsi="楷体" w:eastAsia="楷体" w:cs="楷体"/>
          <w:szCs w:val="21"/>
        </w:rPr>
      </w:pPr>
      <w:r>
        <w:rPr>
          <w:rFonts w:hint="eastAsia" w:ascii="楷体" w:hAnsi="楷体" w:eastAsia="楷体" w:cs="楷体"/>
          <w:szCs w:val="21"/>
        </w:rPr>
        <w:t>项目名称：</w:t>
      </w:r>
      <w:r>
        <w:rPr>
          <w:rFonts w:hint="eastAsia" w:ascii="楷体" w:hAnsi="楷体" w:eastAsia="楷体" w:cs="楷体"/>
          <w:szCs w:val="21"/>
          <w:u w:val="single"/>
        </w:rPr>
        <w:t xml:space="preserve">         </w:t>
      </w:r>
    </w:p>
    <w:p w14:paraId="1D52A8AF">
      <w:pPr>
        <w:spacing w:line="500" w:lineRule="exact"/>
        <w:ind w:firstLine="420" w:firstLineChars="200"/>
        <w:rPr>
          <w:rFonts w:ascii="楷体" w:hAnsi="楷体" w:eastAsia="楷体" w:cs="楷体"/>
          <w:szCs w:val="21"/>
        </w:rPr>
      </w:pPr>
      <w:r>
        <w:rPr>
          <w:rFonts w:hint="eastAsia" w:ascii="楷体" w:hAnsi="楷体" w:eastAsia="楷体" w:cs="楷体"/>
          <w:szCs w:val="21"/>
        </w:rPr>
        <w:t>甲方：</w:t>
      </w:r>
      <w:r>
        <w:rPr>
          <w:rFonts w:hint="eastAsia" w:ascii="楷体" w:hAnsi="楷体" w:eastAsia="楷体" w:cs="楷体"/>
          <w:szCs w:val="21"/>
          <w:u w:val="single"/>
        </w:rPr>
        <w:t xml:space="preserve">           </w:t>
      </w:r>
    </w:p>
    <w:p w14:paraId="43597B13">
      <w:pPr>
        <w:spacing w:line="500" w:lineRule="exact"/>
        <w:ind w:firstLine="420" w:firstLineChars="200"/>
        <w:rPr>
          <w:rFonts w:ascii="楷体" w:hAnsi="楷体" w:eastAsia="楷体" w:cs="楷体"/>
          <w:szCs w:val="21"/>
        </w:rPr>
      </w:pPr>
      <w:r>
        <w:rPr>
          <w:rFonts w:hint="eastAsia" w:ascii="楷体" w:hAnsi="楷体" w:eastAsia="楷体" w:cs="楷体"/>
          <w:szCs w:val="21"/>
        </w:rPr>
        <w:t>乙方：</w:t>
      </w:r>
      <w:r>
        <w:rPr>
          <w:rFonts w:hint="eastAsia" w:ascii="楷体" w:hAnsi="楷体" w:eastAsia="楷体" w:cs="楷体"/>
          <w:szCs w:val="21"/>
          <w:u w:val="single"/>
        </w:rPr>
        <w:t xml:space="preserve">           </w:t>
      </w:r>
    </w:p>
    <w:p w14:paraId="21B5E272">
      <w:pPr>
        <w:spacing w:line="500" w:lineRule="exact"/>
        <w:rPr>
          <w:rFonts w:ascii="楷体" w:hAnsi="楷体" w:eastAsia="楷体" w:cs="楷体"/>
          <w:szCs w:val="21"/>
        </w:rPr>
      </w:pPr>
    </w:p>
    <w:p w14:paraId="138BA667">
      <w:pPr>
        <w:spacing w:line="360" w:lineRule="auto"/>
        <w:ind w:firstLine="420" w:firstLineChars="200"/>
        <w:rPr>
          <w:rFonts w:ascii="楷体" w:hAnsi="楷体" w:eastAsia="楷体" w:cs="楷体"/>
          <w:szCs w:val="21"/>
        </w:rPr>
      </w:pPr>
      <w:r>
        <w:rPr>
          <w:rFonts w:hint="eastAsia" w:ascii="楷体" w:hAnsi="楷体" w:eastAsia="楷体" w:cs="楷体"/>
          <w:szCs w:val="21"/>
        </w:rPr>
        <w:t>为加强对承包单位的管理，维护生产区域正常的生产和工作秩序，经双方协商达成如下协议。</w:t>
      </w:r>
    </w:p>
    <w:p w14:paraId="2E89CA1A">
      <w:pPr>
        <w:spacing w:line="360" w:lineRule="auto"/>
        <w:ind w:firstLine="422" w:firstLineChars="200"/>
        <w:rPr>
          <w:rFonts w:ascii="楷体" w:hAnsi="楷体" w:eastAsia="楷体" w:cs="楷体"/>
          <w:b/>
          <w:szCs w:val="21"/>
        </w:rPr>
      </w:pPr>
      <w:r>
        <w:rPr>
          <w:rFonts w:hint="eastAsia" w:ascii="楷体" w:hAnsi="楷体" w:eastAsia="楷体" w:cs="楷体"/>
          <w:b/>
          <w:szCs w:val="21"/>
        </w:rPr>
        <w:t>一、责任与权利</w:t>
      </w:r>
    </w:p>
    <w:p w14:paraId="42406C2D">
      <w:pPr>
        <w:spacing w:line="360" w:lineRule="auto"/>
        <w:ind w:firstLine="422" w:firstLineChars="200"/>
        <w:rPr>
          <w:rFonts w:ascii="楷体" w:hAnsi="楷体" w:eastAsia="楷体" w:cs="楷体"/>
          <w:b/>
          <w:szCs w:val="21"/>
        </w:rPr>
      </w:pPr>
      <w:r>
        <w:rPr>
          <w:rFonts w:hint="eastAsia" w:ascii="楷体" w:hAnsi="楷体" w:eastAsia="楷体" w:cs="楷体"/>
          <w:b/>
          <w:szCs w:val="21"/>
        </w:rPr>
        <w:t>（一）甲方责任及权利</w:t>
      </w:r>
    </w:p>
    <w:p w14:paraId="19450E92">
      <w:pPr>
        <w:spacing w:line="360" w:lineRule="auto"/>
        <w:ind w:firstLine="420" w:firstLineChars="200"/>
        <w:rPr>
          <w:rFonts w:ascii="楷体" w:hAnsi="楷体" w:eastAsia="楷体" w:cs="楷体"/>
          <w:szCs w:val="21"/>
        </w:rPr>
      </w:pPr>
      <w:r>
        <w:rPr>
          <w:rFonts w:hint="eastAsia" w:ascii="楷体" w:hAnsi="楷体" w:eastAsia="楷体" w:cs="楷体"/>
          <w:szCs w:val="21"/>
        </w:rPr>
        <w:t>1.甲方不得违章指挥或强令乙方人员冒险作业，否则承担因违章指挥发生事故的全部责任。</w:t>
      </w:r>
    </w:p>
    <w:p w14:paraId="1939BD92">
      <w:pPr>
        <w:spacing w:line="360" w:lineRule="auto"/>
        <w:ind w:firstLine="420" w:firstLineChars="200"/>
        <w:rPr>
          <w:rFonts w:ascii="楷体" w:hAnsi="楷体" w:eastAsia="楷体" w:cs="楷体"/>
          <w:szCs w:val="21"/>
        </w:rPr>
      </w:pPr>
      <w:r>
        <w:rPr>
          <w:rFonts w:hint="eastAsia" w:ascii="楷体" w:hAnsi="楷体" w:eastAsia="楷体" w:cs="楷体"/>
          <w:szCs w:val="21"/>
        </w:rPr>
        <w:t>2.甲方有权进行安全检查，对发现的问题及时提出整改意见，并限期整改完毕，同时按规定给予乙方相应的处罚。</w:t>
      </w:r>
    </w:p>
    <w:p w14:paraId="1D6BF29C">
      <w:pPr>
        <w:spacing w:line="360" w:lineRule="auto"/>
        <w:ind w:firstLine="420" w:firstLineChars="200"/>
        <w:rPr>
          <w:rFonts w:ascii="楷体" w:hAnsi="楷体" w:eastAsia="楷体" w:cs="楷体"/>
          <w:szCs w:val="21"/>
        </w:rPr>
      </w:pPr>
      <w:r>
        <w:rPr>
          <w:rFonts w:hint="eastAsia" w:ascii="楷体" w:hAnsi="楷体" w:eastAsia="楷体" w:cs="楷体"/>
          <w:szCs w:val="21"/>
        </w:rPr>
        <w:t>3.在履行本协议期间，乙方及乙方人员因自身原因发生的一切安全责任事故，甲方概不承担任何责任和费用。</w:t>
      </w:r>
    </w:p>
    <w:p w14:paraId="23996F26">
      <w:pPr>
        <w:spacing w:line="360" w:lineRule="auto"/>
        <w:ind w:firstLine="422" w:firstLineChars="200"/>
        <w:rPr>
          <w:rFonts w:ascii="楷体" w:hAnsi="楷体" w:eastAsia="楷体" w:cs="楷体"/>
          <w:b/>
          <w:szCs w:val="21"/>
        </w:rPr>
      </w:pPr>
      <w:r>
        <w:rPr>
          <w:rFonts w:hint="eastAsia" w:ascii="楷体" w:hAnsi="楷体" w:eastAsia="楷体" w:cs="楷体"/>
          <w:b/>
          <w:szCs w:val="21"/>
        </w:rPr>
        <w:t>（二）乙方责任及权利</w:t>
      </w:r>
    </w:p>
    <w:p w14:paraId="0AF32B90">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1.乙方在养护期间，应当严格遵守甲方安全有关管理制度，并随时接受甲方安全检查人员依法实施的监督检查，采取必要的安全防护措施，消除事故隐患。由于乙方安全措施不力造成事故的责任和因此发生的费用，由乙方承担。</w:t>
      </w:r>
    </w:p>
    <w:p w14:paraId="48D50312">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2.乙方应对其在养护场地的工作人员进行安全教育，并对他们的安全负责；</w:t>
      </w:r>
      <w:r>
        <w:rPr>
          <w:rFonts w:hint="eastAsia" w:ascii="楷体" w:hAnsi="楷体" w:eastAsia="楷体" w:cs="楷体"/>
          <w:szCs w:val="21"/>
        </w:rPr>
        <w:t>因乙方原因造成任何人身伤亡事件或任何财产损坏、损失，乙方须负完全法律责任，并赔偿甲方遭受的一切损失；若乙方不付上述费用时，甲方有权从支付给乙方的合同款项中扣除上述费用，不足之数由乙方另行支付。 </w:t>
      </w:r>
    </w:p>
    <w:p w14:paraId="5927E32A">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3.乙方在从事喷洒农药、控制有害生物、修剪树木、修理设施、清理道路或水体、防台防汛等工作时应自行采取相应的安全防护措施。除双方另有约定外，安全防护费用由乙方自行承担。</w:t>
      </w:r>
    </w:p>
    <w:p w14:paraId="4D192F09">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4.乙方应保证养护范围内的各项设施能够安全使用，对于存在安全隐患的设施、物品，应及时修理或更换。</w:t>
      </w:r>
    </w:p>
    <w:p w14:paraId="644E539B">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5.乙方对土壤进行消毒或防治病虫害时，应使用符合环保要求的药剂，不得使用国家禁止使用的剧毒、高残留或可能造成其它公害的药剂。</w:t>
      </w:r>
    </w:p>
    <w:p w14:paraId="16FA9931">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6.乙方喷洒药物之前，须将喷洒时间、药物种类提前报甲方批准，按甲方批准的时间和路线进行喷洒。残留药剂和容器，乙方应按规定妥善收集和处理。乙方未按规定使用药剂，造成的责任由乙方自行承担。</w:t>
      </w:r>
    </w:p>
    <w:p w14:paraId="5064C75E">
      <w:pPr>
        <w:pStyle w:val="23"/>
        <w:spacing w:line="360" w:lineRule="auto"/>
        <w:ind w:firstLine="422" w:firstLineChars="200"/>
        <w:outlineLvl w:val="0"/>
        <w:rPr>
          <w:rFonts w:ascii="楷体" w:hAnsi="楷体" w:eastAsia="楷体" w:cs="楷体"/>
          <w:b/>
          <w:szCs w:val="21"/>
        </w:rPr>
      </w:pPr>
      <w:r>
        <w:rPr>
          <w:rFonts w:hint="eastAsia" w:ascii="楷体" w:hAnsi="楷体" w:eastAsia="楷体" w:cs="楷体"/>
          <w:b/>
          <w:szCs w:val="21"/>
        </w:rPr>
        <w:t>二、其它</w:t>
      </w:r>
    </w:p>
    <w:p w14:paraId="3DFB74BC">
      <w:pPr>
        <w:pStyle w:val="23"/>
        <w:spacing w:line="360" w:lineRule="auto"/>
        <w:ind w:firstLine="420" w:firstLineChars="200"/>
        <w:rPr>
          <w:rFonts w:ascii="楷体" w:hAnsi="楷体" w:eastAsia="楷体" w:cs="楷体"/>
          <w:szCs w:val="21"/>
        </w:rPr>
      </w:pPr>
      <w:r>
        <w:rPr>
          <w:rFonts w:hint="eastAsia" w:ascii="楷体" w:hAnsi="楷体" w:eastAsia="楷体" w:cs="楷体"/>
          <w:szCs w:val="21"/>
        </w:rPr>
        <w:t>安全声明：广东烟草梅州市有限公司已建立并运行职业健康安全管理体系(GB／T2800-2011)，致力本质安全建设，通过危险危害因素识别与控制，尽力防止任何意外、受伤及职业病。我公司为广东烟草梅州市有限公司分公司，与我公司合作的相关方应遵守安全法律法规及本协议，确保合作项目安全顺利进行。</w:t>
      </w:r>
    </w:p>
    <w:p w14:paraId="1D39285C">
      <w:pPr>
        <w:pStyle w:val="23"/>
        <w:spacing w:line="360" w:lineRule="auto"/>
        <w:ind w:firstLine="420" w:firstLineChars="200"/>
        <w:rPr>
          <w:rFonts w:ascii="楷体" w:hAnsi="楷体" w:eastAsia="楷体" w:cs="楷体"/>
          <w:szCs w:val="21"/>
        </w:rPr>
      </w:pPr>
      <w:r>
        <w:rPr>
          <w:rFonts w:hint="eastAsia" w:ascii="楷体" w:hAnsi="楷体" w:eastAsia="楷体" w:cs="楷体"/>
          <w:szCs w:val="21"/>
        </w:rPr>
        <w:t>本协议一式两份，双方各执一份。</w:t>
      </w:r>
    </w:p>
    <w:p w14:paraId="6B3F731D">
      <w:pPr>
        <w:pStyle w:val="23"/>
        <w:spacing w:line="500" w:lineRule="exact"/>
        <w:ind w:firstLine="420" w:firstLineChars="200"/>
        <w:rPr>
          <w:rFonts w:ascii="楷体" w:hAnsi="楷体" w:eastAsia="楷体" w:cs="楷体"/>
          <w:szCs w:val="21"/>
        </w:rPr>
      </w:pPr>
    </w:p>
    <w:p w14:paraId="13FF75A0">
      <w:pPr>
        <w:rPr>
          <w:rFonts w:ascii="楷体" w:hAnsi="楷体" w:eastAsia="楷体" w:cs="楷体"/>
          <w:szCs w:val="21"/>
        </w:rPr>
      </w:pPr>
    </w:p>
    <w:p w14:paraId="078AA01A">
      <w:pPr>
        <w:spacing w:line="500" w:lineRule="exact"/>
        <w:ind w:right="-241" w:rightChars="-115"/>
        <w:rPr>
          <w:rFonts w:ascii="楷体" w:hAnsi="楷体" w:eastAsia="楷体" w:cs="楷体"/>
          <w:szCs w:val="21"/>
        </w:rPr>
      </w:pPr>
    </w:p>
    <w:p w14:paraId="6128AB00">
      <w:pPr>
        <w:spacing w:line="500" w:lineRule="exact"/>
        <w:ind w:right="-241" w:rightChars="-115"/>
        <w:rPr>
          <w:rFonts w:ascii="楷体" w:hAnsi="楷体" w:eastAsia="楷体" w:cs="楷体"/>
          <w:szCs w:val="21"/>
        </w:rPr>
      </w:pPr>
    </w:p>
    <w:p w14:paraId="24C497A7">
      <w:pPr>
        <w:tabs>
          <w:tab w:val="left" w:pos="5040"/>
        </w:tabs>
        <w:spacing w:line="500" w:lineRule="exact"/>
        <w:ind w:left="420" w:leftChars="200" w:right="397" w:rightChars="189"/>
        <w:rPr>
          <w:rFonts w:ascii="楷体" w:hAnsi="楷体" w:eastAsia="楷体" w:cs="楷体"/>
          <w:kern w:val="0"/>
          <w:szCs w:val="21"/>
        </w:rPr>
      </w:pPr>
      <w:r>
        <w:rPr>
          <w:rFonts w:hint="eastAsia" w:ascii="楷体" w:hAnsi="楷体" w:eastAsia="楷体" w:cs="楷体"/>
          <w:szCs w:val="21"/>
        </w:rPr>
        <w:t>甲方（盖章）：                       乙方（盖章）：</w:t>
      </w:r>
    </w:p>
    <w:p w14:paraId="58F6852B">
      <w:pPr>
        <w:spacing w:line="500" w:lineRule="exact"/>
        <w:ind w:left="420" w:leftChars="200" w:right="397" w:rightChars="189"/>
        <w:rPr>
          <w:rFonts w:ascii="楷体" w:hAnsi="楷体" w:eastAsia="楷体" w:cs="楷体"/>
          <w:szCs w:val="21"/>
        </w:rPr>
      </w:pPr>
      <w:r>
        <w:rPr>
          <w:rFonts w:hint="eastAsia" w:ascii="楷体" w:hAnsi="楷体" w:eastAsia="楷体" w:cs="楷体"/>
          <w:szCs w:val="21"/>
        </w:rPr>
        <w:t>法定代表人：                        法定代表人</w:t>
      </w:r>
    </w:p>
    <w:p w14:paraId="31B5C30A">
      <w:pPr>
        <w:spacing w:line="500" w:lineRule="exact"/>
        <w:ind w:left="420" w:leftChars="200" w:right="397" w:rightChars="189"/>
        <w:rPr>
          <w:rFonts w:ascii="楷体" w:hAnsi="楷体" w:eastAsia="楷体" w:cs="楷体"/>
          <w:szCs w:val="21"/>
        </w:rPr>
      </w:pPr>
      <w:r>
        <w:rPr>
          <w:rFonts w:hint="eastAsia" w:ascii="楷体" w:hAnsi="楷体" w:eastAsia="楷体" w:cs="楷体"/>
          <w:szCs w:val="21"/>
        </w:rPr>
        <w:t>或委托代理人：                      或委托代理人：</w:t>
      </w:r>
    </w:p>
    <w:p w14:paraId="604B33E1">
      <w:pPr>
        <w:spacing w:line="500" w:lineRule="exact"/>
        <w:ind w:left="420" w:leftChars="200" w:right="397" w:rightChars="189"/>
        <w:rPr>
          <w:rFonts w:ascii="楷体" w:hAnsi="楷体" w:eastAsia="楷体" w:cs="楷体"/>
          <w:szCs w:val="21"/>
        </w:rPr>
      </w:pPr>
    </w:p>
    <w:p w14:paraId="607D1403">
      <w:pPr>
        <w:spacing w:line="500" w:lineRule="exact"/>
        <w:ind w:right="397" w:rightChars="189" w:firstLine="420" w:firstLineChars="200"/>
        <w:rPr>
          <w:rFonts w:ascii="楷体" w:hAnsi="楷体" w:eastAsia="楷体" w:cs="楷体"/>
          <w:szCs w:val="21"/>
        </w:rPr>
      </w:pPr>
      <w:r>
        <w:rPr>
          <w:rFonts w:hint="eastAsia" w:ascii="楷体" w:hAnsi="楷体" w:eastAsia="楷体" w:cs="楷体"/>
          <w:szCs w:val="21"/>
          <w:u w:val="single"/>
        </w:rPr>
        <w:t xml:space="preserve">    </w:t>
      </w:r>
      <w:r>
        <w:rPr>
          <w:rFonts w:hint="eastAsia" w:ascii="楷体" w:hAnsi="楷体" w:eastAsia="楷体" w:cs="楷体"/>
          <w:szCs w:val="21"/>
        </w:rPr>
        <w:t xml:space="preserve"> 年</w:t>
      </w:r>
      <w:r>
        <w:rPr>
          <w:rFonts w:hint="eastAsia" w:ascii="楷体" w:hAnsi="楷体" w:eastAsia="楷体" w:cs="楷体"/>
          <w:szCs w:val="21"/>
          <w:u w:val="single"/>
        </w:rPr>
        <w:t xml:space="preserve">    </w:t>
      </w:r>
      <w:r>
        <w:rPr>
          <w:rFonts w:hint="eastAsia" w:ascii="楷体" w:hAnsi="楷体" w:eastAsia="楷体" w:cs="楷体"/>
          <w:szCs w:val="21"/>
        </w:rPr>
        <w:t xml:space="preserve"> 月</w:t>
      </w:r>
      <w:r>
        <w:rPr>
          <w:rFonts w:hint="eastAsia" w:ascii="楷体" w:hAnsi="楷体" w:eastAsia="楷体" w:cs="楷体"/>
          <w:szCs w:val="21"/>
          <w:u w:val="single"/>
        </w:rPr>
        <w:t xml:space="preserve">    </w:t>
      </w:r>
      <w:r>
        <w:rPr>
          <w:rFonts w:hint="eastAsia" w:ascii="楷体" w:hAnsi="楷体" w:eastAsia="楷体" w:cs="楷体"/>
          <w:szCs w:val="21"/>
        </w:rPr>
        <w:t xml:space="preserve"> 日                </w:t>
      </w:r>
      <w:r>
        <w:rPr>
          <w:rFonts w:hint="eastAsia" w:ascii="楷体" w:hAnsi="楷体" w:eastAsia="楷体" w:cs="楷体"/>
          <w:szCs w:val="21"/>
          <w:u w:val="single"/>
        </w:rPr>
        <w:t xml:space="preserve">    </w:t>
      </w:r>
      <w:r>
        <w:rPr>
          <w:rFonts w:hint="eastAsia" w:ascii="楷体" w:hAnsi="楷体" w:eastAsia="楷体" w:cs="楷体"/>
          <w:szCs w:val="21"/>
        </w:rPr>
        <w:t xml:space="preserve"> 年</w:t>
      </w:r>
      <w:r>
        <w:rPr>
          <w:rFonts w:hint="eastAsia" w:ascii="楷体" w:hAnsi="楷体" w:eastAsia="楷体" w:cs="楷体"/>
          <w:szCs w:val="21"/>
          <w:u w:val="single"/>
        </w:rPr>
        <w:t xml:space="preserve">    </w:t>
      </w:r>
      <w:r>
        <w:rPr>
          <w:rFonts w:hint="eastAsia" w:ascii="楷体" w:hAnsi="楷体" w:eastAsia="楷体" w:cs="楷体"/>
          <w:szCs w:val="21"/>
        </w:rPr>
        <w:t xml:space="preserve"> 月</w:t>
      </w:r>
      <w:r>
        <w:rPr>
          <w:rFonts w:hint="eastAsia" w:ascii="楷体" w:hAnsi="楷体" w:eastAsia="楷体" w:cs="楷体"/>
          <w:szCs w:val="21"/>
          <w:u w:val="single"/>
        </w:rPr>
        <w:t xml:space="preserve">    </w:t>
      </w:r>
      <w:r>
        <w:rPr>
          <w:rFonts w:hint="eastAsia" w:ascii="楷体" w:hAnsi="楷体" w:eastAsia="楷体" w:cs="楷体"/>
          <w:szCs w:val="21"/>
        </w:rPr>
        <w:t xml:space="preserve"> 日</w:t>
      </w:r>
    </w:p>
    <w:p w14:paraId="04ABE0BE">
      <w:pPr>
        <w:spacing w:line="360" w:lineRule="auto"/>
        <w:rPr>
          <w:rFonts w:ascii="楷体" w:hAnsi="楷体" w:eastAsia="楷体" w:cs="楷体"/>
          <w:sz w:val="24"/>
        </w:rPr>
      </w:pPr>
    </w:p>
    <w:p w14:paraId="1817F68E">
      <w:pPr>
        <w:widowControl/>
        <w:spacing w:line="360" w:lineRule="auto"/>
        <w:jc w:val="left"/>
        <w:rPr>
          <w:sz w:val="24"/>
        </w:rPr>
      </w:pPr>
      <w:r>
        <w:rPr>
          <w:sz w:val="24"/>
        </w:rPr>
        <w:br w:type="page"/>
      </w:r>
    </w:p>
    <w:p w14:paraId="121BC34A">
      <w:pPr>
        <w:tabs>
          <w:tab w:val="left" w:pos="2040"/>
        </w:tabs>
        <w:spacing w:line="360" w:lineRule="auto"/>
        <w:jc w:val="center"/>
        <w:rPr>
          <w:rFonts w:ascii="楷体" w:hAnsi="楷体" w:eastAsia="楷体" w:cs="楷体"/>
        </w:rPr>
      </w:pPr>
      <w:r>
        <w:rPr>
          <w:rFonts w:hint="eastAsia" w:ascii="楷体" w:hAnsi="楷体" w:eastAsia="楷体" w:cs="楷体"/>
        </w:rPr>
        <w:drawing>
          <wp:inline distT="0" distB="0" distL="114300" distR="114300">
            <wp:extent cx="2310765" cy="696595"/>
            <wp:effectExtent l="0" t="0" r="13335" b="8255"/>
            <wp:docPr id="1" name="图片 1" descr="说明: 烟草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烟草标志"/>
                    <pic:cNvPicPr>
                      <a:picLocks noChangeAspect="1"/>
                    </pic:cNvPicPr>
                  </pic:nvPicPr>
                  <pic:blipFill>
                    <a:blip r:embed="rId11"/>
                    <a:stretch>
                      <a:fillRect/>
                    </a:stretch>
                  </pic:blipFill>
                  <pic:spPr>
                    <a:xfrm>
                      <a:off x="0" y="0"/>
                      <a:ext cx="2310765" cy="696595"/>
                    </a:xfrm>
                    <a:prstGeom prst="rect">
                      <a:avLst/>
                    </a:prstGeom>
                    <a:noFill/>
                    <a:ln>
                      <a:noFill/>
                    </a:ln>
                  </pic:spPr>
                </pic:pic>
              </a:graphicData>
            </a:graphic>
          </wp:inline>
        </w:drawing>
      </w:r>
    </w:p>
    <w:p w14:paraId="44FBD876">
      <w:pPr>
        <w:tabs>
          <w:tab w:val="left" w:pos="2040"/>
        </w:tabs>
        <w:spacing w:line="360" w:lineRule="auto"/>
        <w:jc w:val="left"/>
        <w:rPr>
          <w:rFonts w:ascii="楷体" w:hAnsi="楷体" w:eastAsia="楷体" w:cs="楷体"/>
          <w:b/>
          <w:sz w:val="24"/>
        </w:rPr>
      </w:pPr>
    </w:p>
    <w:p w14:paraId="47441468">
      <w:pPr>
        <w:jc w:val="center"/>
        <w:rPr>
          <w:rFonts w:ascii="楷体" w:hAnsi="楷体" w:eastAsia="楷体" w:cs="楷体"/>
          <w:b/>
          <w:sz w:val="52"/>
        </w:rPr>
      </w:pPr>
      <w:r>
        <w:rPr>
          <w:rFonts w:hint="eastAsia" w:ascii="楷体" w:hAnsi="楷体" w:eastAsia="楷体" w:cs="楷体"/>
          <w:b/>
          <w:sz w:val="52"/>
        </w:rPr>
        <w:t>广东烟草梅州市有限公司丰顺县分公司绿化养护、卫生保洁服务项目</w:t>
      </w:r>
    </w:p>
    <w:p w14:paraId="7BEA08C5">
      <w:pPr>
        <w:jc w:val="center"/>
        <w:rPr>
          <w:rFonts w:ascii="楷体" w:hAnsi="楷体" w:eastAsia="楷体" w:cs="楷体"/>
          <w:b/>
          <w:sz w:val="72"/>
        </w:rPr>
      </w:pPr>
    </w:p>
    <w:p w14:paraId="1CCDF08C">
      <w:pPr>
        <w:jc w:val="center"/>
        <w:rPr>
          <w:rFonts w:ascii="楷体" w:hAnsi="楷体" w:eastAsia="楷体" w:cs="楷体"/>
          <w:b/>
          <w:sz w:val="72"/>
        </w:rPr>
      </w:pPr>
      <w:r>
        <w:rPr>
          <w:rFonts w:hint="eastAsia" w:ascii="楷体" w:hAnsi="楷体" w:eastAsia="楷体" w:cs="楷体"/>
          <w:b/>
          <w:sz w:val="72"/>
        </w:rPr>
        <w:t>廉</w:t>
      </w:r>
    </w:p>
    <w:p w14:paraId="796CD41E">
      <w:pPr>
        <w:jc w:val="center"/>
        <w:rPr>
          <w:rFonts w:ascii="楷体" w:hAnsi="楷体" w:eastAsia="楷体" w:cs="楷体"/>
          <w:b/>
          <w:sz w:val="72"/>
        </w:rPr>
      </w:pPr>
      <w:r>
        <w:rPr>
          <w:rFonts w:hint="eastAsia" w:ascii="楷体" w:hAnsi="楷体" w:eastAsia="楷体" w:cs="楷体"/>
          <w:b/>
          <w:sz w:val="72"/>
        </w:rPr>
        <w:t>洁</w:t>
      </w:r>
    </w:p>
    <w:p w14:paraId="150236E3">
      <w:pPr>
        <w:jc w:val="center"/>
        <w:rPr>
          <w:rFonts w:ascii="楷体" w:hAnsi="楷体" w:eastAsia="楷体" w:cs="楷体"/>
          <w:b/>
          <w:sz w:val="72"/>
        </w:rPr>
      </w:pPr>
      <w:r>
        <w:rPr>
          <w:rFonts w:hint="eastAsia" w:ascii="楷体" w:hAnsi="楷体" w:eastAsia="楷体" w:cs="楷体"/>
          <w:b/>
          <w:sz w:val="72"/>
        </w:rPr>
        <w:t>合</w:t>
      </w:r>
    </w:p>
    <w:p w14:paraId="1AE3F253">
      <w:pPr>
        <w:jc w:val="center"/>
        <w:rPr>
          <w:rFonts w:ascii="楷体" w:hAnsi="楷体" w:eastAsia="楷体" w:cs="楷体"/>
          <w:b/>
          <w:sz w:val="72"/>
        </w:rPr>
      </w:pPr>
      <w:r>
        <w:rPr>
          <w:rFonts w:hint="eastAsia" w:ascii="楷体" w:hAnsi="楷体" w:eastAsia="楷体" w:cs="楷体"/>
          <w:b/>
          <w:sz w:val="72"/>
        </w:rPr>
        <w:t>同</w:t>
      </w:r>
    </w:p>
    <w:p w14:paraId="56BC3BF8">
      <w:pPr>
        <w:snapToGrid w:val="0"/>
        <w:spacing w:line="480" w:lineRule="auto"/>
        <w:ind w:left="1680"/>
        <w:rPr>
          <w:rFonts w:ascii="楷体" w:hAnsi="楷体" w:eastAsia="楷体" w:cs="楷体"/>
          <w:b/>
          <w:sz w:val="28"/>
        </w:rPr>
      </w:pPr>
    </w:p>
    <w:p w14:paraId="28407622">
      <w:pPr>
        <w:snapToGrid w:val="0"/>
        <w:spacing w:line="360" w:lineRule="auto"/>
        <w:ind w:left="2406" w:leftChars="400" w:hanging="1566"/>
        <w:rPr>
          <w:rFonts w:ascii="楷体" w:hAnsi="楷体" w:eastAsia="楷体" w:cs="楷体"/>
          <w:sz w:val="32"/>
          <w:szCs w:val="32"/>
          <w:u w:val="single"/>
        </w:rPr>
      </w:pPr>
      <w:r>
        <w:rPr>
          <w:rFonts w:hint="eastAsia" w:ascii="楷体" w:hAnsi="楷体" w:eastAsia="楷体" w:cs="楷体"/>
          <w:b/>
          <w:sz w:val="32"/>
          <w:szCs w:val="32"/>
        </w:rPr>
        <w:t>项目名称：</w:t>
      </w:r>
      <w:r>
        <w:rPr>
          <w:rFonts w:hint="eastAsia" w:ascii="楷体" w:hAnsi="楷体" w:eastAsia="楷体" w:cs="楷体"/>
          <w:b/>
          <w:sz w:val="32"/>
          <w:szCs w:val="32"/>
          <w:u w:val="single"/>
        </w:rPr>
        <w:t>广东烟草梅州市有限公司丰顺县分公司绿化养护、卫生保洁服务项目</w:t>
      </w:r>
    </w:p>
    <w:p w14:paraId="449A7032">
      <w:pPr>
        <w:snapToGrid w:val="0"/>
        <w:spacing w:line="360" w:lineRule="auto"/>
        <w:ind w:left="840" w:leftChars="400" w:firstLine="135"/>
        <w:rPr>
          <w:rFonts w:ascii="楷体" w:hAnsi="楷体" w:eastAsia="楷体" w:cs="楷体"/>
          <w:sz w:val="32"/>
          <w:szCs w:val="32"/>
          <w:u w:val="single"/>
        </w:rPr>
      </w:pPr>
      <w:r>
        <w:rPr>
          <w:rFonts w:hint="eastAsia" w:ascii="楷体" w:hAnsi="楷体" w:eastAsia="楷体" w:cs="楷体"/>
          <w:b/>
          <w:sz w:val="32"/>
          <w:szCs w:val="32"/>
        </w:rPr>
        <w:t>合同编号：</w:t>
      </w:r>
      <w:r>
        <w:rPr>
          <w:rFonts w:hint="eastAsia" w:ascii="楷体" w:hAnsi="楷体" w:eastAsia="楷体" w:cs="楷体"/>
          <w:b/>
          <w:bCs/>
          <w:color w:val="000000"/>
          <w:sz w:val="32"/>
          <w:szCs w:val="32"/>
        </w:rPr>
        <w:t xml:space="preserve"> </w:t>
      </w:r>
    </w:p>
    <w:p w14:paraId="54D4F848">
      <w:pPr>
        <w:snapToGrid w:val="0"/>
        <w:spacing w:line="360" w:lineRule="auto"/>
        <w:ind w:left="840" w:leftChars="400" w:firstLine="135"/>
        <w:rPr>
          <w:rFonts w:ascii="楷体" w:hAnsi="楷体" w:eastAsia="楷体" w:cs="楷体"/>
          <w:b/>
          <w:sz w:val="32"/>
          <w:szCs w:val="32"/>
        </w:rPr>
      </w:pPr>
      <w:r>
        <w:rPr>
          <w:rFonts w:hint="eastAsia" w:ascii="楷体" w:hAnsi="楷体" w:eastAsia="楷体" w:cs="楷体"/>
          <w:b/>
          <w:sz w:val="32"/>
          <w:szCs w:val="32"/>
        </w:rPr>
        <w:t>签约地点：</w:t>
      </w:r>
    </w:p>
    <w:p w14:paraId="0837D5F6">
      <w:pPr>
        <w:snapToGrid w:val="0"/>
        <w:spacing w:line="360" w:lineRule="auto"/>
        <w:ind w:left="840" w:leftChars="400" w:firstLine="135"/>
        <w:rPr>
          <w:rFonts w:ascii="楷体" w:hAnsi="楷体" w:eastAsia="楷体" w:cs="楷体"/>
          <w:b/>
          <w:sz w:val="32"/>
          <w:szCs w:val="32"/>
        </w:rPr>
      </w:pPr>
      <w:r>
        <w:rPr>
          <w:rFonts w:hint="eastAsia" w:ascii="楷体" w:hAnsi="楷体" w:eastAsia="楷体" w:cs="楷体"/>
          <w:b/>
          <w:sz w:val="32"/>
          <w:szCs w:val="32"/>
        </w:rPr>
        <w:t>签订日期：    年  月  日</w:t>
      </w:r>
    </w:p>
    <w:p w14:paraId="400A1CDE">
      <w:pPr>
        <w:tabs>
          <w:tab w:val="left" w:pos="720"/>
        </w:tabs>
        <w:spacing w:line="360" w:lineRule="auto"/>
        <w:rPr>
          <w:rFonts w:ascii="楷体" w:hAnsi="楷体" w:eastAsia="楷体" w:cs="楷体"/>
          <w:sz w:val="24"/>
        </w:rPr>
      </w:pPr>
    </w:p>
    <w:p w14:paraId="1D1DA372">
      <w:pPr>
        <w:tabs>
          <w:tab w:val="left" w:pos="720"/>
        </w:tabs>
        <w:spacing w:line="360" w:lineRule="auto"/>
        <w:rPr>
          <w:rFonts w:ascii="楷体" w:hAnsi="楷体" w:eastAsia="楷体" w:cs="楷体"/>
          <w:sz w:val="24"/>
        </w:rPr>
      </w:pPr>
    </w:p>
    <w:p w14:paraId="6653FCA3">
      <w:pPr>
        <w:tabs>
          <w:tab w:val="left" w:pos="720"/>
        </w:tabs>
        <w:spacing w:line="360" w:lineRule="auto"/>
        <w:rPr>
          <w:rFonts w:ascii="楷体" w:hAnsi="楷体" w:eastAsia="楷体" w:cs="楷体"/>
          <w:sz w:val="24"/>
        </w:rPr>
      </w:pPr>
    </w:p>
    <w:p w14:paraId="245E1781">
      <w:pPr>
        <w:tabs>
          <w:tab w:val="left" w:pos="720"/>
        </w:tabs>
        <w:spacing w:line="360" w:lineRule="auto"/>
        <w:rPr>
          <w:rFonts w:ascii="楷体" w:hAnsi="楷体" w:eastAsia="楷体" w:cs="楷体"/>
          <w:sz w:val="24"/>
        </w:rPr>
      </w:pPr>
    </w:p>
    <w:p w14:paraId="7F8794B8">
      <w:pPr>
        <w:rPr>
          <w:rFonts w:ascii="楷体" w:hAnsi="楷体" w:eastAsia="楷体" w:cs="楷体"/>
          <w:sz w:val="24"/>
        </w:rPr>
      </w:pPr>
      <w:r>
        <w:rPr>
          <w:rFonts w:hint="eastAsia" w:ascii="楷体" w:hAnsi="楷体" w:eastAsia="楷体" w:cs="楷体"/>
          <w:sz w:val="24"/>
        </w:rPr>
        <w:br w:type="page"/>
      </w:r>
    </w:p>
    <w:p w14:paraId="22F05DC1">
      <w:pPr>
        <w:tabs>
          <w:tab w:val="left" w:pos="720"/>
        </w:tabs>
        <w:spacing w:line="360" w:lineRule="auto"/>
        <w:rPr>
          <w:rFonts w:ascii="楷体" w:hAnsi="楷体" w:eastAsia="楷体" w:cs="楷体"/>
          <w:sz w:val="24"/>
        </w:rPr>
      </w:pPr>
      <w:r>
        <w:rPr>
          <w:rFonts w:hint="eastAsia" w:ascii="楷体" w:hAnsi="楷体" w:eastAsia="楷体" w:cs="楷体"/>
          <w:sz w:val="24"/>
        </w:rPr>
        <w:t>采购人（甲方）： 广东烟草梅州市有限公司丰顺县分公司</w:t>
      </w:r>
    </w:p>
    <w:p w14:paraId="000E76E5">
      <w:pPr>
        <w:tabs>
          <w:tab w:val="left" w:pos="720"/>
        </w:tabs>
        <w:spacing w:line="360" w:lineRule="auto"/>
        <w:rPr>
          <w:rFonts w:ascii="楷体" w:hAnsi="楷体" w:eastAsia="楷体" w:cs="楷体"/>
          <w:sz w:val="24"/>
        </w:rPr>
      </w:pPr>
      <w:r>
        <w:rPr>
          <w:rFonts w:hint="eastAsia" w:ascii="楷体" w:hAnsi="楷体" w:eastAsia="楷体" w:cs="楷体"/>
          <w:sz w:val="24"/>
        </w:rPr>
        <w:t>负责人：李远东</w:t>
      </w:r>
    </w:p>
    <w:p w14:paraId="4926D70C">
      <w:pPr>
        <w:tabs>
          <w:tab w:val="left" w:pos="720"/>
        </w:tabs>
        <w:spacing w:line="360" w:lineRule="auto"/>
        <w:rPr>
          <w:rFonts w:ascii="楷体" w:hAnsi="楷体" w:eastAsia="楷体" w:cs="楷体"/>
          <w:sz w:val="24"/>
        </w:rPr>
      </w:pPr>
      <w:r>
        <w:rPr>
          <w:rFonts w:hint="eastAsia" w:ascii="楷体" w:hAnsi="楷体" w:eastAsia="楷体" w:cs="楷体"/>
          <w:sz w:val="24"/>
        </w:rPr>
        <w:t>电话：0753-6686586</w:t>
      </w:r>
    </w:p>
    <w:p w14:paraId="7F374454">
      <w:pPr>
        <w:tabs>
          <w:tab w:val="left" w:pos="720"/>
        </w:tabs>
        <w:spacing w:line="360" w:lineRule="auto"/>
        <w:rPr>
          <w:rFonts w:ascii="楷体" w:hAnsi="楷体" w:eastAsia="楷体" w:cs="楷体"/>
          <w:sz w:val="24"/>
        </w:rPr>
      </w:pPr>
      <w:r>
        <w:rPr>
          <w:rFonts w:hint="eastAsia" w:ascii="楷体" w:hAnsi="楷体" w:eastAsia="楷体" w:cs="楷体"/>
          <w:sz w:val="24"/>
        </w:rPr>
        <w:t>地址：丰顺县新世纪大道22区</w:t>
      </w:r>
    </w:p>
    <w:p w14:paraId="1613B733">
      <w:pPr>
        <w:tabs>
          <w:tab w:val="left" w:pos="720"/>
        </w:tabs>
        <w:spacing w:line="360" w:lineRule="auto"/>
        <w:rPr>
          <w:rFonts w:ascii="楷体" w:hAnsi="楷体" w:eastAsia="楷体" w:cs="楷体"/>
          <w:sz w:val="24"/>
        </w:rPr>
      </w:pPr>
    </w:p>
    <w:p w14:paraId="17487C33">
      <w:pPr>
        <w:tabs>
          <w:tab w:val="left" w:pos="720"/>
        </w:tabs>
        <w:spacing w:line="360" w:lineRule="auto"/>
        <w:rPr>
          <w:rFonts w:ascii="楷体" w:hAnsi="楷体" w:eastAsia="楷体" w:cs="楷体"/>
          <w:sz w:val="24"/>
        </w:rPr>
      </w:pPr>
      <w:r>
        <w:rPr>
          <w:rFonts w:hint="eastAsia" w:ascii="楷体" w:hAnsi="楷体" w:eastAsia="楷体" w:cs="楷体"/>
          <w:sz w:val="24"/>
        </w:rPr>
        <w:t xml:space="preserve">供应商（乙方）：  </w:t>
      </w:r>
    </w:p>
    <w:p w14:paraId="49DCB601">
      <w:pPr>
        <w:tabs>
          <w:tab w:val="left" w:pos="720"/>
        </w:tabs>
        <w:spacing w:line="360" w:lineRule="auto"/>
        <w:rPr>
          <w:rFonts w:ascii="楷体" w:hAnsi="楷体" w:eastAsia="楷体" w:cs="楷体"/>
          <w:sz w:val="24"/>
        </w:rPr>
      </w:pPr>
      <w:r>
        <w:rPr>
          <w:rFonts w:hint="eastAsia" w:ascii="楷体" w:hAnsi="楷体" w:eastAsia="楷体" w:cs="楷体"/>
          <w:sz w:val="24"/>
        </w:rPr>
        <w:t xml:space="preserve">法定代表人/负责人： </w:t>
      </w:r>
    </w:p>
    <w:p w14:paraId="0EA66518">
      <w:pPr>
        <w:tabs>
          <w:tab w:val="left" w:pos="720"/>
        </w:tabs>
        <w:spacing w:line="360" w:lineRule="auto"/>
        <w:rPr>
          <w:rFonts w:ascii="楷体" w:hAnsi="楷体" w:eastAsia="楷体" w:cs="楷体"/>
          <w:sz w:val="24"/>
        </w:rPr>
      </w:pPr>
      <w:r>
        <w:rPr>
          <w:rFonts w:hint="eastAsia" w:ascii="楷体" w:hAnsi="楷体" w:eastAsia="楷体" w:cs="楷体"/>
          <w:sz w:val="24"/>
        </w:rPr>
        <w:t xml:space="preserve">电话： </w:t>
      </w:r>
    </w:p>
    <w:p w14:paraId="671E9280">
      <w:pPr>
        <w:tabs>
          <w:tab w:val="left" w:pos="720"/>
        </w:tabs>
        <w:spacing w:line="360" w:lineRule="auto"/>
        <w:rPr>
          <w:rFonts w:ascii="楷体" w:hAnsi="楷体" w:eastAsia="楷体" w:cs="楷体"/>
          <w:sz w:val="24"/>
        </w:rPr>
      </w:pPr>
      <w:r>
        <w:rPr>
          <w:rFonts w:hint="eastAsia" w:ascii="楷体" w:hAnsi="楷体" w:eastAsia="楷体" w:cs="楷体"/>
          <w:sz w:val="24"/>
        </w:rPr>
        <w:t xml:space="preserve">地址： </w:t>
      </w:r>
    </w:p>
    <w:p w14:paraId="54429DBB">
      <w:pPr>
        <w:spacing w:line="360" w:lineRule="auto"/>
        <w:ind w:firstLine="560"/>
        <w:rPr>
          <w:rFonts w:ascii="楷体" w:hAnsi="楷体" w:eastAsia="楷体" w:cs="楷体"/>
          <w:sz w:val="24"/>
        </w:rPr>
      </w:pPr>
    </w:p>
    <w:p w14:paraId="24811640">
      <w:pPr>
        <w:spacing w:line="360" w:lineRule="auto"/>
        <w:ind w:firstLine="560"/>
        <w:rPr>
          <w:rFonts w:ascii="楷体" w:hAnsi="楷体" w:eastAsia="楷体" w:cs="楷体"/>
          <w:b/>
          <w:sz w:val="24"/>
          <w:u w:val="single"/>
        </w:rPr>
      </w:pPr>
      <w:r>
        <w:rPr>
          <w:rFonts w:hint="eastAsia" w:ascii="楷体" w:hAnsi="楷体" w:eastAsia="楷体" w:cs="楷体"/>
          <w:sz w:val="24"/>
        </w:rPr>
        <w:t>为维护公平竞争的市场经济秩序，确保</w:t>
      </w:r>
      <w:r>
        <w:rPr>
          <w:rFonts w:hint="eastAsia" w:ascii="楷体" w:hAnsi="楷体" w:eastAsia="楷体" w:cs="楷体"/>
          <w:sz w:val="24"/>
          <w:u w:val="single"/>
        </w:rPr>
        <w:t>广东烟草梅州市有限公司丰顺县分公司绿化种植及养护、保洁服务项目</w:t>
      </w:r>
      <w:r>
        <w:rPr>
          <w:rFonts w:hint="eastAsia" w:ascii="楷体" w:hAnsi="楷体" w:eastAsia="楷体" w:cs="楷体"/>
          <w:sz w:val="24"/>
        </w:rPr>
        <w:t>高效运行，保证项目资金的安全、有效使用，加强有关人员廉洁从业管理，恪守商业道德，从源头预防和遏制违法、违规、违纪行为发生，促进建立廉洁、诚信、共赢的合作关系，按照党和国家有关法律法规、廉政规定，经采购人</w:t>
      </w:r>
      <w:r>
        <w:rPr>
          <w:rFonts w:hint="eastAsia" w:ascii="楷体" w:hAnsi="楷体" w:eastAsia="楷体" w:cs="楷体"/>
          <w:sz w:val="24"/>
          <w:u w:val="single"/>
        </w:rPr>
        <w:t>广东烟草梅州市有限公司丰顺县分公司</w:t>
      </w:r>
      <w:r>
        <w:rPr>
          <w:rFonts w:hint="eastAsia" w:ascii="楷体" w:hAnsi="楷体" w:eastAsia="楷体" w:cs="楷体"/>
          <w:sz w:val="24"/>
        </w:rPr>
        <w:t>（以下简称“甲方”）与供应商</w:t>
      </w:r>
      <w:r>
        <w:rPr>
          <w:rFonts w:hint="eastAsia" w:ascii="楷体" w:hAnsi="楷体" w:eastAsia="楷体" w:cs="楷体"/>
          <w:sz w:val="24"/>
          <w:u w:val="single"/>
        </w:rPr>
        <w:t xml:space="preserve">           </w:t>
      </w:r>
      <w:r>
        <w:rPr>
          <w:rFonts w:hint="eastAsia" w:ascii="楷体" w:hAnsi="楷体" w:eastAsia="楷体" w:cs="楷体"/>
          <w:sz w:val="24"/>
        </w:rPr>
        <w:t>（以下简称“乙方”）协商一致，签订以下合同：</w:t>
      </w:r>
    </w:p>
    <w:p w14:paraId="4218F59B">
      <w:pPr>
        <w:spacing w:line="360" w:lineRule="auto"/>
        <w:ind w:firstLine="560"/>
        <w:rPr>
          <w:rFonts w:ascii="楷体" w:hAnsi="楷体" w:eastAsia="楷体" w:cs="楷体"/>
          <w:sz w:val="24"/>
        </w:rPr>
      </w:pPr>
      <w:r>
        <w:rPr>
          <w:rFonts w:hint="eastAsia" w:ascii="楷体" w:hAnsi="楷体" w:eastAsia="楷体" w:cs="楷体"/>
          <w:sz w:val="24"/>
        </w:rPr>
        <w:t>第一条 甲乙双方的权利和义务</w:t>
      </w:r>
    </w:p>
    <w:p w14:paraId="2724BA01">
      <w:pPr>
        <w:spacing w:line="360" w:lineRule="auto"/>
        <w:ind w:firstLine="560"/>
        <w:rPr>
          <w:rFonts w:ascii="楷体" w:hAnsi="楷体" w:eastAsia="楷体" w:cs="楷体"/>
          <w:sz w:val="24"/>
        </w:rPr>
      </w:pPr>
      <w:r>
        <w:rPr>
          <w:rFonts w:hint="eastAsia" w:ascii="楷体" w:hAnsi="楷体" w:eastAsia="楷体" w:cs="楷体"/>
          <w:sz w:val="24"/>
        </w:rPr>
        <w:t>（一）严格遵守党和国家有关法律法规及党风廉政建设各项规定，遵守烟草行业有关采购管理制度。</w:t>
      </w:r>
    </w:p>
    <w:p w14:paraId="29EB4893">
      <w:pPr>
        <w:spacing w:line="360" w:lineRule="auto"/>
        <w:ind w:firstLine="560"/>
        <w:rPr>
          <w:rFonts w:ascii="楷体" w:hAnsi="楷体" w:eastAsia="楷体" w:cs="楷体"/>
          <w:sz w:val="24"/>
        </w:rPr>
      </w:pPr>
      <w:r>
        <w:rPr>
          <w:rFonts w:hint="eastAsia" w:ascii="楷体" w:hAnsi="楷体" w:eastAsia="楷体" w:cs="楷体"/>
          <w:sz w:val="24"/>
        </w:rPr>
        <w:t>（二）严格执行采购项目的合同文件，自觉履约。</w:t>
      </w:r>
    </w:p>
    <w:p w14:paraId="5DFA29A5">
      <w:pPr>
        <w:spacing w:line="360" w:lineRule="auto"/>
        <w:ind w:firstLine="560"/>
        <w:rPr>
          <w:rFonts w:ascii="楷体" w:hAnsi="楷体" w:eastAsia="楷体" w:cs="楷体"/>
          <w:sz w:val="24"/>
        </w:rPr>
      </w:pPr>
      <w:r>
        <w:rPr>
          <w:rFonts w:hint="eastAsia" w:ascii="楷体" w:hAnsi="楷体" w:eastAsia="楷体" w:cs="楷体"/>
          <w:sz w:val="24"/>
        </w:rPr>
        <w:t>（三）双方的业务活动坚持公开、公平、公正、诚信的原则（涉及商业秘密和合同文件另有规定之外），严禁损害国家和集体利益，依法维护合作双方的合法利益。</w:t>
      </w:r>
    </w:p>
    <w:p w14:paraId="75764C36">
      <w:pPr>
        <w:spacing w:line="360" w:lineRule="auto"/>
        <w:ind w:firstLine="560"/>
        <w:rPr>
          <w:rFonts w:ascii="楷体" w:hAnsi="楷体" w:eastAsia="楷体" w:cs="楷体"/>
          <w:sz w:val="24"/>
        </w:rPr>
      </w:pPr>
      <w:r>
        <w:rPr>
          <w:rFonts w:hint="eastAsia" w:ascii="楷体" w:hAnsi="楷体" w:eastAsia="楷体" w:cs="楷体"/>
          <w:sz w:val="24"/>
        </w:rPr>
        <w:t>（四）建立健全党风廉政建设各项制度，开展廉洁自律宣传教育，加强对本方工作人员的监督检查。</w:t>
      </w:r>
    </w:p>
    <w:p w14:paraId="2ABE7150">
      <w:pPr>
        <w:spacing w:line="360" w:lineRule="auto"/>
        <w:ind w:firstLine="560"/>
        <w:rPr>
          <w:rFonts w:ascii="楷体" w:hAnsi="楷体" w:eastAsia="楷体" w:cs="楷体"/>
          <w:sz w:val="24"/>
        </w:rPr>
      </w:pPr>
      <w:r>
        <w:rPr>
          <w:rFonts w:hint="eastAsia" w:ascii="楷体" w:hAnsi="楷体" w:eastAsia="楷体" w:cs="楷体"/>
          <w:sz w:val="24"/>
        </w:rPr>
        <w:t>（五）发现对方严重违反合同义务条款的行为有权制止，并向其上级有关部门举报。</w:t>
      </w:r>
    </w:p>
    <w:p w14:paraId="70FDF90B">
      <w:pPr>
        <w:spacing w:line="360" w:lineRule="auto"/>
        <w:ind w:firstLine="560"/>
        <w:rPr>
          <w:rFonts w:ascii="楷体" w:hAnsi="楷体" w:eastAsia="楷体" w:cs="楷体"/>
          <w:sz w:val="24"/>
        </w:rPr>
      </w:pPr>
      <w:r>
        <w:rPr>
          <w:rFonts w:hint="eastAsia" w:ascii="楷体" w:hAnsi="楷体" w:eastAsia="楷体" w:cs="楷体"/>
          <w:sz w:val="24"/>
        </w:rPr>
        <w:t>（六）采购项目合同变更时本廉洁合同内容也应做相应调整，并履行有关手续。</w:t>
      </w:r>
    </w:p>
    <w:p w14:paraId="76C5236E">
      <w:pPr>
        <w:spacing w:line="360" w:lineRule="auto"/>
        <w:ind w:firstLine="560"/>
        <w:rPr>
          <w:rFonts w:ascii="楷体" w:hAnsi="楷体" w:eastAsia="楷体" w:cs="楷体"/>
          <w:sz w:val="24"/>
        </w:rPr>
      </w:pPr>
      <w:r>
        <w:rPr>
          <w:rFonts w:hint="eastAsia" w:ascii="楷体" w:hAnsi="楷体" w:eastAsia="楷体" w:cs="楷体"/>
          <w:sz w:val="24"/>
        </w:rPr>
        <w:t>第二条 甲方义务</w:t>
      </w:r>
    </w:p>
    <w:p w14:paraId="58A4112A">
      <w:pPr>
        <w:spacing w:line="360" w:lineRule="auto"/>
        <w:ind w:firstLine="560"/>
        <w:rPr>
          <w:rFonts w:ascii="楷体" w:hAnsi="楷体" w:eastAsia="楷体" w:cs="楷体"/>
          <w:sz w:val="24"/>
        </w:rPr>
      </w:pPr>
      <w:r>
        <w:rPr>
          <w:rFonts w:hint="eastAsia" w:ascii="楷体" w:hAnsi="楷体" w:eastAsia="楷体" w:cs="楷体"/>
          <w:sz w:val="24"/>
        </w:rPr>
        <w:t>（一）甲方及其工作人员不得干扰乙方企业正常的生产经营活动，不得以任何理由要挟乙方从事不属于乙方义务的工作。</w:t>
      </w:r>
    </w:p>
    <w:p w14:paraId="14881122">
      <w:pPr>
        <w:spacing w:line="360" w:lineRule="auto"/>
        <w:ind w:firstLine="560"/>
        <w:rPr>
          <w:rFonts w:ascii="楷体" w:hAnsi="楷体" w:eastAsia="楷体" w:cs="楷体"/>
          <w:sz w:val="24"/>
        </w:rPr>
      </w:pPr>
      <w:r>
        <w:rPr>
          <w:rFonts w:hint="eastAsia" w:ascii="楷体" w:hAnsi="楷体" w:eastAsia="楷体" w:cs="楷体"/>
          <w:sz w:val="24"/>
        </w:rPr>
        <w:t>（二）甲方及其工作人员不得索要或接受乙方的礼金、有价证券和贵重物品，不得在乙方报销任何应由甲方或甲方工作人员个人支付的费用等。</w:t>
      </w:r>
    </w:p>
    <w:p w14:paraId="59443CEF">
      <w:pPr>
        <w:spacing w:line="360" w:lineRule="auto"/>
        <w:ind w:firstLine="560"/>
        <w:rPr>
          <w:rFonts w:ascii="楷体" w:hAnsi="楷体" w:eastAsia="楷体" w:cs="楷体"/>
          <w:sz w:val="24"/>
        </w:rPr>
      </w:pPr>
      <w:r>
        <w:rPr>
          <w:rFonts w:hint="eastAsia" w:ascii="楷体" w:hAnsi="楷体" w:eastAsia="楷体" w:cs="楷体"/>
          <w:sz w:val="24"/>
        </w:rPr>
        <w:t>（三）甲方工作人员不得参加乙方安排的超标准宴请和娱乐活动，不得要求或者接受乙方为其住房装修、婚丧嫁娶活动、配偶子女的工作安排以及出国出境、旅游等提供方便等。</w:t>
      </w:r>
    </w:p>
    <w:p w14:paraId="5DE035A0">
      <w:pPr>
        <w:spacing w:line="360" w:lineRule="auto"/>
        <w:ind w:firstLine="560"/>
        <w:rPr>
          <w:rFonts w:ascii="楷体" w:hAnsi="楷体" w:eastAsia="楷体" w:cs="楷体"/>
          <w:sz w:val="24"/>
        </w:rPr>
      </w:pPr>
      <w:r>
        <w:rPr>
          <w:rFonts w:hint="eastAsia" w:ascii="楷体" w:hAnsi="楷体" w:eastAsia="楷体" w:cs="楷体"/>
          <w:sz w:val="24"/>
        </w:rPr>
        <w:t>（四）甲方工作人员及其配偶、子女不得从事与甲方项目有关的材料设备供应、劳务等经济活动。</w:t>
      </w:r>
    </w:p>
    <w:p w14:paraId="29CAC178">
      <w:pPr>
        <w:spacing w:line="360" w:lineRule="auto"/>
        <w:ind w:firstLine="560"/>
        <w:rPr>
          <w:rFonts w:ascii="楷体" w:hAnsi="楷体" w:eastAsia="楷体" w:cs="楷体"/>
          <w:sz w:val="24"/>
        </w:rPr>
      </w:pPr>
      <w:r>
        <w:rPr>
          <w:rFonts w:hint="eastAsia" w:ascii="楷体" w:hAnsi="楷体" w:eastAsia="楷体" w:cs="楷体"/>
          <w:sz w:val="24"/>
        </w:rPr>
        <w:t>（五）甲方及其工作人员不得以任何理由向乙方推荐分包单位或推销材料，不得要求乙方购买合同规定外的材料和设备。</w:t>
      </w:r>
    </w:p>
    <w:p w14:paraId="2D034664">
      <w:pPr>
        <w:spacing w:line="360" w:lineRule="auto"/>
        <w:ind w:firstLine="560"/>
        <w:rPr>
          <w:rFonts w:ascii="楷体" w:hAnsi="楷体" w:eastAsia="楷体" w:cs="楷体"/>
          <w:sz w:val="24"/>
        </w:rPr>
      </w:pPr>
      <w:r>
        <w:rPr>
          <w:rFonts w:hint="eastAsia" w:ascii="楷体" w:hAnsi="楷体" w:eastAsia="楷体" w:cs="楷体"/>
          <w:sz w:val="24"/>
        </w:rPr>
        <w:t>（六）甲方工作人员要秉公办事，不准营私舞弊，不准利用职权从事各种个人有偿中介活动。</w:t>
      </w:r>
    </w:p>
    <w:p w14:paraId="0DC9DC9C">
      <w:pPr>
        <w:spacing w:line="360" w:lineRule="auto"/>
        <w:ind w:firstLine="560"/>
        <w:rPr>
          <w:rFonts w:ascii="楷体" w:hAnsi="楷体" w:eastAsia="楷体" w:cs="楷体"/>
          <w:sz w:val="24"/>
        </w:rPr>
      </w:pPr>
      <w:r>
        <w:rPr>
          <w:rFonts w:hint="eastAsia" w:ascii="楷体" w:hAnsi="楷体" w:eastAsia="楷体" w:cs="楷体"/>
          <w:bCs/>
          <w:sz w:val="24"/>
        </w:rPr>
        <w:t xml:space="preserve">第三条 </w:t>
      </w:r>
      <w:r>
        <w:rPr>
          <w:rFonts w:hint="eastAsia" w:ascii="楷体" w:hAnsi="楷体" w:eastAsia="楷体" w:cs="楷体"/>
          <w:sz w:val="24"/>
        </w:rPr>
        <w:t>乙方义务</w:t>
      </w:r>
    </w:p>
    <w:p w14:paraId="09C61DE9">
      <w:pPr>
        <w:spacing w:line="360" w:lineRule="auto"/>
        <w:ind w:firstLine="560"/>
        <w:rPr>
          <w:rFonts w:ascii="楷体" w:hAnsi="楷体" w:eastAsia="楷体" w:cs="楷体"/>
          <w:sz w:val="24"/>
        </w:rPr>
      </w:pPr>
      <w:r>
        <w:rPr>
          <w:rFonts w:hint="eastAsia" w:ascii="楷体" w:hAnsi="楷体" w:eastAsia="楷体" w:cs="楷体"/>
          <w:sz w:val="24"/>
        </w:rPr>
        <w:t>（一）乙方不得以任何理由向甲方及其工作人员行贿或馈赠礼金、有价证券、贵重礼品。</w:t>
      </w:r>
    </w:p>
    <w:p w14:paraId="1DF14929">
      <w:pPr>
        <w:spacing w:line="360" w:lineRule="auto"/>
        <w:ind w:firstLine="560"/>
        <w:rPr>
          <w:rFonts w:ascii="楷体" w:hAnsi="楷体" w:eastAsia="楷体" w:cs="楷体"/>
          <w:sz w:val="24"/>
        </w:rPr>
      </w:pPr>
      <w:r>
        <w:rPr>
          <w:rFonts w:hint="eastAsia" w:ascii="楷体" w:hAnsi="楷体" w:eastAsia="楷体" w:cs="楷体"/>
          <w:sz w:val="24"/>
        </w:rPr>
        <w:t>（二）乙方不得以任何名义为甲方及其工作人员报销应由甲方单位或个人支付的任何费用。</w:t>
      </w:r>
    </w:p>
    <w:p w14:paraId="74C846DD">
      <w:pPr>
        <w:spacing w:line="360" w:lineRule="auto"/>
        <w:ind w:firstLine="560"/>
        <w:rPr>
          <w:rFonts w:ascii="楷体" w:hAnsi="楷体" w:eastAsia="楷体" w:cs="楷体"/>
          <w:sz w:val="24"/>
        </w:rPr>
      </w:pPr>
      <w:r>
        <w:rPr>
          <w:rFonts w:hint="eastAsia" w:ascii="楷体" w:hAnsi="楷体" w:eastAsia="楷体" w:cs="楷体"/>
          <w:sz w:val="24"/>
        </w:rPr>
        <w:t>（三）乙方不得以任何理由安排甲方工作人员参加超标准宴请及娱乐活动。</w:t>
      </w:r>
    </w:p>
    <w:p w14:paraId="750B7CE0">
      <w:pPr>
        <w:spacing w:line="360" w:lineRule="auto"/>
        <w:ind w:firstLine="560"/>
        <w:rPr>
          <w:rFonts w:ascii="楷体" w:hAnsi="楷体" w:eastAsia="楷体" w:cs="楷体"/>
          <w:sz w:val="24"/>
        </w:rPr>
      </w:pPr>
      <w:r>
        <w:rPr>
          <w:rFonts w:hint="eastAsia" w:ascii="楷体" w:hAnsi="楷体" w:eastAsia="楷体" w:cs="楷体"/>
          <w:sz w:val="24"/>
        </w:rPr>
        <w:t>（四）乙方不得为甲方单位和个人购置或提供通讯工具、交通工具和高档办公用品等。</w:t>
      </w:r>
    </w:p>
    <w:p w14:paraId="224A27BE">
      <w:pPr>
        <w:spacing w:line="360" w:lineRule="auto"/>
        <w:ind w:firstLine="560"/>
        <w:rPr>
          <w:rFonts w:ascii="楷体" w:hAnsi="楷体" w:eastAsia="楷体" w:cs="楷体"/>
          <w:sz w:val="24"/>
        </w:rPr>
      </w:pPr>
      <w:r>
        <w:rPr>
          <w:rFonts w:hint="eastAsia" w:ascii="楷体" w:hAnsi="楷体" w:eastAsia="楷体" w:cs="楷体"/>
          <w:sz w:val="24"/>
        </w:rPr>
        <w:t>（五）乙方得知甲方从业人员存在通过打招呼、围标、串标等形式非法操纵中标结果，或接受投标人礼品、宴请和其他形式的利益输送等情形的，应及时向甲方有关部门举报，联系电话：0753-2235984(纪检监察部门电话)。</w:t>
      </w:r>
    </w:p>
    <w:p w14:paraId="5EB84A7F">
      <w:pPr>
        <w:spacing w:line="360" w:lineRule="auto"/>
        <w:ind w:firstLine="560"/>
        <w:rPr>
          <w:rFonts w:ascii="楷体" w:hAnsi="楷体" w:eastAsia="楷体" w:cs="楷体"/>
          <w:sz w:val="24"/>
        </w:rPr>
      </w:pPr>
      <w:r>
        <w:rPr>
          <w:rFonts w:hint="eastAsia" w:ascii="楷体" w:hAnsi="楷体" w:eastAsia="楷体" w:cs="楷体"/>
          <w:sz w:val="24"/>
        </w:rPr>
        <w:t>第四条 违约责任</w:t>
      </w:r>
    </w:p>
    <w:p w14:paraId="1F5168D0">
      <w:pPr>
        <w:spacing w:line="360" w:lineRule="auto"/>
        <w:ind w:firstLine="560"/>
        <w:rPr>
          <w:rFonts w:ascii="楷体" w:hAnsi="楷体" w:eastAsia="楷体" w:cs="楷体"/>
          <w:sz w:val="24"/>
        </w:rPr>
      </w:pPr>
      <w:r>
        <w:rPr>
          <w:rFonts w:hint="eastAsia" w:ascii="楷体" w:hAnsi="楷体" w:eastAsia="楷体" w:cs="楷体"/>
          <w:sz w:val="24"/>
        </w:rPr>
        <w:t>（一）甲方及其工作人员违反本协议第一、二条，按管理权限，依据有关规定给予党纪、政纪或组织处理；涉嫌犯罪的，移交司法机关追究刑事责任；给乙方单位造成经济损失的，应予以赔偿。</w:t>
      </w:r>
    </w:p>
    <w:p w14:paraId="4F458CC7">
      <w:pPr>
        <w:spacing w:line="360" w:lineRule="auto"/>
        <w:ind w:firstLine="560"/>
        <w:rPr>
          <w:rFonts w:ascii="楷体" w:hAnsi="楷体" w:eastAsia="楷体" w:cs="楷体"/>
          <w:sz w:val="24"/>
        </w:rPr>
      </w:pPr>
      <w:r>
        <w:rPr>
          <w:rFonts w:hint="eastAsia" w:ascii="楷体" w:hAnsi="楷体" w:eastAsia="楷体" w:cs="楷体"/>
          <w:sz w:val="24"/>
        </w:rPr>
        <w:t>（二）乙方及其工作人员违反本协议第一、三条，按管理权限，依据有关规定给予党纪、政纪组织处理；给甲方单位造成经济损失的，应予以赔偿；情节严重的，甲方有权终止合同及追究责任，并依据烟草行业存在行贿行为供应商管理有关规定给予或提请甲方行业上级单位给予乙方一定时期内不得参加烟草行业采购活动的处罚。</w:t>
      </w:r>
    </w:p>
    <w:p w14:paraId="7BA19973">
      <w:pPr>
        <w:spacing w:line="360" w:lineRule="auto"/>
        <w:ind w:firstLine="560"/>
        <w:rPr>
          <w:rFonts w:ascii="楷体" w:hAnsi="楷体" w:eastAsia="楷体" w:cs="楷体"/>
          <w:sz w:val="24"/>
        </w:rPr>
      </w:pPr>
      <w:r>
        <w:rPr>
          <w:rFonts w:hint="eastAsia" w:ascii="楷体" w:hAnsi="楷体" w:eastAsia="楷体" w:cs="楷体"/>
          <w:sz w:val="24"/>
        </w:rPr>
        <w:t>第五条 本合同由双方或双方上级单位的纪检监察或规范管理部门负责监督执行。由甲方或甲方上级单位的纪检监察或规范管理部门约请乙方或乙方上级单位纪检监察机关对本合同执行情况进行检查，提出在本合同规定范围内的裁定意见。</w:t>
      </w:r>
    </w:p>
    <w:p w14:paraId="1D4F9A09">
      <w:pPr>
        <w:spacing w:line="360" w:lineRule="auto"/>
        <w:ind w:firstLine="560"/>
        <w:rPr>
          <w:rFonts w:ascii="楷体" w:hAnsi="楷体" w:eastAsia="楷体" w:cs="楷体"/>
          <w:sz w:val="24"/>
        </w:rPr>
      </w:pPr>
      <w:r>
        <w:rPr>
          <w:rFonts w:hint="eastAsia" w:ascii="楷体" w:hAnsi="楷体" w:eastAsia="楷体" w:cs="楷体"/>
          <w:sz w:val="24"/>
        </w:rPr>
        <w:t>第六条 本合同为采购项目合同补充协议，与主合同具有同等法律效力，甲乙双方签署后生效。本协议有效期为甲乙双方签署之日起至采购项目验收结算后止。</w:t>
      </w:r>
    </w:p>
    <w:p w14:paraId="51D2251F">
      <w:pPr>
        <w:spacing w:line="360" w:lineRule="auto"/>
        <w:ind w:firstLine="560"/>
        <w:rPr>
          <w:rFonts w:ascii="楷体" w:hAnsi="楷体" w:eastAsia="楷体" w:cs="楷体"/>
          <w:sz w:val="24"/>
        </w:rPr>
      </w:pPr>
      <w:r>
        <w:rPr>
          <w:rFonts w:hint="eastAsia" w:ascii="楷体" w:hAnsi="楷体" w:eastAsia="楷体" w:cs="楷体"/>
          <w:sz w:val="24"/>
        </w:rPr>
        <w:t>第七条 本协议一式贰份，由甲乙双方各执壹份，经协议双方签署立即生效。</w:t>
      </w:r>
    </w:p>
    <w:p w14:paraId="4C51A0C2">
      <w:pPr>
        <w:spacing w:line="360" w:lineRule="auto"/>
        <w:ind w:right="1203"/>
        <w:rPr>
          <w:rFonts w:ascii="楷体" w:hAnsi="楷体" w:eastAsia="楷体" w:cs="楷体"/>
          <w:color w:val="000000"/>
          <w:sz w:val="24"/>
        </w:rPr>
      </w:pPr>
    </w:p>
    <w:p w14:paraId="017F7289">
      <w:pPr>
        <w:spacing w:line="360" w:lineRule="auto"/>
        <w:ind w:right="1203"/>
        <w:rPr>
          <w:rFonts w:ascii="楷体" w:hAnsi="楷体" w:eastAsia="楷体" w:cs="楷体"/>
          <w:color w:val="000000"/>
          <w:szCs w:val="21"/>
        </w:rPr>
      </w:pPr>
    </w:p>
    <w:p w14:paraId="399B3A89">
      <w:pPr>
        <w:spacing w:line="360" w:lineRule="auto"/>
        <w:ind w:right="1203"/>
        <w:rPr>
          <w:rFonts w:ascii="楷体" w:hAnsi="楷体" w:eastAsia="楷体" w:cs="楷体"/>
          <w:color w:val="000000"/>
          <w:szCs w:val="21"/>
        </w:rPr>
      </w:pPr>
    </w:p>
    <w:p w14:paraId="364BCF8B">
      <w:pPr>
        <w:autoSpaceDE w:val="0"/>
        <w:autoSpaceDN w:val="0"/>
        <w:rPr>
          <w:rFonts w:ascii="楷体" w:hAnsi="楷体" w:eastAsia="楷体" w:cs="楷体"/>
          <w:color w:val="000000"/>
          <w:sz w:val="24"/>
        </w:rPr>
      </w:pPr>
      <w:r>
        <w:rPr>
          <w:rFonts w:hint="eastAsia" w:ascii="楷体" w:hAnsi="楷体" w:eastAsia="楷体" w:cs="楷体"/>
          <w:color w:val="000000"/>
          <w:szCs w:val="21"/>
        </w:rPr>
        <mc:AlternateContent>
          <mc:Choice Requires="wpg">
            <w:drawing>
              <wp:anchor distT="0" distB="0" distL="114300" distR="114300" simplePos="0" relativeHeight="251664384" behindDoc="0" locked="0" layoutInCell="1" allowOverlap="1">
                <wp:simplePos x="0" y="0"/>
                <wp:positionH relativeFrom="column">
                  <wp:posOffset>-220980</wp:posOffset>
                </wp:positionH>
                <wp:positionV relativeFrom="paragraph">
                  <wp:posOffset>152400</wp:posOffset>
                </wp:positionV>
                <wp:extent cx="5695315" cy="2487295"/>
                <wp:effectExtent l="0" t="0" r="635" b="8255"/>
                <wp:wrapNone/>
                <wp:docPr id="369" name="组合 369"/>
                <wp:cNvGraphicFramePr/>
                <a:graphic xmlns:a="http://schemas.openxmlformats.org/drawingml/2006/main">
                  <a:graphicData uri="http://schemas.microsoft.com/office/word/2010/wordprocessingGroup">
                    <wpg:wgp>
                      <wpg:cNvGrpSpPr/>
                      <wpg:grpSpPr>
                        <a:xfrm>
                          <a:off x="0" y="0"/>
                          <a:ext cx="5695315" cy="2487295"/>
                          <a:chOff x="10248" y="111968"/>
                          <a:chExt cx="9450" cy="3983"/>
                        </a:xfrm>
                        <a:effectLst/>
                      </wpg:grpSpPr>
                      <wps:wsp>
                        <wps:cNvPr id="370" name="文本框 45"/>
                        <wps:cNvSpPr txBox="1"/>
                        <wps:spPr>
                          <a:xfrm>
                            <a:off x="10248" y="111982"/>
                            <a:ext cx="4481" cy="3969"/>
                          </a:xfrm>
                          <a:prstGeom prst="rect">
                            <a:avLst/>
                          </a:prstGeom>
                          <a:solidFill>
                            <a:srgbClr val="FFFFFF"/>
                          </a:solidFill>
                          <a:ln w="6350">
                            <a:noFill/>
                          </a:ln>
                          <a:effectLst/>
                        </wps:spPr>
                        <wps:txbx>
                          <w:txbxContent>
                            <w:p w14:paraId="289ECC63">
                              <w:pPr>
                                <w:spacing w:line="360" w:lineRule="auto"/>
                                <w:rPr>
                                  <w:rFonts w:ascii="楷体" w:hAnsi="楷体" w:eastAsia="楷体" w:cs="楷体"/>
                                  <w:sz w:val="24"/>
                                </w:rPr>
                              </w:pPr>
                              <w:r>
                                <w:rPr>
                                  <w:rFonts w:hint="eastAsia" w:ascii="楷体" w:hAnsi="楷体" w:eastAsia="楷体" w:cs="楷体"/>
                                  <w:sz w:val="24"/>
                                </w:rPr>
                                <w:t>甲方（盖章）：</w:t>
                              </w:r>
                            </w:p>
                            <w:p w14:paraId="433D003B">
                              <w:pPr>
                                <w:spacing w:line="360" w:lineRule="auto"/>
                                <w:rPr>
                                  <w:rFonts w:ascii="楷体" w:hAnsi="楷体" w:eastAsia="楷体" w:cs="楷体"/>
                                  <w:sz w:val="24"/>
                                </w:rPr>
                              </w:pPr>
                              <w:r>
                                <w:rPr>
                                  <w:rFonts w:hint="eastAsia" w:ascii="楷体" w:hAnsi="楷体" w:eastAsia="楷体" w:cs="楷体"/>
                                  <w:sz w:val="24"/>
                                </w:rPr>
                                <w:t>法定代表人：</w:t>
                              </w:r>
                            </w:p>
                            <w:p w14:paraId="3FFE9BD6">
                              <w:pPr>
                                <w:spacing w:line="360" w:lineRule="auto"/>
                                <w:rPr>
                                  <w:rFonts w:ascii="楷体" w:hAnsi="楷体" w:eastAsia="楷体" w:cs="楷体"/>
                                  <w:sz w:val="24"/>
                                </w:rPr>
                              </w:pPr>
                              <w:r>
                                <w:rPr>
                                  <w:rFonts w:hint="eastAsia" w:ascii="楷体" w:hAnsi="楷体" w:eastAsia="楷体" w:cs="楷体"/>
                                  <w:sz w:val="24"/>
                                </w:rPr>
                                <w:t>或</w:t>
                              </w:r>
                            </w:p>
                            <w:p w14:paraId="76A4E460">
                              <w:pPr>
                                <w:rPr>
                                  <w:rFonts w:ascii="楷体" w:hAnsi="楷体" w:eastAsia="楷体" w:cs="楷体"/>
                                  <w:sz w:val="24"/>
                                </w:rPr>
                              </w:pPr>
                              <w:r>
                                <w:rPr>
                                  <w:rFonts w:hint="eastAsia" w:ascii="楷体" w:hAnsi="楷体" w:eastAsia="楷体" w:cs="楷体"/>
                                  <w:sz w:val="24"/>
                                </w:rPr>
                                <w:t>委托代理人：</w:t>
                              </w:r>
                            </w:p>
                            <w:p w14:paraId="29B525DD">
                              <w:pPr>
                                <w:jc w:val="right"/>
                                <w:rPr>
                                  <w:rFonts w:ascii="楷体" w:hAnsi="楷体" w:eastAsia="楷体" w:cs="楷体"/>
                                  <w:sz w:val="24"/>
                                </w:rPr>
                              </w:pPr>
                            </w:p>
                            <w:p w14:paraId="5B4B7677">
                              <w:pPr>
                                <w:ind w:right="480"/>
                                <w:rPr>
                                  <w:rFonts w:ascii="楷体" w:hAnsi="楷体" w:eastAsia="楷体" w:cs="楷体"/>
                                  <w:sz w:val="24"/>
                                </w:rPr>
                              </w:pPr>
                              <w:r>
                                <w:rPr>
                                  <w:rFonts w:hint="eastAsia" w:ascii="楷体" w:hAnsi="楷体" w:eastAsia="楷体" w:cs="楷体"/>
                                  <w:sz w:val="24"/>
                                </w:rPr>
                                <w:t>日期：    年  月  日</w:t>
                              </w:r>
                            </w:p>
                            <w:p w14:paraId="0F879B64">
                              <w:pPr>
                                <w:jc w:val="right"/>
                                <w:rPr>
                                  <w:rFonts w:ascii="楷体" w:hAnsi="楷体" w:eastAsia="楷体" w:cs="楷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1" name="文本框 46"/>
                        <wps:cNvSpPr txBox="1"/>
                        <wps:spPr>
                          <a:xfrm>
                            <a:off x="14868" y="111968"/>
                            <a:ext cx="4830" cy="3905"/>
                          </a:xfrm>
                          <a:prstGeom prst="rect">
                            <a:avLst/>
                          </a:prstGeom>
                          <a:solidFill>
                            <a:srgbClr val="FFFFFF"/>
                          </a:solidFill>
                          <a:ln w="6350">
                            <a:noFill/>
                          </a:ln>
                          <a:effectLst/>
                        </wps:spPr>
                        <wps:txbx>
                          <w:txbxContent>
                            <w:p w14:paraId="7F170353">
                              <w:pPr>
                                <w:spacing w:line="360" w:lineRule="auto"/>
                                <w:rPr>
                                  <w:rFonts w:ascii="楷体" w:hAnsi="楷体" w:eastAsia="楷体" w:cs="楷体"/>
                                  <w:sz w:val="24"/>
                                </w:rPr>
                              </w:pPr>
                              <w:r>
                                <w:rPr>
                                  <w:rFonts w:hint="eastAsia" w:ascii="楷体" w:hAnsi="楷体" w:eastAsia="楷体" w:cs="楷体"/>
                                  <w:sz w:val="24"/>
                                </w:rPr>
                                <w:t xml:space="preserve">乙方（盖章）： </w:t>
                              </w:r>
                            </w:p>
                            <w:p w14:paraId="615BF4CB">
                              <w:pPr>
                                <w:spacing w:line="360" w:lineRule="auto"/>
                                <w:rPr>
                                  <w:rFonts w:ascii="楷体" w:hAnsi="楷体" w:eastAsia="楷体" w:cs="楷体"/>
                                  <w:sz w:val="24"/>
                                </w:rPr>
                              </w:pPr>
                              <w:r>
                                <w:rPr>
                                  <w:rFonts w:hint="eastAsia" w:ascii="楷体" w:hAnsi="楷体" w:eastAsia="楷体" w:cs="楷体"/>
                                  <w:sz w:val="24"/>
                                </w:rPr>
                                <w:t>法定代表人：</w:t>
                              </w:r>
                            </w:p>
                            <w:p w14:paraId="1F9767BC">
                              <w:pPr>
                                <w:spacing w:line="360" w:lineRule="auto"/>
                                <w:rPr>
                                  <w:rFonts w:ascii="楷体" w:hAnsi="楷体" w:eastAsia="楷体" w:cs="楷体"/>
                                  <w:sz w:val="24"/>
                                </w:rPr>
                              </w:pPr>
                              <w:r>
                                <w:rPr>
                                  <w:rFonts w:hint="eastAsia" w:ascii="楷体" w:hAnsi="楷体" w:eastAsia="楷体" w:cs="楷体"/>
                                  <w:sz w:val="24"/>
                                </w:rPr>
                                <w:t>或</w:t>
                              </w:r>
                            </w:p>
                            <w:p w14:paraId="26803AEB">
                              <w:pPr>
                                <w:rPr>
                                  <w:rFonts w:ascii="楷体" w:hAnsi="楷体" w:eastAsia="楷体" w:cs="楷体"/>
                                  <w:sz w:val="24"/>
                                </w:rPr>
                              </w:pPr>
                              <w:r>
                                <w:rPr>
                                  <w:rFonts w:hint="eastAsia" w:ascii="楷体" w:hAnsi="楷体" w:eastAsia="楷体" w:cs="楷体"/>
                                  <w:sz w:val="24"/>
                                </w:rPr>
                                <w:t>委托代理人：</w:t>
                              </w:r>
                            </w:p>
                            <w:p w14:paraId="7A468423">
                              <w:pPr>
                                <w:jc w:val="right"/>
                                <w:rPr>
                                  <w:rFonts w:ascii="楷体" w:hAnsi="楷体" w:eastAsia="楷体" w:cs="楷体"/>
                                  <w:sz w:val="24"/>
                                </w:rPr>
                              </w:pPr>
                            </w:p>
                            <w:p w14:paraId="308971FB">
                              <w:pPr>
                                <w:jc w:val="left"/>
                                <w:rPr>
                                  <w:rFonts w:ascii="楷体" w:hAnsi="楷体" w:eastAsia="楷体" w:cs="楷体"/>
                                  <w:sz w:val="24"/>
                                </w:rPr>
                              </w:pPr>
                              <w:r>
                                <w:rPr>
                                  <w:rFonts w:hint="eastAsia" w:ascii="楷体" w:hAnsi="楷体" w:eastAsia="楷体" w:cs="楷体"/>
                                  <w:sz w:val="24"/>
                                </w:rPr>
                                <w:t>日期：    年   月  日</w:t>
                              </w:r>
                            </w:p>
                            <w:p w14:paraId="76DB1B54">
                              <w:pPr>
                                <w:jc w:val="right"/>
                                <w:rPr>
                                  <w:rFonts w:ascii="楷体" w:hAnsi="楷体" w:eastAsia="楷体" w:cs="楷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4pt;margin-top:12pt;height:195.85pt;width:448.45pt;z-index:251664384;mso-width-relative:page;mso-height-relative:page;" coordorigin="10248,111968" coordsize="9450,3983" o:gfxdata="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zJZdg&#10;2gAAAAoBAAAPAAAAAAAAAAEAIAAAACIAAABkcnMvZG93bnJldi54bWxQSwECFAAUAAAACACHTuJA&#10;8oBBvgMDAACwCAAADgAAAAAAAAABACAAAAApAQAAZHJzL2Uyb0RvYy54bWxQSwUGAAAAAAYABgBZ&#10;AQAAngYAAAAA&#10;">
                <o:lock v:ext="edit" aspectratio="f"/>
                <v:shape id="文本框 45" o:spid="_x0000_s1026" o:spt="202" type="#_x0000_t202" style="position:absolute;left:10248;top:111982;height:3969;width:4481;" fillcolor="#FFFFFF" filled="t" stroked="f" coordsize="21600,21600" o:gfxdata="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WEfZ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289ECC63">
                        <w:pPr>
                          <w:spacing w:line="360" w:lineRule="auto"/>
                          <w:rPr>
                            <w:rFonts w:ascii="楷体" w:hAnsi="楷体" w:eastAsia="楷体" w:cs="楷体"/>
                            <w:sz w:val="24"/>
                          </w:rPr>
                        </w:pPr>
                        <w:r>
                          <w:rPr>
                            <w:rFonts w:hint="eastAsia" w:ascii="楷体" w:hAnsi="楷体" w:eastAsia="楷体" w:cs="楷体"/>
                            <w:sz w:val="24"/>
                          </w:rPr>
                          <w:t>甲方（盖章）：</w:t>
                        </w:r>
                      </w:p>
                      <w:p w14:paraId="433D003B">
                        <w:pPr>
                          <w:spacing w:line="360" w:lineRule="auto"/>
                          <w:rPr>
                            <w:rFonts w:ascii="楷体" w:hAnsi="楷体" w:eastAsia="楷体" w:cs="楷体"/>
                            <w:sz w:val="24"/>
                          </w:rPr>
                        </w:pPr>
                        <w:r>
                          <w:rPr>
                            <w:rFonts w:hint="eastAsia" w:ascii="楷体" w:hAnsi="楷体" w:eastAsia="楷体" w:cs="楷体"/>
                            <w:sz w:val="24"/>
                          </w:rPr>
                          <w:t>法定代表人：</w:t>
                        </w:r>
                      </w:p>
                      <w:p w14:paraId="3FFE9BD6">
                        <w:pPr>
                          <w:spacing w:line="360" w:lineRule="auto"/>
                          <w:rPr>
                            <w:rFonts w:ascii="楷体" w:hAnsi="楷体" w:eastAsia="楷体" w:cs="楷体"/>
                            <w:sz w:val="24"/>
                          </w:rPr>
                        </w:pPr>
                        <w:r>
                          <w:rPr>
                            <w:rFonts w:hint="eastAsia" w:ascii="楷体" w:hAnsi="楷体" w:eastAsia="楷体" w:cs="楷体"/>
                            <w:sz w:val="24"/>
                          </w:rPr>
                          <w:t>或</w:t>
                        </w:r>
                      </w:p>
                      <w:p w14:paraId="76A4E460">
                        <w:pPr>
                          <w:rPr>
                            <w:rFonts w:ascii="楷体" w:hAnsi="楷体" w:eastAsia="楷体" w:cs="楷体"/>
                            <w:sz w:val="24"/>
                          </w:rPr>
                        </w:pPr>
                        <w:r>
                          <w:rPr>
                            <w:rFonts w:hint="eastAsia" w:ascii="楷体" w:hAnsi="楷体" w:eastAsia="楷体" w:cs="楷体"/>
                            <w:sz w:val="24"/>
                          </w:rPr>
                          <w:t>委托代理人：</w:t>
                        </w:r>
                      </w:p>
                      <w:p w14:paraId="29B525DD">
                        <w:pPr>
                          <w:jc w:val="right"/>
                          <w:rPr>
                            <w:rFonts w:ascii="楷体" w:hAnsi="楷体" w:eastAsia="楷体" w:cs="楷体"/>
                            <w:sz w:val="24"/>
                          </w:rPr>
                        </w:pPr>
                      </w:p>
                      <w:p w14:paraId="5B4B7677">
                        <w:pPr>
                          <w:ind w:right="480"/>
                          <w:rPr>
                            <w:rFonts w:ascii="楷体" w:hAnsi="楷体" w:eastAsia="楷体" w:cs="楷体"/>
                            <w:sz w:val="24"/>
                          </w:rPr>
                        </w:pPr>
                        <w:r>
                          <w:rPr>
                            <w:rFonts w:hint="eastAsia" w:ascii="楷体" w:hAnsi="楷体" w:eastAsia="楷体" w:cs="楷体"/>
                            <w:sz w:val="24"/>
                          </w:rPr>
                          <w:t>日期：    年  月  日</w:t>
                        </w:r>
                      </w:p>
                      <w:p w14:paraId="0F879B64">
                        <w:pPr>
                          <w:jc w:val="right"/>
                          <w:rPr>
                            <w:rFonts w:ascii="楷体" w:hAnsi="楷体" w:eastAsia="楷体" w:cs="楷体"/>
                            <w:sz w:val="24"/>
                          </w:rPr>
                        </w:pPr>
                      </w:p>
                    </w:txbxContent>
                  </v:textbox>
                </v:shape>
                <v:shape id="文本框 46" o:spid="_x0000_s1026" o:spt="202" type="#_x0000_t202" style="position:absolute;left:14868;top:111968;height:3905;width:4830;" fillcolor="#FFFFFF" filled="t" stroked="f" coordsize="21600,21600" o:gfxdata="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FOJC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7F170353">
                        <w:pPr>
                          <w:spacing w:line="360" w:lineRule="auto"/>
                          <w:rPr>
                            <w:rFonts w:ascii="楷体" w:hAnsi="楷体" w:eastAsia="楷体" w:cs="楷体"/>
                            <w:sz w:val="24"/>
                          </w:rPr>
                        </w:pPr>
                        <w:r>
                          <w:rPr>
                            <w:rFonts w:hint="eastAsia" w:ascii="楷体" w:hAnsi="楷体" w:eastAsia="楷体" w:cs="楷体"/>
                            <w:sz w:val="24"/>
                          </w:rPr>
                          <w:t xml:space="preserve">乙方（盖章）： </w:t>
                        </w:r>
                      </w:p>
                      <w:p w14:paraId="615BF4CB">
                        <w:pPr>
                          <w:spacing w:line="360" w:lineRule="auto"/>
                          <w:rPr>
                            <w:rFonts w:ascii="楷体" w:hAnsi="楷体" w:eastAsia="楷体" w:cs="楷体"/>
                            <w:sz w:val="24"/>
                          </w:rPr>
                        </w:pPr>
                        <w:r>
                          <w:rPr>
                            <w:rFonts w:hint="eastAsia" w:ascii="楷体" w:hAnsi="楷体" w:eastAsia="楷体" w:cs="楷体"/>
                            <w:sz w:val="24"/>
                          </w:rPr>
                          <w:t>法定代表人：</w:t>
                        </w:r>
                      </w:p>
                      <w:p w14:paraId="1F9767BC">
                        <w:pPr>
                          <w:spacing w:line="360" w:lineRule="auto"/>
                          <w:rPr>
                            <w:rFonts w:ascii="楷体" w:hAnsi="楷体" w:eastAsia="楷体" w:cs="楷体"/>
                            <w:sz w:val="24"/>
                          </w:rPr>
                        </w:pPr>
                        <w:r>
                          <w:rPr>
                            <w:rFonts w:hint="eastAsia" w:ascii="楷体" w:hAnsi="楷体" w:eastAsia="楷体" w:cs="楷体"/>
                            <w:sz w:val="24"/>
                          </w:rPr>
                          <w:t>或</w:t>
                        </w:r>
                      </w:p>
                      <w:p w14:paraId="26803AEB">
                        <w:pPr>
                          <w:rPr>
                            <w:rFonts w:ascii="楷体" w:hAnsi="楷体" w:eastAsia="楷体" w:cs="楷体"/>
                            <w:sz w:val="24"/>
                          </w:rPr>
                        </w:pPr>
                        <w:r>
                          <w:rPr>
                            <w:rFonts w:hint="eastAsia" w:ascii="楷体" w:hAnsi="楷体" w:eastAsia="楷体" w:cs="楷体"/>
                            <w:sz w:val="24"/>
                          </w:rPr>
                          <w:t>委托代理人：</w:t>
                        </w:r>
                      </w:p>
                      <w:p w14:paraId="7A468423">
                        <w:pPr>
                          <w:jc w:val="right"/>
                          <w:rPr>
                            <w:rFonts w:ascii="楷体" w:hAnsi="楷体" w:eastAsia="楷体" w:cs="楷体"/>
                            <w:sz w:val="24"/>
                          </w:rPr>
                        </w:pPr>
                      </w:p>
                      <w:p w14:paraId="308971FB">
                        <w:pPr>
                          <w:jc w:val="left"/>
                          <w:rPr>
                            <w:rFonts w:ascii="楷体" w:hAnsi="楷体" w:eastAsia="楷体" w:cs="楷体"/>
                            <w:sz w:val="24"/>
                          </w:rPr>
                        </w:pPr>
                        <w:r>
                          <w:rPr>
                            <w:rFonts w:hint="eastAsia" w:ascii="楷体" w:hAnsi="楷体" w:eastAsia="楷体" w:cs="楷体"/>
                            <w:sz w:val="24"/>
                          </w:rPr>
                          <w:t>日期：    年   月  日</w:t>
                        </w:r>
                      </w:p>
                      <w:p w14:paraId="76DB1B54">
                        <w:pPr>
                          <w:jc w:val="right"/>
                          <w:rPr>
                            <w:rFonts w:ascii="楷体" w:hAnsi="楷体" w:eastAsia="楷体" w:cs="楷体"/>
                            <w:sz w:val="24"/>
                          </w:rPr>
                        </w:pPr>
                      </w:p>
                    </w:txbxContent>
                  </v:textbox>
                </v:shape>
              </v:group>
            </w:pict>
          </mc:Fallback>
        </mc:AlternateContent>
      </w:r>
    </w:p>
    <w:p w14:paraId="1D6710C3">
      <w:pPr>
        <w:adjustRightInd w:val="0"/>
        <w:snapToGrid w:val="0"/>
        <w:spacing w:line="360" w:lineRule="auto"/>
        <w:jc w:val="center"/>
        <w:rPr>
          <w:rFonts w:ascii="宋体" w:hAnsi="宋体" w:cs="宋体"/>
          <w:b/>
          <w:color w:val="000000"/>
          <w:kern w:val="0"/>
          <w:sz w:val="28"/>
          <w:szCs w:val="28"/>
        </w:rPr>
      </w:pPr>
    </w:p>
    <w:p w14:paraId="0EE08942"/>
    <w:p w14:paraId="56E3ACBA">
      <w:pPr>
        <w:pStyle w:val="4"/>
      </w:pPr>
    </w:p>
    <w:p w14:paraId="62465CA5">
      <w:pPr>
        <w:spacing w:line="312" w:lineRule="auto"/>
        <w:jc w:val="center"/>
        <w:rPr>
          <w:rFonts w:ascii="宋体" w:hAnsi="宋体"/>
          <w:b/>
          <w:bCs/>
          <w:sz w:val="52"/>
          <w:szCs w:val="52"/>
        </w:rPr>
      </w:pPr>
    </w:p>
    <w:p w14:paraId="5EE80662">
      <w:pPr>
        <w:spacing w:line="380" w:lineRule="atLeast"/>
        <w:jc w:val="center"/>
        <w:rPr>
          <w:rFonts w:ascii="宋体" w:hAnsi="宋体"/>
          <w:b/>
          <w:bCs/>
          <w:sz w:val="52"/>
          <w:szCs w:val="52"/>
        </w:rPr>
      </w:pPr>
    </w:p>
    <w:p w14:paraId="619395EF">
      <w:pPr>
        <w:pStyle w:val="20"/>
        <w:spacing w:line="360" w:lineRule="auto"/>
        <w:ind w:firstLine="0" w:firstLineChars="0"/>
        <w:jc w:val="center"/>
        <w:rPr>
          <w:rFonts w:ascii="楷体" w:hAnsi="楷体" w:eastAsia="楷体" w:cs="楷体"/>
          <w:sz w:val="24"/>
          <w:szCs w:val="24"/>
        </w:rPr>
      </w:pPr>
    </w:p>
    <w:p w14:paraId="77495D3C">
      <w:pPr>
        <w:rPr>
          <w:rFonts w:ascii="楷体" w:hAnsi="楷体" w:eastAsia="楷体" w:cs="楷体"/>
        </w:rPr>
      </w:pPr>
    </w:p>
    <w:p w14:paraId="4503E21D">
      <w:pPr>
        <w:rPr>
          <w:rFonts w:ascii="楷体" w:hAnsi="楷体" w:eastAsia="楷体" w:cs="楷体"/>
        </w:rPr>
      </w:pPr>
    </w:p>
    <w:p w14:paraId="74B00E14">
      <w:pPr>
        <w:rPr>
          <w:rFonts w:ascii="楷体" w:hAnsi="楷体" w:eastAsia="楷体" w:cs="楷体"/>
        </w:rPr>
      </w:pPr>
    </w:p>
    <w:p w14:paraId="23590205">
      <w:pPr>
        <w:pStyle w:val="2"/>
        <w:rPr>
          <w:rFonts w:ascii="楷体" w:hAnsi="楷体" w:eastAsia="楷体" w:cs="楷体"/>
        </w:rPr>
      </w:pPr>
    </w:p>
    <w:p w14:paraId="2A9CF87D">
      <w:pPr>
        <w:pStyle w:val="3"/>
      </w:pPr>
    </w:p>
    <w:p w14:paraId="7D44C6EA">
      <w:pPr>
        <w:rPr>
          <w:rFonts w:ascii="楷体" w:hAnsi="楷体" w:eastAsia="楷体" w:cs="楷体"/>
        </w:rPr>
      </w:pPr>
    </w:p>
    <w:p w14:paraId="631F433F">
      <w:pPr>
        <w:rPr>
          <w:rFonts w:ascii="楷体" w:hAnsi="楷体" w:eastAsia="楷体" w:cs="楷体"/>
        </w:rPr>
      </w:pPr>
    </w:p>
    <w:p w14:paraId="773043F9">
      <w:pPr>
        <w:rPr>
          <w:rFonts w:ascii="楷体" w:hAnsi="楷体" w:eastAsia="楷体" w:cs="楷体"/>
        </w:rPr>
      </w:pPr>
    </w:p>
    <w:p w14:paraId="0255D726">
      <w:pPr>
        <w:rPr>
          <w:rFonts w:ascii="楷体" w:hAnsi="楷体" w:eastAsia="楷体" w:cs="楷体"/>
        </w:rPr>
      </w:pPr>
    </w:p>
    <w:p w14:paraId="6CA3B68A"/>
    <w:p w14:paraId="4775F620"/>
    <w:p w14:paraId="2EF6B59E"/>
    <w:p w14:paraId="19EDA8D0">
      <w:bookmarkStart w:id="348" w:name="_Toc27411"/>
    </w:p>
    <w:p w14:paraId="338868B4">
      <w:pPr>
        <w:pStyle w:val="4"/>
        <w:adjustRightInd w:val="0"/>
        <w:snapToGrid w:val="0"/>
        <w:spacing w:before="3600" w:beforeLines="1500" w:after="3600" w:afterLines="1500" w:line="240" w:lineRule="auto"/>
        <w:jc w:val="center"/>
        <w:rPr>
          <w:rFonts w:ascii="楷体" w:hAnsi="楷体" w:eastAsia="楷体" w:cs="楷体"/>
        </w:rPr>
      </w:pPr>
    </w:p>
    <w:p w14:paraId="6B62F430">
      <w:pPr>
        <w:pStyle w:val="4"/>
        <w:adjustRightInd w:val="0"/>
        <w:snapToGrid w:val="0"/>
        <w:spacing w:before="3600" w:beforeLines="1500" w:after="3600" w:afterLines="1500" w:line="240" w:lineRule="auto"/>
        <w:jc w:val="center"/>
        <w:rPr>
          <w:rFonts w:ascii="楷体" w:hAnsi="楷体" w:eastAsia="楷体" w:cs="楷体"/>
        </w:rPr>
      </w:pPr>
      <w:r>
        <w:rPr>
          <w:rFonts w:hint="eastAsia" w:ascii="楷体" w:hAnsi="楷体" w:eastAsia="楷体" w:cs="楷体"/>
        </w:rPr>
        <w:t>第六章投标文件</w:t>
      </w:r>
      <w:bookmarkEnd w:id="328"/>
      <w:bookmarkEnd w:id="329"/>
      <w:bookmarkEnd w:id="330"/>
      <w:bookmarkEnd w:id="331"/>
      <w:bookmarkEnd w:id="332"/>
      <w:r>
        <w:rPr>
          <w:rFonts w:hint="eastAsia" w:ascii="楷体" w:hAnsi="楷体" w:eastAsia="楷体" w:cs="楷体"/>
        </w:rPr>
        <w:t>格式</w:t>
      </w:r>
      <w:bookmarkEnd w:id="333"/>
      <w:bookmarkEnd w:id="334"/>
      <w:bookmarkEnd w:id="335"/>
      <w:bookmarkEnd w:id="336"/>
      <w:bookmarkEnd w:id="337"/>
      <w:bookmarkEnd w:id="338"/>
      <w:bookmarkEnd w:id="339"/>
      <w:bookmarkEnd w:id="340"/>
      <w:bookmarkEnd w:id="341"/>
      <w:bookmarkEnd w:id="348"/>
    </w:p>
    <w:p w14:paraId="6CC88DDA">
      <w:pPr>
        <w:jc w:val="center"/>
        <w:rPr>
          <w:rFonts w:ascii="楷体" w:hAnsi="楷体" w:eastAsia="楷体" w:cs="楷体"/>
        </w:rPr>
      </w:pPr>
      <w:r>
        <w:rPr>
          <w:rFonts w:hint="eastAsia" w:ascii="楷体" w:hAnsi="楷体" w:eastAsia="楷体" w:cs="楷体"/>
        </w:rPr>
        <w:br w:type="page"/>
      </w:r>
      <w:bookmarkStart w:id="349" w:name="_Toc183316723"/>
      <w:bookmarkStart w:id="350" w:name="_Toc196294633"/>
      <w:bookmarkStart w:id="351" w:name="_Toc182886663"/>
    </w:p>
    <w:p w14:paraId="769496DF">
      <w:pPr>
        <w:jc w:val="center"/>
        <w:rPr>
          <w:rFonts w:ascii="楷体" w:hAnsi="楷体" w:eastAsia="楷体" w:cs="楷体"/>
          <w:sz w:val="57"/>
        </w:rPr>
      </w:pPr>
    </w:p>
    <w:p w14:paraId="12B406AA">
      <w:pPr>
        <w:pStyle w:val="2"/>
        <w:rPr>
          <w:rFonts w:ascii="楷体" w:hAnsi="楷体" w:eastAsia="楷体" w:cs="楷体"/>
        </w:rPr>
      </w:pPr>
    </w:p>
    <w:p w14:paraId="3FCFC85D">
      <w:pPr>
        <w:pStyle w:val="2"/>
        <w:rPr>
          <w:rFonts w:ascii="楷体" w:hAnsi="楷体" w:eastAsia="楷体" w:cs="楷体"/>
        </w:rPr>
      </w:pPr>
    </w:p>
    <w:p w14:paraId="755C3CD2">
      <w:pPr>
        <w:jc w:val="center"/>
        <w:rPr>
          <w:rFonts w:ascii="楷体" w:hAnsi="楷体" w:eastAsia="楷体" w:cs="楷体"/>
          <w:sz w:val="57"/>
        </w:rPr>
      </w:pPr>
    </w:p>
    <w:p w14:paraId="5D7AB921">
      <w:pPr>
        <w:jc w:val="center"/>
        <w:rPr>
          <w:rFonts w:ascii="楷体" w:hAnsi="楷体" w:eastAsia="楷体" w:cs="楷体"/>
          <w:b/>
          <w:bCs/>
          <w:sz w:val="57"/>
        </w:rPr>
      </w:pPr>
      <w:r>
        <w:rPr>
          <w:rFonts w:hint="eastAsia" w:ascii="楷体" w:hAnsi="楷体" w:eastAsia="楷体" w:cs="楷体"/>
          <w:b/>
          <w:bCs/>
          <w:sz w:val="57"/>
        </w:rPr>
        <w:t>投标文件</w:t>
      </w:r>
    </w:p>
    <w:p w14:paraId="3A082BEA">
      <w:pPr>
        <w:jc w:val="center"/>
        <w:rPr>
          <w:rFonts w:ascii="楷体" w:hAnsi="楷体" w:eastAsia="楷体" w:cs="楷体"/>
          <w:sz w:val="57"/>
        </w:rPr>
      </w:pPr>
    </w:p>
    <w:p w14:paraId="2E850235">
      <w:pPr>
        <w:jc w:val="center"/>
        <w:rPr>
          <w:rFonts w:ascii="楷体" w:hAnsi="楷体" w:eastAsia="楷体" w:cs="楷体"/>
          <w:sz w:val="47"/>
        </w:rPr>
      </w:pPr>
      <w:r>
        <w:rPr>
          <w:rFonts w:hint="eastAsia" w:ascii="楷体" w:hAnsi="楷体" w:eastAsia="楷体" w:cs="楷体"/>
          <w:sz w:val="47"/>
        </w:rPr>
        <w:t>（正本）</w:t>
      </w:r>
    </w:p>
    <w:p w14:paraId="3C8661D3">
      <w:pPr>
        <w:rPr>
          <w:rFonts w:ascii="楷体" w:hAnsi="楷体" w:eastAsia="楷体" w:cs="楷体"/>
        </w:rPr>
      </w:pPr>
    </w:p>
    <w:p w14:paraId="3935C6E3">
      <w:pPr>
        <w:rPr>
          <w:rFonts w:ascii="楷体" w:hAnsi="楷体" w:eastAsia="楷体" w:cs="楷体"/>
        </w:rPr>
      </w:pPr>
    </w:p>
    <w:p w14:paraId="16868F64">
      <w:pPr>
        <w:rPr>
          <w:rFonts w:ascii="楷体" w:hAnsi="楷体" w:eastAsia="楷体" w:cs="楷体"/>
        </w:rPr>
      </w:pPr>
    </w:p>
    <w:p w14:paraId="6F81DA30">
      <w:pPr>
        <w:rPr>
          <w:rFonts w:ascii="楷体" w:hAnsi="楷体" w:eastAsia="楷体" w:cs="楷体"/>
        </w:rPr>
      </w:pPr>
    </w:p>
    <w:p w14:paraId="684C0883">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项目名称： </w:t>
      </w:r>
    </w:p>
    <w:p w14:paraId="0C2B59DD">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项目编号： </w:t>
      </w:r>
    </w:p>
    <w:p w14:paraId="20485586">
      <w:pPr>
        <w:adjustRightInd w:val="0"/>
        <w:snapToGrid w:val="0"/>
        <w:spacing w:line="360" w:lineRule="auto"/>
        <w:rPr>
          <w:rFonts w:ascii="楷体" w:hAnsi="楷体" w:eastAsia="楷体" w:cs="楷体"/>
          <w:sz w:val="28"/>
          <w:szCs w:val="28"/>
        </w:rPr>
      </w:pPr>
    </w:p>
    <w:p w14:paraId="48225A0F">
      <w:pPr>
        <w:adjustRightInd w:val="0"/>
        <w:snapToGrid w:val="0"/>
        <w:spacing w:line="360" w:lineRule="auto"/>
        <w:rPr>
          <w:rFonts w:ascii="楷体" w:hAnsi="楷体" w:eastAsia="楷体" w:cs="楷体"/>
          <w:sz w:val="28"/>
          <w:szCs w:val="28"/>
        </w:rPr>
      </w:pPr>
    </w:p>
    <w:p w14:paraId="08FEBF3A">
      <w:pPr>
        <w:adjustRightInd w:val="0"/>
        <w:snapToGrid w:val="0"/>
        <w:spacing w:line="360" w:lineRule="auto"/>
        <w:rPr>
          <w:rFonts w:ascii="楷体" w:hAnsi="楷体" w:eastAsia="楷体" w:cs="楷体"/>
          <w:sz w:val="28"/>
          <w:szCs w:val="28"/>
        </w:rPr>
      </w:pPr>
    </w:p>
    <w:p w14:paraId="7AC331AA">
      <w:pPr>
        <w:adjustRightInd w:val="0"/>
        <w:snapToGrid w:val="0"/>
        <w:spacing w:line="360" w:lineRule="auto"/>
        <w:rPr>
          <w:rFonts w:ascii="楷体" w:hAnsi="楷体" w:eastAsia="楷体" w:cs="楷体"/>
          <w:sz w:val="28"/>
          <w:szCs w:val="28"/>
        </w:rPr>
      </w:pPr>
    </w:p>
    <w:p w14:paraId="11AAB874">
      <w:pPr>
        <w:pStyle w:val="2"/>
        <w:rPr>
          <w:rFonts w:ascii="楷体" w:hAnsi="楷体" w:eastAsia="楷体" w:cs="楷体"/>
        </w:rPr>
      </w:pPr>
    </w:p>
    <w:p w14:paraId="1E69C4AE">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投标供应商（服务商）名称（盖章）：                </w:t>
      </w:r>
    </w:p>
    <w:p w14:paraId="7F30FF2D">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日期：年月日</w:t>
      </w:r>
    </w:p>
    <w:p w14:paraId="43C67B3B">
      <w:pPr>
        <w:adjustRightInd w:val="0"/>
        <w:snapToGrid w:val="0"/>
        <w:spacing w:line="360" w:lineRule="auto"/>
        <w:rPr>
          <w:rFonts w:ascii="楷体" w:hAnsi="楷体" w:eastAsia="楷体" w:cs="楷体"/>
          <w:sz w:val="28"/>
          <w:szCs w:val="28"/>
        </w:rPr>
      </w:pPr>
    </w:p>
    <w:p w14:paraId="5578F80B">
      <w:pPr>
        <w:adjustRightInd w:val="0"/>
        <w:snapToGrid w:val="0"/>
        <w:spacing w:line="360" w:lineRule="auto"/>
        <w:rPr>
          <w:rFonts w:ascii="楷体" w:hAnsi="楷体" w:eastAsia="楷体" w:cs="楷体"/>
          <w:sz w:val="28"/>
          <w:szCs w:val="28"/>
        </w:rPr>
      </w:pPr>
    </w:p>
    <w:p w14:paraId="56AD2924">
      <w:pPr>
        <w:adjustRightInd w:val="0"/>
        <w:snapToGrid w:val="0"/>
        <w:spacing w:line="360" w:lineRule="auto"/>
        <w:rPr>
          <w:rFonts w:ascii="楷体" w:hAnsi="楷体" w:eastAsia="楷体" w:cs="楷体"/>
          <w:sz w:val="28"/>
          <w:szCs w:val="28"/>
        </w:rPr>
      </w:pPr>
    </w:p>
    <w:p w14:paraId="4A7D2CD5">
      <w:pPr>
        <w:adjustRightInd w:val="0"/>
        <w:snapToGrid w:val="0"/>
        <w:spacing w:line="360" w:lineRule="auto"/>
        <w:rPr>
          <w:rFonts w:ascii="楷体" w:hAnsi="楷体" w:eastAsia="楷体" w:cs="楷体"/>
          <w:sz w:val="28"/>
          <w:szCs w:val="28"/>
        </w:rPr>
      </w:pPr>
    </w:p>
    <w:bookmarkEnd w:id="349"/>
    <w:bookmarkEnd w:id="350"/>
    <w:bookmarkEnd w:id="351"/>
    <w:p w14:paraId="76FA0FC9">
      <w:pPr>
        <w:spacing w:before="72" w:after="72" w:line="400" w:lineRule="exact"/>
        <w:rPr>
          <w:rFonts w:ascii="楷体" w:hAnsi="楷体" w:eastAsia="楷体" w:cs="楷体"/>
          <w:b/>
          <w:sz w:val="24"/>
        </w:rPr>
      </w:pPr>
      <w:bookmarkStart w:id="352" w:name="_Toc26694"/>
    </w:p>
    <w:p w14:paraId="72925673">
      <w:pPr>
        <w:spacing w:before="72" w:after="72" w:line="400" w:lineRule="exact"/>
        <w:rPr>
          <w:rFonts w:ascii="楷体" w:hAnsi="楷体" w:eastAsia="楷体" w:cs="楷体"/>
          <w:b/>
          <w:sz w:val="24"/>
        </w:rPr>
      </w:pPr>
    </w:p>
    <w:p w14:paraId="3E256170">
      <w:pPr>
        <w:spacing w:before="72" w:after="72" w:line="400" w:lineRule="exact"/>
        <w:rPr>
          <w:rFonts w:ascii="楷体" w:hAnsi="楷体" w:eastAsia="楷体" w:cs="楷体"/>
          <w:b/>
          <w:sz w:val="24"/>
        </w:rPr>
      </w:pPr>
    </w:p>
    <w:p w14:paraId="269200B9">
      <w:pPr>
        <w:spacing w:before="72" w:after="72" w:line="400" w:lineRule="exact"/>
        <w:rPr>
          <w:rFonts w:ascii="楷体" w:hAnsi="楷体" w:eastAsia="楷体" w:cs="楷体"/>
          <w:b/>
          <w:sz w:val="24"/>
        </w:rPr>
      </w:pPr>
    </w:p>
    <w:p w14:paraId="0CF82498">
      <w:pPr>
        <w:spacing w:before="72" w:after="72" w:line="400" w:lineRule="exact"/>
        <w:rPr>
          <w:rFonts w:ascii="楷体" w:hAnsi="楷体" w:eastAsia="楷体" w:cs="楷体"/>
          <w:b/>
          <w:sz w:val="24"/>
        </w:rPr>
      </w:pPr>
    </w:p>
    <w:p w14:paraId="34CD14E0">
      <w:pPr>
        <w:spacing w:before="72" w:after="72" w:line="400" w:lineRule="exact"/>
        <w:rPr>
          <w:rFonts w:ascii="楷体" w:hAnsi="楷体" w:eastAsia="楷体" w:cs="楷体"/>
          <w:b/>
          <w:sz w:val="24"/>
        </w:rPr>
      </w:pPr>
    </w:p>
    <w:p w14:paraId="4618CEF2">
      <w:pPr>
        <w:spacing w:before="72" w:after="72" w:line="400" w:lineRule="exact"/>
        <w:rPr>
          <w:rFonts w:ascii="楷体" w:hAnsi="楷体" w:eastAsia="楷体" w:cs="楷体"/>
          <w:b/>
          <w:sz w:val="24"/>
        </w:rPr>
      </w:pPr>
    </w:p>
    <w:p w14:paraId="128D15E3">
      <w:pPr>
        <w:spacing w:before="72" w:after="72" w:line="400" w:lineRule="exact"/>
        <w:rPr>
          <w:rFonts w:ascii="楷体" w:hAnsi="楷体" w:eastAsia="楷体" w:cs="楷体"/>
          <w:b/>
          <w:sz w:val="24"/>
        </w:rPr>
      </w:pPr>
    </w:p>
    <w:p w14:paraId="2FA698F0">
      <w:pPr>
        <w:spacing w:before="72" w:after="72" w:line="400" w:lineRule="exact"/>
        <w:rPr>
          <w:rFonts w:ascii="楷体" w:hAnsi="楷体" w:eastAsia="楷体" w:cs="楷体"/>
          <w:b/>
          <w:sz w:val="24"/>
        </w:rPr>
      </w:pPr>
    </w:p>
    <w:p w14:paraId="10ADCBCC">
      <w:pPr>
        <w:spacing w:before="72" w:after="72" w:line="400" w:lineRule="exact"/>
        <w:rPr>
          <w:rFonts w:ascii="楷体" w:hAnsi="楷体" w:eastAsia="楷体" w:cs="楷体"/>
          <w:b/>
          <w:sz w:val="24"/>
        </w:rPr>
      </w:pPr>
    </w:p>
    <w:p w14:paraId="2BBDAAA7">
      <w:pPr>
        <w:pStyle w:val="2"/>
        <w:rPr>
          <w:rFonts w:ascii="楷体" w:hAnsi="楷体" w:eastAsia="楷体" w:cs="楷体"/>
          <w:b/>
          <w:sz w:val="24"/>
        </w:rPr>
      </w:pPr>
    </w:p>
    <w:p w14:paraId="1F2CDBE8">
      <w:pPr>
        <w:pStyle w:val="3"/>
        <w:rPr>
          <w:rFonts w:ascii="楷体" w:hAnsi="楷体" w:eastAsia="楷体" w:cs="楷体"/>
        </w:rPr>
      </w:pPr>
    </w:p>
    <w:p w14:paraId="13A07635">
      <w:pPr>
        <w:spacing w:before="72" w:after="72" w:line="400" w:lineRule="exact"/>
        <w:rPr>
          <w:rFonts w:ascii="楷体" w:hAnsi="楷体" w:eastAsia="楷体" w:cs="楷体"/>
          <w:b/>
          <w:sz w:val="24"/>
        </w:rPr>
      </w:pPr>
    </w:p>
    <w:p w14:paraId="5474D975">
      <w:pPr>
        <w:spacing w:before="72" w:after="72" w:line="400" w:lineRule="exact"/>
        <w:rPr>
          <w:rFonts w:ascii="楷体" w:hAnsi="楷体" w:eastAsia="楷体" w:cs="楷体"/>
          <w:b/>
          <w:sz w:val="24"/>
        </w:rPr>
      </w:pPr>
    </w:p>
    <w:p w14:paraId="6187EF86">
      <w:pPr>
        <w:rPr>
          <w:rFonts w:ascii="楷体" w:hAnsi="楷体" w:eastAsia="楷体" w:cs="楷体"/>
        </w:rPr>
      </w:pPr>
    </w:p>
    <w:p w14:paraId="4A6F32C9">
      <w:pPr>
        <w:rPr>
          <w:rFonts w:ascii="楷体" w:hAnsi="楷体" w:eastAsia="楷体" w:cs="楷体"/>
        </w:rPr>
      </w:pPr>
    </w:p>
    <w:p w14:paraId="1AE22851">
      <w:pPr>
        <w:tabs>
          <w:tab w:val="left" w:pos="720"/>
        </w:tabs>
        <w:jc w:val="center"/>
        <w:outlineLvl w:val="1"/>
        <w:rPr>
          <w:rFonts w:ascii="楷体" w:hAnsi="楷体" w:eastAsia="楷体" w:cs="楷体"/>
          <w:b/>
          <w:bCs/>
          <w:sz w:val="44"/>
          <w:szCs w:val="44"/>
        </w:rPr>
      </w:pPr>
      <w:bookmarkStart w:id="353" w:name="_Toc7080"/>
      <w:bookmarkStart w:id="354" w:name="_Toc25668"/>
      <w:bookmarkStart w:id="355" w:name="_Toc17761"/>
      <w:bookmarkStart w:id="356" w:name="_Toc3326"/>
      <w:bookmarkStart w:id="357" w:name="_Toc13566"/>
      <w:r>
        <w:rPr>
          <w:rFonts w:hint="eastAsia" w:ascii="楷体" w:hAnsi="楷体" w:eastAsia="楷体" w:cs="楷体"/>
          <w:b/>
          <w:bCs/>
          <w:sz w:val="44"/>
          <w:szCs w:val="44"/>
        </w:rPr>
        <w:t>第一部分自查表</w:t>
      </w:r>
      <w:bookmarkEnd w:id="353"/>
      <w:bookmarkEnd w:id="354"/>
      <w:bookmarkEnd w:id="355"/>
      <w:bookmarkEnd w:id="356"/>
      <w:bookmarkEnd w:id="357"/>
    </w:p>
    <w:p w14:paraId="3A53DB18">
      <w:pPr>
        <w:widowControl/>
        <w:jc w:val="left"/>
        <w:rPr>
          <w:rFonts w:ascii="楷体" w:hAnsi="楷体" w:eastAsia="楷体" w:cs="楷体"/>
          <w:b/>
          <w:bCs/>
          <w:sz w:val="32"/>
          <w:szCs w:val="32"/>
        </w:rPr>
      </w:pPr>
      <w:r>
        <w:rPr>
          <w:rFonts w:hint="eastAsia" w:ascii="楷体" w:hAnsi="楷体" w:eastAsia="楷体" w:cs="楷体"/>
        </w:rPr>
        <w:br w:type="page"/>
      </w:r>
      <w:bookmarkStart w:id="358" w:name="_Toc1771"/>
    </w:p>
    <w:p w14:paraId="19C693BD">
      <w:pPr>
        <w:pStyle w:val="6"/>
        <w:numPr>
          <w:ilvl w:val="0"/>
          <w:numId w:val="63"/>
        </w:numPr>
        <w:spacing w:before="0" w:after="0" w:line="360" w:lineRule="auto"/>
        <w:jc w:val="center"/>
        <w:rPr>
          <w:rFonts w:ascii="楷体" w:hAnsi="楷体" w:eastAsia="楷体" w:cs="楷体"/>
        </w:rPr>
      </w:pPr>
      <w:bookmarkStart w:id="359" w:name="_Toc3527"/>
      <w:bookmarkStart w:id="360" w:name="_Toc20969"/>
      <w:bookmarkStart w:id="361" w:name="_Toc19536"/>
      <w:bookmarkStart w:id="362" w:name="_Toc12863"/>
      <w:bookmarkStart w:id="363" w:name="_Toc29231"/>
      <w:r>
        <w:rPr>
          <w:rFonts w:hint="eastAsia" w:ascii="楷体" w:hAnsi="楷体" w:eastAsia="楷体" w:cs="楷体"/>
        </w:rPr>
        <w:t>资格性审查及符合性审查自查表</w:t>
      </w:r>
      <w:bookmarkEnd w:id="352"/>
      <w:bookmarkEnd w:id="358"/>
      <w:bookmarkEnd w:id="359"/>
      <w:bookmarkEnd w:id="360"/>
      <w:bookmarkEnd w:id="361"/>
      <w:bookmarkEnd w:id="362"/>
      <w:bookmarkEnd w:id="363"/>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4DF4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312FFC6E">
            <w:pPr>
              <w:adjustRightInd w:val="0"/>
              <w:snapToGrid w:val="0"/>
              <w:ind w:left="40" w:leftChars="19"/>
              <w:jc w:val="center"/>
              <w:rPr>
                <w:rFonts w:ascii="楷体" w:hAnsi="楷体" w:eastAsia="楷体" w:cs="楷体"/>
                <w:b/>
                <w:bCs/>
                <w:sz w:val="24"/>
              </w:rPr>
            </w:pPr>
            <w:r>
              <w:rPr>
                <w:rFonts w:hint="eastAsia" w:ascii="楷体" w:hAnsi="楷体" w:eastAsia="楷体" w:cs="楷体"/>
                <w:b/>
                <w:bCs/>
                <w:sz w:val="24"/>
              </w:rPr>
              <w:t>评审内容</w:t>
            </w:r>
          </w:p>
        </w:tc>
        <w:tc>
          <w:tcPr>
            <w:tcW w:w="1649" w:type="pct"/>
            <w:shd w:val="clear" w:color="auto" w:fill="EEECE1"/>
            <w:vAlign w:val="center"/>
          </w:tcPr>
          <w:p w14:paraId="1685A935">
            <w:pPr>
              <w:adjustRightInd w:val="0"/>
              <w:snapToGrid w:val="0"/>
              <w:ind w:left="40" w:leftChars="19"/>
              <w:jc w:val="center"/>
              <w:rPr>
                <w:rFonts w:ascii="楷体" w:hAnsi="楷体" w:eastAsia="楷体" w:cs="楷体"/>
                <w:b/>
                <w:bCs/>
                <w:sz w:val="24"/>
              </w:rPr>
            </w:pPr>
            <w:r>
              <w:rPr>
                <w:rFonts w:hint="eastAsia" w:ascii="楷体" w:hAnsi="楷体" w:eastAsia="楷体" w:cs="楷体"/>
                <w:b/>
                <w:bCs/>
                <w:sz w:val="24"/>
              </w:rPr>
              <w:t>招标文件要求</w:t>
            </w:r>
          </w:p>
        </w:tc>
        <w:tc>
          <w:tcPr>
            <w:tcW w:w="781" w:type="pct"/>
            <w:shd w:val="clear" w:color="auto" w:fill="EEECE1"/>
            <w:vAlign w:val="center"/>
          </w:tcPr>
          <w:p w14:paraId="18F58A6C">
            <w:pPr>
              <w:adjustRightInd w:val="0"/>
              <w:snapToGrid w:val="0"/>
              <w:ind w:left="-171"/>
              <w:jc w:val="center"/>
              <w:rPr>
                <w:rFonts w:ascii="楷体" w:hAnsi="楷体" w:eastAsia="楷体" w:cs="楷体"/>
                <w:b/>
                <w:bCs/>
                <w:sz w:val="24"/>
              </w:rPr>
            </w:pPr>
            <w:r>
              <w:rPr>
                <w:rFonts w:hint="eastAsia" w:ascii="楷体" w:hAnsi="楷体" w:eastAsia="楷体" w:cs="楷体"/>
                <w:b/>
                <w:bCs/>
                <w:sz w:val="24"/>
              </w:rPr>
              <w:t>自查结论</w:t>
            </w:r>
          </w:p>
        </w:tc>
        <w:tc>
          <w:tcPr>
            <w:tcW w:w="884" w:type="pct"/>
            <w:shd w:val="clear" w:color="auto" w:fill="EEECE1"/>
            <w:vAlign w:val="center"/>
          </w:tcPr>
          <w:p w14:paraId="7838940F">
            <w:pPr>
              <w:adjustRightInd w:val="0"/>
              <w:snapToGrid w:val="0"/>
              <w:ind w:left="-171"/>
              <w:jc w:val="center"/>
              <w:rPr>
                <w:rFonts w:ascii="楷体" w:hAnsi="楷体" w:eastAsia="楷体" w:cs="楷体"/>
                <w:b/>
                <w:bCs/>
                <w:sz w:val="24"/>
              </w:rPr>
            </w:pPr>
            <w:r>
              <w:rPr>
                <w:rFonts w:hint="eastAsia" w:ascii="楷体" w:hAnsi="楷体" w:eastAsia="楷体" w:cs="楷体"/>
                <w:b/>
                <w:bCs/>
                <w:sz w:val="24"/>
              </w:rPr>
              <w:t>证明材料</w:t>
            </w:r>
          </w:p>
          <w:p w14:paraId="67239333">
            <w:pPr>
              <w:adjustRightInd w:val="0"/>
              <w:snapToGrid w:val="0"/>
              <w:ind w:left="-171"/>
              <w:jc w:val="center"/>
              <w:rPr>
                <w:rFonts w:ascii="楷体" w:hAnsi="楷体" w:eastAsia="楷体" w:cs="楷体"/>
                <w:b/>
                <w:bCs/>
                <w:sz w:val="24"/>
              </w:rPr>
            </w:pPr>
            <w:r>
              <w:rPr>
                <w:rFonts w:hint="eastAsia" w:ascii="楷体" w:hAnsi="楷体" w:eastAsia="楷体" w:cs="楷体"/>
                <w:b/>
                <w:bCs/>
                <w:sz w:val="24"/>
              </w:rPr>
              <w:t>对应页码</w:t>
            </w:r>
          </w:p>
        </w:tc>
      </w:tr>
      <w:tr w14:paraId="0B7E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5B6F9CDF">
            <w:pPr>
              <w:adjustRightInd w:val="0"/>
              <w:snapToGrid w:val="0"/>
              <w:jc w:val="center"/>
              <w:rPr>
                <w:rFonts w:ascii="楷体" w:hAnsi="楷体" w:eastAsia="楷体" w:cs="楷体"/>
                <w:sz w:val="24"/>
              </w:rPr>
            </w:pPr>
            <w:r>
              <w:rPr>
                <w:rFonts w:hint="eastAsia" w:ascii="楷体" w:hAnsi="楷体" w:eastAsia="楷体" w:cs="楷体"/>
                <w:sz w:val="24"/>
              </w:rPr>
              <w:t>资格性审查</w:t>
            </w:r>
          </w:p>
        </w:tc>
        <w:tc>
          <w:tcPr>
            <w:tcW w:w="1274" w:type="pct"/>
            <w:vAlign w:val="center"/>
          </w:tcPr>
          <w:p w14:paraId="422E4D61">
            <w:pPr>
              <w:jc w:val="center"/>
              <w:rPr>
                <w:rFonts w:ascii="楷体" w:hAnsi="楷体" w:eastAsia="楷体" w:cs="楷体"/>
                <w:sz w:val="24"/>
              </w:rPr>
            </w:pPr>
            <w:r>
              <w:rPr>
                <w:rFonts w:hint="eastAsia" w:ascii="楷体" w:hAnsi="楷体" w:eastAsia="楷体" w:cs="楷体"/>
                <w:sz w:val="24"/>
                <w:lang w:eastAsia="en-US"/>
              </w:rPr>
              <w:t>合格投标人</w:t>
            </w:r>
          </w:p>
        </w:tc>
        <w:tc>
          <w:tcPr>
            <w:tcW w:w="1649" w:type="pct"/>
            <w:vAlign w:val="center"/>
          </w:tcPr>
          <w:p w14:paraId="71A878CF">
            <w:pPr>
              <w:jc w:val="left"/>
              <w:rPr>
                <w:rFonts w:ascii="楷体" w:hAnsi="楷体" w:eastAsia="楷体" w:cs="楷体"/>
                <w:sz w:val="24"/>
              </w:rPr>
            </w:pPr>
            <w:r>
              <w:rPr>
                <w:rFonts w:hint="eastAsia" w:ascii="楷体" w:hAnsi="楷体" w:eastAsia="楷体" w:cs="楷体"/>
                <w:sz w:val="24"/>
              </w:rPr>
              <w:t>详见投标邀请函中“供应商（服务商）资格”相应条款</w:t>
            </w:r>
          </w:p>
        </w:tc>
        <w:tc>
          <w:tcPr>
            <w:tcW w:w="781" w:type="pct"/>
            <w:vAlign w:val="center"/>
          </w:tcPr>
          <w:p w14:paraId="3E84CB40">
            <w:pPr>
              <w:adjustRightInd w:val="0"/>
              <w:snapToGrid w:val="0"/>
              <w:rPr>
                <w:rFonts w:ascii="楷体" w:hAnsi="楷体" w:eastAsia="楷体" w:cs="楷体"/>
                <w:sz w:val="24"/>
              </w:rPr>
            </w:pPr>
            <w:r>
              <w:rPr>
                <w:rFonts w:hint="eastAsia" w:ascii="楷体" w:hAnsi="楷体" w:eastAsia="楷体" w:cs="楷体"/>
                <w:sz w:val="24"/>
              </w:rPr>
              <w:t>□通过</w:t>
            </w:r>
          </w:p>
          <w:p w14:paraId="6AD8B410">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73F154CD">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69E3AEED">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289C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02561ABE">
            <w:pPr>
              <w:adjustRightInd w:val="0"/>
              <w:snapToGrid w:val="0"/>
              <w:jc w:val="center"/>
              <w:rPr>
                <w:rFonts w:ascii="楷体" w:hAnsi="楷体" w:eastAsia="楷体" w:cs="楷体"/>
              </w:rPr>
            </w:pPr>
            <w:r>
              <w:rPr>
                <w:rFonts w:hint="eastAsia" w:ascii="楷体" w:hAnsi="楷体" w:eastAsia="楷体" w:cs="楷体"/>
                <w:sz w:val="24"/>
              </w:rPr>
              <w:t>符合性审查</w:t>
            </w:r>
          </w:p>
        </w:tc>
        <w:tc>
          <w:tcPr>
            <w:tcW w:w="1274" w:type="pct"/>
            <w:vAlign w:val="center"/>
          </w:tcPr>
          <w:p w14:paraId="09B318DE">
            <w:pPr>
              <w:jc w:val="center"/>
              <w:rPr>
                <w:rFonts w:ascii="楷体" w:hAnsi="楷体" w:eastAsia="楷体" w:cs="楷体"/>
              </w:rPr>
            </w:pPr>
            <w:r>
              <w:rPr>
                <w:rFonts w:hint="eastAsia" w:ascii="楷体" w:hAnsi="楷体" w:eastAsia="楷体" w:cs="楷体"/>
                <w:sz w:val="24"/>
                <w:lang w:eastAsia="en-US"/>
              </w:rPr>
              <w:t>投标函</w:t>
            </w:r>
          </w:p>
        </w:tc>
        <w:tc>
          <w:tcPr>
            <w:tcW w:w="1649" w:type="pct"/>
            <w:vAlign w:val="center"/>
          </w:tcPr>
          <w:p w14:paraId="0DBC2C15">
            <w:pPr>
              <w:jc w:val="left"/>
              <w:rPr>
                <w:rFonts w:ascii="楷体" w:hAnsi="楷体" w:eastAsia="楷体" w:cs="楷体"/>
              </w:rPr>
            </w:pPr>
            <w:r>
              <w:rPr>
                <w:rFonts w:hint="eastAsia" w:ascii="楷体" w:hAnsi="楷体" w:eastAsia="楷体" w:cs="楷体"/>
                <w:sz w:val="24"/>
              </w:rPr>
              <w:t>按对应格式文件填写、签署、盖章</w:t>
            </w:r>
          </w:p>
        </w:tc>
        <w:tc>
          <w:tcPr>
            <w:tcW w:w="781" w:type="pct"/>
            <w:vAlign w:val="center"/>
          </w:tcPr>
          <w:p w14:paraId="73E53568">
            <w:pPr>
              <w:adjustRightInd w:val="0"/>
              <w:snapToGrid w:val="0"/>
              <w:rPr>
                <w:rFonts w:ascii="楷体" w:hAnsi="楷体" w:eastAsia="楷体" w:cs="楷体"/>
                <w:sz w:val="24"/>
              </w:rPr>
            </w:pPr>
            <w:r>
              <w:rPr>
                <w:rFonts w:hint="eastAsia" w:ascii="楷体" w:hAnsi="楷体" w:eastAsia="楷体" w:cs="楷体"/>
                <w:sz w:val="24"/>
              </w:rPr>
              <w:t>□通过</w:t>
            </w:r>
          </w:p>
          <w:p w14:paraId="7D7CBB52">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7F2EF199">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6BCE2DE5">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1D7A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2B0A6260">
            <w:pPr>
              <w:adjustRightInd w:val="0"/>
              <w:snapToGrid w:val="0"/>
              <w:jc w:val="center"/>
              <w:rPr>
                <w:rFonts w:ascii="楷体" w:hAnsi="楷体" w:eastAsia="楷体" w:cs="楷体"/>
              </w:rPr>
            </w:pPr>
          </w:p>
        </w:tc>
        <w:tc>
          <w:tcPr>
            <w:tcW w:w="1274" w:type="pct"/>
            <w:vAlign w:val="center"/>
          </w:tcPr>
          <w:p w14:paraId="4BAD13F7">
            <w:pPr>
              <w:jc w:val="center"/>
              <w:rPr>
                <w:rFonts w:ascii="楷体" w:hAnsi="楷体" w:eastAsia="楷体" w:cs="楷体"/>
                <w:sz w:val="24"/>
              </w:rPr>
            </w:pPr>
            <w:r>
              <w:rPr>
                <w:rFonts w:hint="eastAsia" w:ascii="楷体" w:hAnsi="楷体" w:eastAsia="楷体" w:cs="楷体"/>
                <w:sz w:val="24"/>
              </w:rPr>
              <w:t>法定代表人证明书及法定代表人授权委托书</w:t>
            </w:r>
          </w:p>
        </w:tc>
        <w:tc>
          <w:tcPr>
            <w:tcW w:w="1649" w:type="pct"/>
            <w:vAlign w:val="center"/>
          </w:tcPr>
          <w:p w14:paraId="414C9837">
            <w:pPr>
              <w:jc w:val="left"/>
              <w:rPr>
                <w:rFonts w:ascii="楷体" w:hAnsi="楷体" w:eastAsia="楷体" w:cs="楷体"/>
                <w:sz w:val="24"/>
              </w:rPr>
            </w:pPr>
            <w:r>
              <w:rPr>
                <w:rFonts w:hint="eastAsia" w:ascii="楷体" w:hAnsi="楷体" w:eastAsia="楷体" w:cs="楷体"/>
                <w:sz w:val="24"/>
              </w:rPr>
              <w:t>按对应格式文件签署、盖章</w:t>
            </w:r>
          </w:p>
        </w:tc>
        <w:tc>
          <w:tcPr>
            <w:tcW w:w="781" w:type="pct"/>
            <w:vAlign w:val="center"/>
          </w:tcPr>
          <w:p w14:paraId="33729C5E">
            <w:pPr>
              <w:adjustRightInd w:val="0"/>
              <w:snapToGrid w:val="0"/>
              <w:rPr>
                <w:rFonts w:ascii="楷体" w:hAnsi="楷体" w:eastAsia="楷体" w:cs="楷体"/>
                <w:sz w:val="24"/>
              </w:rPr>
            </w:pPr>
            <w:r>
              <w:rPr>
                <w:rFonts w:hint="eastAsia" w:ascii="楷体" w:hAnsi="楷体" w:eastAsia="楷体" w:cs="楷体"/>
                <w:sz w:val="24"/>
              </w:rPr>
              <w:t>□通过</w:t>
            </w:r>
          </w:p>
          <w:p w14:paraId="28629360">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723584DE">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77A4A43B">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4091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AAEE738">
            <w:pPr>
              <w:adjustRightInd w:val="0"/>
              <w:snapToGrid w:val="0"/>
              <w:jc w:val="center"/>
              <w:rPr>
                <w:rFonts w:ascii="楷体" w:hAnsi="楷体" w:eastAsia="楷体" w:cs="楷体"/>
              </w:rPr>
            </w:pPr>
          </w:p>
        </w:tc>
        <w:tc>
          <w:tcPr>
            <w:tcW w:w="1274" w:type="pct"/>
            <w:vMerge w:val="restart"/>
            <w:vAlign w:val="center"/>
          </w:tcPr>
          <w:p w14:paraId="648B6CF4">
            <w:pPr>
              <w:jc w:val="center"/>
              <w:rPr>
                <w:rFonts w:ascii="楷体" w:hAnsi="楷体" w:eastAsia="楷体" w:cs="楷体"/>
                <w:sz w:val="24"/>
              </w:rPr>
            </w:pPr>
            <w:r>
              <w:rPr>
                <w:rFonts w:hint="eastAsia" w:ascii="楷体" w:hAnsi="楷体" w:eastAsia="楷体" w:cs="楷体"/>
                <w:sz w:val="24"/>
                <w:lang w:eastAsia="en-US"/>
              </w:rPr>
              <w:t>报价要求</w:t>
            </w:r>
          </w:p>
        </w:tc>
        <w:tc>
          <w:tcPr>
            <w:tcW w:w="2811" w:type="dxa"/>
            <w:vAlign w:val="center"/>
          </w:tcPr>
          <w:p w14:paraId="331DCE76">
            <w:pPr>
              <w:jc w:val="left"/>
              <w:rPr>
                <w:rFonts w:ascii="楷体" w:hAnsi="楷体" w:eastAsia="楷体" w:cs="楷体"/>
                <w:sz w:val="24"/>
              </w:rPr>
            </w:pPr>
            <w:r>
              <w:rPr>
                <w:rFonts w:hint="eastAsia" w:ascii="楷体" w:hAnsi="楷体" w:eastAsia="楷体" w:cs="楷体"/>
                <w:sz w:val="24"/>
              </w:rPr>
              <w:t>投标报价是固定价且是唯一的，投标报价未超出最高限价。</w:t>
            </w:r>
          </w:p>
        </w:tc>
        <w:tc>
          <w:tcPr>
            <w:tcW w:w="781" w:type="pct"/>
            <w:vAlign w:val="center"/>
          </w:tcPr>
          <w:p w14:paraId="4167B96D">
            <w:pPr>
              <w:adjustRightInd w:val="0"/>
              <w:snapToGrid w:val="0"/>
              <w:rPr>
                <w:rFonts w:ascii="楷体" w:hAnsi="楷体" w:eastAsia="楷体" w:cs="楷体"/>
                <w:sz w:val="24"/>
              </w:rPr>
            </w:pPr>
            <w:r>
              <w:rPr>
                <w:rFonts w:hint="eastAsia" w:ascii="楷体" w:hAnsi="楷体" w:eastAsia="楷体" w:cs="楷体"/>
                <w:sz w:val="24"/>
              </w:rPr>
              <w:t>□通过</w:t>
            </w:r>
          </w:p>
          <w:p w14:paraId="0978C353">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5D01CB50">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71598F0F">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59D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47D400EE">
            <w:pPr>
              <w:adjustRightInd w:val="0"/>
              <w:snapToGrid w:val="0"/>
              <w:jc w:val="center"/>
              <w:rPr>
                <w:rFonts w:ascii="楷体" w:hAnsi="楷体" w:eastAsia="楷体" w:cs="楷体"/>
              </w:rPr>
            </w:pPr>
          </w:p>
        </w:tc>
        <w:tc>
          <w:tcPr>
            <w:tcW w:w="1274" w:type="pct"/>
            <w:vMerge w:val="continue"/>
            <w:vAlign w:val="center"/>
          </w:tcPr>
          <w:p w14:paraId="6A5B027E">
            <w:pPr>
              <w:jc w:val="center"/>
              <w:rPr>
                <w:rFonts w:ascii="楷体" w:hAnsi="楷体" w:eastAsia="楷体" w:cs="楷体"/>
                <w:sz w:val="24"/>
              </w:rPr>
            </w:pPr>
          </w:p>
        </w:tc>
        <w:tc>
          <w:tcPr>
            <w:tcW w:w="2811" w:type="dxa"/>
            <w:vAlign w:val="center"/>
          </w:tcPr>
          <w:p w14:paraId="646BC7AB">
            <w:pPr>
              <w:rPr>
                <w:rFonts w:ascii="楷体" w:hAnsi="楷体" w:eastAsia="楷体" w:cs="楷体"/>
                <w:kern w:val="28"/>
                <w:sz w:val="24"/>
              </w:rPr>
            </w:pPr>
            <w:r>
              <w:rPr>
                <w:rFonts w:hint="eastAsia" w:ascii="楷体" w:hAnsi="楷体" w:eastAsia="楷体" w:cs="楷体"/>
                <w:sz w:val="24"/>
              </w:rPr>
              <w:t>投标人的报价明显低于其他通过符合性审查投标人的报价，评标委员会有权要求投标人在规定时间内提供书面说明或提供相关证明材料，否则视为无效投标。</w:t>
            </w:r>
          </w:p>
        </w:tc>
        <w:tc>
          <w:tcPr>
            <w:tcW w:w="781" w:type="pct"/>
            <w:vAlign w:val="center"/>
          </w:tcPr>
          <w:p w14:paraId="1B1CA182">
            <w:pPr>
              <w:adjustRightInd w:val="0"/>
              <w:snapToGrid w:val="0"/>
              <w:rPr>
                <w:rFonts w:ascii="楷体" w:hAnsi="楷体" w:eastAsia="楷体" w:cs="楷体"/>
                <w:sz w:val="24"/>
              </w:rPr>
            </w:pPr>
            <w:r>
              <w:rPr>
                <w:rFonts w:hint="eastAsia" w:ascii="楷体" w:hAnsi="楷体" w:eastAsia="楷体" w:cs="楷体"/>
                <w:sz w:val="24"/>
              </w:rPr>
              <w:t>□通过</w:t>
            </w:r>
          </w:p>
          <w:p w14:paraId="7E8A741A">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0540BD5B">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618B084D">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47F9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58C8B952">
            <w:pPr>
              <w:adjustRightInd w:val="0"/>
              <w:snapToGrid w:val="0"/>
              <w:jc w:val="center"/>
              <w:rPr>
                <w:rFonts w:ascii="楷体" w:hAnsi="楷体" w:eastAsia="楷体" w:cs="楷体"/>
              </w:rPr>
            </w:pPr>
          </w:p>
        </w:tc>
        <w:tc>
          <w:tcPr>
            <w:tcW w:w="1274" w:type="pct"/>
            <w:vMerge w:val="continue"/>
            <w:vAlign w:val="center"/>
          </w:tcPr>
          <w:p w14:paraId="5CA29E03">
            <w:pPr>
              <w:jc w:val="center"/>
              <w:rPr>
                <w:rFonts w:ascii="楷体" w:hAnsi="楷体" w:eastAsia="楷体" w:cs="楷体"/>
                <w:sz w:val="24"/>
              </w:rPr>
            </w:pPr>
          </w:p>
        </w:tc>
        <w:tc>
          <w:tcPr>
            <w:tcW w:w="1649" w:type="pct"/>
            <w:vAlign w:val="center"/>
          </w:tcPr>
          <w:p w14:paraId="639F6873">
            <w:pPr>
              <w:jc w:val="left"/>
              <w:rPr>
                <w:rFonts w:ascii="楷体" w:hAnsi="楷体" w:eastAsia="楷体" w:cs="楷体"/>
                <w:sz w:val="24"/>
              </w:rPr>
            </w:pPr>
            <w:r>
              <w:rPr>
                <w:rFonts w:hint="eastAsia" w:ascii="楷体" w:hAnsi="楷体" w:eastAsia="楷体" w:cs="楷体"/>
                <w:sz w:val="24"/>
              </w:rPr>
              <w:t>招标文件不接受提交备选方案。</w:t>
            </w:r>
          </w:p>
        </w:tc>
        <w:tc>
          <w:tcPr>
            <w:tcW w:w="781" w:type="pct"/>
            <w:vAlign w:val="center"/>
          </w:tcPr>
          <w:p w14:paraId="0E5D6B46">
            <w:pPr>
              <w:adjustRightInd w:val="0"/>
              <w:snapToGrid w:val="0"/>
              <w:rPr>
                <w:rFonts w:ascii="楷体" w:hAnsi="楷体" w:eastAsia="楷体" w:cs="楷体"/>
                <w:sz w:val="24"/>
              </w:rPr>
            </w:pPr>
            <w:r>
              <w:rPr>
                <w:rFonts w:hint="eastAsia" w:ascii="楷体" w:hAnsi="楷体" w:eastAsia="楷体" w:cs="楷体"/>
                <w:sz w:val="24"/>
              </w:rPr>
              <w:t>□通过</w:t>
            </w:r>
          </w:p>
          <w:p w14:paraId="37C9022D">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390AC204">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147BA22C">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422B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B7D662B">
            <w:pPr>
              <w:adjustRightInd w:val="0"/>
              <w:snapToGrid w:val="0"/>
              <w:jc w:val="center"/>
              <w:rPr>
                <w:rFonts w:ascii="楷体" w:hAnsi="楷体" w:eastAsia="楷体" w:cs="楷体"/>
              </w:rPr>
            </w:pPr>
          </w:p>
        </w:tc>
        <w:tc>
          <w:tcPr>
            <w:tcW w:w="1274" w:type="pct"/>
            <w:vAlign w:val="center"/>
          </w:tcPr>
          <w:p w14:paraId="5E96DF79">
            <w:pPr>
              <w:jc w:val="center"/>
              <w:rPr>
                <w:rFonts w:ascii="楷体" w:hAnsi="楷体" w:eastAsia="楷体" w:cs="楷体"/>
              </w:rPr>
            </w:pPr>
            <w:r>
              <w:rPr>
                <w:rFonts w:hint="eastAsia" w:ascii="楷体" w:hAnsi="楷体" w:eastAsia="楷体" w:cs="楷体"/>
                <w:sz w:val="24"/>
                <w:lang w:eastAsia="en-US"/>
              </w:rPr>
              <w:t>投标文件的完整性</w:t>
            </w:r>
          </w:p>
        </w:tc>
        <w:tc>
          <w:tcPr>
            <w:tcW w:w="1649" w:type="pct"/>
            <w:vAlign w:val="center"/>
          </w:tcPr>
          <w:p w14:paraId="2D2F7527">
            <w:pPr>
              <w:jc w:val="left"/>
              <w:rPr>
                <w:rFonts w:ascii="楷体" w:hAnsi="楷体" w:eastAsia="楷体" w:cs="楷体"/>
              </w:rPr>
            </w:pPr>
            <w:r>
              <w:rPr>
                <w:rFonts w:hint="eastAsia" w:ascii="楷体" w:hAnsi="楷体" w:eastAsia="楷体" w:cs="楷体"/>
                <w:sz w:val="24"/>
              </w:rPr>
              <w:t>投标文件完整且编排有序，投标内容基本完整，无重大错漏，并按要求密封、签署、盖章。</w:t>
            </w:r>
          </w:p>
        </w:tc>
        <w:tc>
          <w:tcPr>
            <w:tcW w:w="781" w:type="pct"/>
            <w:vAlign w:val="center"/>
          </w:tcPr>
          <w:p w14:paraId="5922A30B">
            <w:pPr>
              <w:adjustRightInd w:val="0"/>
              <w:snapToGrid w:val="0"/>
              <w:rPr>
                <w:rFonts w:ascii="楷体" w:hAnsi="楷体" w:eastAsia="楷体" w:cs="楷体"/>
                <w:sz w:val="24"/>
              </w:rPr>
            </w:pPr>
            <w:r>
              <w:rPr>
                <w:rFonts w:hint="eastAsia" w:ascii="楷体" w:hAnsi="楷体" w:eastAsia="楷体" w:cs="楷体"/>
                <w:sz w:val="24"/>
              </w:rPr>
              <w:t>□通过</w:t>
            </w:r>
          </w:p>
          <w:p w14:paraId="300CD822">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48BD4A05">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3DBE33F0">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6A16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2867BE1A">
            <w:pPr>
              <w:adjustRightInd w:val="0"/>
              <w:snapToGrid w:val="0"/>
              <w:jc w:val="center"/>
              <w:rPr>
                <w:rFonts w:ascii="楷体" w:hAnsi="楷体" w:eastAsia="楷体" w:cs="楷体"/>
              </w:rPr>
            </w:pPr>
          </w:p>
        </w:tc>
        <w:tc>
          <w:tcPr>
            <w:tcW w:w="1274" w:type="pct"/>
            <w:vAlign w:val="center"/>
          </w:tcPr>
          <w:p w14:paraId="75E66C26">
            <w:pPr>
              <w:jc w:val="center"/>
              <w:rPr>
                <w:rFonts w:ascii="楷体" w:hAnsi="楷体" w:eastAsia="楷体" w:cs="楷体"/>
              </w:rPr>
            </w:pPr>
            <w:r>
              <w:rPr>
                <w:rFonts w:hint="eastAsia" w:ascii="楷体" w:hAnsi="楷体" w:eastAsia="楷体" w:cs="楷体"/>
                <w:sz w:val="24"/>
              </w:rPr>
              <w:t>服务期</w:t>
            </w:r>
          </w:p>
        </w:tc>
        <w:tc>
          <w:tcPr>
            <w:tcW w:w="1649" w:type="pct"/>
            <w:vAlign w:val="center"/>
          </w:tcPr>
          <w:p w14:paraId="21E98842">
            <w:pPr>
              <w:jc w:val="left"/>
              <w:rPr>
                <w:rFonts w:ascii="楷体" w:hAnsi="楷体" w:eastAsia="楷体" w:cs="楷体"/>
              </w:rPr>
            </w:pPr>
            <w:r>
              <w:rPr>
                <w:rFonts w:hint="eastAsia" w:ascii="楷体" w:hAnsi="楷体" w:eastAsia="楷体" w:cs="楷体"/>
                <w:sz w:val="24"/>
                <w:lang w:eastAsia="en-US"/>
              </w:rPr>
              <w:t>满足招标文件要求</w:t>
            </w:r>
          </w:p>
        </w:tc>
        <w:tc>
          <w:tcPr>
            <w:tcW w:w="781" w:type="pct"/>
            <w:vAlign w:val="center"/>
          </w:tcPr>
          <w:p w14:paraId="45C41E0D">
            <w:pPr>
              <w:adjustRightInd w:val="0"/>
              <w:snapToGrid w:val="0"/>
              <w:rPr>
                <w:rFonts w:ascii="楷体" w:hAnsi="楷体" w:eastAsia="楷体" w:cs="楷体"/>
                <w:sz w:val="24"/>
              </w:rPr>
            </w:pPr>
            <w:r>
              <w:rPr>
                <w:rFonts w:hint="eastAsia" w:ascii="楷体" w:hAnsi="楷体" w:eastAsia="楷体" w:cs="楷体"/>
                <w:sz w:val="24"/>
              </w:rPr>
              <w:t>□通过</w:t>
            </w:r>
          </w:p>
          <w:p w14:paraId="550CBA40">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550962EF">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22254BA4">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01A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A2BA0CD">
            <w:pPr>
              <w:adjustRightInd w:val="0"/>
              <w:snapToGrid w:val="0"/>
              <w:ind w:left="-171"/>
              <w:jc w:val="center"/>
              <w:rPr>
                <w:rFonts w:ascii="楷体" w:hAnsi="楷体" w:eastAsia="楷体" w:cs="楷体"/>
              </w:rPr>
            </w:pPr>
          </w:p>
        </w:tc>
        <w:tc>
          <w:tcPr>
            <w:tcW w:w="2171" w:type="dxa"/>
            <w:vAlign w:val="center"/>
          </w:tcPr>
          <w:p w14:paraId="5BCD9204">
            <w:pPr>
              <w:jc w:val="center"/>
              <w:rPr>
                <w:rFonts w:ascii="楷体" w:hAnsi="楷体" w:eastAsia="楷体" w:cs="楷体"/>
                <w:sz w:val="24"/>
                <w:lang w:eastAsia="en-US"/>
              </w:rPr>
            </w:pPr>
            <w:r>
              <w:rPr>
                <w:rFonts w:hint="eastAsia" w:ascii="楷体" w:hAnsi="楷体" w:eastAsia="楷体" w:cs="楷体"/>
                <w:sz w:val="24"/>
                <w:lang w:eastAsia="en-US"/>
              </w:rPr>
              <w:t>★</w:t>
            </w:r>
            <w:r>
              <w:rPr>
                <w:rFonts w:hint="eastAsia" w:ascii="楷体" w:hAnsi="楷体" w:eastAsia="楷体" w:cs="楷体"/>
                <w:sz w:val="24"/>
              </w:rPr>
              <w:t>号条款</w:t>
            </w:r>
          </w:p>
        </w:tc>
        <w:tc>
          <w:tcPr>
            <w:tcW w:w="2811" w:type="dxa"/>
            <w:vAlign w:val="center"/>
          </w:tcPr>
          <w:p w14:paraId="52E53A3A">
            <w:pPr>
              <w:jc w:val="left"/>
              <w:rPr>
                <w:rFonts w:ascii="楷体" w:hAnsi="楷体" w:eastAsia="楷体" w:cs="楷体"/>
                <w:sz w:val="24"/>
                <w:lang w:eastAsia="en-US"/>
              </w:rPr>
            </w:pPr>
            <w:r>
              <w:rPr>
                <w:rFonts w:hint="eastAsia" w:ascii="楷体" w:hAnsi="楷体" w:eastAsia="楷体" w:cs="楷体"/>
                <w:sz w:val="24"/>
                <w:lang w:eastAsia="en-US"/>
              </w:rPr>
              <w:t>满足招标文件要求</w:t>
            </w:r>
          </w:p>
        </w:tc>
        <w:tc>
          <w:tcPr>
            <w:tcW w:w="1331" w:type="dxa"/>
            <w:vAlign w:val="center"/>
          </w:tcPr>
          <w:p w14:paraId="00B23C8E">
            <w:pPr>
              <w:adjustRightInd w:val="0"/>
              <w:snapToGrid w:val="0"/>
              <w:rPr>
                <w:rFonts w:ascii="楷体" w:hAnsi="楷体" w:eastAsia="楷体" w:cs="楷体"/>
                <w:sz w:val="24"/>
              </w:rPr>
            </w:pPr>
            <w:r>
              <w:rPr>
                <w:rFonts w:hint="eastAsia" w:ascii="楷体" w:hAnsi="楷体" w:eastAsia="楷体" w:cs="楷体"/>
                <w:sz w:val="24"/>
              </w:rPr>
              <w:t>□通过</w:t>
            </w:r>
          </w:p>
          <w:p w14:paraId="3C411F28">
            <w:pPr>
              <w:adjustRightInd w:val="0"/>
              <w:snapToGrid w:val="0"/>
              <w:rPr>
                <w:rFonts w:ascii="楷体" w:hAnsi="楷体" w:eastAsia="楷体" w:cs="楷体"/>
                <w:sz w:val="24"/>
              </w:rPr>
            </w:pPr>
            <w:r>
              <w:rPr>
                <w:rFonts w:hint="eastAsia" w:ascii="楷体" w:hAnsi="楷体" w:eastAsia="楷体" w:cs="楷体"/>
                <w:sz w:val="24"/>
              </w:rPr>
              <w:t>□不通过</w:t>
            </w:r>
          </w:p>
        </w:tc>
        <w:tc>
          <w:tcPr>
            <w:tcW w:w="1507" w:type="dxa"/>
            <w:vAlign w:val="center"/>
          </w:tcPr>
          <w:p w14:paraId="33F76EC4">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6F45AE17">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1FE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4892A62B">
            <w:pPr>
              <w:adjustRightInd w:val="0"/>
              <w:snapToGrid w:val="0"/>
              <w:ind w:left="-171"/>
              <w:jc w:val="center"/>
              <w:rPr>
                <w:rFonts w:ascii="楷体" w:hAnsi="楷体" w:eastAsia="楷体" w:cs="楷体"/>
              </w:rPr>
            </w:pPr>
          </w:p>
        </w:tc>
        <w:tc>
          <w:tcPr>
            <w:tcW w:w="1274" w:type="pct"/>
            <w:vAlign w:val="center"/>
          </w:tcPr>
          <w:p w14:paraId="5BB6A1B8">
            <w:pPr>
              <w:jc w:val="center"/>
              <w:rPr>
                <w:rFonts w:ascii="楷体" w:hAnsi="楷体" w:eastAsia="楷体" w:cs="楷体"/>
              </w:rPr>
            </w:pPr>
            <w:r>
              <w:rPr>
                <w:rFonts w:hint="eastAsia" w:ascii="楷体" w:hAnsi="楷体" w:eastAsia="楷体" w:cs="楷体"/>
                <w:sz w:val="24"/>
                <w:lang w:eastAsia="en-US"/>
              </w:rPr>
              <w:t>投标有效期</w:t>
            </w:r>
          </w:p>
        </w:tc>
        <w:tc>
          <w:tcPr>
            <w:tcW w:w="1649" w:type="pct"/>
            <w:vAlign w:val="center"/>
          </w:tcPr>
          <w:p w14:paraId="3003C842">
            <w:pPr>
              <w:jc w:val="left"/>
              <w:rPr>
                <w:rFonts w:ascii="楷体" w:hAnsi="楷体" w:eastAsia="楷体" w:cs="楷体"/>
              </w:rPr>
            </w:pPr>
            <w:r>
              <w:rPr>
                <w:rFonts w:hint="eastAsia" w:ascii="楷体" w:hAnsi="楷体" w:eastAsia="楷体" w:cs="楷体"/>
                <w:sz w:val="24"/>
                <w:lang w:eastAsia="en-US"/>
              </w:rPr>
              <w:t>投标截止日起90天</w:t>
            </w:r>
          </w:p>
        </w:tc>
        <w:tc>
          <w:tcPr>
            <w:tcW w:w="781" w:type="pct"/>
            <w:vAlign w:val="center"/>
          </w:tcPr>
          <w:p w14:paraId="7B452818">
            <w:pPr>
              <w:adjustRightInd w:val="0"/>
              <w:snapToGrid w:val="0"/>
              <w:rPr>
                <w:rFonts w:ascii="楷体" w:hAnsi="楷体" w:eastAsia="楷体" w:cs="楷体"/>
                <w:sz w:val="24"/>
              </w:rPr>
            </w:pPr>
            <w:r>
              <w:rPr>
                <w:rFonts w:hint="eastAsia" w:ascii="楷体" w:hAnsi="楷体" w:eastAsia="楷体" w:cs="楷体"/>
                <w:sz w:val="24"/>
              </w:rPr>
              <w:t>□通过</w:t>
            </w:r>
          </w:p>
          <w:p w14:paraId="3A500B31">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00E81891">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1E2C6065">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21F8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038CB4D">
            <w:pPr>
              <w:adjustRightInd w:val="0"/>
              <w:snapToGrid w:val="0"/>
              <w:ind w:left="-171"/>
              <w:jc w:val="center"/>
              <w:rPr>
                <w:rFonts w:ascii="楷体" w:hAnsi="楷体" w:eastAsia="楷体" w:cs="楷体"/>
              </w:rPr>
            </w:pPr>
          </w:p>
        </w:tc>
        <w:tc>
          <w:tcPr>
            <w:tcW w:w="1274" w:type="pct"/>
            <w:vAlign w:val="center"/>
          </w:tcPr>
          <w:p w14:paraId="267796A0">
            <w:pPr>
              <w:jc w:val="center"/>
              <w:rPr>
                <w:rFonts w:ascii="楷体" w:hAnsi="楷体" w:eastAsia="楷体" w:cs="楷体"/>
              </w:rPr>
            </w:pPr>
            <w:r>
              <w:rPr>
                <w:rFonts w:hint="eastAsia" w:ascii="楷体" w:hAnsi="楷体" w:eastAsia="楷体" w:cs="楷体"/>
                <w:sz w:val="24"/>
              </w:rPr>
              <w:t>招标代理服务费支付承诺书</w:t>
            </w:r>
          </w:p>
        </w:tc>
        <w:tc>
          <w:tcPr>
            <w:tcW w:w="1649" w:type="pct"/>
            <w:vAlign w:val="center"/>
          </w:tcPr>
          <w:p w14:paraId="0375B9C1">
            <w:pPr>
              <w:jc w:val="left"/>
              <w:rPr>
                <w:rFonts w:ascii="楷体" w:hAnsi="楷体" w:eastAsia="楷体" w:cs="楷体"/>
              </w:rPr>
            </w:pPr>
            <w:r>
              <w:rPr>
                <w:rFonts w:hint="eastAsia" w:ascii="楷体" w:hAnsi="楷体" w:eastAsia="楷体" w:cs="楷体"/>
                <w:sz w:val="24"/>
              </w:rPr>
              <w:t>已按招标文件要求提交招标代理服务费支付承诺书</w:t>
            </w:r>
          </w:p>
        </w:tc>
        <w:tc>
          <w:tcPr>
            <w:tcW w:w="781" w:type="pct"/>
            <w:vAlign w:val="center"/>
          </w:tcPr>
          <w:p w14:paraId="3F0A289A">
            <w:pPr>
              <w:adjustRightInd w:val="0"/>
              <w:snapToGrid w:val="0"/>
              <w:rPr>
                <w:rFonts w:ascii="楷体" w:hAnsi="楷体" w:eastAsia="楷体" w:cs="楷体"/>
                <w:sz w:val="24"/>
              </w:rPr>
            </w:pPr>
            <w:r>
              <w:rPr>
                <w:rFonts w:hint="eastAsia" w:ascii="楷体" w:hAnsi="楷体" w:eastAsia="楷体" w:cs="楷体"/>
                <w:sz w:val="24"/>
              </w:rPr>
              <w:t>□通过</w:t>
            </w:r>
          </w:p>
          <w:p w14:paraId="57A026B2">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1009F975">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24DCA005">
            <w:pPr>
              <w:adjustRightInd w:val="0"/>
              <w:snapToGrid w:val="0"/>
              <w:ind w:left="-171" w:firstLine="240" w:firstLineChars="100"/>
              <w:jc w:val="center"/>
              <w:rPr>
                <w:rFonts w:ascii="楷体" w:hAnsi="楷体" w:eastAsia="楷体" w:cs="楷体"/>
              </w:rPr>
            </w:pPr>
            <w:r>
              <w:rPr>
                <w:rFonts w:hint="eastAsia" w:ascii="楷体" w:hAnsi="楷体" w:eastAsia="楷体" w:cs="楷体"/>
                <w:sz w:val="24"/>
              </w:rPr>
              <w:t>第（）页</w:t>
            </w:r>
          </w:p>
        </w:tc>
      </w:tr>
      <w:tr w14:paraId="5333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C1CFE49">
            <w:pPr>
              <w:adjustRightInd w:val="0"/>
              <w:snapToGrid w:val="0"/>
              <w:ind w:left="-171"/>
              <w:jc w:val="center"/>
              <w:rPr>
                <w:rFonts w:ascii="楷体" w:hAnsi="楷体" w:eastAsia="楷体" w:cs="楷体"/>
              </w:rPr>
            </w:pPr>
          </w:p>
        </w:tc>
        <w:tc>
          <w:tcPr>
            <w:tcW w:w="1274" w:type="pct"/>
            <w:vAlign w:val="center"/>
          </w:tcPr>
          <w:p w14:paraId="47CE9BC8">
            <w:pPr>
              <w:jc w:val="center"/>
              <w:rPr>
                <w:rFonts w:ascii="楷体" w:hAnsi="楷体" w:eastAsia="楷体" w:cs="楷体"/>
                <w:sz w:val="24"/>
              </w:rPr>
            </w:pPr>
            <w:r>
              <w:rPr>
                <w:rFonts w:hint="eastAsia" w:ascii="楷体" w:hAnsi="楷体" w:eastAsia="楷体" w:cs="楷体"/>
                <w:sz w:val="24"/>
                <w:lang w:eastAsia="en-US"/>
              </w:rPr>
              <w:t>其他要求</w:t>
            </w:r>
          </w:p>
        </w:tc>
        <w:tc>
          <w:tcPr>
            <w:tcW w:w="1649" w:type="pct"/>
            <w:vAlign w:val="center"/>
          </w:tcPr>
          <w:p w14:paraId="23431F0C">
            <w:pPr>
              <w:jc w:val="left"/>
              <w:rPr>
                <w:rFonts w:ascii="楷体" w:hAnsi="楷体" w:eastAsia="楷体" w:cs="楷体"/>
                <w:sz w:val="24"/>
              </w:rPr>
            </w:pPr>
            <w:r>
              <w:rPr>
                <w:rFonts w:hint="eastAsia" w:ascii="楷体" w:hAnsi="楷体" w:eastAsia="楷体" w:cs="楷体"/>
                <w:sz w:val="24"/>
              </w:rPr>
              <w:t>没有出现法律、法规和招标文件规定的其他投标无效情形</w:t>
            </w:r>
          </w:p>
        </w:tc>
        <w:tc>
          <w:tcPr>
            <w:tcW w:w="781" w:type="pct"/>
            <w:vAlign w:val="center"/>
          </w:tcPr>
          <w:p w14:paraId="6C246F69">
            <w:pPr>
              <w:adjustRightInd w:val="0"/>
              <w:snapToGrid w:val="0"/>
              <w:rPr>
                <w:rFonts w:ascii="楷体" w:hAnsi="楷体" w:eastAsia="楷体" w:cs="楷体"/>
                <w:sz w:val="24"/>
              </w:rPr>
            </w:pPr>
            <w:r>
              <w:rPr>
                <w:rFonts w:hint="eastAsia" w:ascii="楷体" w:hAnsi="楷体" w:eastAsia="楷体" w:cs="楷体"/>
                <w:sz w:val="24"/>
              </w:rPr>
              <w:t>□通过</w:t>
            </w:r>
          </w:p>
          <w:p w14:paraId="04B3AAED">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390C5E34">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354ACB55">
            <w:pPr>
              <w:adjustRightInd w:val="0"/>
              <w:snapToGrid w:val="0"/>
              <w:ind w:left="-171" w:firstLine="240" w:firstLineChars="100"/>
              <w:jc w:val="center"/>
              <w:rPr>
                <w:rFonts w:ascii="楷体" w:hAnsi="楷体" w:eastAsia="楷体" w:cs="楷体"/>
              </w:rPr>
            </w:pPr>
            <w:r>
              <w:rPr>
                <w:rFonts w:hint="eastAsia" w:ascii="楷体" w:hAnsi="楷体" w:eastAsia="楷体" w:cs="楷体"/>
                <w:sz w:val="24"/>
              </w:rPr>
              <w:t>第（）页</w:t>
            </w:r>
          </w:p>
        </w:tc>
      </w:tr>
    </w:tbl>
    <w:p w14:paraId="03FF29B0">
      <w:pPr>
        <w:spacing w:line="360" w:lineRule="auto"/>
        <w:ind w:left="1" w:leftChars="-171" w:hanging="360" w:hangingChars="150"/>
        <w:rPr>
          <w:rFonts w:ascii="楷体" w:hAnsi="楷体" w:eastAsia="楷体" w:cs="楷体"/>
          <w:sz w:val="24"/>
        </w:rPr>
      </w:pPr>
      <w:r>
        <w:rPr>
          <w:rFonts w:hint="eastAsia" w:ascii="楷体" w:hAnsi="楷体" w:eastAsia="楷体" w:cs="楷体"/>
          <w:sz w:val="24"/>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52E84248">
      <w:pPr>
        <w:spacing w:line="360" w:lineRule="auto"/>
        <w:rPr>
          <w:rFonts w:ascii="楷体" w:hAnsi="楷体" w:eastAsia="楷体" w:cs="楷体"/>
          <w:sz w:val="24"/>
        </w:rPr>
      </w:pPr>
      <w:r>
        <w:rPr>
          <w:rFonts w:hint="eastAsia" w:ascii="楷体" w:hAnsi="楷体" w:eastAsia="楷体" w:cs="楷体"/>
          <w:sz w:val="24"/>
        </w:rPr>
        <w:t>2、投标人根据自查结论在对应的□打“√”。</w:t>
      </w:r>
    </w:p>
    <w:p w14:paraId="6331E68F">
      <w:pPr>
        <w:adjustRightInd w:val="0"/>
        <w:snapToGrid w:val="0"/>
        <w:spacing w:line="360" w:lineRule="auto"/>
        <w:ind w:firstLine="3576" w:firstLineChars="1490"/>
        <w:rPr>
          <w:rFonts w:ascii="楷体" w:hAnsi="楷体" w:eastAsia="楷体" w:cs="楷体"/>
          <w:sz w:val="24"/>
          <w:u w:val="single"/>
        </w:rPr>
      </w:pPr>
      <w:r>
        <w:rPr>
          <w:rFonts w:hint="eastAsia" w:ascii="楷体" w:hAnsi="楷体" w:eastAsia="楷体" w:cs="楷体"/>
          <w:sz w:val="24"/>
        </w:rPr>
        <w:t>投标人名称（加盖公章）：</w:t>
      </w:r>
    </w:p>
    <w:p w14:paraId="4423BAC8">
      <w:pPr>
        <w:adjustRightInd w:val="0"/>
        <w:snapToGrid w:val="0"/>
        <w:spacing w:line="360" w:lineRule="auto"/>
        <w:ind w:firstLine="3576" w:firstLineChars="1490"/>
        <w:rPr>
          <w:rFonts w:ascii="楷体" w:hAnsi="楷体" w:eastAsia="楷体" w:cs="楷体"/>
          <w:sz w:val="24"/>
          <w:u w:val="single"/>
        </w:rPr>
      </w:pPr>
      <w:r>
        <w:rPr>
          <w:rFonts w:hint="eastAsia" w:ascii="楷体" w:hAnsi="楷体" w:eastAsia="楷体" w:cs="楷体"/>
          <w:sz w:val="24"/>
        </w:rPr>
        <w:t>投标人法定代表人或其授权代表（签字）：</w:t>
      </w:r>
    </w:p>
    <w:p w14:paraId="337E5BBE">
      <w:pPr>
        <w:adjustRightInd w:val="0"/>
        <w:snapToGrid w:val="0"/>
        <w:spacing w:line="360" w:lineRule="auto"/>
        <w:ind w:firstLine="3576" w:firstLineChars="1490"/>
        <w:rPr>
          <w:rFonts w:ascii="楷体" w:hAnsi="楷体" w:eastAsia="楷体" w:cs="楷体"/>
          <w:b/>
          <w:bCs/>
          <w:sz w:val="32"/>
          <w:szCs w:val="32"/>
        </w:rPr>
      </w:pPr>
      <w:r>
        <w:rPr>
          <w:rFonts w:hint="eastAsia" w:ascii="楷体" w:hAnsi="楷体" w:eastAsia="楷体" w:cs="楷体"/>
          <w:sz w:val="24"/>
        </w:rPr>
        <w:t>日期：   年   月   日</w:t>
      </w:r>
      <w:bookmarkStart w:id="364" w:name="_Toc7544"/>
      <w:bookmarkStart w:id="365" w:name="_Toc29972"/>
    </w:p>
    <w:bookmarkEnd w:id="364"/>
    <w:bookmarkEnd w:id="365"/>
    <w:p w14:paraId="385AC525">
      <w:pPr>
        <w:pStyle w:val="6"/>
        <w:numPr>
          <w:ilvl w:val="0"/>
          <w:numId w:val="63"/>
        </w:numPr>
        <w:jc w:val="center"/>
        <w:rPr>
          <w:rFonts w:ascii="楷体" w:hAnsi="楷体" w:eastAsia="楷体" w:cs="楷体"/>
        </w:rPr>
      </w:pPr>
      <w:bookmarkStart w:id="366" w:name="_Toc13209"/>
      <w:bookmarkStart w:id="367" w:name="_Toc21266"/>
      <w:bookmarkStart w:id="368" w:name="_Toc23051"/>
      <w:bookmarkStart w:id="369" w:name="_Toc20740"/>
      <w:r>
        <w:rPr>
          <w:rFonts w:hint="eastAsia" w:ascii="楷体" w:hAnsi="楷体" w:eastAsia="楷体" w:cs="楷体"/>
        </w:rPr>
        <w:br w:type="page"/>
      </w:r>
      <w:bookmarkStart w:id="370" w:name="_Toc8560"/>
      <w:bookmarkStart w:id="371" w:name="_Toc20190"/>
      <w:r>
        <w:rPr>
          <w:rFonts w:hint="eastAsia" w:ascii="楷体" w:hAnsi="楷体" w:eastAsia="楷体" w:cs="楷体"/>
        </w:rPr>
        <w:t>商务评审自查表</w:t>
      </w:r>
      <w:bookmarkEnd w:id="366"/>
      <w:bookmarkEnd w:id="367"/>
      <w:bookmarkEnd w:id="368"/>
      <w:bookmarkEnd w:id="369"/>
      <w:bookmarkEnd w:id="370"/>
      <w:bookmarkEnd w:id="371"/>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6F45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7AB5B444">
            <w:pPr>
              <w:jc w:val="center"/>
              <w:rPr>
                <w:rFonts w:ascii="楷体" w:hAnsi="楷体" w:eastAsia="楷体" w:cs="楷体"/>
                <w:b/>
                <w:bCs/>
                <w:sz w:val="24"/>
              </w:rPr>
            </w:pPr>
            <w:r>
              <w:rPr>
                <w:rFonts w:hint="eastAsia" w:ascii="楷体" w:hAnsi="楷体" w:eastAsia="楷体" w:cs="楷体"/>
                <w:b/>
                <w:bCs/>
                <w:sz w:val="24"/>
              </w:rPr>
              <w:t>序号</w:t>
            </w:r>
          </w:p>
        </w:tc>
        <w:tc>
          <w:tcPr>
            <w:tcW w:w="4560" w:type="dxa"/>
            <w:shd w:val="clear" w:color="auto" w:fill="EEECE1"/>
            <w:vAlign w:val="center"/>
          </w:tcPr>
          <w:p w14:paraId="5B4D56AE">
            <w:pPr>
              <w:jc w:val="center"/>
              <w:rPr>
                <w:rFonts w:ascii="楷体" w:hAnsi="楷体" w:eastAsia="楷体" w:cs="楷体"/>
                <w:b/>
                <w:bCs/>
                <w:sz w:val="24"/>
              </w:rPr>
            </w:pPr>
            <w:r>
              <w:rPr>
                <w:rFonts w:hint="eastAsia" w:ascii="楷体" w:hAnsi="楷体" w:eastAsia="楷体" w:cs="楷体"/>
                <w:b/>
                <w:bCs/>
                <w:sz w:val="24"/>
              </w:rPr>
              <w:t>评审分项</w:t>
            </w:r>
          </w:p>
        </w:tc>
        <w:tc>
          <w:tcPr>
            <w:tcW w:w="3180" w:type="dxa"/>
            <w:shd w:val="clear" w:color="auto" w:fill="EEECE1"/>
            <w:vAlign w:val="center"/>
          </w:tcPr>
          <w:p w14:paraId="5FD2133C">
            <w:pPr>
              <w:jc w:val="center"/>
              <w:rPr>
                <w:rFonts w:ascii="楷体" w:hAnsi="楷体" w:eastAsia="楷体" w:cs="楷体"/>
                <w:b/>
                <w:bCs/>
                <w:sz w:val="24"/>
              </w:rPr>
            </w:pPr>
            <w:r>
              <w:rPr>
                <w:rFonts w:hint="eastAsia" w:ascii="楷体" w:hAnsi="楷体" w:eastAsia="楷体" w:cs="楷体"/>
                <w:b/>
                <w:bCs/>
                <w:sz w:val="24"/>
              </w:rPr>
              <w:t>证明材料对应页码</w:t>
            </w:r>
          </w:p>
        </w:tc>
      </w:tr>
      <w:tr w14:paraId="7BC9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4F8004B8">
            <w:pPr>
              <w:jc w:val="center"/>
              <w:rPr>
                <w:rFonts w:ascii="楷体" w:hAnsi="楷体" w:eastAsia="楷体" w:cs="楷体"/>
                <w:sz w:val="24"/>
              </w:rPr>
            </w:pPr>
            <w:r>
              <w:rPr>
                <w:rFonts w:hint="eastAsia" w:ascii="楷体" w:hAnsi="楷体" w:eastAsia="楷体" w:cs="楷体"/>
                <w:sz w:val="24"/>
              </w:rPr>
              <w:t>1</w:t>
            </w:r>
          </w:p>
        </w:tc>
        <w:tc>
          <w:tcPr>
            <w:tcW w:w="4560" w:type="dxa"/>
            <w:vAlign w:val="center"/>
          </w:tcPr>
          <w:p w14:paraId="34080E71">
            <w:pPr>
              <w:rPr>
                <w:rFonts w:ascii="楷体" w:hAnsi="楷体" w:eastAsia="楷体" w:cs="楷体"/>
                <w:sz w:val="24"/>
              </w:rPr>
            </w:pPr>
          </w:p>
        </w:tc>
        <w:tc>
          <w:tcPr>
            <w:tcW w:w="3180" w:type="dxa"/>
            <w:vAlign w:val="center"/>
          </w:tcPr>
          <w:p w14:paraId="0E35733D">
            <w:pPr>
              <w:jc w:val="center"/>
              <w:rPr>
                <w:rFonts w:ascii="楷体" w:hAnsi="楷体" w:eastAsia="楷体" w:cs="楷体"/>
                <w:sz w:val="24"/>
              </w:rPr>
            </w:pPr>
            <w:r>
              <w:rPr>
                <w:rFonts w:hint="eastAsia" w:ascii="楷体" w:hAnsi="楷体" w:eastAsia="楷体" w:cs="楷体"/>
                <w:sz w:val="24"/>
              </w:rPr>
              <w:t>见投标文件（）页</w:t>
            </w:r>
          </w:p>
        </w:tc>
      </w:tr>
      <w:tr w14:paraId="541F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7E8E82E8">
            <w:pPr>
              <w:jc w:val="center"/>
              <w:rPr>
                <w:rFonts w:ascii="楷体" w:hAnsi="楷体" w:eastAsia="楷体" w:cs="楷体"/>
                <w:sz w:val="24"/>
              </w:rPr>
            </w:pPr>
            <w:r>
              <w:rPr>
                <w:rFonts w:hint="eastAsia" w:ascii="楷体" w:hAnsi="楷体" w:eastAsia="楷体" w:cs="楷体"/>
                <w:sz w:val="24"/>
              </w:rPr>
              <w:t>2</w:t>
            </w:r>
          </w:p>
        </w:tc>
        <w:tc>
          <w:tcPr>
            <w:tcW w:w="4560" w:type="dxa"/>
            <w:vAlign w:val="center"/>
          </w:tcPr>
          <w:p w14:paraId="186297B5">
            <w:pPr>
              <w:rPr>
                <w:rFonts w:ascii="楷体" w:hAnsi="楷体" w:eastAsia="楷体" w:cs="楷体"/>
                <w:sz w:val="24"/>
              </w:rPr>
            </w:pPr>
          </w:p>
        </w:tc>
        <w:tc>
          <w:tcPr>
            <w:tcW w:w="3180" w:type="dxa"/>
            <w:vAlign w:val="center"/>
          </w:tcPr>
          <w:p w14:paraId="2165998A">
            <w:pPr>
              <w:jc w:val="center"/>
              <w:rPr>
                <w:rFonts w:ascii="楷体" w:hAnsi="楷体" w:eastAsia="楷体" w:cs="楷体"/>
                <w:sz w:val="24"/>
              </w:rPr>
            </w:pPr>
            <w:r>
              <w:rPr>
                <w:rFonts w:hint="eastAsia" w:ascii="楷体" w:hAnsi="楷体" w:eastAsia="楷体" w:cs="楷体"/>
                <w:sz w:val="24"/>
              </w:rPr>
              <w:t>见投标文件（）页</w:t>
            </w:r>
          </w:p>
        </w:tc>
      </w:tr>
      <w:tr w14:paraId="12F5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0487F4A1">
            <w:pPr>
              <w:jc w:val="center"/>
              <w:rPr>
                <w:rFonts w:ascii="楷体" w:hAnsi="楷体" w:eastAsia="楷体" w:cs="楷体"/>
                <w:sz w:val="24"/>
              </w:rPr>
            </w:pPr>
            <w:r>
              <w:rPr>
                <w:rFonts w:hint="eastAsia" w:ascii="楷体" w:hAnsi="楷体" w:eastAsia="楷体" w:cs="楷体"/>
                <w:sz w:val="24"/>
              </w:rPr>
              <w:t>3</w:t>
            </w:r>
          </w:p>
        </w:tc>
        <w:tc>
          <w:tcPr>
            <w:tcW w:w="4560" w:type="dxa"/>
            <w:vAlign w:val="center"/>
          </w:tcPr>
          <w:p w14:paraId="3540BA4E">
            <w:pPr>
              <w:rPr>
                <w:rFonts w:ascii="楷体" w:hAnsi="楷体" w:eastAsia="楷体" w:cs="楷体"/>
                <w:sz w:val="24"/>
              </w:rPr>
            </w:pPr>
          </w:p>
        </w:tc>
        <w:tc>
          <w:tcPr>
            <w:tcW w:w="3180" w:type="dxa"/>
            <w:vAlign w:val="center"/>
          </w:tcPr>
          <w:p w14:paraId="5A0A43DB">
            <w:pPr>
              <w:jc w:val="center"/>
              <w:rPr>
                <w:rFonts w:ascii="楷体" w:hAnsi="楷体" w:eastAsia="楷体" w:cs="楷体"/>
                <w:sz w:val="24"/>
              </w:rPr>
            </w:pPr>
            <w:r>
              <w:rPr>
                <w:rFonts w:hint="eastAsia" w:ascii="楷体" w:hAnsi="楷体" w:eastAsia="楷体" w:cs="楷体"/>
                <w:sz w:val="24"/>
              </w:rPr>
              <w:t>见投标文件（）页</w:t>
            </w:r>
          </w:p>
        </w:tc>
      </w:tr>
      <w:tr w14:paraId="1E72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1E0D9EC5">
            <w:pPr>
              <w:jc w:val="center"/>
              <w:rPr>
                <w:rFonts w:ascii="楷体" w:hAnsi="楷体" w:eastAsia="楷体" w:cs="楷体"/>
                <w:sz w:val="24"/>
              </w:rPr>
            </w:pPr>
            <w:r>
              <w:rPr>
                <w:rFonts w:hint="eastAsia" w:ascii="楷体" w:hAnsi="楷体" w:eastAsia="楷体" w:cs="楷体"/>
                <w:sz w:val="24"/>
              </w:rPr>
              <w:t>4</w:t>
            </w:r>
          </w:p>
        </w:tc>
        <w:tc>
          <w:tcPr>
            <w:tcW w:w="4560" w:type="dxa"/>
            <w:vAlign w:val="center"/>
          </w:tcPr>
          <w:p w14:paraId="49C338A7">
            <w:pPr>
              <w:rPr>
                <w:rFonts w:ascii="楷体" w:hAnsi="楷体" w:eastAsia="楷体" w:cs="楷体"/>
                <w:sz w:val="24"/>
              </w:rPr>
            </w:pPr>
          </w:p>
        </w:tc>
        <w:tc>
          <w:tcPr>
            <w:tcW w:w="3180" w:type="dxa"/>
            <w:vAlign w:val="center"/>
          </w:tcPr>
          <w:p w14:paraId="45833934">
            <w:pPr>
              <w:jc w:val="center"/>
              <w:rPr>
                <w:rFonts w:ascii="楷体" w:hAnsi="楷体" w:eastAsia="楷体" w:cs="楷体"/>
                <w:sz w:val="24"/>
              </w:rPr>
            </w:pPr>
            <w:r>
              <w:rPr>
                <w:rFonts w:hint="eastAsia" w:ascii="楷体" w:hAnsi="楷体" w:eastAsia="楷体" w:cs="楷体"/>
                <w:sz w:val="24"/>
              </w:rPr>
              <w:t>见投标文件（）页</w:t>
            </w:r>
          </w:p>
        </w:tc>
      </w:tr>
      <w:tr w14:paraId="10B7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733E7946">
            <w:pPr>
              <w:jc w:val="center"/>
              <w:rPr>
                <w:rFonts w:ascii="楷体" w:hAnsi="楷体" w:eastAsia="楷体" w:cs="楷体"/>
                <w:sz w:val="24"/>
              </w:rPr>
            </w:pPr>
            <w:r>
              <w:rPr>
                <w:rFonts w:hint="eastAsia" w:ascii="楷体" w:hAnsi="楷体" w:eastAsia="楷体" w:cs="楷体"/>
                <w:sz w:val="24"/>
              </w:rPr>
              <w:t>5</w:t>
            </w:r>
          </w:p>
        </w:tc>
        <w:tc>
          <w:tcPr>
            <w:tcW w:w="4560" w:type="dxa"/>
            <w:vAlign w:val="center"/>
          </w:tcPr>
          <w:p w14:paraId="569E1BED">
            <w:pPr>
              <w:rPr>
                <w:rFonts w:ascii="楷体" w:hAnsi="楷体" w:eastAsia="楷体" w:cs="楷体"/>
                <w:sz w:val="24"/>
              </w:rPr>
            </w:pPr>
          </w:p>
        </w:tc>
        <w:tc>
          <w:tcPr>
            <w:tcW w:w="3180" w:type="dxa"/>
            <w:vAlign w:val="center"/>
          </w:tcPr>
          <w:p w14:paraId="3BB3D507">
            <w:pPr>
              <w:jc w:val="center"/>
              <w:rPr>
                <w:rFonts w:ascii="楷体" w:hAnsi="楷体" w:eastAsia="楷体" w:cs="楷体"/>
                <w:sz w:val="24"/>
              </w:rPr>
            </w:pPr>
            <w:r>
              <w:rPr>
                <w:rFonts w:hint="eastAsia" w:ascii="楷体" w:hAnsi="楷体" w:eastAsia="楷体" w:cs="楷体"/>
                <w:sz w:val="24"/>
              </w:rPr>
              <w:t>见投标文件（）页</w:t>
            </w:r>
          </w:p>
        </w:tc>
      </w:tr>
      <w:tr w14:paraId="1425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61FC4CAA">
            <w:pPr>
              <w:jc w:val="center"/>
              <w:rPr>
                <w:rFonts w:ascii="楷体" w:hAnsi="楷体" w:eastAsia="楷体" w:cs="楷体"/>
                <w:sz w:val="24"/>
              </w:rPr>
            </w:pPr>
            <w:r>
              <w:rPr>
                <w:rFonts w:hint="eastAsia" w:ascii="楷体" w:hAnsi="楷体" w:eastAsia="楷体" w:cs="楷体"/>
                <w:sz w:val="24"/>
              </w:rPr>
              <w:t>6</w:t>
            </w:r>
          </w:p>
        </w:tc>
        <w:tc>
          <w:tcPr>
            <w:tcW w:w="4560" w:type="dxa"/>
            <w:vAlign w:val="center"/>
          </w:tcPr>
          <w:p w14:paraId="6FF4B4E6">
            <w:pPr>
              <w:rPr>
                <w:rFonts w:ascii="楷体" w:hAnsi="楷体" w:eastAsia="楷体" w:cs="楷体"/>
                <w:sz w:val="24"/>
              </w:rPr>
            </w:pPr>
          </w:p>
        </w:tc>
        <w:tc>
          <w:tcPr>
            <w:tcW w:w="3180" w:type="dxa"/>
            <w:vAlign w:val="center"/>
          </w:tcPr>
          <w:p w14:paraId="76C66B6C">
            <w:pPr>
              <w:jc w:val="center"/>
              <w:rPr>
                <w:rFonts w:ascii="楷体" w:hAnsi="楷体" w:eastAsia="楷体" w:cs="楷体"/>
                <w:sz w:val="24"/>
              </w:rPr>
            </w:pPr>
            <w:r>
              <w:rPr>
                <w:rFonts w:hint="eastAsia" w:ascii="楷体" w:hAnsi="楷体" w:eastAsia="楷体" w:cs="楷体"/>
                <w:sz w:val="24"/>
              </w:rPr>
              <w:t>见投标文件（）页</w:t>
            </w:r>
          </w:p>
        </w:tc>
      </w:tr>
      <w:tr w14:paraId="4ED8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52BCFDFF">
            <w:pPr>
              <w:jc w:val="center"/>
              <w:rPr>
                <w:rFonts w:ascii="楷体" w:hAnsi="楷体" w:eastAsia="楷体" w:cs="楷体"/>
                <w:sz w:val="24"/>
              </w:rPr>
            </w:pPr>
            <w:r>
              <w:rPr>
                <w:rFonts w:hint="eastAsia" w:ascii="楷体" w:hAnsi="楷体" w:eastAsia="楷体" w:cs="楷体"/>
                <w:sz w:val="24"/>
              </w:rPr>
              <w:t>7</w:t>
            </w:r>
          </w:p>
        </w:tc>
        <w:tc>
          <w:tcPr>
            <w:tcW w:w="4560" w:type="dxa"/>
            <w:vAlign w:val="center"/>
          </w:tcPr>
          <w:p w14:paraId="4685CC99">
            <w:pPr>
              <w:rPr>
                <w:rFonts w:ascii="楷体" w:hAnsi="楷体" w:eastAsia="楷体" w:cs="楷体"/>
                <w:sz w:val="24"/>
              </w:rPr>
            </w:pPr>
          </w:p>
        </w:tc>
        <w:tc>
          <w:tcPr>
            <w:tcW w:w="3180" w:type="dxa"/>
            <w:vAlign w:val="center"/>
          </w:tcPr>
          <w:p w14:paraId="44F084C8">
            <w:pPr>
              <w:jc w:val="center"/>
              <w:rPr>
                <w:rFonts w:ascii="楷体" w:hAnsi="楷体" w:eastAsia="楷体" w:cs="楷体"/>
                <w:sz w:val="24"/>
              </w:rPr>
            </w:pPr>
            <w:r>
              <w:rPr>
                <w:rFonts w:hint="eastAsia" w:ascii="楷体" w:hAnsi="楷体" w:eastAsia="楷体" w:cs="楷体"/>
                <w:sz w:val="24"/>
              </w:rPr>
              <w:t>见投标文件（）页</w:t>
            </w:r>
          </w:p>
        </w:tc>
      </w:tr>
      <w:tr w14:paraId="3D7C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123A6EE8">
            <w:pPr>
              <w:jc w:val="center"/>
              <w:rPr>
                <w:rFonts w:ascii="楷体" w:hAnsi="楷体" w:eastAsia="楷体" w:cs="楷体"/>
                <w:sz w:val="24"/>
              </w:rPr>
            </w:pPr>
            <w:r>
              <w:rPr>
                <w:rFonts w:hint="eastAsia" w:ascii="楷体" w:hAnsi="楷体" w:eastAsia="楷体" w:cs="楷体"/>
                <w:sz w:val="24"/>
              </w:rPr>
              <w:t>8</w:t>
            </w:r>
          </w:p>
        </w:tc>
        <w:tc>
          <w:tcPr>
            <w:tcW w:w="4560" w:type="dxa"/>
            <w:vAlign w:val="center"/>
          </w:tcPr>
          <w:p w14:paraId="11673E6E">
            <w:pPr>
              <w:rPr>
                <w:rFonts w:ascii="楷体" w:hAnsi="楷体" w:eastAsia="楷体" w:cs="楷体"/>
                <w:sz w:val="24"/>
              </w:rPr>
            </w:pPr>
          </w:p>
        </w:tc>
        <w:tc>
          <w:tcPr>
            <w:tcW w:w="3180" w:type="dxa"/>
            <w:vAlign w:val="center"/>
          </w:tcPr>
          <w:p w14:paraId="69EAD01B">
            <w:pPr>
              <w:jc w:val="center"/>
              <w:rPr>
                <w:rFonts w:ascii="楷体" w:hAnsi="楷体" w:eastAsia="楷体" w:cs="楷体"/>
                <w:sz w:val="24"/>
              </w:rPr>
            </w:pPr>
            <w:r>
              <w:rPr>
                <w:rFonts w:hint="eastAsia" w:ascii="楷体" w:hAnsi="楷体" w:eastAsia="楷体" w:cs="楷体"/>
                <w:sz w:val="24"/>
              </w:rPr>
              <w:t>见投标文件（）页</w:t>
            </w:r>
          </w:p>
        </w:tc>
      </w:tr>
      <w:tr w14:paraId="6E5E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07EE3FC6">
            <w:pPr>
              <w:jc w:val="center"/>
              <w:rPr>
                <w:rFonts w:ascii="楷体" w:hAnsi="楷体" w:eastAsia="楷体" w:cs="楷体"/>
                <w:sz w:val="24"/>
              </w:rPr>
            </w:pPr>
            <w:r>
              <w:rPr>
                <w:rFonts w:hint="eastAsia" w:ascii="楷体" w:hAnsi="楷体" w:eastAsia="楷体" w:cs="楷体"/>
                <w:sz w:val="24"/>
              </w:rPr>
              <w:t>9</w:t>
            </w:r>
          </w:p>
        </w:tc>
        <w:tc>
          <w:tcPr>
            <w:tcW w:w="4560" w:type="dxa"/>
            <w:vAlign w:val="center"/>
          </w:tcPr>
          <w:p w14:paraId="5B44C6D4">
            <w:pPr>
              <w:rPr>
                <w:rFonts w:ascii="楷体" w:hAnsi="楷体" w:eastAsia="楷体" w:cs="楷体"/>
                <w:sz w:val="24"/>
              </w:rPr>
            </w:pPr>
          </w:p>
        </w:tc>
        <w:tc>
          <w:tcPr>
            <w:tcW w:w="3180" w:type="dxa"/>
            <w:vAlign w:val="center"/>
          </w:tcPr>
          <w:p w14:paraId="5E453190">
            <w:pPr>
              <w:jc w:val="center"/>
              <w:rPr>
                <w:rFonts w:ascii="楷体" w:hAnsi="楷体" w:eastAsia="楷体" w:cs="楷体"/>
                <w:sz w:val="24"/>
              </w:rPr>
            </w:pPr>
            <w:r>
              <w:rPr>
                <w:rFonts w:hint="eastAsia" w:ascii="楷体" w:hAnsi="楷体" w:eastAsia="楷体" w:cs="楷体"/>
                <w:sz w:val="24"/>
              </w:rPr>
              <w:t>见投标文件（）页</w:t>
            </w:r>
          </w:p>
        </w:tc>
      </w:tr>
      <w:tr w14:paraId="100F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0D4263F0">
            <w:pPr>
              <w:jc w:val="center"/>
              <w:rPr>
                <w:rFonts w:ascii="楷体" w:hAnsi="楷体" w:eastAsia="楷体" w:cs="楷体"/>
                <w:sz w:val="24"/>
              </w:rPr>
            </w:pPr>
            <w:r>
              <w:rPr>
                <w:rFonts w:hint="eastAsia" w:ascii="楷体" w:hAnsi="楷体" w:eastAsia="楷体" w:cs="楷体"/>
                <w:sz w:val="24"/>
              </w:rPr>
              <w:t>…</w:t>
            </w:r>
          </w:p>
        </w:tc>
        <w:tc>
          <w:tcPr>
            <w:tcW w:w="4560" w:type="dxa"/>
            <w:vAlign w:val="center"/>
          </w:tcPr>
          <w:p w14:paraId="55514F12">
            <w:pPr>
              <w:rPr>
                <w:rFonts w:ascii="楷体" w:hAnsi="楷体" w:eastAsia="楷体" w:cs="楷体"/>
                <w:sz w:val="24"/>
              </w:rPr>
            </w:pPr>
          </w:p>
        </w:tc>
        <w:tc>
          <w:tcPr>
            <w:tcW w:w="3180" w:type="dxa"/>
            <w:vAlign w:val="center"/>
          </w:tcPr>
          <w:p w14:paraId="1FD36B43">
            <w:pPr>
              <w:jc w:val="center"/>
              <w:rPr>
                <w:rFonts w:ascii="楷体" w:hAnsi="楷体" w:eastAsia="楷体" w:cs="楷体"/>
                <w:sz w:val="24"/>
              </w:rPr>
            </w:pPr>
          </w:p>
        </w:tc>
      </w:tr>
    </w:tbl>
    <w:p w14:paraId="2EDDE57C">
      <w:pPr>
        <w:spacing w:before="120" w:beforeLines="50" w:line="360" w:lineRule="auto"/>
        <w:rPr>
          <w:rFonts w:ascii="楷体" w:hAnsi="楷体" w:eastAsia="楷体" w:cs="楷体"/>
          <w:sz w:val="24"/>
        </w:rPr>
      </w:pPr>
      <w:r>
        <w:rPr>
          <w:rFonts w:hint="eastAsia" w:ascii="楷体" w:hAnsi="楷体" w:eastAsia="楷体" w:cs="楷体"/>
          <w:sz w:val="24"/>
        </w:rPr>
        <w:t>注：投标人应根据《商务评审表》的各项内容填写此表。</w:t>
      </w:r>
    </w:p>
    <w:p w14:paraId="371E6DC1">
      <w:pPr>
        <w:rPr>
          <w:rFonts w:ascii="楷体" w:hAnsi="楷体" w:eastAsia="楷体" w:cs="楷体"/>
        </w:rPr>
      </w:pPr>
    </w:p>
    <w:p w14:paraId="7A40C157">
      <w:pPr>
        <w:rPr>
          <w:rFonts w:ascii="楷体" w:hAnsi="楷体" w:eastAsia="楷体" w:cs="楷体"/>
        </w:rPr>
      </w:pPr>
    </w:p>
    <w:p w14:paraId="0A782DD7">
      <w:pPr>
        <w:rPr>
          <w:rFonts w:ascii="楷体" w:hAnsi="楷体" w:eastAsia="楷体" w:cs="楷体"/>
        </w:rPr>
      </w:pPr>
    </w:p>
    <w:p w14:paraId="641AC1E0">
      <w:pPr>
        <w:rPr>
          <w:rFonts w:ascii="楷体" w:hAnsi="楷体" w:eastAsia="楷体" w:cs="楷体"/>
        </w:rPr>
      </w:pPr>
    </w:p>
    <w:p w14:paraId="5C703C72">
      <w:pPr>
        <w:rPr>
          <w:rFonts w:ascii="楷体" w:hAnsi="楷体" w:eastAsia="楷体" w:cs="楷体"/>
        </w:rPr>
      </w:pPr>
    </w:p>
    <w:p w14:paraId="2A0476E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5AE1B22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6B94938">
      <w:pPr>
        <w:spacing w:before="72" w:after="72" w:line="400" w:lineRule="exact"/>
        <w:ind w:firstLine="3578" w:firstLineChars="1491"/>
        <w:rPr>
          <w:rFonts w:ascii="楷体" w:hAnsi="楷体" w:eastAsia="楷体" w:cs="楷体"/>
          <w:b/>
          <w:sz w:val="24"/>
        </w:rPr>
      </w:pPr>
      <w:r>
        <w:rPr>
          <w:rFonts w:hint="eastAsia" w:ascii="楷体" w:hAnsi="楷体" w:eastAsia="楷体" w:cs="楷体"/>
          <w:sz w:val="24"/>
        </w:rPr>
        <w:t>日期：   年   月   日</w:t>
      </w:r>
    </w:p>
    <w:p w14:paraId="2389BC46">
      <w:pPr>
        <w:spacing w:before="72" w:after="72" w:line="400" w:lineRule="exact"/>
        <w:rPr>
          <w:rFonts w:ascii="楷体" w:hAnsi="楷体" w:eastAsia="楷体" w:cs="楷体"/>
          <w:b/>
          <w:sz w:val="24"/>
        </w:rPr>
      </w:pPr>
    </w:p>
    <w:p w14:paraId="1F15DD11">
      <w:pPr>
        <w:rPr>
          <w:rFonts w:ascii="楷体" w:hAnsi="楷体" w:eastAsia="楷体" w:cs="楷体"/>
        </w:rPr>
        <w:sectPr>
          <w:headerReference r:id="rId7" w:type="default"/>
          <w:pgSz w:w="11906" w:h="16838"/>
          <w:pgMar w:top="1240" w:right="1800" w:bottom="1440" w:left="1800" w:header="851" w:footer="822" w:gutter="0"/>
          <w:cols w:space="720" w:num="1"/>
          <w:titlePg/>
          <w:docGrid w:linePitch="312" w:charSpace="0"/>
        </w:sectPr>
      </w:pPr>
    </w:p>
    <w:p w14:paraId="222E1038">
      <w:pPr>
        <w:pStyle w:val="6"/>
        <w:numPr>
          <w:ilvl w:val="0"/>
          <w:numId w:val="63"/>
        </w:numPr>
        <w:jc w:val="center"/>
        <w:rPr>
          <w:rFonts w:ascii="楷体" w:hAnsi="楷体" w:eastAsia="楷体" w:cs="楷体"/>
        </w:rPr>
      </w:pPr>
      <w:bookmarkStart w:id="372" w:name="_Toc8696"/>
      <w:bookmarkStart w:id="373" w:name="_Toc191"/>
      <w:r>
        <w:rPr>
          <w:rFonts w:hint="eastAsia" w:ascii="楷体" w:hAnsi="楷体" w:eastAsia="楷体" w:cs="楷体"/>
        </w:rPr>
        <w:t>技术评审自查表</w:t>
      </w:r>
      <w:bookmarkEnd w:id="372"/>
      <w:bookmarkEnd w:id="373"/>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5CDD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2098CC5D">
            <w:pPr>
              <w:jc w:val="center"/>
              <w:rPr>
                <w:rFonts w:ascii="楷体" w:hAnsi="楷体" w:eastAsia="楷体" w:cs="楷体"/>
                <w:b/>
                <w:bCs/>
                <w:sz w:val="24"/>
              </w:rPr>
            </w:pPr>
            <w:r>
              <w:rPr>
                <w:rFonts w:hint="eastAsia" w:ascii="楷体" w:hAnsi="楷体" w:eastAsia="楷体" w:cs="楷体"/>
                <w:b/>
                <w:bCs/>
                <w:sz w:val="24"/>
              </w:rPr>
              <w:t>序号</w:t>
            </w:r>
          </w:p>
        </w:tc>
        <w:tc>
          <w:tcPr>
            <w:tcW w:w="4560" w:type="dxa"/>
            <w:shd w:val="clear" w:color="auto" w:fill="EEECE1"/>
            <w:vAlign w:val="center"/>
          </w:tcPr>
          <w:p w14:paraId="71EA829A">
            <w:pPr>
              <w:jc w:val="center"/>
              <w:rPr>
                <w:rFonts w:ascii="楷体" w:hAnsi="楷体" w:eastAsia="楷体" w:cs="楷体"/>
                <w:b/>
                <w:bCs/>
                <w:sz w:val="24"/>
              </w:rPr>
            </w:pPr>
            <w:r>
              <w:rPr>
                <w:rFonts w:hint="eastAsia" w:ascii="楷体" w:hAnsi="楷体" w:eastAsia="楷体" w:cs="楷体"/>
                <w:b/>
                <w:bCs/>
                <w:sz w:val="24"/>
              </w:rPr>
              <w:t>评审分项</w:t>
            </w:r>
          </w:p>
        </w:tc>
        <w:tc>
          <w:tcPr>
            <w:tcW w:w="3180" w:type="dxa"/>
            <w:shd w:val="clear" w:color="auto" w:fill="EEECE1"/>
            <w:vAlign w:val="center"/>
          </w:tcPr>
          <w:p w14:paraId="3475A46D">
            <w:pPr>
              <w:jc w:val="center"/>
              <w:rPr>
                <w:rFonts w:ascii="楷体" w:hAnsi="楷体" w:eastAsia="楷体" w:cs="楷体"/>
                <w:b/>
                <w:bCs/>
                <w:sz w:val="24"/>
              </w:rPr>
            </w:pPr>
            <w:r>
              <w:rPr>
                <w:rFonts w:hint="eastAsia" w:ascii="楷体" w:hAnsi="楷体" w:eastAsia="楷体" w:cs="楷体"/>
                <w:b/>
                <w:bCs/>
                <w:sz w:val="24"/>
              </w:rPr>
              <w:t>证明材料对应页码</w:t>
            </w:r>
          </w:p>
        </w:tc>
      </w:tr>
      <w:tr w14:paraId="1C9E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308A7620">
            <w:pPr>
              <w:jc w:val="center"/>
              <w:rPr>
                <w:rFonts w:ascii="楷体" w:hAnsi="楷体" w:eastAsia="楷体" w:cs="楷体"/>
                <w:sz w:val="24"/>
              </w:rPr>
            </w:pPr>
            <w:r>
              <w:rPr>
                <w:rFonts w:hint="eastAsia" w:ascii="楷体" w:hAnsi="楷体" w:eastAsia="楷体" w:cs="楷体"/>
                <w:sz w:val="24"/>
              </w:rPr>
              <w:t>1</w:t>
            </w:r>
          </w:p>
        </w:tc>
        <w:tc>
          <w:tcPr>
            <w:tcW w:w="4560" w:type="dxa"/>
            <w:vAlign w:val="center"/>
          </w:tcPr>
          <w:p w14:paraId="67E1F3E4">
            <w:pPr>
              <w:rPr>
                <w:rFonts w:ascii="楷体" w:hAnsi="楷体" w:eastAsia="楷体" w:cs="楷体"/>
                <w:sz w:val="24"/>
              </w:rPr>
            </w:pPr>
          </w:p>
        </w:tc>
        <w:tc>
          <w:tcPr>
            <w:tcW w:w="3180" w:type="dxa"/>
            <w:vAlign w:val="center"/>
          </w:tcPr>
          <w:p w14:paraId="70A3B41E">
            <w:pPr>
              <w:jc w:val="center"/>
              <w:rPr>
                <w:rFonts w:ascii="楷体" w:hAnsi="楷体" w:eastAsia="楷体" w:cs="楷体"/>
                <w:sz w:val="24"/>
              </w:rPr>
            </w:pPr>
            <w:r>
              <w:rPr>
                <w:rFonts w:hint="eastAsia" w:ascii="楷体" w:hAnsi="楷体" w:eastAsia="楷体" w:cs="楷体"/>
                <w:sz w:val="24"/>
              </w:rPr>
              <w:t>见投标文件（）页</w:t>
            </w:r>
          </w:p>
        </w:tc>
      </w:tr>
      <w:tr w14:paraId="513B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2563B6C0">
            <w:pPr>
              <w:jc w:val="center"/>
              <w:rPr>
                <w:rFonts w:ascii="楷体" w:hAnsi="楷体" w:eastAsia="楷体" w:cs="楷体"/>
                <w:sz w:val="24"/>
              </w:rPr>
            </w:pPr>
            <w:r>
              <w:rPr>
                <w:rFonts w:hint="eastAsia" w:ascii="楷体" w:hAnsi="楷体" w:eastAsia="楷体" w:cs="楷体"/>
                <w:sz w:val="24"/>
              </w:rPr>
              <w:t>2</w:t>
            </w:r>
          </w:p>
        </w:tc>
        <w:tc>
          <w:tcPr>
            <w:tcW w:w="4560" w:type="dxa"/>
            <w:vAlign w:val="center"/>
          </w:tcPr>
          <w:p w14:paraId="013FC1EA">
            <w:pPr>
              <w:rPr>
                <w:rFonts w:ascii="楷体" w:hAnsi="楷体" w:eastAsia="楷体" w:cs="楷体"/>
                <w:sz w:val="24"/>
              </w:rPr>
            </w:pPr>
          </w:p>
        </w:tc>
        <w:tc>
          <w:tcPr>
            <w:tcW w:w="3180" w:type="dxa"/>
            <w:vAlign w:val="center"/>
          </w:tcPr>
          <w:p w14:paraId="01B5ED6E">
            <w:pPr>
              <w:jc w:val="center"/>
              <w:rPr>
                <w:rFonts w:ascii="楷体" w:hAnsi="楷体" w:eastAsia="楷体" w:cs="楷体"/>
                <w:sz w:val="24"/>
              </w:rPr>
            </w:pPr>
            <w:r>
              <w:rPr>
                <w:rFonts w:hint="eastAsia" w:ascii="楷体" w:hAnsi="楷体" w:eastAsia="楷体" w:cs="楷体"/>
                <w:sz w:val="24"/>
              </w:rPr>
              <w:t>见投标文件（）页</w:t>
            </w:r>
          </w:p>
        </w:tc>
      </w:tr>
      <w:tr w14:paraId="0FD6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2812F7BD">
            <w:pPr>
              <w:jc w:val="center"/>
              <w:rPr>
                <w:rFonts w:ascii="楷体" w:hAnsi="楷体" w:eastAsia="楷体" w:cs="楷体"/>
                <w:sz w:val="24"/>
              </w:rPr>
            </w:pPr>
            <w:r>
              <w:rPr>
                <w:rFonts w:hint="eastAsia" w:ascii="楷体" w:hAnsi="楷体" w:eastAsia="楷体" w:cs="楷体"/>
                <w:sz w:val="24"/>
              </w:rPr>
              <w:t>3</w:t>
            </w:r>
          </w:p>
        </w:tc>
        <w:tc>
          <w:tcPr>
            <w:tcW w:w="4560" w:type="dxa"/>
            <w:vAlign w:val="center"/>
          </w:tcPr>
          <w:p w14:paraId="787A194C">
            <w:pPr>
              <w:rPr>
                <w:rFonts w:ascii="楷体" w:hAnsi="楷体" w:eastAsia="楷体" w:cs="楷体"/>
                <w:sz w:val="24"/>
              </w:rPr>
            </w:pPr>
          </w:p>
        </w:tc>
        <w:tc>
          <w:tcPr>
            <w:tcW w:w="3180" w:type="dxa"/>
            <w:vAlign w:val="center"/>
          </w:tcPr>
          <w:p w14:paraId="663E8CE5">
            <w:pPr>
              <w:jc w:val="center"/>
              <w:rPr>
                <w:rFonts w:ascii="楷体" w:hAnsi="楷体" w:eastAsia="楷体" w:cs="楷体"/>
                <w:sz w:val="24"/>
              </w:rPr>
            </w:pPr>
            <w:r>
              <w:rPr>
                <w:rFonts w:hint="eastAsia" w:ascii="楷体" w:hAnsi="楷体" w:eastAsia="楷体" w:cs="楷体"/>
                <w:sz w:val="24"/>
              </w:rPr>
              <w:t>见投标文件（）页</w:t>
            </w:r>
          </w:p>
        </w:tc>
      </w:tr>
      <w:tr w14:paraId="2C50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37059A92">
            <w:pPr>
              <w:jc w:val="center"/>
              <w:rPr>
                <w:rFonts w:ascii="楷体" w:hAnsi="楷体" w:eastAsia="楷体" w:cs="楷体"/>
                <w:sz w:val="24"/>
              </w:rPr>
            </w:pPr>
            <w:r>
              <w:rPr>
                <w:rFonts w:hint="eastAsia" w:ascii="楷体" w:hAnsi="楷体" w:eastAsia="楷体" w:cs="楷体"/>
                <w:sz w:val="24"/>
              </w:rPr>
              <w:t>4</w:t>
            </w:r>
          </w:p>
        </w:tc>
        <w:tc>
          <w:tcPr>
            <w:tcW w:w="4560" w:type="dxa"/>
            <w:vAlign w:val="center"/>
          </w:tcPr>
          <w:p w14:paraId="587C3E62">
            <w:pPr>
              <w:rPr>
                <w:rFonts w:ascii="楷体" w:hAnsi="楷体" w:eastAsia="楷体" w:cs="楷体"/>
                <w:sz w:val="24"/>
              </w:rPr>
            </w:pPr>
          </w:p>
        </w:tc>
        <w:tc>
          <w:tcPr>
            <w:tcW w:w="3180" w:type="dxa"/>
            <w:vAlign w:val="center"/>
          </w:tcPr>
          <w:p w14:paraId="02220B07">
            <w:pPr>
              <w:jc w:val="center"/>
              <w:rPr>
                <w:rFonts w:ascii="楷体" w:hAnsi="楷体" w:eastAsia="楷体" w:cs="楷体"/>
                <w:sz w:val="24"/>
              </w:rPr>
            </w:pPr>
            <w:r>
              <w:rPr>
                <w:rFonts w:hint="eastAsia" w:ascii="楷体" w:hAnsi="楷体" w:eastAsia="楷体" w:cs="楷体"/>
                <w:sz w:val="24"/>
              </w:rPr>
              <w:t>见投标文件（）页</w:t>
            </w:r>
          </w:p>
        </w:tc>
      </w:tr>
      <w:tr w14:paraId="58D5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3F28C9D6">
            <w:pPr>
              <w:jc w:val="center"/>
              <w:rPr>
                <w:rFonts w:ascii="楷体" w:hAnsi="楷体" w:eastAsia="楷体" w:cs="楷体"/>
                <w:sz w:val="24"/>
              </w:rPr>
            </w:pPr>
            <w:r>
              <w:rPr>
                <w:rFonts w:hint="eastAsia" w:ascii="楷体" w:hAnsi="楷体" w:eastAsia="楷体" w:cs="楷体"/>
                <w:sz w:val="24"/>
              </w:rPr>
              <w:t>5</w:t>
            </w:r>
          </w:p>
        </w:tc>
        <w:tc>
          <w:tcPr>
            <w:tcW w:w="4560" w:type="dxa"/>
            <w:vAlign w:val="center"/>
          </w:tcPr>
          <w:p w14:paraId="18980548">
            <w:pPr>
              <w:rPr>
                <w:rFonts w:ascii="楷体" w:hAnsi="楷体" w:eastAsia="楷体" w:cs="楷体"/>
                <w:sz w:val="24"/>
              </w:rPr>
            </w:pPr>
          </w:p>
        </w:tc>
        <w:tc>
          <w:tcPr>
            <w:tcW w:w="3180" w:type="dxa"/>
            <w:vAlign w:val="center"/>
          </w:tcPr>
          <w:p w14:paraId="144CDF20">
            <w:pPr>
              <w:jc w:val="center"/>
              <w:rPr>
                <w:rFonts w:ascii="楷体" w:hAnsi="楷体" w:eastAsia="楷体" w:cs="楷体"/>
                <w:sz w:val="24"/>
              </w:rPr>
            </w:pPr>
            <w:r>
              <w:rPr>
                <w:rFonts w:hint="eastAsia" w:ascii="楷体" w:hAnsi="楷体" w:eastAsia="楷体" w:cs="楷体"/>
                <w:sz w:val="24"/>
              </w:rPr>
              <w:t>见投标文件（）页</w:t>
            </w:r>
          </w:p>
        </w:tc>
      </w:tr>
      <w:tr w14:paraId="2A01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6CBA25CA">
            <w:pPr>
              <w:jc w:val="center"/>
              <w:rPr>
                <w:rFonts w:ascii="楷体" w:hAnsi="楷体" w:eastAsia="楷体" w:cs="楷体"/>
                <w:sz w:val="24"/>
              </w:rPr>
            </w:pPr>
            <w:r>
              <w:rPr>
                <w:rFonts w:hint="eastAsia" w:ascii="楷体" w:hAnsi="楷体" w:eastAsia="楷体" w:cs="楷体"/>
                <w:sz w:val="24"/>
              </w:rPr>
              <w:t>6</w:t>
            </w:r>
          </w:p>
        </w:tc>
        <w:tc>
          <w:tcPr>
            <w:tcW w:w="4560" w:type="dxa"/>
            <w:vAlign w:val="center"/>
          </w:tcPr>
          <w:p w14:paraId="39214097">
            <w:pPr>
              <w:rPr>
                <w:rFonts w:ascii="楷体" w:hAnsi="楷体" w:eastAsia="楷体" w:cs="楷体"/>
                <w:sz w:val="24"/>
              </w:rPr>
            </w:pPr>
          </w:p>
        </w:tc>
        <w:tc>
          <w:tcPr>
            <w:tcW w:w="3180" w:type="dxa"/>
            <w:vAlign w:val="center"/>
          </w:tcPr>
          <w:p w14:paraId="4ECC1CAF">
            <w:pPr>
              <w:jc w:val="center"/>
              <w:rPr>
                <w:rFonts w:ascii="楷体" w:hAnsi="楷体" w:eastAsia="楷体" w:cs="楷体"/>
                <w:sz w:val="24"/>
              </w:rPr>
            </w:pPr>
            <w:r>
              <w:rPr>
                <w:rFonts w:hint="eastAsia" w:ascii="楷体" w:hAnsi="楷体" w:eastAsia="楷体" w:cs="楷体"/>
                <w:sz w:val="24"/>
              </w:rPr>
              <w:t>见投标文件（）页</w:t>
            </w:r>
          </w:p>
        </w:tc>
      </w:tr>
      <w:tr w14:paraId="607C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2E63608">
            <w:pPr>
              <w:jc w:val="center"/>
              <w:rPr>
                <w:rFonts w:ascii="楷体" w:hAnsi="楷体" w:eastAsia="楷体" w:cs="楷体"/>
                <w:sz w:val="24"/>
              </w:rPr>
            </w:pPr>
            <w:r>
              <w:rPr>
                <w:rFonts w:hint="eastAsia" w:ascii="楷体" w:hAnsi="楷体" w:eastAsia="楷体" w:cs="楷体"/>
                <w:sz w:val="24"/>
              </w:rPr>
              <w:t>7</w:t>
            </w:r>
          </w:p>
        </w:tc>
        <w:tc>
          <w:tcPr>
            <w:tcW w:w="4560" w:type="dxa"/>
            <w:vAlign w:val="center"/>
          </w:tcPr>
          <w:p w14:paraId="73247855">
            <w:pPr>
              <w:rPr>
                <w:rFonts w:ascii="楷体" w:hAnsi="楷体" w:eastAsia="楷体" w:cs="楷体"/>
                <w:sz w:val="24"/>
              </w:rPr>
            </w:pPr>
          </w:p>
        </w:tc>
        <w:tc>
          <w:tcPr>
            <w:tcW w:w="3180" w:type="dxa"/>
            <w:vAlign w:val="center"/>
          </w:tcPr>
          <w:p w14:paraId="0B64C811">
            <w:pPr>
              <w:jc w:val="center"/>
              <w:rPr>
                <w:rFonts w:ascii="楷体" w:hAnsi="楷体" w:eastAsia="楷体" w:cs="楷体"/>
                <w:sz w:val="24"/>
              </w:rPr>
            </w:pPr>
            <w:r>
              <w:rPr>
                <w:rFonts w:hint="eastAsia" w:ascii="楷体" w:hAnsi="楷体" w:eastAsia="楷体" w:cs="楷体"/>
                <w:sz w:val="24"/>
              </w:rPr>
              <w:t>见投标文件（）页</w:t>
            </w:r>
          </w:p>
        </w:tc>
      </w:tr>
      <w:tr w14:paraId="5A07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63EF7259">
            <w:pPr>
              <w:jc w:val="center"/>
              <w:rPr>
                <w:rFonts w:ascii="楷体" w:hAnsi="楷体" w:eastAsia="楷体" w:cs="楷体"/>
                <w:sz w:val="24"/>
              </w:rPr>
            </w:pPr>
            <w:r>
              <w:rPr>
                <w:rFonts w:hint="eastAsia" w:ascii="楷体" w:hAnsi="楷体" w:eastAsia="楷体" w:cs="楷体"/>
                <w:sz w:val="24"/>
              </w:rPr>
              <w:t>8</w:t>
            </w:r>
          </w:p>
        </w:tc>
        <w:tc>
          <w:tcPr>
            <w:tcW w:w="4560" w:type="dxa"/>
            <w:vAlign w:val="center"/>
          </w:tcPr>
          <w:p w14:paraId="48B35646">
            <w:pPr>
              <w:rPr>
                <w:rFonts w:ascii="楷体" w:hAnsi="楷体" w:eastAsia="楷体" w:cs="楷体"/>
                <w:sz w:val="24"/>
              </w:rPr>
            </w:pPr>
          </w:p>
        </w:tc>
        <w:tc>
          <w:tcPr>
            <w:tcW w:w="3180" w:type="dxa"/>
            <w:vAlign w:val="center"/>
          </w:tcPr>
          <w:p w14:paraId="0E971E08">
            <w:pPr>
              <w:jc w:val="center"/>
              <w:rPr>
                <w:rFonts w:ascii="楷体" w:hAnsi="楷体" w:eastAsia="楷体" w:cs="楷体"/>
                <w:sz w:val="24"/>
              </w:rPr>
            </w:pPr>
            <w:r>
              <w:rPr>
                <w:rFonts w:hint="eastAsia" w:ascii="楷体" w:hAnsi="楷体" w:eastAsia="楷体" w:cs="楷体"/>
                <w:sz w:val="24"/>
              </w:rPr>
              <w:t>见投标文件（）页</w:t>
            </w:r>
          </w:p>
        </w:tc>
      </w:tr>
      <w:tr w14:paraId="482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1FA0E3F9">
            <w:pPr>
              <w:jc w:val="center"/>
              <w:rPr>
                <w:rFonts w:ascii="楷体" w:hAnsi="楷体" w:eastAsia="楷体" w:cs="楷体"/>
                <w:sz w:val="24"/>
              </w:rPr>
            </w:pPr>
            <w:r>
              <w:rPr>
                <w:rFonts w:hint="eastAsia" w:ascii="楷体" w:hAnsi="楷体" w:eastAsia="楷体" w:cs="楷体"/>
                <w:sz w:val="24"/>
              </w:rPr>
              <w:t>9</w:t>
            </w:r>
          </w:p>
        </w:tc>
        <w:tc>
          <w:tcPr>
            <w:tcW w:w="4560" w:type="dxa"/>
            <w:vAlign w:val="center"/>
          </w:tcPr>
          <w:p w14:paraId="79471ED9">
            <w:pPr>
              <w:rPr>
                <w:rFonts w:ascii="楷体" w:hAnsi="楷体" w:eastAsia="楷体" w:cs="楷体"/>
                <w:sz w:val="24"/>
              </w:rPr>
            </w:pPr>
          </w:p>
        </w:tc>
        <w:tc>
          <w:tcPr>
            <w:tcW w:w="3180" w:type="dxa"/>
            <w:vAlign w:val="center"/>
          </w:tcPr>
          <w:p w14:paraId="19BA34F4">
            <w:pPr>
              <w:jc w:val="center"/>
              <w:rPr>
                <w:rFonts w:ascii="楷体" w:hAnsi="楷体" w:eastAsia="楷体" w:cs="楷体"/>
                <w:sz w:val="24"/>
              </w:rPr>
            </w:pPr>
            <w:r>
              <w:rPr>
                <w:rFonts w:hint="eastAsia" w:ascii="楷体" w:hAnsi="楷体" w:eastAsia="楷体" w:cs="楷体"/>
                <w:sz w:val="24"/>
              </w:rPr>
              <w:t>见投标文件（）页</w:t>
            </w:r>
          </w:p>
        </w:tc>
      </w:tr>
      <w:tr w14:paraId="7250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7B6C169E">
            <w:pPr>
              <w:jc w:val="center"/>
              <w:rPr>
                <w:rFonts w:ascii="楷体" w:hAnsi="楷体" w:eastAsia="楷体" w:cs="楷体"/>
                <w:sz w:val="24"/>
              </w:rPr>
            </w:pPr>
            <w:r>
              <w:rPr>
                <w:rFonts w:hint="eastAsia" w:ascii="楷体" w:hAnsi="楷体" w:eastAsia="楷体" w:cs="楷体"/>
                <w:sz w:val="24"/>
              </w:rPr>
              <w:t>…</w:t>
            </w:r>
          </w:p>
        </w:tc>
        <w:tc>
          <w:tcPr>
            <w:tcW w:w="4560" w:type="dxa"/>
            <w:vAlign w:val="center"/>
          </w:tcPr>
          <w:p w14:paraId="7DEBC976">
            <w:pPr>
              <w:rPr>
                <w:rFonts w:ascii="楷体" w:hAnsi="楷体" w:eastAsia="楷体" w:cs="楷体"/>
                <w:sz w:val="24"/>
              </w:rPr>
            </w:pPr>
          </w:p>
        </w:tc>
        <w:tc>
          <w:tcPr>
            <w:tcW w:w="3180" w:type="dxa"/>
            <w:vAlign w:val="center"/>
          </w:tcPr>
          <w:p w14:paraId="2DA0DE95">
            <w:pPr>
              <w:jc w:val="center"/>
              <w:rPr>
                <w:rFonts w:ascii="楷体" w:hAnsi="楷体" w:eastAsia="楷体" w:cs="楷体"/>
                <w:sz w:val="24"/>
              </w:rPr>
            </w:pPr>
          </w:p>
        </w:tc>
      </w:tr>
    </w:tbl>
    <w:p w14:paraId="4BFDD10F">
      <w:pPr>
        <w:spacing w:before="120" w:beforeLines="50" w:line="360" w:lineRule="auto"/>
        <w:rPr>
          <w:rFonts w:ascii="楷体" w:hAnsi="楷体" w:eastAsia="楷体" w:cs="楷体"/>
          <w:sz w:val="24"/>
        </w:rPr>
      </w:pPr>
      <w:r>
        <w:rPr>
          <w:rFonts w:hint="eastAsia" w:ascii="楷体" w:hAnsi="楷体" w:eastAsia="楷体" w:cs="楷体"/>
          <w:sz w:val="24"/>
        </w:rPr>
        <w:t>注：投标人应根据《技术评审表》的各项内容填写此表。</w:t>
      </w:r>
    </w:p>
    <w:p w14:paraId="2E2E9DEF">
      <w:pPr>
        <w:rPr>
          <w:rFonts w:ascii="楷体" w:hAnsi="楷体" w:eastAsia="楷体" w:cs="楷体"/>
        </w:rPr>
      </w:pPr>
    </w:p>
    <w:p w14:paraId="5EBDFB45">
      <w:pPr>
        <w:rPr>
          <w:rFonts w:ascii="楷体" w:hAnsi="楷体" w:eastAsia="楷体" w:cs="楷体"/>
        </w:rPr>
      </w:pPr>
    </w:p>
    <w:p w14:paraId="49D93625">
      <w:pPr>
        <w:rPr>
          <w:rFonts w:ascii="楷体" w:hAnsi="楷体" w:eastAsia="楷体" w:cs="楷体"/>
        </w:rPr>
      </w:pPr>
    </w:p>
    <w:p w14:paraId="7D1A9DBF">
      <w:pPr>
        <w:rPr>
          <w:rFonts w:ascii="楷体" w:hAnsi="楷体" w:eastAsia="楷体" w:cs="楷体"/>
        </w:rPr>
      </w:pPr>
    </w:p>
    <w:p w14:paraId="7E439750">
      <w:pPr>
        <w:rPr>
          <w:rFonts w:ascii="楷体" w:hAnsi="楷体" w:eastAsia="楷体" w:cs="楷体"/>
        </w:rPr>
      </w:pPr>
    </w:p>
    <w:p w14:paraId="4B347711">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35C736A9">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3EDD3B9">
      <w:pPr>
        <w:spacing w:before="72" w:after="72" w:line="400" w:lineRule="exact"/>
        <w:ind w:firstLine="3578" w:firstLineChars="1491"/>
        <w:rPr>
          <w:rFonts w:ascii="楷体" w:hAnsi="楷体" w:eastAsia="楷体" w:cs="楷体"/>
          <w:b/>
          <w:sz w:val="24"/>
        </w:rPr>
      </w:pPr>
      <w:r>
        <w:rPr>
          <w:rFonts w:hint="eastAsia" w:ascii="楷体" w:hAnsi="楷体" w:eastAsia="楷体" w:cs="楷体"/>
          <w:sz w:val="24"/>
        </w:rPr>
        <w:t>日期：   年   月   日</w:t>
      </w:r>
    </w:p>
    <w:p w14:paraId="4C001951">
      <w:pPr>
        <w:spacing w:before="72" w:after="72" w:line="400" w:lineRule="exact"/>
        <w:rPr>
          <w:rFonts w:ascii="楷体" w:hAnsi="楷体" w:eastAsia="楷体" w:cs="楷体"/>
          <w:b/>
          <w:sz w:val="24"/>
        </w:rPr>
      </w:pPr>
    </w:p>
    <w:p w14:paraId="04CAFC27">
      <w:pPr>
        <w:spacing w:before="72" w:after="72" w:line="400" w:lineRule="exact"/>
        <w:rPr>
          <w:rFonts w:ascii="楷体" w:hAnsi="楷体" w:eastAsia="楷体" w:cs="楷体"/>
          <w:b/>
          <w:sz w:val="24"/>
        </w:rPr>
      </w:pPr>
    </w:p>
    <w:p w14:paraId="1D001404">
      <w:pPr>
        <w:spacing w:before="72" w:after="72" w:line="400" w:lineRule="exact"/>
        <w:rPr>
          <w:rFonts w:ascii="楷体" w:hAnsi="楷体" w:eastAsia="楷体" w:cs="楷体"/>
          <w:b/>
          <w:sz w:val="24"/>
        </w:rPr>
      </w:pPr>
    </w:p>
    <w:p w14:paraId="2F6AB50B">
      <w:pPr>
        <w:spacing w:before="72" w:after="72" w:line="400" w:lineRule="exact"/>
        <w:rPr>
          <w:rFonts w:ascii="楷体" w:hAnsi="楷体" w:eastAsia="楷体" w:cs="楷体"/>
          <w:b/>
          <w:sz w:val="24"/>
        </w:rPr>
      </w:pPr>
    </w:p>
    <w:p w14:paraId="2EF336AA">
      <w:pPr>
        <w:spacing w:before="72" w:after="72" w:line="400" w:lineRule="exact"/>
        <w:rPr>
          <w:rFonts w:ascii="楷体" w:hAnsi="楷体" w:eastAsia="楷体" w:cs="楷体"/>
          <w:b/>
          <w:sz w:val="24"/>
        </w:rPr>
      </w:pPr>
    </w:p>
    <w:p w14:paraId="116F3702">
      <w:pPr>
        <w:spacing w:before="72" w:after="72" w:line="400" w:lineRule="exact"/>
        <w:rPr>
          <w:rFonts w:ascii="楷体" w:hAnsi="楷体" w:eastAsia="楷体" w:cs="楷体"/>
          <w:b/>
          <w:sz w:val="24"/>
        </w:rPr>
      </w:pPr>
    </w:p>
    <w:p w14:paraId="7CC57DE5">
      <w:pPr>
        <w:spacing w:before="72" w:after="72" w:line="400" w:lineRule="exact"/>
        <w:rPr>
          <w:rFonts w:ascii="楷体" w:hAnsi="楷体" w:eastAsia="楷体" w:cs="楷体"/>
          <w:b/>
          <w:sz w:val="24"/>
        </w:rPr>
      </w:pPr>
    </w:p>
    <w:p w14:paraId="4F92F2E4">
      <w:pPr>
        <w:spacing w:before="72" w:after="72" w:line="400" w:lineRule="exact"/>
        <w:rPr>
          <w:rFonts w:ascii="楷体" w:hAnsi="楷体" w:eastAsia="楷体" w:cs="楷体"/>
          <w:b/>
          <w:sz w:val="24"/>
        </w:rPr>
      </w:pPr>
    </w:p>
    <w:p w14:paraId="521DA097">
      <w:pPr>
        <w:spacing w:before="72" w:after="72" w:line="400" w:lineRule="exact"/>
        <w:rPr>
          <w:rFonts w:ascii="楷体" w:hAnsi="楷体" w:eastAsia="楷体" w:cs="楷体"/>
          <w:b/>
          <w:sz w:val="24"/>
        </w:rPr>
      </w:pPr>
    </w:p>
    <w:p w14:paraId="2A7D0F8B">
      <w:pPr>
        <w:spacing w:before="72" w:after="72" w:line="400" w:lineRule="exact"/>
        <w:rPr>
          <w:rFonts w:ascii="楷体" w:hAnsi="楷体" w:eastAsia="楷体" w:cs="楷体"/>
          <w:b/>
          <w:sz w:val="24"/>
        </w:rPr>
      </w:pPr>
    </w:p>
    <w:p w14:paraId="22E19B07">
      <w:pPr>
        <w:spacing w:before="72" w:after="72" w:line="400" w:lineRule="exact"/>
        <w:rPr>
          <w:rFonts w:ascii="楷体" w:hAnsi="楷体" w:eastAsia="楷体" w:cs="楷体"/>
          <w:b/>
          <w:sz w:val="24"/>
        </w:rPr>
      </w:pPr>
    </w:p>
    <w:p w14:paraId="10983006">
      <w:pPr>
        <w:rPr>
          <w:rFonts w:ascii="楷体" w:hAnsi="楷体" w:eastAsia="楷体" w:cs="楷体"/>
        </w:rPr>
      </w:pPr>
    </w:p>
    <w:p w14:paraId="16787FC6">
      <w:pPr>
        <w:rPr>
          <w:rFonts w:ascii="楷体" w:hAnsi="楷体" w:eastAsia="楷体" w:cs="楷体"/>
        </w:rPr>
      </w:pPr>
    </w:p>
    <w:p w14:paraId="7A2F25AE">
      <w:pPr>
        <w:rPr>
          <w:rFonts w:ascii="楷体" w:hAnsi="楷体" w:eastAsia="楷体" w:cs="楷体"/>
        </w:rPr>
      </w:pPr>
    </w:p>
    <w:p w14:paraId="154F0D09">
      <w:pPr>
        <w:rPr>
          <w:rFonts w:ascii="楷体" w:hAnsi="楷体" w:eastAsia="楷体" w:cs="楷体"/>
        </w:rPr>
      </w:pPr>
    </w:p>
    <w:p w14:paraId="54A82012">
      <w:pPr>
        <w:rPr>
          <w:rFonts w:ascii="楷体" w:hAnsi="楷体" w:eastAsia="楷体" w:cs="楷体"/>
        </w:rPr>
      </w:pPr>
    </w:p>
    <w:p w14:paraId="2C130EE6">
      <w:pPr>
        <w:rPr>
          <w:rFonts w:ascii="楷体" w:hAnsi="楷体" w:eastAsia="楷体" w:cs="楷体"/>
        </w:rPr>
      </w:pPr>
    </w:p>
    <w:p w14:paraId="5EFCB751">
      <w:pPr>
        <w:rPr>
          <w:rFonts w:ascii="楷体" w:hAnsi="楷体" w:eastAsia="楷体" w:cs="楷体"/>
        </w:rPr>
      </w:pPr>
    </w:p>
    <w:p w14:paraId="060C96DC">
      <w:pPr>
        <w:rPr>
          <w:rFonts w:ascii="楷体" w:hAnsi="楷体" w:eastAsia="楷体" w:cs="楷体"/>
        </w:rPr>
      </w:pPr>
    </w:p>
    <w:p w14:paraId="51E255B8">
      <w:pPr>
        <w:rPr>
          <w:rFonts w:ascii="楷体" w:hAnsi="楷体" w:eastAsia="楷体" w:cs="楷体"/>
        </w:rPr>
      </w:pPr>
    </w:p>
    <w:p w14:paraId="5DFDE6C3">
      <w:pPr>
        <w:rPr>
          <w:rFonts w:ascii="楷体" w:hAnsi="楷体" w:eastAsia="楷体" w:cs="楷体"/>
        </w:rPr>
      </w:pPr>
    </w:p>
    <w:p w14:paraId="7A2D39E1">
      <w:pPr>
        <w:rPr>
          <w:rFonts w:ascii="楷体" w:hAnsi="楷体" w:eastAsia="楷体" w:cs="楷体"/>
        </w:rPr>
      </w:pPr>
    </w:p>
    <w:p w14:paraId="2E3A707E">
      <w:pPr>
        <w:tabs>
          <w:tab w:val="left" w:pos="720"/>
        </w:tabs>
        <w:jc w:val="center"/>
        <w:rPr>
          <w:rFonts w:ascii="楷体" w:hAnsi="楷体" w:eastAsia="楷体" w:cs="楷体"/>
          <w:sz w:val="44"/>
          <w:szCs w:val="44"/>
        </w:rPr>
      </w:pPr>
      <w:bookmarkStart w:id="374" w:name="_Toc17737"/>
      <w:bookmarkStart w:id="375" w:name="_Toc2445"/>
      <w:bookmarkStart w:id="376" w:name="_Toc381489424"/>
      <w:bookmarkStart w:id="377" w:name="_Toc30397"/>
      <w:bookmarkStart w:id="378" w:name="_Toc9365"/>
      <w:bookmarkStart w:id="379" w:name="_Toc423021954"/>
      <w:bookmarkStart w:id="380" w:name="_Toc11631"/>
    </w:p>
    <w:p w14:paraId="422680DA">
      <w:pPr>
        <w:tabs>
          <w:tab w:val="left" w:pos="720"/>
        </w:tabs>
        <w:jc w:val="center"/>
        <w:rPr>
          <w:rFonts w:ascii="楷体" w:hAnsi="楷体" w:eastAsia="楷体" w:cs="楷体"/>
          <w:sz w:val="44"/>
          <w:szCs w:val="44"/>
        </w:rPr>
      </w:pPr>
    </w:p>
    <w:p w14:paraId="4752564F">
      <w:pPr>
        <w:pStyle w:val="5"/>
        <w:jc w:val="center"/>
        <w:rPr>
          <w:rFonts w:ascii="楷体" w:hAnsi="楷体" w:eastAsia="楷体" w:cs="楷体"/>
          <w:sz w:val="44"/>
          <w:szCs w:val="44"/>
        </w:rPr>
      </w:pPr>
      <w:bookmarkStart w:id="381" w:name="_Toc8535"/>
      <w:bookmarkStart w:id="382" w:name="_Toc16782"/>
      <w:r>
        <w:rPr>
          <w:rFonts w:hint="eastAsia" w:ascii="楷体" w:hAnsi="楷体" w:eastAsia="楷体" w:cs="楷体"/>
          <w:sz w:val="44"/>
          <w:szCs w:val="44"/>
        </w:rPr>
        <w:t>第二部分初审文件</w:t>
      </w:r>
      <w:bookmarkEnd w:id="374"/>
      <w:bookmarkEnd w:id="375"/>
      <w:bookmarkEnd w:id="376"/>
      <w:bookmarkEnd w:id="377"/>
      <w:bookmarkEnd w:id="378"/>
      <w:bookmarkEnd w:id="379"/>
      <w:bookmarkEnd w:id="380"/>
      <w:bookmarkEnd w:id="381"/>
      <w:bookmarkEnd w:id="382"/>
    </w:p>
    <w:p w14:paraId="6CCA0033">
      <w:pPr>
        <w:pStyle w:val="6"/>
        <w:numPr>
          <w:ilvl w:val="0"/>
          <w:numId w:val="64"/>
        </w:numPr>
        <w:jc w:val="center"/>
        <w:rPr>
          <w:rFonts w:ascii="楷体" w:hAnsi="楷体" w:eastAsia="楷体" w:cs="楷体"/>
        </w:rPr>
      </w:pPr>
      <w:bookmarkStart w:id="383" w:name="_Toc169318447"/>
      <w:bookmarkStart w:id="384" w:name="_Toc168730817"/>
      <w:bookmarkStart w:id="385" w:name="_Toc196294644"/>
      <w:bookmarkStart w:id="386" w:name="_Toc182886665"/>
      <w:bookmarkStart w:id="387" w:name="_Toc183316725"/>
      <w:r>
        <w:rPr>
          <w:rFonts w:hint="eastAsia" w:ascii="楷体" w:hAnsi="楷体" w:eastAsia="楷体" w:cs="楷体"/>
        </w:rPr>
        <w:br w:type="page"/>
      </w:r>
      <w:bookmarkStart w:id="388" w:name="_Toc381489425"/>
      <w:bookmarkStart w:id="389" w:name="_Toc4775"/>
      <w:bookmarkStart w:id="390" w:name="_Toc29373"/>
      <w:bookmarkStart w:id="391" w:name="_Toc24134"/>
      <w:bookmarkStart w:id="392" w:name="_Toc6293"/>
      <w:bookmarkStart w:id="393" w:name="_Toc7618"/>
      <w:bookmarkStart w:id="394" w:name="_Toc10695"/>
      <w:bookmarkStart w:id="395" w:name="_Toc28985"/>
      <w:bookmarkStart w:id="396" w:name="_Toc423021955"/>
      <w:r>
        <w:rPr>
          <w:rFonts w:hint="eastAsia" w:ascii="楷体" w:hAnsi="楷体" w:eastAsia="楷体" w:cs="楷体"/>
        </w:rPr>
        <w:t>投标函</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3FDEA14">
      <w:pPr>
        <w:adjustRightInd w:val="0"/>
        <w:snapToGrid w:val="0"/>
        <w:spacing w:before="120" w:beforeLines="50" w:after="12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589029A7">
      <w:pPr>
        <w:tabs>
          <w:tab w:val="left" w:pos="7740"/>
        </w:tabs>
        <w:autoSpaceDE w:val="0"/>
        <w:autoSpaceDN w:val="0"/>
        <w:adjustRightInd w:val="0"/>
        <w:snapToGrid w:val="0"/>
        <w:spacing w:line="360" w:lineRule="auto"/>
        <w:ind w:right="26" w:firstLine="480" w:firstLineChars="200"/>
        <w:rPr>
          <w:rFonts w:ascii="楷体" w:hAnsi="楷体" w:eastAsia="楷体" w:cs="楷体"/>
          <w:kern w:val="0"/>
          <w:sz w:val="24"/>
        </w:rPr>
      </w:pPr>
      <w:bookmarkStart w:id="397" w:name="_Toc182886666"/>
      <w:bookmarkStart w:id="398" w:name="_Toc159221038"/>
      <w:bookmarkStart w:id="399" w:name="_Toc196294645"/>
      <w:bookmarkStart w:id="400" w:name="_Toc183316726"/>
      <w:bookmarkStart w:id="401" w:name="_Toc124256789"/>
      <w:r>
        <w:rPr>
          <w:rFonts w:hint="eastAsia" w:ascii="楷体" w:hAnsi="楷体" w:eastAsia="楷体" w:cs="楷体"/>
          <w:kern w:val="0"/>
          <w:sz w:val="24"/>
        </w:rPr>
        <w:t>依据贵方</w:t>
      </w:r>
      <w:r>
        <w:rPr>
          <w:rFonts w:hint="eastAsia" w:ascii="楷体" w:hAnsi="楷体" w:eastAsia="楷体" w:cs="楷体"/>
          <w:sz w:val="24"/>
        </w:rPr>
        <w:t>招标项目名称</w:t>
      </w:r>
      <w:r>
        <w:rPr>
          <w:rFonts w:hint="eastAsia" w:ascii="楷体" w:hAnsi="楷体" w:eastAsia="楷体" w:cs="楷体"/>
          <w:sz w:val="24"/>
          <w:u w:val="single"/>
        </w:rPr>
        <w:t xml:space="preserve">     （项目编号：)</w:t>
      </w:r>
      <w:r>
        <w:rPr>
          <w:rFonts w:hint="eastAsia" w:ascii="楷体" w:hAnsi="楷体" w:eastAsia="楷体" w:cs="楷体"/>
          <w:kern w:val="0"/>
          <w:sz w:val="24"/>
        </w:rPr>
        <w:t>的投标邀请，我方代表</w:t>
      </w:r>
      <w:r>
        <w:rPr>
          <w:rFonts w:hint="eastAsia" w:ascii="楷体" w:hAnsi="楷体" w:eastAsia="楷体" w:cs="楷体"/>
          <w:sz w:val="24"/>
          <w:u w:val="single"/>
        </w:rPr>
        <w:t>（姓名、职务）</w:t>
      </w:r>
      <w:r>
        <w:rPr>
          <w:rFonts w:hint="eastAsia" w:ascii="楷体" w:hAnsi="楷体" w:eastAsia="楷体" w:cs="楷体"/>
          <w:kern w:val="0"/>
          <w:sz w:val="24"/>
        </w:rPr>
        <w:t>经正式授权并代表</w:t>
      </w:r>
      <w:r>
        <w:rPr>
          <w:rFonts w:hint="eastAsia" w:ascii="楷体" w:hAnsi="楷体" w:eastAsia="楷体" w:cs="楷体"/>
          <w:sz w:val="24"/>
          <w:u w:val="single"/>
        </w:rPr>
        <w:t>（投标人名称、地址）</w:t>
      </w:r>
      <w:r>
        <w:rPr>
          <w:rFonts w:hint="eastAsia" w:ascii="楷体" w:hAnsi="楷体" w:eastAsia="楷体" w:cs="楷体"/>
          <w:kern w:val="0"/>
          <w:sz w:val="24"/>
        </w:rPr>
        <w:t>提交下述文件正本</w:t>
      </w:r>
      <w:r>
        <w:rPr>
          <w:rFonts w:hint="eastAsia" w:ascii="楷体" w:hAnsi="楷体" w:eastAsia="楷体" w:cs="楷体"/>
          <w:kern w:val="0"/>
          <w:sz w:val="24"/>
          <w:u w:val="single"/>
        </w:rPr>
        <w:t>1</w:t>
      </w:r>
      <w:r>
        <w:rPr>
          <w:rFonts w:hint="eastAsia" w:ascii="楷体" w:hAnsi="楷体" w:eastAsia="楷体" w:cs="楷体"/>
          <w:kern w:val="0"/>
          <w:sz w:val="24"/>
        </w:rPr>
        <w:t>份。</w:t>
      </w:r>
    </w:p>
    <w:p w14:paraId="5A6A041D">
      <w:pPr>
        <w:numPr>
          <w:ilvl w:val="0"/>
          <w:numId w:val="65"/>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自查表</w:t>
      </w:r>
    </w:p>
    <w:p w14:paraId="0FA4A587">
      <w:pPr>
        <w:numPr>
          <w:ilvl w:val="0"/>
          <w:numId w:val="65"/>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初审文件</w:t>
      </w:r>
    </w:p>
    <w:p w14:paraId="6676CEF9">
      <w:pPr>
        <w:numPr>
          <w:ilvl w:val="0"/>
          <w:numId w:val="65"/>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商务文件</w:t>
      </w:r>
    </w:p>
    <w:p w14:paraId="025B1AA8">
      <w:pPr>
        <w:numPr>
          <w:ilvl w:val="0"/>
          <w:numId w:val="65"/>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kern w:val="0"/>
          <w:sz w:val="24"/>
        </w:rPr>
        <w:t>技术</w:t>
      </w:r>
      <w:r>
        <w:rPr>
          <w:rFonts w:hint="eastAsia" w:ascii="楷体" w:hAnsi="楷体" w:eastAsia="楷体" w:cs="楷体"/>
          <w:sz w:val="24"/>
        </w:rPr>
        <w:t>文件</w:t>
      </w:r>
    </w:p>
    <w:p w14:paraId="6EE4968E">
      <w:pPr>
        <w:numPr>
          <w:ilvl w:val="0"/>
          <w:numId w:val="65"/>
        </w:numPr>
        <w:tabs>
          <w:tab w:val="left" w:pos="7740"/>
        </w:tabs>
        <w:autoSpaceDE w:val="0"/>
        <w:autoSpaceDN w:val="0"/>
        <w:adjustRightInd w:val="0"/>
        <w:snapToGrid w:val="0"/>
        <w:spacing w:line="360" w:lineRule="auto"/>
        <w:ind w:right="32"/>
        <w:rPr>
          <w:rFonts w:ascii="楷体" w:hAnsi="楷体" w:eastAsia="楷体" w:cs="楷体"/>
          <w:kern w:val="0"/>
          <w:sz w:val="24"/>
        </w:rPr>
      </w:pPr>
      <w:r>
        <w:rPr>
          <w:rFonts w:hint="eastAsia" w:ascii="楷体" w:hAnsi="楷体" w:eastAsia="楷体" w:cs="楷体"/>
          <w:sz w:val="24"/>
        </w:rPr>
        <w:t>报价文件</w:t>
      </w:r>
    </w:p>
    <w:p w14:paraId="6B753483">
      <w:pPr>
        <w:tabs>
          <w:tab w:val="left" w:pos="7740"/>
        </w:tabs>
        <w:autoSpaceDE w:val="0"/>
        <w:autoSpaceDN w:val="0"/>
        <w:adjustRightInd w:val="0"/>
        <w:snapToGrid w:val="0"/>
        <w:spacing w:line="360" w:lineRule="auto"/>
        <w:ind w:right="26" w:firstLine="480" w:firstLineChars="200"/>
        <w:rPr>
          <w:rFonts w:ascii="楷体" w:hAnsi="楷体" w:eastAsia="楷体" w:cs="楷体"/>
          <w:kern w:val="0"/>
          <w:sz w:val="24"/>
        </w:rPr>
      </w:pPr>
      <w:r>
        <w:rPr>
          <w:rFonts w:hint="eastAsia" w:ascii="楷体" w:hAnsi="楷体" w:eastAsia="楷体" w:cs="楷体"/>
          <w:kern w:val="0"/>
          <w:sz w:val="24"/>
        </w:rPr>
        <w:t>在此，我方声明如下：</w:t>
      </w:r>
    </w:p>
    <w:p w14:paraId="6E304757">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同意并接受招标文件的各项要求，遵守招标文件中的各项规定，按招标文件的要求提供报价。</w:t>
      </w:r>
    </w:p>
    <w:p w14:paraId="304649BE">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投标有效期为递交投标文件之日起</w:t>
      </w:r>
      <w:r>
        <w:rPr>
          <w:rFonts w:hint="eastAsia" w:ascii="楷体" w:hAnsi="楷体" w:eastAsia="楷体" w:cs="楷体"/>
          <w:sz w:val="24"/>
          <w:u w:val="single"/>
        </w:rPr>
        <w:t>90</w:t>
      </w:r>
      <w:r>
        <w:rPr>
          <w:rFonts w:hint="eastAsia" w:ascii="楷体" w:hAnsi="楷体" w:eastAsia="楷体" w:cs="楷体"/>
          <w:sz w:val="24"/>
        </w:rPr>
        <w:t>天，中标人投标有效期延至合同验收之日。</w:t>
      </w:r>
    </w:p>
    <w:p w14:paraId="5635CBC5">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2DA9ED2B">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我方是依法注册的法人，在法律、财务及运作上完全独立于招标人或招标代理机构。</w:t>
      </w:r>
    </w:p>
    <w:p w14:paraId="59578C5E">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我方已毫无保留地向贵方提供一切所需的证明材料。</w:t>
      </w:r>
    </w:p>
    <w:p w14:paraId="3AABADF9">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我方承诺在本次投标中提供的一切文件，无论是原件还是复印件均为真实和准确的，绝无任何虚假、伪造和夸大的成分，否则，愿承担相应的后果和法律责任。</w:t>
      </w:r>
    </w:p>
    <w:p w14:paraId="5D7B4FA4">
      <w:pPr>
        <w:numPr>
          <w:ilvl w:val="0"/>
          <w:numId w:val="66"/>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我方完全服从和尊重评标委员会所作的评定结果，同时清楚理解到报价最低并非意味着必定获得中标资格。</w:t>
      </w:r>
    </w:p>
    <w:p w14:paraId="290D4F5B">
      <w:pPr>
        <w:tabs>
          <w:tab w:val="left" w:pos="7740"/>
        </w:tabs>
        <w:adjustRightInd w:val="0"/>
        <w:snapToGrid w:val="0"/>
        <w:spacing w:line="360" w:lineRule="auto"/>
        <w:ind w:left="420"/>
        <w:rPr>
          <w:rFonts w:ascii="楷体" w:hAnsi="楷体" w:eastAsia="楷体" w:cs="楷体"/>
          <w:sz w:val="24"/>
        </w:rPr>
      </w:pPr>
      <w:r>
        <w:rPr>
          <w:rFonts w:hint="eastAsia" w:ascii="楷体" w:hAnsi="楷体" w:eastAsia="楷体" w:cs="楷体"/>
          <w:sz w:val="24"/>
        </w:rPr>
        <w:t>8、我方同意按招标文件规定向招标代理机构缴纳</w:t>
      </w:r>
      <w:r>
        <w:rPr>
          <w:rFonts w:hint="eastAsia" w:ascii="楷体" w:hAnsi="楷体" w:eastAsia="楷体" w:cs="楷体"/>
          <w:sz w:val="24"/>
          <w:lang w:val="en-GB"/>
        </w:rPr>
        <w:t>招标代理</w:t>
      </w:r>
      <w:r>
        <w:rPr>
          <w:rFonts w:hint="eastAsia" w:ascii="楷体" w:hAnsi="楷体" w:eastAsia="楷体" w:cs="楷体"/>
          <w:sz w:val="24"/>
        </w:rPr>
        <w:t>服务费。</w:t>
      </w:r>
    </w:p>
    <w:p w14:paraId="0FDAE0B0">
      <w:pPr>
        <w:adjustRightInd w:val="0"/>
        <w:snapToGrid w:val="0"/>
        <w:spacing w:line="360" w:lineRule="auto"/>
        <w:ind w:firstLine="482" w:firstLineChars="200"/>
        <w:rPr>
          <w:rFonts w:ascii="楷体" w:hAnsi="楷体" w:eastAsia="楷体" w:cs="楷体"/>
          <w:b/>
          <w:bCs/>
          <w:sz w:val="24"/>
        </w:rPr>
      </w:pPr>
      <w:r>
        <w:rPr>
          <w:rFonts w:hint="eastAsia" w:ascii="楷体" w:hAnsi="楷体" w:eastAsia="楷体" w:cs="楷体"/>
          <w:b/>
          <w:bCs/>
          <w:sz w:val="24"/>
        </w:rPr>
        <w:t>备注：本投标函内容不得擅自删改，否则视为无效投标。</w:t>
      </w:r>
    </w:p>
    <w:p w14:paraId="031A56DD">
      <w:pPr>
        <w:tabs>
          <w:tab w:val="left" w:pos="7740"/>
        </w:tabs>
        <w:adjustRightInd w:val="0"/>
        <w:snapToGrid w:val="0"/>
        <w:spacing w:line="360" w:lineRule="auto"/>
        <w:ind w:left="420"/>
        <w:rPr>
          <w:rFonts w:ascii="楷体" w:hAnsi="楷体" w:eastAsia="楷体" w:cs="楷体"/>
          <w:sz w:val="24"/>
        </w:rPr>
      </w:pPr>
    </w:p>
    <w:p w14:paraId="61BC94D6">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地址：                       电话：     </w:t>
      </w:r>
    </w:p>
    <w:p w14:paraId="4CE74889">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传真：                       电子邮箱：</w:t>
      </w:r>
    </w:p>
    <w:p w14:paraId="3CC099C8">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开户银行：                           </w:t>
      </w:r>
    </w:p>
    <w:p w14:paraId="6D1AC6D8">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账号：                                    </w:t>
      </w:r>
    </w:p>
    <w:p w14:paraId="09136788">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p>
    <w:p w14:paraId="308149F4">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投标人名称（加盖公章）：</w:t>
      </w:r>
    </w:p>
    <w:p w14:paraId="772663B7">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投标人法定代表人或其授权代表（签字）：                                </w:t>
      </w:r>
    </w:p>
    <w:p w14:paraId="1AC59C2E">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日期：                                   </w:t>
      </w:r>
    </w:p>
    <w:p w14:paraId="31515672">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p>
    <w:p w14:paraId="2AFBE830">
      <w:pPr>
        <w:adjustRightInd w:val="0"/>
        <w:snapToGrid w:val="0"/>
        <w:spacing w:line="360" w:lineRule="auto"/>
        <w:ind w:firstLine="480" w:firstLineChars="200"/>
        <w:rPr>
          <w:rFonts w:ascii="楷体" w:hAnsi="楷体" w:eastAsia="楷体" w:cs="楷体"/>
          <w:sz w:val="24"/>
        </w:rPr>
      </w:pPr>
    </w:p>
    <w:p w14:paraId="226A162F">
      <w:pPr>
        <w:adjustRightInd w:val="0"/>
        <w:snapToGrid w:val="0"/>
        <w:spacing w:line="360" w:lineRule="auto"/>
        <w:ind w:firstLine="480" w:firstLineChars="200"/>
        <w:rPr>
          <w:rFonts w:ascii="楷体" w:hAnsi="楷体" w:eastAsia="楷体" w:cs="楷体"/>
          <w:sz w:val="24"/>
        </w:rPr>
      </w:pPr>
    </w:p>
    <w:p w14:paraId="3DD13758">
      <w:pPr>
        <w:adjustRightInd w:val="0"/>
        <w:snapToGrid w:val="0"/>
        <w:spacing w:line="360" w:lineRule="auto"/>
        <w:ind w:firstLine="480" w:firstLineChars="200"/>
        <w:rPr>
          <w:rFonts w:ascii="楷体" w:hAnsi="楷体" w:eastAsia="楷体" w:cs="楷体"/>
          <w:sz w:val="24"/>
        </w:rPr>
      </w:pPr>
    </w:p>
    <w:p w14:paraId="04114F35">
      <w:pPr>
        <w:adjustRightInd w:val="0"/>
        <w:snapToGrid w:val="0"/>
        <w:spacing w:line="360" w:lineRule="auto"/>
        <w:ind w:firstLine="480" w:firstLineChars="200"/>
        <w:rPr>
          <w:rFonts w:ascii="楷体" w:hAnsi="楷体" w:eastAsia="楷体" w:cs="楷体"/>
          <w:sz w:val="24"/>
        </w:rPr>
      </w:pPr>
    </w:p>
    <w:p w14:paraId="0C525D9C">
      <w:pPr>
        <w:rPr>
          <w:rFonts w:ascii="楷体" w:hAnsi="楷体" w:eastAsia="楷体" w:cs="楷体"/>
          <w:sz w:val="24"/>
        </w:rPr>
      </w:pPr>
      <w:bookmarkStart w:id="402" w:name="_Toc417739816"/>
      <w:bookmarkEnd w:id="402"/>
    </w:p>
    <w:bookmarkEnd w:id="397"/>
    <w:bookmarkEnd w:id="398"/>
    <w:bookmarkEnd w:id="399"/>
    <w:bookmarkEnd w:id="400"/>
    <w:bookmarkEnd w:id="401"/>
    <w:p w14:paraId="7851126C">
      <w:pPr>
        <w:pStyle w:val="6"/>
        <w:jc w:val="center"/>
        <w:rPr>
          <w:rFonts w:ascii="楷体" w:hAnsi="楷体" w:eastAsia="楷体" w:cs="楷体"/>
        </w:rPr>
        <w:sectPr>
          <w:pgSz w:w="11906" w:h="16838"/>
          <w:pgMar w:top="1440" w:right="1800" w:bottom="1440" w:left="1800" w:header="851" w:footer="822" w:gutter="0"/>
          <w:cols w:space="720" w:num="1"/>
          <w:docGrid w:linePitch="312" w:charSpace="0"/>
        </w:sectPr>
      </w:pPr>
      <w:bookmarkStart w:id="403" w:name="_Toc381489426"/>
      <w:bookmarkStart w:id="404" w:name="_Toc423021956"/>
    </w:p>
    <w:p w14:paraId="58C1BDB6">
      <w:pPr>
        <w:pStyle w:val="6"/>
        <w:numPr>
          <w:ilvl w:val="0"/>
          <w:numId w:val="64"/>
        </w:numPr>
        <w:jc w:val="center"/>
        <w:rPr>
          <w:rFonts w:ascii="楷体" w:hAnsi="楷体" w:eastAsia="楷体" w:cs="楷体"/>
        </w:rPr>
      </w:pPr>
      <w:bookmarkStart w:id="405" w:name="_Toc31877"/>
      <w:bookmarkStart w:id="406" w:name="_Toc25843"/>
      <w:bookmarkStart w:id="407" w:name="_Toc24457"/>
      <w:bookmarkStart w:id="408" w:name="_Toc18760"/>
      <w:bookmarkStart w:id="409" w:name="_Toc32599"/>
      <w:bookmarkStart w:id="410" w:name="_Toc27927"/>
      <w:bookmarkStart w:id="411" w:name="_Toc7592"/>
      <w:r>
        <w:rPr>
          <w:rFonts w:hint="eastAsia" w:ascii="楷体" w:hAnsi="楷体" w:eastAsia="楷体" w:cs="楷体"/>
        </w:rPr>
        <w:t>关于资格的声明函</w:t>
      </w:r>
      <w:bookmarkEnd w:id="403"/>
      <w:bookmarkEnd w:id="404"/>
      <w:bookmarkEnd w:id="405"/>
      <w:bookmarkEnd w:id="406"/>
      <w:bookmarkEnd w:id="407"/>
      <w:bookmarkEnd w:id="408"/>
      <w:bookmarkEnd w:id="409"/>
      <w:bookmarkEnd w:id="410"/>
      <w:bookmarkEnd w:id="411"/>
    </w:p>
    <w:p w14:paraId="64AF5A46">
      <w:pPr>
        <w:spacing w:before="120" w:beforeLines="50" w:after="12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3461E649">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关于贵方采购</w:t>
      </w:r>
      <w:r>
        <w:rPr>
          <w:rFonts w:hint="eastAsia" w:ascii="楷体" w:hAnsi="楷体" w:eastAsia="楷体" w:cs="楷体"/>
          <w:sz w:val="24"/>
          <w:u w:val="single"/>
        </w:rPr>
        <w:t>（项目名称）（项目编号：      ）</w:t>
      </w:r>
      <w:r>
        <w:rPr>
          <w:rFonts w:hint="eastAsia" w:ascii="楷体" w:hAnsi="楷体" w:eastAsia="楷体" w:cs="楷体"/>
          <w:sz w:val="24"/>
        </w:rPr>
        <w:t>，本单位愿意提交投标文件，并证明提交的下列文件和说明是准确的和真实的。</w:t>
      </w:r>
    </w:p>
    <w:p w14:paraId="155EA413">
      <w:pPr>
        <w:spacing w:line="360" w:lineRule="auto"/>
        <w:ind w:firstLine="480" w:firstLineChars="200"/>
        <w:rPr>
          <w:rFonts w:ascii="楷体" w:hAnsi="楷体" w:eastAsia="楷体" w:cs="楷体"/>
          <w:sz w:val="24"/>
        </w:rPr>
      </w:pPr>
      <w:r>
        <w:rPr>
          <w:rFonts w:hint="eastAsia" w:ascii="楷体" w:hAnsi="楷体" w:eastAsia="楷体" w:cs="楷体"/>
          <w:bCs/>
          <w:sz w:val="24"/>
        </w:rPr>
        <w:t>承诺符合《招标文件》以下资格条件：</w:t>
      </w:r>
    </w:p>
    <w:p w14:paraId="44A4441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1、在中华人民共和国境内注册具有经营资格能独立承担民事责任的法人或其他组织，有能力承接本项目相关服务内容；</w:t>
      </w:r>
    </w:p>
    <w:p w14:paraId="0C92BF9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2、单位负责人为同一人或者存在直接控股、管理关系的不同供应商，不得同时参加本招标项目投标；</w:t>
      </w:r>
    </w:p>
    <w:p w14:paraId="5AF75D4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3、参加本项招标活动前三年内，在经营活动中无严重违法记录；</w:t>
      </w:r>
    </w:p>
    <w:p w14:paraId="72F686D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4、投标人没有处于被责令停业、财产被接管、冻结、破产状态；</w:t>
      </w:r>
    </w:p>
    <w:p w14:paraId="42F0127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5、有依法缴纳税收和社会保障资金的良好记录（须提供开标截止之日前6个月内任意1个月依法缴纳税收和社会保障资金相关证明材料或依法免税证明）；</w:t>
      </w:r>
    </w:p>
    <w:p w14:paraId="25910FA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投标人未被列入“中国执行信息公开网”（zxgk.court.gov.cn）查询“记录失信被执行人”名单信息；未被列入“信用中国”网站（www.creditchina.gov.cn）查询的“重大税收违法失信主体、政府采购严重违法失信行为记录名单”记录名单信息（投标人出具自查承诺声明函原件及网站结果查询截图证明，招标代理机构将在评审当天复查，以复查结果为准；如相关失信记录已失效，投标人需提供相关证明材料）；</w:t>
      </w:r>
    </w:p>
    <w:p w14:paraId="1330F15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投标人未被列入“国家企业信用信息公示系统”（http://www.gsxt.gov.cn/index.html）严重违法失信企业名单以及相关行政处罚信息（投标人出具自查承诺声明函原件及网站结果查询截图证明，招标代理机构将在评审当天复查，以复查结果为准；如相关失信记录已失效，供应商需提供相关证明材料）；</w:t>
      </w:r>
    </w:p>
    <w:p w14:paraId="4C95563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8、投标人无行贿犯罪记录：</w:t>
      </w:r>
    </w:p>
    <w:p w14:paraId="3C24C898">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(1)投标人在投标时提供无行贿犯罪记录承诺书（加盖公章），格式自定。</w:t>
      </w:r>
    </w:p>
    <w:p w14:paraId="53B135B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投标人及其法定代表人、主要负责人或实际控制人、拟委任的项目负责人参加本次招投标活动前3年内（公司成立不足三年的从成立起计算）不得有行贿行为记录。投标人须通过“中国裁判文书网”（网址：https://wenshu.court.gov.cn/）查询相关刑事判决书、刑事裁定书等。如投标人提供虚假材料，招标人有权拒绝其投标、取消其中标资格、解除已签订的合同并追究相关责任；【查询指南：进入首页-点击高级搜索-打开案由-选择刑事案件-贪污贿赂罪-输入投标人名称后查询】。</w:t>
      </w:r>
    </w:p>
    <w:p w14:paraId="72376804">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9、在烟草行业供应商不良行为数据库未查询到投标人、法定代表人、主要负责人、行贿人信息及处罚限制措施等，以投标截止日当天招标人出具的网页查询结果截图为准</w:t>
      </w:r>
    </w:p>
    <w:p w14:paraId="101CC2E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10、向行业内干部职工行贿，被列入烟草企业存在行贿行为供应商名单且在禁入期内的投标人，不得参加本次投标；（以招标人出具名单为准）</w:t>
      </w:r>
    </w:p>
    <w:p w14:paraId="5EBD4BB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11、本项目不接受联合体报价。</w:t>
      </w:r>
    </w:p>
    <w:p w14:paraId="319751E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12、已办理投标登记并领购本项目招标文件。</w:t>
      </w:r>
    </w:p>
    <w:p w14:paraId="7E4F4B64">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本单位保证全部投标文件和问题的回答是真实和有效的，并对所提供资料的真实性负责。</w:t>
      </w:r>
    </w:p>
    <w:p w14:paraId="368D05B0">
      <w:pPr>
        <w:spacing w:before="72" w:after="72" w:line="360" w:lineRule="auto"/>
        <w:ind w:firstLine="480" w:firstLineChars="200"/>
        <w:rPr>
          <w:rFonts w:ascii="楷体" w:hAnsi="楷体" w:eastAsia="楷体" w:cs="楷体"/>
          <w:sz w:val="24"/>
        </w:rPr>
      </w:pPr>
    </w:p>
    <w:p w14:paraId="1400406E">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3DE866DC">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4A4C164A">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74AD0F3F">
      <w:pPr>
        <w:pStyle w:val="6"/>
        <w:numPr>
          <w:ilvl w:val="0"/>
          <w:numId w:val="64"/>
        </w:numPr>
        <w:jc w:val="center"/>
        <w:rPr>
          <w:rFonts w:ascii="楷体" w:hAnsi="楷体" w:eastAsia="楷体" w:cs="楷体"/>
        </w:rPr>
      </w:pPr>
      <w:r>
        <w:rPr>
          <w:rFonts w:hint="eastAsia" w:ascii="楷体" w:hAnsi="楷体" w:eastAsia="楷体" w:cs="楷体"/>
        </w:rPr>
        <w:br w:type="page"/>
      </w:r>
      <w:bookmarkStart w:id="412" w:name="_Toc11350"/>
      <w:bookmarkStart w:id="413" w:name="_Toc8104"/>
      <w:bookmarkStart w:id="414" w:name="_Toc22784"/>
      <w:bookmarkStart w:id="415" w:name="_Toc4850"/>
      <w:bookmarkStart w:id="416" w:name="_Toc20499"/>
      <w:bookmarkStart w:id="417" w:name="_Toc423021960"/>
      <w:bookmarkStart w:id="418" w:name="_Toc18060"/>
      <w:bookmarkStart w:id="419" w:name="_Toc27480"/>
      <w:bookmarkStart w:id="420" w:name="_Toc196294648"/>
      <w:bookmarkStart w:id="421" w:name="_Toc197799988"/>
      <w:bookmarkStart w:id="422" w:name="_Toc381489429"/>
      <w:r>
        <w:rPr>
          <w:rFonts w:hint="eastAsia" w:ascii="楷体" w:hAnsi="楷体" w:eastAsia="楷体" w:cs="楷体"/>
        </w:rPr>
        <w:t>法定代表人证明书和法定代表人授权委托书</w:t>
      </w:r>
      <w:bookmarkEnd w:id="412"/>
      <w:bookmarkEnd w:id="413"/>
      <w:bookmarkEnd w:id="414"/>
      <w:bookmarkEnd w:id="415"/>
      <w:bookmarkEnd w:id="416"/>
      <w:bookmarkEnd w:id="417"/>
      <w:bookmarkEnd w:id="418"/>
      <w:bookmarkEnd w:id="419"/>
    </w:p>
    <w:p w14:paraId="2D0A7DA7">
      <w:pPr>
        <w:numPr>
          <w:ilvl w:val="0"/>
          <w:numId w:val="67"/>
        </w:numPr>
        <w:spacing w:before="72" w:after="72" w:line="360" w:lineRule="auto"/>
        <w:jc w:val="center"/>
        <w:rPr>
          <w:rFonts w:ascii="楷体" w:hAnsi="楷体" w:eastAsia="楷体" w:cs="楷体"/>
          <w:sz w:val="30"/>
          <w:szCs w:val="30"/>
        </w:rPr>
      </w:pPr>
      <w:r>
        <w:rPr>
          <w:rFonts w:hint="eastAsia" w:ascii="楷体" w:hAnsi="楷体" w:eastAsia="楷体" w:cs="楷体"/>
          <w:b/>
          <w:kern w:val="44"/>
          <w:sz w:val="30"/>
          <w:szCs w:val="30"/>
        </w:rPr>
        <w:t>法定代表人证明书</w:t>
      </w:r>
    </w:p>
    <w:p w14:paraId="3C579559">
      <w:pPr>
        <w:adjustRightInd w:val="0"/>
        <w:snapToGrid w:val="0"/>
        <w:spacing w:before="120" w:beforeLines="50" w:after="12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16B2C3CD">
      <w:pPr>
        <w:spacing w:before="72" w:after="72" w:line="360" w:lineRule="auto"/>
        <w:ind w:firstLine="480" w:firstLineChars="200"/>
        <w:rPr>
          <w:rFonts w:ascii="楷体" w:hAnsi="楷体" w:eastAsia="楷体" w:cs="楷体"/>
          <w:sz w:val="24"/>
        </w:rPr>
      </w:pPr>
      <w:r>
        <w:rPr>
          <w:rFonts w:hint="eastAsia" w:ascii="楷体" w:hAnsi="楷体" w:eastAsia="楷体" w:cs="楷体"/>
          <w:sz w:val="24"/>
          <w:u w:val="single"/>
        </w:rPr>
        <w:t>　　　　</w:t>
      </w:r>
      <w:r>
        <w:rPr>
          <w:rFonts w:hint="eastAsia" w:ascii="楷体" w:hAnsi="楷体" w:eastAsia="楷体" w:cs="楷体"/>
          <w:sz w:val="24"/>
        </w:rPr>
        <w:t>同志，现任我单位</w:t>
      </w:r>
      <w:r>
        <w:rPr>
          <w:rFonts w:hint="eastAsia" w:ascii="楷体" w:hAnsi="楷体" w:eastAsia="楷体" w:cs="楷体"/>
          <w:sz w:val="24"/>
          <w:u w:val="single"/>
        </w:rPr>
        <w:t>　　　　　　　</w:t>
      </w:r>
      <w:r>
        <w:rPr>
          <w:rFonts w:hint="eastAsia" w:ascii="楷体" w:hAnsi="楷体" w:eastAsia="楷体" w:cs="楷体"/>
          <w:sz w:val="24"/>
        </w:rPr>
        <w:t>职务，为法定代表人，特此证明。</w:t>
      </w:r>
    </w:p>
    <w:p w14:paraId="35829CBF">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本证明书有效期与本公司投标文件中标注的投标有效期相同。</w:t>
      </w:r>
    </w:p>
    <w:p w14:paraId="085F421A">
      <w:pPr>
        <w:spacing w:before="72" w:after="72" w:line="360" w:lineRule="auto"/>
        <w:ind w:firstLine="482" w:firstLineChars="200"/>
        <w:rPr>
          <w:rFonts w:ascii="楷体" w:hAnsi="楷体" w:eastAsia="楷体" w:cs="楷体"/>
          <w:b/>
          <w:sz w:val="24"/>
        </w:rPr>
      </w:pPr>
    </w:p>
    <w:p w14:paraId="7CA8316B">
      <w:pPr>
        <w:spacing w:before="72" w:after="72" w:line="360" w:lineRule="auto"/>
        <w:ind w:firstLine="420" w:firstLineChars="200"/>
        <w:rPr>
          <w:rFonts w:ascii="楷体" w:hAnsi="楷体" w:eastAsia="楷体" w:cs="楷体"/>
          <w:szCs w:val="21"/>
        </w:rPr>
      </w:pPr>
    </w:p>
    <w:p w14:paraId="419603A6">
      <w:pPr>
        <w:spacing w:before="72" w:after="72" w:line="360" w:lineRule="auto"/>
        <w:rPr>
          <w:rFonts w:ascii="楷体" w:hAnsi="楷体" w:eastAsia="楷体" w:cs="楷体"/>
          <w:sz w:val="24"/>
        </w:rPr>
      </w:pPr>
      <w:r>
        <w:rPr>
          <w:rFonts w:hint="eastAsia" w:ascii="楷体" w:hAnsi="楷体" w:eastAsia="楷体" w:cs="楷体"/>
          <w:sz w:val="24"/>
        </w:rPr>
        <w:t>投标人名称（加盖公章）：</w:t>
      </w:r>
    </w:p>
    <w:p w14:paraId="6D70FE53">
      <w:pPr>
        <w:spacing w:before="240" w:beforeLines="100"/>
        <w:rPr>
          <w:rFonts w:ascii="楷体" w:hAnsi="楷体" w:eastAsia="楷体" w:cs="楷体"/>
          <w:b/>
          <w:bCs/>
          <w:sz w:val="28"/>
          <w:szCs w:val="28"/>
        </w:rPr>
      </w:pPr>
      <w:r>
        <w:rPr>
          <w:rFonts w:hint="eastAsia" w:ascii="楷体" w:hAnsi="楷体" w:eastAsia="楷体" w:cs="楷体"/>
          <w:sz w:val="24"/>
        </w:rPr>
        <w:t>日期：</w:t>
      </w:r>
      <w:r>
        <w:rPr>
          <w:rFonts w:hint="eastAsia" w:ascii="楷体" w:hAnsi="楷体" w:eastAsia="楷体" w:cs="楷体"/>
          <w:bCs/>
          <w:sz w:val="24"/>
        </w:rPr>
        <w:t xml:space="preserve">    年    月    日</w:t>
      </w:r>
    </w:p>
    <w:p w14:paraId="2C5153F7">
      <w:pPr>
        <w:spacing w:before="72" w:after="72" w:line="360" w:lineRule="auto"/>
        <w:ind w:firstLine="480" w:firstLineChars="200"/>
        <w:rPr>
          <w:rFonts w:ascii="楷体" w:hAnsi="楷体" w:eastAsia="楷体" w:cs="楷体"/>
          <w:sz w:val="24"/>
        </w:rPr>
      </w:pPr>
    </w:p>
    <w:p w14:paraId="2E61E78D">
      <w:pPr>
        <w:spacing w:before="72" w:after="72" w:line="360" w:lineRule="auto"/>
        <w:ind w:firstLine="480" w:firstLineChars="200"/>
        <w:rPr>
          <w:rFonts w:ascii="楷体" w:hAnsi="楷体" w:eastAsia="楷体" w:cs="楷体"/>
          <w:sz w:val="24"/>
        </w:rPr>
      </w:pPr>
    </w:p>
    <w:p w14:paraId="79454470">
      <w:pPr>
        <w:pStyle w:val="23"/>
        <w:spacing w:before="72" w:after="72" w:line="360" w:lineRule="auto"/>
        <w:rPr>
          <w:rFonts w:ascii="楷体" w:hAnsi="楷体" w:eastAsia="楷体" w:cs="楷体"/>
          <w:b/>
          <w:sz w:val="24"/>
        </w:rPr>
      </w:pPr>
      <w:r>
        <w:rPr>
          <w:rFonts w:hint="eastAsia" w:ascii="楷体" w:hAnsi="楷体" w:eastAsia="楷体" w:cs="楷体"/>
          <w:b/>
          <w:bCs/>
          <w:sz w:val="24"/>
        </w:rPr>
        <mc:AlternateContent>
          <mc:Choice Requires="wps">
            <w:drawing>
              <wp:anchor distT="0" distB="0" distL="114300" distR="114300" simplePos="0" relativeHeight="251662336" behindDoc="0" locked="0" layoutInCell="1" allowOverlap="1">
                <wp:simplePos x="0" y="0"/>
                <wp:positionH relativeFrom="column">
                  <wp:posOffset>2893060</wp:posOffset>
                </wp:positionH>
                <wp:positionV relativeFrom="paragraph">
                  <wp:posOffset>329565</wp:posOffset>
                </wp:positionV>
                <wp:extent cx="2628900" cy="1755140"/>
                <wp:effectExtent l="4445" t="4445" r="14605" b="12065"/>
                <wp:wrapNone/>
                <wp:docPr id="5"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938FD9">
                            <w:pPr>
                              <w:spacing w:before="72" w:after="72"/>
                              <w:rPr>
                                <w:rFonts w:eastAsia="黑体"/>
                                <w:b/>
                                <w:sz w:val="30"/>
                              </w:rPr>
                            </w:pPr>
                          </w:p>
                          <w:p w14:paraId="073E2DED">
                            <w:pPr>
                              <w:spacing w:before="72" w:after="72"/>
                              <w:rPr>
                                <w:rFonts w:ascii="楷体" w:hAnsi="楷体" w:eastAsia="楷体" w:cs="楷体"/>
                                <w:b/>
                                <w:sz w:val="30"/>
                              </w:rPr>
                            </w:pPr>
                          </w:p>
                          <w:p w14:paraId="3BF2EB4B">
                            <w:pPr>
                              <w:spacing w:before="72" w:after="72"/>
                              <w:jc w:val="center"/>
                              <w:rPr>
                                <w:rFonts w:ascii="楷体" w:hAnsi="楷体" w:eastAsia="楷体" w:cs="楷体"/>
                                <w:sz w:val="24"/>
                              </w:rPr>
                            </w:pPr>
                            <w:r>
                              <w:rPr>
                                <w:rFonts w:hint="eastAsia" w:ascii="楷体" w:hAnsi="楷体" w:eastAsia="楷体" w:cs="楷体"/>
                                <w:sz w:val="24"/>
                              </w:rPr>
                              <w:t>法定代表人</w:t>
                            </w:r>
                          </w:p>
                          <w:p w14:paraId="00BE4CE7">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30B370CD">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Rectangle 103" o:spid="_x0000_s1026" o:spt="1" style="position:absolute;left:0pt;margin-left:227.8pt;margin-top:25.95pt;height:138.2pt;width:207pt;z-index:251662336;mso-width-relative:page;mso-height-relative:page;" fillcolor="#FFFFFF" filled="t" stroked="t"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CL9k9cYAgAA&#10;ZAQAAA4AAAAAAAAAAQAgAAAAKAEAAGRycy9lMm9Eb2MueG1sUEsFBgAAAAAGAAYAWQEAALIFAAAA&#10;AA==&#10;">
                <v:fill on="t" focussize="0,0"/>
                <v:stroke color="#000000" joinstyle="miter"/>
                <v:imagedata o:title=""/>
                <o:lock v:ext="edit" aspectratio="f"/>
                <v:textbox>
                  <w:txbxContent>
                    <w:p w14:paraId="47938FD9">
                      <w:pPr>
                        <w:spacing w:before="72" w:after="72"/>
                        <w:rPr>
                          <w:rFonts w:eastAsia="黑体"/>
                          <w:b/>
                          <w:sz w:val="30"/>
                        </w:rPr>
                      </w:pPr>
                    </w:p>
                    <w:p w14:paraId="073E2DED">
                      <w:pPr>
                        <w:spacing w:before="72" w:after="72"/>
                        <w:rPr>
                          <w:rFonts w:ascii="楷体" w:hAnsi="楷体" w:eastAsia="楷体" w:cs="楷体"/>
                          <w:b/>
                          <w:sz w:val="30"/>
                        </w:rPr>
                      </w:pPr>
                    </w:p>
                    <w:p w14:paraId="3BF2EB4B">
                      <w:pPr>
                        <w:spacing w:before="72" w:after="72"/>
                        <w:jc w:val="center"/>
                        <w:rPr>
                          <w:rFonts w:ascii="楷体" w:hAnsi="楷体" w:eastAsia="楷体" w:cs="楷体"/>
                          <w:sz w:val="24"/>
                        </w:rPr>
                      </w:pPr>
                      <w:r>
                        <w:rPr>
                          <w:rFonts w:hint="eastAsia" w:ascii="楷体" w:hAnsi="楷体" w:eastAsia="楷体" w:cs="楷体"/>
                          <w:sz w:val="24"/>
                        </w:rPr>
                        <w:t>法定代表人</w:t>
                      </w:r>
                    </w:p>
                    <w:p w14:paraId="00BE4CE7">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30B370CD">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sz w:val="24"/>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315595</wp:posOffset>
                </wp:positionV>
                <wp:extent cx="2628900" cy="1755140"/>
                <wp:effectExtent l="4445" t="4445" r="14605" b="12065"/>
                <wp:wrapNone/>
                <wp:docPr id="9" name="Rectangle 104"/>
                <wp:cNvGraphicFramePr/>
                <a:graphic xmlns:a="http://schemas.openxmlformats.org/drawingml/2006/main">
                  <a:graphicData uri="http://schemas.microsoft.com/office/word/2010/wordprocessingShape">
                    <wps:wsp>
                      <wps:cNvSpPr/>
                      <wps:spPr>
                        <a:xfrm>
                          <a:off x="0" y="0"/>
                          <a:ext cx="2628900" cy="1755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3D72BF">
                            <w:pPr>
                              <w:spacing w:before="72" w:after="72"/>
                              <w:rPr>
                                <w:rFonts w:eastAsia="黑体"/>
                                <w:b/>
                                <w:sz w:val="30"/>
                              </w:rPr>
                            </w:pPr>
                          </w:p>
                          <w:p w14:paraId="2D829661">
                            <w:pPr>
                              <w:spacing w:before="72" w:after="72"/>
                              <w:rPr>
                                <w:rFonts w:eastAsia="黑体"/>
                                <w:b/>
                                <w:sz w:val="30"/>
                              </w:rPr>
                            </w:pPr>
                          </w:p>
                          <w:p w14:paraId="6989D105">
                            <w:pPr>
                              <w:spacing w:before="72" w:after="72"/>
                              <w:jc w:val="center"/>
                              <w:rPr>
                                <w:rFonts w:ascii="楷体" w:hAnsi="楷体" w:eastAsia="楷体" w:cs="楷体"/>
                                <w:sz w:val="24"/>
                              </w:rPr>
                            </w:pPr>
                            <w:r>
                              <w:rPr>
                                <w:rFonts w:hint="eastAsia" w:ascii="楷体" w:hAnsi="楷体" w:eastAsia="楷体" w:cs="楷体"/>
                                <w:sz w:val="24"/>
                              </w:rPr>
                              <w:t>法定代表人</w:t>
                            </w:r>
                          </w:p>
                          <w:p w14:paraId="20E98834">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196A1822">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Rectangle 104" o:spid="_x0000_s1026" o:spt="1" style="position:absolute;left:0pt;margin-left:-0.85pt;margin-top:24.85pt;height:138.2pt;width:207pt;z-index:251663360;mso-width-relative:page;mso-height-relative:page;" fillcolor="#FFFFFF" filled="t" stroked="t"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fill on="t" focussize="0,0"/>
                <v:stroke color="#000000" joinstyle="miter"/>
                <v:imagedata o:title=""/>
                <o:lock v:ext="edit" aspectratio="f"/>
                <v:textbox>
                  <w:txbxContent>
                    <w:p w14:paraId="663D72BF">
                      <w:pPr>
                        <w:spacing w:before="72" w:after="72"/>
                        <w:rPr>
                          <w:rFonts w:eastAsia="黑体"/>
                          <w:b/>
                          <w:sz w:val="30"/>
                        </w:rPr>
                      </w:pPr>
                    </w:p>
                    <w:p w14:paraId="2D829661">
                      <w:pPr>
                        <w:spacing w:before="72" w:after="72"/>
                        <w:rPr>
                          <w:rFonts w:eastAsia="黑体"/>
                          <w:b/>
                          <w:sz w:val="30"/>
                        </w:rPr>
                      </w:pPr>
                    </w:p>
                    <w:p w14:paraId="6989D105">
                      <w:pPr>
                        <w:spacing w:before="72" w:after="72"/>
                        <w:jc w:val="center"/>
                        <w:rPr>
                          <w:rFonts w:ascii="楷体" w:hAnsi="楷体" w:eastAsia="楷体" w:cs="楷体"/>
                          <w:sz w:val="24"/>
                        </w:rPr>
                      </w:pPr>
                      <w:r>
                        <w:rPr>
                          <w:rFonts w:hint="eastAsia" w:ascii="楷体" w:hAnsi="楷体" w:eastAsia="楷体" w:cs="楷体"/>
                          <w:sz w:val="24"/>
                        </w:rPr>
                        <w:t>法定代表人</w:t>
                      </w:r>
                    </w:p>
                    <w:p w14:paraId="20E98834">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196A1822">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r>
        <w:rPr>
          <w:rFonts w:hint="eastAsia" w:ascii="楷体" w:hAnsi="楷体" w:eastAsia="楷体" w:cs="楷体"/>
          <w:b/>
          <w:sz w:val="24"/>
        </w:rPr>
        <w:t>附法人身份证粘贴处（正反面）</w:t>
      </w:r>
    </w:p>
    <w:p w14:paraId="23D0422C">
      <w:pPr>
        <w:spacing w:before="72" w:after="72" w:line="360" w:lineRule="auto"/>
        <w:rPr>
          <w:rFonts w:ascii="楷体" w:hAnsi="楷体" w:eastAsia="楷体" w:cs="楷体"/>
          <w:b/>
          <w:bCs/>
          <w:sz w:val="24"/>
        </w:rPr>
      </w:pPr>
    </w:p>
    <w:p w14:paraId="328DBB00">
      <w:pPr>
        <w:spacing w:before="72" w:after="72" w:line="360" w:lineRule="auto"/>
        <w:rPr>
          <w:rFonts w:ascii="楷体" w:hAnsi="楷体" w:eastAsia="楷体" w:cs="楷体"/>
          <w:b/>
          <w:bCs/>
          <w:sz w:val="24"/>
        </w:rPr>
      </w:pPr>
    </w:p>
    <w:p w14:paraId="7ED41E54">
      <w:pPr>
        <w:spacing w:before="72" w:after="72" w:line="360" w:lineRule="auto"/>
        <w:rPr>
          <w:rFonts w:ascii="楷体" w:hAnsi="楷体" w:eastAsia="楷体" w:cs="楷体"/>
          <w:b/>
          <w:bCs/>
          <w:sz w:val="24"/>
        </w:rPr>
      </w:pPr>
    </w:p>
    <w:p w14:paraId="660BD725">
      <w:pPr>
        <w:spacing w:before="72" w:after="72" w:line="360" w:lineRule="auto"/>
        <w:rPr>
          <w:rFonts w:ascii="楷体" w:hAnsi="楷体" w:eastAsia="楷体" w:cs="楷体"/>
          <w:b/>
          <w:bCs/>
          <w:sz w:val="24"/>
        </w:rPr>
      </w:pPr>
    </w:p>
    <w:p w14:paraId="66CA05A4">
      <w:pPr>
        <w:spacing w:before="72" w:after="72" w:line="360" w:lineRule="auto"/>
        <w:rPr>
          <w:rFonts w:ascii="楷体" w:hAnsi="楷体" w:eastAsia="楷体" w:cs="楷体"/>
          <w:b/>
          <w:bCs/>
          <w:sz w:val="24"/>
        </w:rPr>
      </w:pPr>
    </w:p>
    <w:p w14:paraId="6BFBEF39">
      <w:pPr>
        <w:spacing w:before="72" w:after="72" w:line="360" w:lineRule="auto"/>
        <w:rPr>
          <w:rFonts w:ascii="楷体" w:hAnsi="楷体" w:eastAsia="楷体" w:cs="楷体"/>
          <w:b/>
          <w:bCs/>
          <w:sz w:val="24"/>
        </w:rPr>
        <w:sectPr>
          <w:pgSz w:w="11906" w:h="16838"/>
          <w:pgMar w:top="1440" w:right="1800" w:bottom="1440" w:left="1800" w:header="851" w:footer="992" w:gutter="0"/>
          <w:cols w:space="720" w:num="1"/>
          <w:docGrid w:linePitch="312" w:charSpace="0"/>
        </w:sectPr>
      </w:pPr>
    </w:p>
    <w:p w14:paraId="13AAD19F">
      <w:pPr>
        <w:numPr>
          <w:ilvl w:val="0"/>
          <w:numId w:val="67"/>
        </w:numPr>
        <w:spacing w:before="72" w:after="72" w:line="360" w:lineRule="auto"/>
        <w:jc w:val="center"/>
        <w:rPr>
          <w:rFonts w:ascii="楷体" w:hAnsi="楷体" w:eastAsia="楷体" w:cs="楷体"/>
          <w:b/>
          <w:kern w:val="44"/>
          <w:sz w:val="30"/>
          <w:szCs w:val="30"/>
        </w:rPr>
      </w:pPr>
      <w:bookmarkStart w:id="423" w:name="_Toc415496511"/>
      <w:bookmarkStart w:id="424" w:name="_Toc413373063"/>
      <w:bookmarkStart w:id="425" w:name="_Toc413372470"/>
      <w:bookmarkStart w:id="426" w:name="_Toc414383032"/>
      <w:bookmarkStart w:id="427" w:name="_Toc381489428"/>
      <w:bookmarkStart w:id="428" w:name="_Toc414383247"/>
      <w:bookmarkStart w:id="429" w:name="_Toc417738414"/>
      <w:bookmarkStart w:id="430" w:name="_Toc415494949"/>
      <w:bookmarkStart w:id="431" w:name="_Toc413404716"/>
      <w:r>
        <w:rPr>
          <w:rFonts w:hint="eastAsia" w:ascii="楷体" w:hAnsi="楷体" w:eastAsia="楷体" w:cs="楷体"/>
          <w:b/>
          <w:kern w:val="44"/>
          <w:sz w:val="30"/>
          <w:szCs w:val="30"/>
        </w:rPr>
        <w:t>法定代表人授权委托书</w:t>
      </w:r>
      <w:bookmarkEnd w:id="423"/>
      <w:bookmarkEnd w:id="424"/>
      <w:bookmarkEnd w:id="425"/>
      <w:bookmarkEnd w:id="426"/>
      <w:bookmarkEnd w:id="427"/>
      <w:bookmarkEnd w:id="428"/>
      <w:bookmarkEnd w:id="429"/>
      <w:bookmarkEnd w:id="430"/>
      <w:bookmarkEnd w:id="431"/>
    </w:p>
    <w:p w14:paraId="47379578">
      <w:pPr>
        <w:spacing w:before="120" w:beforeLines="50" w:after="12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1332D516">
      <w:pPr>
        <w:pStyle w:val="23"/>
        <w:spacing w:before="72" w:after="72" w:line="360" w:lineRule="auto"/>
        <w:ind w:firstLine="420"/>
        <w:rPr>
          <w:rFonts w:ascii="楷体" w:hAnsi="楷体" w:eastAsia="楷体" w:cs="楷体"/>
          <w:sz w:val="24"/>
        </w:rPr>
      </w:pPr>
      <w:r>
        <w:rPr>
          <w:rFonts w:hint="eastAsia" w:ascii="楷体" w:hAnsi="楷体" w:eastAsia="楷体" w:cs="楷体"/>
          <w:sz w:val="24"/>
        </w:rPr>
        <w:t>我</w:t>
      </w:r>
      <w:r>
        <w:rPr>
          <w:rFonts w:hint="eastAsia" w:ascii="楷体" w:hAnsi="楷体" w:eastAsia="楷体" w:cs="楷体"/>
          <w:sz w:val="24"/>
          <w:u w:val="single"/>
        </w:rPr>
        <w:t>　　   　　</w:t>
      </w:r>
      <w:r>
        <w:rPr>
          <w:rFonts w:hint="eastAsia" w:ascii="楷体" w:hAnsi="楷体" w:eastAsia="楷体" w:cs="楷体"/>
          <w:sz w:val="24"/>
        </w:rPr>
        <w:t>（姓名）系</w:t>
      </w:r>
      <w:r>
        <w:rPr>
          <w:rFonts w:hint="eastAsia" w:ascii="楷体" w:hAnsi="楷体" w:eastAsia="楷体" w:cs="楷体"/>
          <w:sz w:val="24"/>
          <w:u w:val="single"/>
        </w:rPr>
        <w:t>　　  　　　　</w:t>
      </w:r>
      <w:r>
        <w:rPr>
          <w:rFonts w:hint="eastAsia" w:ascii="楷体" w:hAnsi="楷体" w:eastAsia="楷体" w:cs="楷体"/>
          <w:sz w:val="24"/>
        </w:rPr>
        <w:t>（投标人名称）的法定代表人，现授权委托</w:t>
      </w:r>
      <w:r>
        <w:rPr>
          <w:rFonts w:hint="eastAsia" w:ascii="楷体" w:hAnsi="楷体" w:eastAsia="楷体" w:cs="楷体"/>
          <w:sz w:val="24"/>
          <w:u w:val="single"/>
        </w:rPr>
        <w:t>　　　　　　　　   　　　</w:t>
      </w:r>
      <w:r>
        <w:rPr>
          <w:rFonts w:hint="eastAsia" w:ascii="楷体" w:hAnsi="楷体" w:eastAsia="楷体" w:cs="楷体"/>
          <w:sz w:val="24"/>
        </w:rPr>
        <w:t>（被授权人姓名、职务）为我公司授权代表，以本公司的名义参加</w:t>
      </w:r>
      <w:r>
        <w:rPr>
          <w:rFonts w:hint="eastAsia" w:ascii="楷体" w:hAnsi="楷体" w:eastAsia="楷体" w:cs="楷体"/>
          <w:sz w:val="24"/>
          <w:u w:val="single"/>
          <w:lang w:val="zh-CN"/>
        </w:rPr>
        <w:t>（项目名称、项目编号）</w:t>
      </w:r>
      <w:r>
        <w:rPr>
          <w:rFonts w:hint="eastAsia" w:ascii="楷体" w:hAnsi="楷体" w:eastAsia="楷体" w:cs="楷体"/>
          <w:sz w:val="24"/>
        </w:rPr>
        <w:t>的投标活动以及处理与之有关的一切事务。</w:t>
      </w:r>
    </w:p>
    <w:p w14:paraId="56A547CF">
      <w:pPr>
        <w:pStyle w:val="23"/>
        <w:spacing w:before="72" w:after="72" w:line="360" w:lineRule="auto"/>
        <w:ind w:firstLine="420"/>
        <w:rPr>
          <w:rFonts w:ascii="楷体" w:hAnsi="楷体" w:eastAsia="楷体" w:cs="楷体"/>
          <w:sz w:val="24"/>
        </w:rPr>
      </w:pPr>
      <w:r>
        <w:rPr>
          <w:rFonts w:hint="eastAsia" w:ascii="楷体" w:hAnsi="楷体" w:eastAsia="楷体" w:cs="楷体"/>
          <w:sz w:val="24"/>
        </w:rPr>
        <w:t>本授权委托书自法定代表人签字之日起生效，被授权人</w:t>
      </w:r>
      <w:r>
        <w:rPr>
          <w:rFonts w:hint="eastAsia" w:ascii="楷体" w:hAnsi="楷体" w:eastAsia="楷体" w:cs="楷体"/>
          <w:sz w:val="24"/>
          <w:u w:val="single"/>
        </w:rPr>
        <w:t>（投标人授权代表）</w:t>
      </w:r>
      <w:r>
        <w:rPr>
          <w:rFonts w:hint="eastAsia" w:ascii="楷体" w:hAnsi="楷体" w:eastAsia="楷体" w:cs="楷体"/>
          <w:sz w:val="24"/>
        </w:rPr>
        <w:t>无转委托权限。</w:t>
      </w:r>
    </w:p>
    <w:p w14:paraId="167D7AC5">
      <w:pPr>
        <w:pStyle w:val="23"/>
        <w:spacing w:before="72" w:after="72" w:line="360" w:lineRule="auto"/>
        <w:ind w:firstLine="420"/>
        <w:rPr>
          <w:rFonts w:ascii="楷体" w:hAnsi="楷体" w:eastAsia="楷体" w:cs="楷体"/>
          <w:sz w:val="24"/>
        </w:rPr>
      </w:pPr>
    </w:p>
    <w:p w14:paraId="7DD7D093">
      <w:pPr>
        <w:pStyle w:val="23"/>
        <w:spacing w:before="72" w:after="72" w:line="360" w:lineRule="auto"/>
        <w:rPr>
          <w:rFonts w:ascii="楷体" w:hAnsi="楷体" w:eastAsia="楷体" w:cs="楷体"/>
          <w:sz w:val="24"/>
        </w:rPr>
      </w:pPr>
    </w:p>
    <w:p w14:paraId="3A954132">
      <w:pPr>
        <w:adjustRightInd w:val="0"/>
        <w:snapToGrid w:val="0"/>
        <w:spacing w:before="72" w:after="72" w:line="480" w:lineRule="auto"/>
        <w:rPr>
          <w:rFonts w:ascii="楷体" w:hAnsi="楷体" w:eastAsia="楷体" w:cs="楷体"/>
          <w:sz w:val="24"/>
          <w:u w:val="single"/>
        </w:rPr>
      </w:pPr>
      <w:r>
        <w:rPr>
          <w:rFonts w:hint="eastAsia" w:ascii="楷体" w:hAnsi="楷体" w:eastAsia="楷体" w:cs="楷体"/>
          <w:sz w:val="24"/>
        </w:rPr>
        <w:t>投标人名称（加盖公章）：</w:t>
      </w:r>
    </w:p>
    <w:p w14:paraId="1F4EEC57">
      <w:pPr>
        <w:adjustRightInd w:val="0"/>
        <w:snapToGrid w:val="0"/>
        <w:spacing w:before="72" w:after="72" w:line="480" w:lineRule="auto"/>
        <w:rPr>
          <w:rFonts w:ascii="楷体" w:hAnsi="楷体" w:eastAsia="楷体" w:cs="楷体"/>
          <w:sz w:val="24"/>
        </w:rPr>
      </w:pPr>
      <w:r>
        <w:rPr>
          <w:rFonts w:hint="eastAsia" w:ascii="楷体" w:hAnsi="楷体" w:eastAsia="楷体" w:cs="楷体"/>
          <w:sz w:val="24"/>
        </w:rPr>
        <w:t>投标人法定代表人（签字或签章）：</w:t>
      </w:r>
    </w:p>
    <w:p w14:paraId="756CCB9B">
      <w:pPr>
        <w:adjustRightInd w:val="0"/>
        <w:snapToGrid w:val="0"/>
        <w:spacing w:before="72" w:after="72" w:line="480" w:lineRule="auto"/>
        <w:rPr>
          <w:rFonts w:ascii="楷体" w:hAnsi="楷体" w:eastAsia="楷体" w:cs="楷体"/>
          <w:sz w:val="24"/>
        </w:rPr>
      </w:pPr>
      <w:r>
        <w:rPr>
          <w:rFonts w:hint="eastAsia" w:ascii="楷体" w:hAnsi="楷体" w:eastAsia="楷体" w:cs="楷体"/>
          <w:sz w:val="24"/>
        </w:rPr>
        <w:t>投标人授权代表（签名）：</w:t>
      </w:r>
    </w:p>
    <w:p w14:paraId="0321642C">
      <w:pPr>
        <w:pStyle w:val="23"/>
        <w:spacing w:before="72" w:after="72" w:line="360" w:lineRule="auto"/>
        <w:rPr>
          <w:rFonts w:ascii="楷体" w:hAnsi="楷体" w:eastAsia="楷体" w:cs="楷体"/>
          <w:sz w:val="24"/>
        </w:rPr>
      </w:pPr>
      <w:r>
        <w:rPr>
          <w:rFonts w:hint="eastAsia" w:ascii="楷体" w:hAnsi="楷体" w:eastAsia="楷体" w:cs="楷体"/>
          <w:sz w:val="24"/>
        </w:rPr>
        <w:t>签发日期：   年   月   日</w:t>
      </w:r>
    </w:p>
    <w:p w14:paraId="0AC2C200">
      <w:pPr>
        <w:pStyle w:val="23"/>
        <w:spacing w:before="72" w:after="72" w:line="360" w:lineRule="auto"/>
        <w:rPr>
          <w:rFonts w:ascii="楷体" w:hAnsi="楷体" w:eastAsia="楷体" w:cs="楷体"/>
          <w:sz w:val="24"/>
        </w:rPr>
      </w:pPr>
    </w:p>
    <w:p w14:paraId="1336F518">
      <w:pPr>
        <w:spacing w:before="72" w:after="72" w:line="360" w:lineRule="auto"/>
        <w:rPr>
          <w:rFonts w:ascii="楷体" w:hAnsi="楷体" w:eastAsia="楷体" w:cs="楷体"/>
          <w:b/>
          <w:bCs/>
          <w:sz w:val="24"/>
        </w:rPr>
      </w:pPr>
      <w:r>
        <w:rPr>
          <w:rFonts w:hint="eastAsia" w:ascii="楷体" w:hAnsi="楷体" w:eastAsia="楷体" w:cs="楷体"/>
          <w:b/>
          <w:bCs/>
          <w:sz w:val="24"/>
        </w:rPr>
        <mc:AlternateContent>
          <mc:Choice Requires="wps">
            <w:drawing>
              <wp:anchor distT="0" distB="0" distL="114300" distR="114300" simplePos="0" relativeHeight="251660288" behindDoc="0" locked="0" layoutInCell="1" allowOverlap="1">
                <wp:simplePos x="0" y="0"/>
                <wp:positionH relativeFrom="column">
                  <wp:posOffset>2861945</wp:posOffset>
                </wp:positionH>
                <wp:positionV relativeFrom="paragraph">
                  <wp:posOffset>93345</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3349E7">
                            <w:pPr>
                              <w:spacing w:before="72" w:after="72"/>
                              <w:rPr>
                                <w:rFonts w:eastAsia="黑体"/>
                                <w:b/>
                                <w:sz w:val="30"/>
                              </w:rPr>
                            </w:pPr>
                          </w:p>
                          <w:p w14:paraId="7C3DB9EB">
                            <w:pPr>
                              <w:spacing w:before="72" w:after="72"/>
                              <w:rPr>
                                <w:rFonts w:ascii="楷体" w:hAnsi="楷体" w:eastAsia="楷体" w:cs="楷体"/>
                                <w:b/>
                                <w:sz w:val="30"/>
                              </w:rPr>
                            </w:pPr>
                          </w:p>
                          <w:p w14:paraId="7CBA0D89">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5DE04EF7">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F96697D">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_x0000_s1026" o:spid="_x0000_s1026" o:spt="1" style="position:absolute;left:0pt;margin-left:225.35pt;margin-top:7.35pt;height:138.2pt;width:207pt;z-index:251660288;mso-width-relative:page;mso-height-relative:page;" fillcolor="#FFFFFF" filled="t" stroked="t"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SjQX&#10;2AAAAAoBAAAPAAAAAAAAAAEAIAAAACIAAABkcnMvZG93bnJldi54bWxQSwECFAAUAAAACACHTuJA&#10;JewIriECAABfBAAADgAAAAAAAAABACAAAAAnAQAAZHJzL2Uyb0RvYy54bWxQSwUGAAAAAAYABgBZ&#10;AQAAugUAAAAA&#10;">
                <v:fill on="t" focussize="0,0"/>
                <v:stroke color="#000000" joinstyle="miter"/>
                <v:imagedata o:title=""/>
                <o:lock v:ext="edit" aspectratio="f"/>
                <v:textbox>
                  <w:txbxContent>
                    <w:p w14:paraId="003349E7">
                      <w:pPr>
                        <w:spacing w:before="72" w:after="72"/>
                        <w:rPr>
                          <w:rFonts w:eastAsia="黑体"/>
                          <w:b/>
                          <w:sz w:val="30"/>
                        </w:rPr>
                      </w:pPr>
                    </w:p>
                    <w:p w14:paraId="7C3DB9EB">
                      <w:pPr>
                        <w:spacing w:before="72" w:after="72"/>
                        <w:rPr>
                          <w:rFonts w:ascii="楷体" w:hAnsi="楷体" w:eastAsia="楷体" w:cs="楷体"/>
                          <w:b/>
                          <w:sz w:val="30"/>
                        </w:rPr>
                      </w:pPr>
                    </w:p>
                    <w:p w14:paraId="7CBA0D89">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5DE04EF7">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F96697D">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sz w:val="24"/>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110490</wp:posOffset>
                </wp:positionV>
                <wp:extent cx="2628900" cy="1755140"/>
                <wp:effectExtent l="4445" t="4445" r="14605" b="12065"/>
                <wp:wrapNone/>
                <wp:docPr id="4"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78D0D3">
                            <w:pPr>
                              <w:spacing w:before="72" w:after="72"/>
                              <w:rPr>
                                <w:rFonts w:eastAsia="黑体"/>
                                <w:b/>
                                <w:sz w:val="30"/>
                              </w:rPr>
                            </w:pPr>
                          </w:p>
                          <w:p w14:paraId="348A339F">
                            <w:pPr>
                              <w:spacing w:before="72" w:after="72"/>
                              <w:rPr>
                                <w:rFonts w:eastAsia="黑体"/>
                                <w:b/>
                                <w:sz w:val="30"/>
                              </w:rPr>
                            </w:pPr>
                          </w:p>
                          <w:p w14:paraId="2850A56F">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8E6449F">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39CB058">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矩形 2" o:spid="_x0000_s1026" o:spt="1" style="position:absolute;left:0pt;margin-left:-6.05pt;margin-top:8.7pt;height:138.2pt;width:207pt;z-index:251661312;mso-width-relative:page;mso-height-relative:page;" fillcolor="#FFFFFF" filled="t" stroked="t"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CX&#10;zMfIIAIAAF8EAAAOAAAAAAAAAAEAIAAAACcBAABkcnMvZTJvRG9jLnhtbFBLBQYAAAAABgAGAFkB&#10;AAC5BQAAAAA=&#10;">
                <v:fill on="t" focussize="0,0"/>
                <v:stroke color="#000000" joinstyle="miter"/>
                <v:imagedata o:title=""/>
                <o:lock v:ext="edit" aspectratio="f"/>
                <v:textbox>
                  <w:txbxContent>
                    <w:p w14:paraId="1E78D0D3">
                      <w:pPr>
                        <w:spacing w:before="72" w:after="72"/>
                        <w:rPr>
                          <w:rFonts w:eastAsia="黑体"/>
                          <w:b/>
                          <w:sz w:val="30"/>
                        </w:rPr>
                      </w:pPr>
                    </w:p>
                    <w:p w14:paraId="348A339F">
                      <w:pPr>
                        <w:spacing w:before="72" w:after="72"/>
                        <w:rPr>
                          <w:rFonts w:eastAsia="黑体"/>
                          <w:b/>
                          <w:sz w:val="30"/>
                        </w:rPr>
                      </w:pPr>
                    </w:p>
                    <w:p w14:paraId="2850A56F">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8E6449F">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39CB058">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p>
    <w:p w14:paraId="6C4C217E">
      <w:pPr>
        <w:spacing w:before="72" w:after="72" w:line="360" w:lineRule="auto"/>
        <w:rPr>
          <w:rFonts w:ascii="楷体" w:hAnsi="楷体" w:eastAsia="楷体" w:cs="楷体"/>
          <w:b/>
          <w:bCs/>
          <w:sz w:val="24"/>
        </w:rPr>
      </w:pPr>
    </w:p>
    <w:p w14:paraId="5601AD94">
      <w:pPr>
        <w:spacing w:before="72" w:after="72" w:line="360" w:lineRule="auto"/>
        <w:rPr>
          <w:rFonts w:ascii="楷体" w:hAnsi="楷体" w:eastAsia="楷体" w:cs="楷体"/>
          <w:b/>
          <w:bCs/>
          <w:sz w:val="24"/>
        </w:rPr>
      </w:pPr>
    </w:p>
    <w:p w14:paraId="760834C8">
      <w:pPr>
        <w:spacing w:before="72" w:after="72" w:line="360" w:lineRule="auto"/>
        <w:rPr>
          <w:rFonts w:ascii="楷体" w:hAnsi="楷体" w:eastAsia="楷体" w:cs="楷体"/>
          <w:b/>
          <w:bCs/>
          <w:sz w:val="24"/>
        </w:rPr>
      </w:pPr>
    </w:p>
    <w:p w14:paraId="5285FF9B">
      <w:pPr>
        <w:spacing w:before="72" w:after="72" w:line="360" w:lineRule="auto"/>
        <w:rPr>
          <w:rFonts w:ascii="楷体" w:hAnsi="楷体" w:eastAsia="楷体" w:cs="楷体"/>
          <w:b/>
          <w:bCs/>
          <w:sz w:val="24"/>
        </w:rPr>
      </w:pPr>
    </w:p>
    <w:p w14:paraId="0539135C">
      <w:pPr>
        <w:spacing w:before="72" w:after="72" w:line="360" w:lineRule="auto"/>
        <w:rPr>
          <w:rFonts w:ascii="楷体" w:hAnsi="楷体" w:eastAsia="楷体" w:cs="楷体"/>
          <w:b/>
          <w:bCs/>
          <w:sz w:val="24"/>
        </w:rPr>
      </w:pPr>
    </w:p>
    <w:p w14:paraId="3DE7A2C0">
      <w:pPr>
        <w:spacing w:before="72" w:after="72" w:line="360" w:lineRule="auto"/>
        <w:jc w:val="center"/>
        <w:rPr>
          <w:rFonts w:ascii="楷体" w:hAnsi="楷体" w:eastAsia="楷体" w:cs="楷体"/>
          <w:b/>
          <w:bCs/>
          <w:sz w:val="24"/>
        </w:rPr>
      </w:pPr>
    </w:p>
    <w:p w14:paraId="61AAD487">
      <w:pPr>
        <w:pStyle w:val="6"/>
        <w:numPr>
          <w:ilvl w:val="0"/>
          <w:numId w:val="64"/>
        </w:numPr>
        <w:jc w:val="center"/>
        <w:rPr>
          <w:rFonts w:ascii="楷体" w:hAnsi="楷体" w:eastAsia="楷体" w:cs="楷体"/>
        </w:rPr>
      </w:pPr>
      <w:bookmarkStart w:id="432" w:name="_Toc196294647"/>
      <w:bookmarkStart w:id="433" w:name="_Toc182886668"/>
      <w:bookmarkStart w:id="434" w:name="_Toc183316728"/>
      <w:r>
        <w:rPr>
          <w:rFonts w:hint="eastAsia" w:ascii="楷体" w:hAnsi="楷体" w:eastAsia="楷体" w:cs="楷体"/>
          <w:b w:val="0"/>
          <w:kern w:val="44"/>
          <w:szCs w:val="36"/>
        </w:rPr>
        <w:br w:type="page"/>
      </w:r>
      <w:bookmarkEnd w:id="420"/>
      <w:bookmarkEnd w:id="421"/>
      <w:bookmarkEnd w:id="422"/>
      <w:bookmarkEnd w:id="432"/>
      <w:bookmarkEnd w:id="433"/>
      <w:bookmarkEnd w:id="434"/>
      <w:bookmarkStart w:id="435" w:name="_Toc423021970"/>
      <w:bookmarkStart w:id="436" w:name="_Toc28687"/>
      <w:bookmarkStart w:id="437" w:name="_Toc483642771"/>
      <w:bookmarkStart w:id="438" w:name="_Toc10517"/>
      <w:bookmarkStart w:id="439" w:name="_Toc22209"/>
      <w:bookmarkStart w:id="440" w:name="_Toc3825"/>
      <w:bookmarkStart w:id="441" w:name="_Toc583"/>
      <w:bookmarkStart w:id="442" w:name="_Toc571"/>
      <w:bookmarkStart w:id="443" w:name="_Toc196294634"/>
      <w:r>
        <w:rPr>
          <w:rFonts w:hint="eastAsia" w:ascii="楷体" w:hAnsi="楷体" w:eastAsia="楷体" w:cs="楷体"/>
        </w:rPr>
        <w:t>招标代理服务费支付承诺书</w:t>
      </w:r>
      <w:bookmarkEnd w:id="435"/>
      <w:bookmarkEnd w:id="436"/>
      <w:bookmarkEnd w:id="437"/>
      <w:bookmarkEnd w:id="438"/>
      <w:bookmarkEnd w:id="439"/>
      <w:bookmarkEnd w:id="440"/>
      <w:bookmarkEnd w:id="441"/>
      <w:bookmarkEnd w:id="442"/>
    </w:p>
    <w:p w14:paraId="6AD58B61">
      <w:pPr>
        <w:spacing w:before="120" w:beforeLines="50" w:after="120" w:afterLines="50" w:line="360" w:lineRule="auto"/>
        <w:rPr>
          <w:rFonts w:ascii="楷体" w:hAnsi="楷体" w:eastAsia="楷体" w:cs="楷体"/>
          <w:b/>
          <w:bCs/>
          <w:sz w:val="24"/>
        </w:rPr>
      </w:pPr>
      <w:r>
        <w:rPr>
          <w:rFonts w:hint="eastAsia" w:ascii="楷体" w:hAnsi="楷体" w:eastAsia="楷体" w:cs="楷体"/>
          <w:b/>
          <w:bCs/>
          <w:sz w:val="24"/>
        </w:rPr>
        <w:t>致：广东鼎信招标采购有限公司</w:t>
      </w:r>
    </w:p>
    <w:p w14:paraId="28635EA8">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本公司</w:t>
      </w:r>
      <w:r>
        <w:rPr>
          <w:rFonts w:hint="eastAsia" w:ascii="楷体" w:hAnsi="楷体" w:eastAsia="楷体" w:cs="楷体"/>
          <w:sz w:val="24"/>
          <w:u w:val="single"/>
        </w:rPr>
        <w:t xml:space="preserve">     (投标人全称)   </w:t>
      </w:r>
      <w:r>
        <w:rPr>
          <w:rFonts w:hint="eastAsia" w:ascii="楷体" w:hAnsi="楷体" w:eastAsia="楷体" w:cs="楷体"/>
          <w:sz w:val="24"/>
        </w:rPr>
        <w:t>在参加贵公司举行的</w:t>
      </w:r>
      <w:r>
        <w:rPr>
          <w:rFonts w:hint="eastAsia" w:ascii="楷体" w:hAnsi="楷体" w:eastAsia="楷体" w:cs="楷体"/>
          <w:sz w:val="24"/>
          <w:u w:val="single"/>
        </w:rPr>
        <w:t>（项目名称）(项目编号： )</w:t>
      </w:r>
      <w:r>
        <w:rPr>
          <w:rFonts w:hint="eastAsia" w:ascii="楷体" w:hAnsi="楷体" w:eastAsia="楷体" w:cs="楷体"/>
          <w:sz w:val="24"/>
        </w:rPr>
        <w:t>招标中如获中标,保证在收到贵公司发出的中标通知书的同时，向贵公司交纳招标代理服务费。</w:t>
      </w:r>
    </w:p>
    <w:p w14:paraId="7C9389AD">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如我公司违反上述承诺，愿意承担由此引起的全部法律责任。</w:t>
      </w:r>
    </w:p>
    <w:p w14:paraId="074938DE">
      <w:pPr>
        <w:spacing w:before="72" w:after="72" w:line="360" w:lineRule="auto"/>
        <w:ind w:firstLine="544" w:firstLineChars="227"/>
        <w:rPr>
          <w:rFonts w:ascii="楷体" w:hAnsi="楷体" w:eastAsia="楷体" w:cs="楷体"/>
          <w:sz w:val="24"/>
        </w:rPr>
      </w:pPr>
      <w:r>
        <w:rPr>
          <w:rFonts w:hint="eastAsia" w:ascii="楷体" w:hAnsi="楷体" w:eastAsia="楷体" w:cs="楷体"/>
          <w:sz w:val="24"/>
        </w:rPr>
        <w:t>特此承诺。</w:t>
      </w:r>
    </w:p>
    <w:p w14:paraId="44688881">
      <w:pPr>
        <w:spacing w:before="72" w:after="72" w:line="360" w:lineRule="auto"/>
        <w:ind w:left="315"/>
        <w:rPr>
          <w:rFonts w:ascii="楷体" w:hAnsi="楷体" w:eastAsia="楷体" w:cs="楷体"/>
          <w:sz w:val="24"/>
        </w:rPr>
      </w:pPr>
    </w:p>
    <w:p w14:paraId="5F855B55">
      <w:pPr>
        <w:spacing w:before="72" w:after="72" w:line="360" w:lineRule="auto"/>
        <w:ind w:left="315"/>
        <w:rPr>
          <w:rFonts w:ascii="楷体" w:hAnsi="楷体" w:eastAsia="楷体" w:cs="楷体"/>
          <w:sz w:val="24"/>
        </w:rPr>
      </w:pPr>
    </w:p>
    <w:p w14:paraId="6BA43E48">
      <w:pPr>
        <w:spacing w:before="72" w:after="72" w:line="360" w:lineRule="auto"/>
        <w:ind w:left="315"/>
        <w:rPr>
          <w:rFonts w:ascii="楷体" w:hAnsi="楷体" w:eastAsia="楷体" w:cs="楷体"/>
          <w:sz w:val="24"/>
        </w:rPr>
      </w:pPr>
    </w:p>
    <w:p w14:paraId="2E96B9E0">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3D251C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459EFCF">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7A3348F2">
      <w:pPr>
        <w:snapToGrid w:val="0"/>
        <w:spacing w:line="360" w:lineRule="auto"/>
        <w:ind w:firstLine="470" w:firstLineChars="196"/>
        <w:rPr>
          <w:rFonts w:ascii="楷体" w:hAnsi="楷体" w:eastAsia="楷体" w:cs="楷体"/>
          <w:sz w:val="24"/>
        </w:rPr>
      </w:pPr>
    </w:p>
    <w:p w14:paraId="7B438F02">
      <w:pPr>
        <w:rPr>
          <w:rFonts w:ascii="楷体" w:hAnsi="楷体" w:eastAsia="楷体" w:cs="楷体"/>
          <w:sz w:val="24"/>
        </w:rPr>
      </w:pPr>
      <w:r>
        <w:rPr>
          <w:rFonts w:ascii="楷体" w:hAnsi="楷体" w:eastAsia="楷体" w:cs="楷体"/>
          <w:sz w:val="24"/>
        </w:rPr>
        <w:br w:type="page"/>
      </w:r>
    </w:p>
    <w:p w14:paraId="5C9B479D">
      <w:pPr>
        <w:tabs>
          <w:tab w:val="left" w:pos="720"/>
        </w:tabs>
        <w:jc w:val="center"/>
        <w:rPr>
          <w:rFonts w:ascii="楷体" w:hAnsi="楷体" w:eastAsia="楷体" w:cs="楷体"/>
          <w:sz w:val="44"/>
          <w:szCs w:val="44"/>
        </w:rPr>
      </w:pPr>
      <w:bookmarkStart w:id="444" w:name="_Toc32133"/>
      <w:bookmarkEnd w:id="444"/>
      <w:bookmarkStart w:id="445" w:name="_Toc10488322"/>
      <w:bookmarkEnd w:id="445"/>
      <w:bookmarkStart w:id="446" w:name="_Toc10821"/>
      <w:bookmarkStart w:id="447" w:name="_Toc11738"/>
      <w:bookmarkStart w:id="448" w:name="_Toc16543"/>
      <w:bookmarkStart w:id="449" w:name="_Toc20635"/>
      <w:bookmarkStart w:id="450" w:name="_Toc381489435"/>
      <w:bookmarkStart w:id="451" w:name="_Toc423021961"/>
      <w:bookmarkStart w:id="452" w:name="_Toc18188"/>
    </w:p>
    <w:p w14:paraId="15DA41B1">
      <w:pPr>
        <w:tabs>
          <w:tab w:val="left" w:pos="720"/>
        </w:tabs>
        <w:jc w:val="center"/>
        <w:rPr>
          <w:rFonts w:ascii="楷体" w:hAnsi="楷体" w:eastAsia="楷体" w:cs="楷体"/>
          <w:sz w:val="44"/>
          <w:szCs w:val="44"/>
        </w:rPr>
      </w:pPr>
    </w:p>
    <w:p w14:paraId="087B04FE">
      <w:pPr>
        <w:tabs>
          <w:tab w:val="left" w:pos="720"/>
        </w:tabs>
        <w:jc w:val="center"/>
        <w:rPr>
          <w:rFonts w:ascii="楷体" w:hAnsi="楷体" w:eastAsia="楷体" w:cs="楷体"/>
          <w:sz w:val="44"/>
          <w:szCs w:val="44"/>
        </w:rPr>
      </w:pPr>
    </w:p>
    <w:p w14:paraId="1BA2FEB3">
      <w:pPr>
        <w:tabs>
          <w:tab w:val="left" w:pos="720"/>
        </w:tabs>
        <w:jc w:val="center"/>
        <w:rPr>
          <w:rFonts w:ascii="楷体" w:hAnsi="楷体" w:eastAsia="楷体" w:cs="楷体"/>
          <w:sz w:val="44"/>
          <w:szCs w:val="44"/>
        </w:rPr>
      </w:pPr>
    </w:p>
    <w:p w14:paraId="7A8F5DDD">
      <w:pPr>
        <w:tabs>
          <w:tab w:val="left" w:pos="720"/>
        </w:tabs>
        <w:jc w:val="center"/>
        <w:rPr>
          <w:rFonts w:ascii="楷体" w:hAnsi="楷体" w:eastAsia="楷体" w:cs="楷体"/>
          <w:sz w:val="44"/>
          <w:szCs w:val="44"/>
        </w:rPr>
      </w:pPr>
    </w:p>
    <w:p w14:paraId="1DAA19DE">
      <w:pPr>
        <w:pStyle w:val="5"/>
        <w:adjustRightInd w:val="0"/>
        <w:snapToGrid w:val="0"/>
        <w:spacing w:before="3600" w:beforeLines="1500" w:after="3600" w:afterLines="1500" w:line="240" w:lineRule="auto"/>
        <w:jc w:val="center"/>
        <w:rPr>
          <w:rFonts w:ascii="楷体" w:hAnsi="楷体" w:eastAsia="楷体" w:cs="楷体"/>
          <w:sz w:val="44"/>
          <w:szCs w:val="44"/>
        </w:rPr>
      </w:pPr>
      <w:bookmarkStart w:id="453" w:name="_Toc9313"/>
      <w:bookmarkStart w:id="454" w:name="_Toc32317"/>
      <w:r>
        <w:rPr>
          <w:rFonts w:hint="eastAsia" w:ascii="楷体" w:hAnsi="楷体" w:eastAsia="楷体" w:cs="楷体"/>
          <w:sz w:val="44"/>
          <w:szCs w:val="44"/>
        </w:rPr>
        <w:t>第三部分商务文件</w:t>
      </w:r>
      <w:bookmarkEnd w:id="443"/>
      <w:bookmarkEnd w:id="446"/>
      <w:bookmarkEnd w:id="447"/>
      <w:bookmarkEnd w:id="448"/>
      <w:bookmarkEnd w:id="449"/>
      <w:bookmarkEnd w:id="450"/>
      <w:bookmarkEnd w:id="451"/>
      <w:bookmarkEnd w:id="452"/>
      <w:bookmarkEnd w:id="453"/>
      <w:bookmarkEnd w:id="454"/>
    </w:p>
    <w:p w14:paraId="35ACAC2E">
      <w:pPr>
        <w:rPr>
          <w:rFonts w:ascii="楷体" w:hAnsi="楷体" w:eastAsia="楷体" w:cs="楷体"/>
        </w:rPr>
      </w:pPr>
    </w:p>
    <w:p w14:paraId="4712EE35">
      <w:pPr>
        <w:rPr>
          <w:rFonts w:ascii="楷体" w:hAnsi="楷体" w:eastAsia="楷体" w:cs="楷体"/>
        </w:rPr>
        <w:sectPr>
          <w:pgSz w:w="11906" w:h="16838"/>
          <w:pgMar w:top="1440" w:right="1800" w:bottom="1440" w:left="1800" w:header="851" w:footer="992" w:gutter="0"/>
          <w:cols w:space="720" w:num="1"/>
          <w:docGrid w:linePitch="312" w:charSpace="0"/>
        </w:sectPr>
      </w:pPr>
    </w:p>
    <w:p w14:paraId="5EAA540D">
      <w:pPr>
        <w:rPr>
          <w:rFonts w:ascii="楷体" w:hAnsi="楷体" w:eastAsia="楷体" w:cs="楷体"/>
        </w:rPr>
      </w:pPr>
    </w:p>
    <w:p w14:paraId="28136B4A">
      <w:pPr>
        <w:pStyle w:val="6"/>
        <w:numPr>
          <w:ilvl w:val="0"/>
          <w:numId w:val="68"/>
        </w:numPr>
        <w:adjustRightInd w:val="0"/>
        <w:snapToGrid w:val="0"/>
        <w:spacing w:before="0" w:after="0"/>
        <w:jc w:val="center"/>
        <w:rPr>
          <w:rFonts w:ascii="楷体" w:hAnsi="楷体" w:eastAsia="楷体" w:cs="楷体"/>
        </w:rPr>
      </w:pPr>
      <w:bookmarkStart w:id="455" w:name="_Toc381489436"/>
      <w:bookmarkStart w:id="456" w:name="_Toc423021962"/>
      <w:bookmarkStart w:id="457" w:name="_Toc9533"/>
      <w:bookmarkStart w:id="458" w:name="_Toc30547"/>
      <w:bookmarkStart w:id="459" w:name="_Toc18420"/>
      <w:bookmarkStart w:id="460" w:name="_Toc9516"/>
      <w:bookmarkStart w:id="461" w:name="_Toc30265"/>
      <w:bookmarkStart w:id="462" w:name="_Toc26018"/>
      <w:bookmarkStart w:id="463" w:name="_Toc8003"/>
      <w:r>
        <w:rPr>
          <w:rFonts w:hint="eastAsia" w:ascii="楷体" w:hAnsi="楷体" w:eastAsia="楷体" w:cs="楷体"/>
        </w:rPr>
        <w:t>投标人</w:t>
      </w:r>
      <w:bookmarkEnd w:id="455"/>
      <w:bookmarkEnd w:id="456"/>
      <w:bookmarkEnd w:id="457"/>
      <w:r>
        <w:rPr>
          <w:rFonts w:hint="eastAsia" w:ascii="楷体" w:hAnsi="楷体" w:eastAsia="楷体" w:cs="楷体"/>
        </w:rPr>
        <w:t>概况</w:t>
      </w:r>
      <w:bookmarkEnd w:id="458"/>
      <w:bookmarkEnd w:id="459"/>
      <w:bookmarkEnd w:id="460"/>
      <w:bookmarkEnd w:id="461"/>
      <w:bookmarkEnd w:id="462"/>
      <w:bookmarkEnd w:id="463"/>
    </w:p>
    <w:p w14:paraId="7F62CF57">
      <w:pPr>
        <w:numPr>
          <w:ilvl w:val="0"/>
          <w:numId w:val="69"/>
        </w:numPr>
        <w:adjustRightInd w:val="0"/>
        <w:snapToGrid w:val="0"/>
        <w:spacing w:line="360" w:lineRule="auto"/>
        <w:jc w:val="center"/>
        <w:rPr>
          <w:rFonts w:ascii="楷体" w:hAnsi="楷体" w:eastAsia="楷体" w:cs="楷体"/>
          <w:b/>
          <w:kern w:val="44"/>
          <w:sz w:val="30"/>
          <w:szCs w:val="30"/>
        </w:rPr>
      </w:pPr>
      <w:r>
        <w:rPr>
          <w:rFonts w:hint="eastAsia" w:ascii="楷体" w:hAnsi="楷体" w:eastAsia="楷体" w:cs="楷体"/>
          <w:b/>
          <w:kern w:val="44"/>
          <w:sz w:val="30"/>
          <w:szCs w:val="30"/>
        </w:rPr>
        <w:t>投标人情况介绍表</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88"/>
        <w:gridCol w:w="491"/>
        <w:gridCol w:w="914"/>
        <w:gridCol w:w="259"/>
        <w:gridCol w:w="943"/>
        <w:gridCol w:w="1568"/>
        <w:gridCol w:w="748"/>
        <w:gridCol w:w="160"/>
        <w:gridCol w:w="1178"/>
      </w:tblGrid>
      <w:tr w14:paraId="3C1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2537CF8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单位名称</w:t>
            </w:r>
          </w:p>
        </w:tc>
        <w:tc>
          <w:tcPr>
            <w:tcW w:w="4370" w:type="pct"/>
            <w:gridSpan w:val="9"/>
            <w:vAlign w:val="center"/>
          </w:tcPr>
          <w:p w14:paraId="067560B8">
            <w:pPr>
              <w:tabs>
                <w:tab w:val="left" w:pos="540"/>
              </w:tabs>
              <w:spacing w:line="440" w:lineRule="exact"/>
              <w:ind w:left="-130" w:leftChars="-63" w:right="-105" w:rightChars="-50" w:hanging="2"/>
              <w:jc w:val="center"/>
              <w:rPr>
                <w:rFonts w:ascii="楷体" w:hAnsi="楷体" w:eastAsia="楷体" w:cs="楷体"/>
                <w:sz w:val="24"/>
              </w:rPr>
            </w:pPr>
          </w:p>
        </w:tc>
      </w:tr>
      <w:tr w14:paraId="57F2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74D5341F">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地址</w:t>
            </w:r>
          </w:p>
        </w:tc>
        <w:tc>
          <w:tcPr>
            <w:tcW w:w="4370" w:type="pct"/>
            <w:gridSpan w:val="9"/>
            <w:vAlign w:val="center"/>
          </w:tcPr>
          <w:p w14:paraId="47AB6F26">
            <w:pPr>
              <w:tabs>
                <w:tab w:val="left" w:pos="540"/>
              </w:tabs>
              <w:spacing w:line="440" w:lineRule="exact"/>
              <w:ind w:left="-130" w:leftChars="-63" w:right="-105" w:rightChars="-50" w:hanging="2"/>
              <w:jc w:val="center"/>
              <w:rPr>
                <w:rFonts w:ascii="楷体" w:hAnsi="楷体" w:eastAsia="楷体" w:cs="楷体"/>
                <w:sz w:val="24"/>
              </w:rPr>
            </w:pPr>
          </w:p>
        </w:tc>
      </w:tr>
      <w:tr w14:paraId="174C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AEAE926">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主管部门</w:t>
            </w:r>
          </w:p>
        </w:tc>
        <w:tc>
          <w:tcPr>
            <w:tcW w:w="985" w:type="pct"/>
            <w:gridSpan w:val="2"/>
            <w:vAlign w:val="center"/>
          </w:tcPr>
          <w:p w14:paraId="72CCB6A1">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5737A2E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法人代表</w:t>
            </w:r>
          </w:p>
        </w:tc>
        <w:tc>
          <w:tcPr>
            <w:tcW w:w="1472" w:type="pct"/>
            <w:gridSpan w:val="2"/>
            <w:vAlign w:val="center"/>
          </w:tcPr>
          <w:p w14:paraId="7DC4D04A">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132DCB8C">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职务</w:t>
            </w:r>
          </w:p>
        </w:tc>
        <w:tc>
          <w:tcPr>
            <w:tcW w:w="783" w:type="pct"/>
            <w:gridSpan w:val="2"/>
          </w:tcPr>
          <w:p w14:paraId="794ED1FA">
            <w:pPr>
              <w:tabs>
                <w:tab w:val="left" w:pos="540"/>
              </w:tabs>
              <w:spacing w:line="440" w:lineRule="exact"/>
              <w:ind w:left="-130" w:leftChars="-63" w:right="-105" w:rightChars="-50" w:hanging="2"/>
              <w:jc w:val="center"/>
              <w:rPr>
                <w:rFonts w:ascii="楷体" w:hAnsi="楷体" w:eastAsia="楷体" w:cs="楷体"/>
                <w:sz w:val="24"/>
              </w:rPr>
            </w:pPr>
          </w:p>
        </w:tc>
      </w:tr>
      <w:tr w14:paraId="0ED2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0E9112BF">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经济类型</w:t>
            </w:r>
          </w:p>
        </w:tc>
        <w:tc>
          <w:tcPr>
            <w:tcW w:w="985" w:type="pct"/>
            <w:gridSpan w:val="2"/>
            <w:vAlign w:val="center"/>
          </w:tcPr>
          <w:p w14:paraId="44812702">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47B7326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授权代表</w:t>
            </w:r>
          </w:p>
        </w:tc>
        <w:tc>
          <w:tcPr>
            <w:tcW w:w="1472" w:type="pct"/>
            <w:gridSpan w:val="2"/>
            <w:vAlign w:val="center"/>
          </w:tcPr>
          <w:p w14:paraId="3F5B66DE">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784AB77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职务</w:t>
            </w:r>
          </w:p>
        </w:tc>
        <w:tc>
          <w:tcPr>
            <w:tcW w:w="783" w:type="pct"/>
            <w:gridSpan w:val="2"/>
          </w:tcPr>
          <w:p w14:paraId="578A8AC0">
            <w:pPr>
              <w:tabs>
                <w:tab w:val="left" w:pos="540"/>
              </w:tabs>
              <w:spacing w:line="440" w:lineRule="exact"/>
              <w:ind w:left="-130" w:leftChars="-63" w:right="-105" w:rightChars="-50" w:hanging="2"/>
              <w:jc w:val="center"/>
              <w:rPr>
                <w:rFonts w:ascii="楷体" w:hAnsi="楷体" w:eastAsia="楷体" w:cs="楷体"/>
                <w:sz w:val="24"/>
              </w:rPr>
            </w:pPr>
          </w:p>
        </w:tc>
      </w:tr>
      <w:tr w14:paraId="2D75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09B9684">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邮编</w:t>
            </w:r>
          </w:p>
        </w:tc>
        <w:tc>
          <w:tcPr>
            <w:tcW w:w="985" w:type="pct"/>
            <w:gridSpan w:val="2"/>
            <w:vAlign w:val="center"/>
          </w:tcPr>
          <w:p w14:paraId="5E46AD63">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7BFEBBB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电话</w:t>
            </w:r>
          </w:p>
        </w:tc>
        <w:tc>
          <w:tcPr>
            <w:tcW w:w="1472" w:type="pct"/>
            <w:gridSpan w:val="2"/>
            <w:vAlign w:val="center"/>
          </w:tcPr>
          <w:p w14:paraId="047A7B9E">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49AE79DC">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传真</w:t>
            </w:r>
          </w:p>
        </w:tc>
        <w:tc>
          <w:tcPr>
            <w:tcW w:w="783" w:type="pct"/>
            <w:gridSpan w:val="2"/>
          </w:tcPr>
          <w:p w14:paraId="3FE2E51C">
            <w:pPr>
              <w:tabs>
                <w:tab w:val="left" w:pos="540"/>
              </w:tabs>
              <w:spacing w:line="440" w:lineRule="exact"/>
              <w:ind w:left="-130" w:leftChars="-63" w:right="-105" w:rightChars="-50" w:hanging="2"/>
              <w:jc w:val="center"/>
              <w:rPr>
                <w:rFonts w:ascii="楷体" w:hAnsi="楷体" w:eastAsia="楷体" w:cs="楷体"/>
                <w:sz w:val="24"/>
              </w:rPr>
            </w:pPr>
          </w:p>
        </w:tc>
      </w:tr>
      <w:tr w14:paraId="02D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6A3FCC7F">
            <w:pPr>
              <w:tabs>
                <w:tab w:val="left" w:pos="540"/>
              </w:tabs>
              <w:ind w:left="-128" w:leftChars="-62" w:right="-105" w:rightChars="-50" w:hanging="2"/>
              <w:jc w:val="center"/>
              <w:rPr>
                <w:rFonts w:ascii="楷体" w:hAnsi="楷体" w:eastAsia="楷体" w:cs="楷体"/>
                <w:sz w:val="24"/>
              </w:rPr>
            </w:pPr>
            <w:r>
              <w:rPr>
                <w:rFonts w:hint="eastAsia" w:ascii="楷体" w:hAnsi="楷体" w:eastAsia="楷体" w:cs="楷体"/>
                <w:sz w:val="24"/>
              </w:rPr>
              <w:t>单位简介及机构设置</w:t>
            </w:r>
          </w:p>
        </w:tc>
        <w:tc>
          <w:tcPr>
            <w:tcW w:w="4370" w:type="pct"/>
            <w:gridSpan w:val="9"/>
          </w:tcPr>
          <w:p w14:paraId="77B11FD7">
            <w:pPr>
              <w:tabs>
                <w:tab w:val="left" w:pos="540"/>
              </w:tabs>
              <w:spacing w:line="440" w:lineRule="exact"/>
              <w:ind w:left="-130" w:leftChars="-63" w:right="-105" w:rightChars="-50" w:hanging="2"/>
              <w:jc w:val="center"/>
              <w:rPr>
                <w:rFonts w:ascii="楷体" w:hAnsi="楷体" w:eastAsia="楷体" w:cs="楷体"/>
                <w:sz w:val="24"/>
              </w:rPr>
            </w:pPr>
          </w:p>
        </w:tc>
      </w:tr>
      <w:tr w14:paraId="16A8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9" w:type="pct"/>
            <w:vAlign w:val="center"/>
          </w:tcPr>
          <w:p w14:paraId="7432B06E">
            <w:pPr>
              <w:tabs>
                <w:tab w:val="left" w:pos="540"/>
              </w:tabs>
              <w:ind w:left="-128" w:leftChars="-62" w:right="-105" w:rightChars="-50" w:hanging="2"/>
              <w:jc w:val="center"/>
              <w:rPr>
                <w:rFonts w:ascii="楷体" w:hAnsi="楷体" w:eastAsia="楷体" w:cs="楷体"/>
                <w:sz w:val="24"/>
              </w:rPr>
            </w:pPr>
            <w:r>
              <w:rPr>
                <w:rFonts w:hint="eastAsia" w:ascii="楷体" w:hAnsi="楷体" w:eastAsia="楷体" w:cs="楷体"/>
                <w:sz w:val="24"/>
              </w:rPr>
              <w:t>单位优势及特长</w:t>
            </w:r>
          </w:p>
        </w:tc>
        <w:tc>
          <w:tcPr>
            <w:tcW w:w="4370" w:type="pct"/>
            <w:gridSpan w:val="9"/>
          </w:tcPr>
          <w:p w14:paraId="25A7350C">
            <w:pPr>
              <w:tabs>
                <w:tab w:val="left" w:pos="540"/>
              </w:tabs>
              <w:spacing w:line="440" w:lineRule="exact"/>
              <w:ind w:left="-130" w:leftChars="-63" w:right="-105" w:rightChars="-50" w:hanging="2"/>
              <w:jc w:val="center"/>
              <w:rPr>
                <w:rFonts w:ascii="楷体" w:hAnsi="楷体" w:eastAsia="楷体" w:cs="楷体"/>
                <w:sz w:val="24"/>
              </w:rPr>
            </w:pPr>
          </w:p>
        </w:tc>
      </w:tr>
      <w:tr w14:paraId="7B66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restart"/>
            <w:vAlign w:val="center"/>
          </w:tcPr>
          <w:p w14:paraId="0F90283A">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单位概况</w:t>
            </w:r>
          </w:p>
        </w:tc>
        <w:tc>
          <w:tcPr>
            <w:tcW w:w="697" w:type="pct"/>
          </w:tcPr>
          <w:p w14:paraId="5F3E501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注册资本</w:t>
            </w:r>
          </w:p>
        </w:tc>
        <w:tc>
          <w:tcPr>
            <w:tcW w:w="824" w:type="pct"/>
            <w:gridSpan w:val="2"/>
          </w:tcPr>
          <w:p w14:paraId="7C7C3E01">
            <w:pPr>
              <w:tabs>
                <w:tab w:val="left" w:pos="540"/>
              </w:tabs>
              <w:spacing w:line="440" w:lineRule="exact"/>
              <w:ind w:left="-130" w:leftChars="-63" w:right="-105" w:rightChars="-50" w:hanging="2"/>
              <w:jc w:val="right"/>
              <w:rPr>
                <w:rFonts w:ascii="楷体" w:hAnsi="楷体" w:eastAsia="楷体" w:cs="楷体"/>
                <w:sz w:val="24"/>
              </w:rPr>
            </w:pPr>
          </w:p>
        </w:tc>
        <w:tc>
          <w:tcPr>
            <w:tcW w:w="705" w:type="pct"/>
            <w:gridSpan w:val="2"/>
          </w:tcPr>
          <w:p w14:paraId="248D7B25">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占地面积</w:t>
            </w:r>
          </w:p>
        </w:tc>
        <w:tc>
          <w:tcPr>
            <w:tcW w:w="2143" w:type="pct"/>
            <w:gridSpan w:val="4"/>
          </w:tcPr>
          <w:p w14:paraId="4F03DAFD">
            <w:pPr>
              <w:tabs>
                <w:tab w:val="left" w:pos="540"/>
              </w:tabs>
              <w:spacing w:line="440" w:lineRule="exact"/>
              <w:ind w:left="-132" w:leftChars="-63" w:right="-105" w:rightChars="-50" w:firstLine="3480" w:firstLineChars="1450"/>
              <w:jc w:val="center"/>
              <w:rPr>
                <w:rFonts w:ascii="楷体" w:hAnsi="楷体" w:eastAsia="楷体" w:cs="楷体"/>
                <w:sz w:val="24"/>
              </w:rPr>
            </w:pPr>
          </w:p>
        </w:tc>
      </w:tr>
      <w:tr w14:paraId="7AA6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10C2E96E">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7F103DE2">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职工总数</w:t>
            </w:r>
          </w:p>
        </w:tc>
        <w:tc>
          <w:tcPr>
            <w:tcW w:w="824" w:type="pct"/>
            <w:gridSpan w:val="2"/>
          </w:tcPr>
          <w:p w14:paraId="06FD1CAE">
            <w:pPr>
              <w:tabs>
                <w:tab w:val="left" w:pos="540"/>
              </w:tabs>
              <w:spacing w:line="440" w:lineRule="exact"/>
              <w:ind w:left="-130" w:leftChars="-63" w:right="-105" w:rightChars="-50" w:hanging="2"/>
              <w:jc w:val="right"/>
              <w:rPr>
                <w:rFonts w:ascii="楷体" w:hAnsi="楷体" w:eastAsia="楷体" w:cs="楷体"/>
                <w:sz w:val="24"/>
              </w:rPr>
            </w:pPr>
          </w:p>
        </w:tc>
        <w:tc>
          <w:tcPr>
            <w:tcW w:w="705" w:type="pct"/>
            <w:gridSpan w:val="2"/>
          </w:tcPr>
          <w:p w14:paraId="5BCDFE23">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建筑面积</w:t>
            </w:r>
          </w:p>
        </w:tc>
        <w:tc>
          <w:tcPr>
            <w:tcW w:w="2143" w:type="pct"/>
            <w:gridSpan w:val="4"/>
          </w:tcPr>
          <w:p w14:paraId="0F92C120">
            <w:pPr>
              <w:tabs>
                <w:tab w:val="left" w:pos="540"/>
              </w:tabs>
              <w:spacing w:line="440" w:lineRule="exact"/>
              <w:ind w:left="-132" w:leftChars="-63" w:right="-105" w:rightChars="-50" w:firstLine="3480" w:firstLineChars="1450"/>
              <w:jc w:val="center"/>
              <w:rPr>
                <w:rFonts w:ascii="楷体" w:hAnsi="楷体" w:eastAsia="楷体" w:cs="楷体"/>
                <w:sz w:val="24"/>
              </w:rPr>
            </w:pPr>
          </w:p>
        </w:tc>
      </w:tr>
      <w:tr w14:paraId="323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4A5CC1BE">
            <w:pPr>
              <w:tabs>
                <w:tab w:val="left" w:pos="540"/>
              </w:tabs>
              <w:spacing w:line="440" w:lineRule="exact"/>
              <w:ind w:left="-130" w:leftChars="-63" w:right="-105" w:rightChars="-50" w:hanging="2"/>
              <w:jc w:val="center"/>
              <w:rPr>
                <w:rFonts w:ascii="楷体" w:hAnsi="楷体" w:eastAsia="楷体" w:cs="楷体"/>
                <w:sz w:val="24"/>
              </w:rPr>
            </w:pPr>
          </w:p>
        </w:tc>
        <w:tc>
          <w:tcPr>
            <w:tcW w:w="697" w:type="pct"/>
            <w:vMerge w:val="restart"/>
            <w:vAlign w:val="center"/>
          </w:tcPr>
          <w:p w14:paraId="4C1543F7">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资产情况</w:t>
            </w:r>
          </w:p>
        </w:tc>
        <w:tc>
          <w:tcPr>
            <w:tcW w:w="824" w:type="pct"/>
            <w:gridSpan w:val="2"/>
            <w:vAlign w:val="center"/>
          </w:tcPr>
          <w:p w14:paraId="631AEC21">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净资产</w:t>
            </w:r>
          </w:p>
        </w:tc>
        <w:tc>
          <w:tcPr>
            <w:tcW w:w="705" w:type="pct"/>
            <w:gridSpan w:val="2"/>
            <w:vAlign w:val="center"/>
          </w:tcPr>
          <w:p w14:paraId="52C5B1E1">
            <w:pPr>
              <w:tabs>
                <w:tab w:val="left" w:pos="540"/>
              </w:tabs>
              <w:spacing w:line="440" w:lineRule="exact"/>
              <w:ind w:left="-130" w:leftChars="-63" w:right="-105" w:rightChars="-50" w:hanging="2"/>
              <w:jc w:val="center"/>
              <w:rPr>
                <w:rFonts w:ascii="楷体" w:hAnsi="楷体" w:eastAsia="楷体" w:cs="楷体"/>
                <w:sz w:val="24"/>
              </w:rPr>
            </w:pPr>
          </w:p>
        </w:tc>
        <w:tc>
          <w:tcPr>
            <w:tcW w:w="920" w:type="pct"/>
            <w:vAlign w:val="center"/>
          </w:tcPr>
          <w:p w14:paraId="1434D8F1">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固定资产原值</w:t>
            </w:r>
          </w:p>
        </w:tc>
        <w:tc>
          <w:tcPr>
            <w:tcW w:w="1222" w:type="pct"/>
            <w:gridSpan w:val="3"/>
            <w:vAlign w:val="center"/>
          </w:tcPr>
          <w:p w14:paraId="6676087A">
            <w:pPr>
              <w:tabs>
                <w:tab w:val="left" w:pos="540"/>
              </w:tabs>
              <w:spacing w:line="440" w:lineRule="exact"/>
              <w:ind w:left="-130" w:leftChars="-63" w:right="-105" w:rightChars="-50" w:hanging="2"/>
              <w:jc w:val="center"/>
              <w:rPr>
                <w:rFonts w:ascii="楷体" w:hAnsi="楷体" w:eastAsia="楷体" w:cs="楷体"/>
                <w:sz w:val="24"/>
              </w:rPr>
            </w:pPr>
          </w:p>
        </w:tc>
      </w:tr>
      <w:tr w14:paraId="0175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48A1C84B">
            <w:pPr>
              <w:tabs>
                <w:tab w:val="left" w:pos="540"/>
              </w:tabs>
              <w:spacing w:line="440" w:lineRule="exact"/>
              <w:ind w:left="-130" w:leftChars="-63" w:right="-105" w:rightChars="-50" w:hanging="2"/>
              <w:jc w:val="center"/>
              <w:rPr>
                <w:rFonts w:ascii="楷体" w:hAnsi="楷体" w:eastAsia="楷体" w:cs="楷体"/>
                <w:sz w:val="24"/>
              </w:rPr>
            </w:pPr>
          </w:p>
        </w:tc>
        <w:tc>
          <w:tcPr>
            <w:tcW w:w="697" w:type="pct"/>
            <w:vMerge w:val="continue"/>
            <w:vAlign w:val="center"/>
          </w:tcPr>
          <w:p w14:paraId="3C8F1992">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vAlign w:val="center"/>
          </w:tcPr>
          <w:p w14:paraId="1E78C633">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负债</w:t>
            </w:r>
          </w:p>
        </w:tc>
        <w:tc>
          <w:tcPr>
            <w:tcW w:w="705" w:type="pct"/>
            <w:gridSpan w:val="2"/>
            <w:vAlign w:val="center"/>
          </w:tcPr>
          <w:p w14:paraId="5186F9EE">
            <w:pPr>
              <w:tabs>
                <w:tab w:val="left" w:pos="540"/>
              </w:tabs>
              <w:spacing w:line="440" w:lineRule="exact"/>
              <w:ind w:left="-130" w:leftChars="-63" w:right="-105" w:rightChars="-50" w:hanging="2"/>
              <w:jc w:val="center"/>
              <w:rPr>
                <w:rFonts w:ascii="楷体" w:hAnsi="楷体" w:eastAsia="楷体" w:cs="楷体"/>
                <w:sz w:val="24"/>
              </w:rPr>
            </w:pPr>
          </w:p>
        </w:tc>
        <w:tc>
          <w:tcPr>
            <w:tcW w:w="920" w:type="pct"/>
            <w:vAlign w:val="center"/>
          </w:tcPr>
          <w:p w14:paraId="34136D03">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固定资产净值</w:t>
            </w:r>
          </w:p>
        </w:tc>
        <w:tc>
          <w:tcPr>
            <w:tcW w:w="1222" w:type="pct"/>
            <w:gridSpan w:val="3"/>
            <w:vAlign w:val="center"/>
          </w:tcPr>
          <w:p w14:paraId="1B80BAFD">
            <w:pPr>
              <w:tabs>
                <w:tab w:val="left" w:pos="540"/>
              </w:tabs>
              <w:spacing w:line="440" w:lineRule="exact"/>
              <w:ind w:left="-130" w:leftChars="-63" w:right="-105" w:rightChars="-50" w:hanging="2"/>
              <w:jc w:val="center"/>
              <w:rPr>
                <w:rFonts w:ascii="楷体" w:hAnsi="楷体" w:eastAsia="楷体" w:cs="楷体"/>
                <w:sz w:val="24"/>
              </w:rPr>
            </w:pPr>
          </w:p>
        </w:tc>
      </w:tr>
      <w:tr w14:paraId="509B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pct"/>
            <w:vMerge w:val="restart"/>
            <w:vAlign w:val="center"/>
          </w:tcPr>
          <w:p w14:paraId="7499D57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财务状况</w:t>
            </w:r>
          </w:p>
        </w:tc>
        <w:tc>
          <w:tcPr>
            <w:tcW w:w="697" w:type="pct"/>
            <w:vAlign w:val="center"/>
          </w:tcPr>
          <w:p w14:paraId="5F4079B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年度</w:t>
            </w:r>
          </w:p>
        </w:tc>
        <w:tc>
          <w:tcPr>
            <w:tcW w:w="824" w:type="pct"/>
            <w:gridSpan w:val="2"/>
            <w:vAlign w:val="center"/>
          </w:tcPr>
          <w:p w14:paraId="3E489191">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主营收入</w:t>
            </w:r>
          </w:p>
        </w:tc>
        <w:tc>
          <w:tcPr>
            <w:tcW w:w="705" w:type="pct"/>
            <w:gridSpan w:val="2"/>
            <w:vAlign w:val="center"/>
          </w:tcPr>
          <w:p w14:paraId="6C6BBFCE">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收入总额</w:t>
            </w:r>
          </w:p>
        </w:tc>
        <w:tc>
          <w:tcPr>
            <w:tcW w:w="920" w:type="pct"/>
            <w:vAlign w:val="center"/>
          </w:tcPr>
          <w:p w14:paraId="0E9F893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利润总额</w:t>
            </w:r>
          </w:p>
        </w:tc>
        <w:tc>
          <w:tcPr>
            <w:tcW w:w="533" w:type="pct"/>
            <w:gridSpan w:val="2"/>
            <w:vAlign w:val="center"/>
          </w:tcPr>
          <w:p w14:paraId="6F3DA062">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净利润</w:t>
            </w:r>
          </w:p>
        </w:tc>
        <w:tc>
          <w:tcPr>
            <w:tcW w:w="689" w:type="pct"/>
            <w:vAlign w:val="center"/>
          </w:tcPr>
          <w:p w14:paraId="1F7AD8F0">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资产负债率</w:t>
            </w:r>
          </w:p>
        </w:tc>
      </w:tr>
      <w:tr w14:paraId="4FA9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68F48150">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3B980A78">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tcPr>
          <w:p w14:paraId="392C43AA">
            <w:pPr>
              <w:tabs>
                <w:tab w:val="left" w:pos="540"/>
              </w:tabs>
              <w:spacing w:line="440" w:lineRule="exact"/>
              <w:ind w:left="-130" w:leftChars="-63" w:right="-105" w:rightChars="-50" w:hanging="2"/>
              <w:jc w:val="center"/>
              <w:rPr>
                <w:rFonts w:ascii="楷体" w:hAnsi="楷体" w:eastAsia="楷体" w:cs="楷体"/>
                <w:sz w:val="24"/>
              </w:rPr>
            </w:pPr>
          </w:p>
        </w:tc>
        <w:tc>
          <w:tcPr>
            <w:tcW w:w="705" w:type="pct"/>
            <w:gridSpan w:val="2"/>
          </w:tcPr>
          <w:p w14:paraId="2AAC50E1">
            <w:pPr>
              <w:tabs>
                <w:tab w:val="left" w:pos="540"/>
              </w:tabs>
              <w:spacing w:line="440" w:lineRule="exact"/>
              <w:ind w:left="-130" w:leftChars="-63" w:right="-105" w:rightChars="-50" w:hanging="2"/>
              <w:jc w:val="center"/>
              <w:rPr>
                <w:rFonts w:ascii="楷体" w:hAnsi="楷体" w:eastAsia="楷体" w:cs="楷体"/>
                <w:sz w:val="24"/>
              </w:rPr>
            </w:pPr>
          </w:p>
        </w:tc>
        <w:tc>
          <w:tcPr>
            <w:tcW w:w="920" w:type="pct"/>
          </w:tcPr>
          <w:p w14:paraId="68AB954F">
            <w:pPr>
              <w:tabs>
                <w:tab w:val="left" w:pos="540"/>
              </w:tabs>
              <w:spacing w:line="440" w:lineRule="exact"/>
              <w:ind w:left="-130" w:leftChars="-63" w:right="-105" w:rightChars="-50" w:hanging="2"/>
              <w:jc w:val="center"/>
              <w:rPr>
                <w:rFonts w:ascii="楷体" w:hAnsi="楷体" w:eastAsia="楷体" w:cs="楷体"/>
                <w:sz w:val="24"/>
              </w:rPr>
            </w:pPr>
          </w:p>
        </w:tc>
        <w:tc>
          <w:tcPr>
            <w:tcW w:w="533" w:type="pct"/>
            <w:gridSpan w:val="2"/>
          </w:tcPr>
          <w:p w14:paraId="2228FC57">
            <w:pPr>
              <w:tabs>
                <w:tab w:val="left" w:pos="540"/>
              </w:tabs>
              <w:spacing w:line="440" w:lineRule="exact"/>
              <w:ind w:left="-130" w:leftChars="-63" w:right="-105" w:rightChars="-50" w:hanging="2"/>
              <w:jc w:val="center"/>
              <w:rPr>
                <w:rFonts w:ascii="楷体" w:hAnsi="楷体" w:eastAsia="楷体" w:cs="楷体"/>
                <w:sz w:val="24"/>
              </w:rPr>
            </w:pPr>
          </w:p>
        </w:tc>
        <w:tc>
          <w:tcPr>
            <w:tcW w:w="689" w:type="pct"/>
          </w:tcPr>
          <w:p w14:paraId="04ED9827">
            <w:pPr>
              <w:tabs>
                <w:tab w:val="left" w:pos="540"/>
              </w:tabs>
              <w:spacing w:line="440" w:lineRule="exact"/>
              <w:ind w:left="-130" w:leftChars="-63" w:right="-105" w:rightChars="-50" w:hanging="2"/>
              <w:jc w:val="center"/>
              <w:rPr>
                <w:rFonts w:ascii="楷体" w:hAnsi="楷体" w:eastAsia="楷体" w:cs="楷体"/>
                <w:sz w:val="24"/>
              </w:rPr>
            </w:pPr>
          </w:p>
        </w:tc>
      </w:tr>
      <w:tr w14:paraId="1330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1BC781AD">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56B67009">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tcPr>
          <w:p w14:paraId="71F8950A">
            <w:pPr>
              <w:tabs>
                <w:tab w:val="left" w:pos="540"/>
              </w:tabs>
              <w:spacing w:line="440" w:lineRule="exact"/>
              <w:ind w:left="-130" w:leftChars="-63" w:right="-105" w:rightChars="-50" w:hanging="2"/>
              <w:jc w:val="center"/>
              <w:rPr>
                <w:rFonts w:ascii="楷体" w:hAnsi="楷体" w:eastAsia="楷体" w:cs="楷体"/>
                <w:sz w:val="24"/>
              </w:rPr>
            </w:pPr>
          </w:p>
        </w:tc>
        <w:tc>
          <w:tcPr>
            <w:tcW w:w="705" w:type="pct"/>
            <w:gridSpan w:val="2"/>
          </w:tcPr>
          <w:p w14:paraId="48E590B5">
            <w:pPr>
              <w:tabs>
                <w:tab w:val="left" w:pos="540"/>
              </w:tabs>
              <w:spacing w:line="440" w:lineRule="exact"/>
              <w:ind w:left="-130" w:leftChars="-63" w:right="-105" w:rightChars="-50" w:hanging="2"/>
              <w:jc w:val="center"/>
              <w:rPr>
                <w:rFonts w:ascii="楷体" w:hAnsi="楷体" w:eastAsia="楷体" w:cs="楷体"/>
                <w:sz w:val="24"/>
              </w:rPr>
            </w:pPr>
          </w:p>
        </w:tc>
        <w:tc>
          <w:tcPr>
            <w:tcW w:w="920" w:type="pct"/>
          </w:tcPr>
          <w:p w14:paraId="336FA150">
            <w:pPr>
              <w:tabs>
                <w:tab w:val="left" w:pos="540"/>
              </w:tabs>
              <w:spacing w:line="440" w:lineRule="exact"/>
              <w:ind w:left="-130" w:leftChars="-63" w:right="-105" w:rightChars="-50" w:hanging="2"/>
              <w:jc w:val="center"/>
              <w:rPr>
                <w:rFonts w:ascii="楷体" w:hAnsi="楷体" w:eastAsia="楷体" w:cs="楷体"/>
                <w:sz w:val="24"/>
              </w:rPr>
            </w:pPr>
          </w:p>
        </w:tc>
        <w:tc>
          <w:tcPr>
            <w:tcW w:w="533" w:type="pct"/>
            <w:gridSpan w:val="2"/>
          </w:tcPr>
          <w:p w14:paraId="6BDA72B5">
            <w:pPr>
              <w:tabs>
                <w:tab w:val="left" w:pos="540"/>
              </w:tabs>
              <w:spacing w:line="440" w:lineRule="exact"/>
              <w:ind w:left="-130" w:leftChars="-63" w:right="-105" w:rightChars="-50" w:hanging="2"/>
              <w:jc w:val="center"/>
              <w:rPr>
                <w:rFonts w:ascii="楷体" w:hAnsi="楷体" w:eastAsia="楷体" w:cs="楷体"/>
                <w:sz w:val="24"/>
              </w:rPr>
            </w:pPr>
          </w:p>
        </w:tc>
        <w:tc>
          <w:tcPr>
            <w:tcW w:w="689" w:type="pct"/>
          </w:tcPr>
          <w:p w14:paraId="06EDC3B8">
            <w:pPr>
              <w:tabs>
                <w:tab w:val="left" w:pos="540"/>
              </w:tabs>
              <w:spacing w:line="440" w:lineRule="exact"/>
              <w:ind w:left="-130" w:leftChars="-63" w:right="-105" w:rightChars="-50" w:hanging="2"/>
              <w:jc w:val="center"/>
              <w:rPr>
                <w:rFonts w:ascii="楷体" w:hAnsi="楷体" w:eastAsia="楷体" w:cs="楷体"/>
                <w:sz w:val="24"/>
              </w:rPr>
            </w:pPr>
          </w:p>
        </w:tc>
      </w:tr>
    </w:tbl>
    <w:p w14:paraId="271844BA">
      <w:pPr>
        <w:pStyle w:val="86"/>
        <w:spacing w:line="360" w:lineRule="auto"/>
        <w:ind w:left="960" w:hanging="960" w:hangingChars="400"/>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注：</w:t>
      </w:r>
    </w:p>
    <w:p w14:paraId="3B95B443">
      <w:pPr>
        <w:pStyle w:val="86"/>
        <w:numPr>
          <w:ilvl w:val="0"/>
          <w:numId w:val="70"/>
        </w:numPr>
        <w:spacing w:line="360" w:lineRule="auto"/>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上表内容可以采用文字描述（企业性质、发展历程、经营规模及服务理念、主营产品、技术力量等）或图片描述（经营场所、主要经营项目等）。</w:t>
      </w:r>
    </w:p>
    <w:p w14:paraId="64815202">
      <w:pPr>
        <w:pStyle w:val="86"/>
        <w:numPr>
          <w:ilvl w:val="0"/>
          <w:numId w:val="70"/>
        </w:numPr>
        <w:spacing w:line="360" w:lineRule="auto"/>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投标人须提供</w:t>
      </w:r>
      <w:r>
        <w:rPr>
          <w:rFonts w:hint="eastAsia" w:ascii="楷体" w:hAnsi="楷体" w:eastAsia="楷体" w:cs="楷体"/>
          <w:bCs w:val="0"/>
          <w:spacing w:val="0"/>
          <w:kern w:val="2"/>
          <w:szCs w:val="24"/>
          <w:u w:val="single"/>
        </w:rPr>
        <w:t>近   年</w:t>
      </w:r>
      <w:r>
        <w:rPr>
          <w:rFonts w:hint="eastAsia" w:ascii="楷体" w:hAnsi="楷体" w:eastAsia="楷体" w:cs="楷体"/>
          <w:bCs w:val="0"/>
          <w:spacing w:val="0"/>
          <w:kern w:val="2"/>
          <w:szCs w:val="24"/>
          <w:lang w:val="en-GB"/>
        </w:rPr>
        <w:t>的财务报告的复印件（加盖公章）。</w:t>
      </w:r>
    </w:p>
    <w:p w14:paraId="5A4FFF0C">
      <w:pPr>
        <w:pStyle w:val="86"/>
        <w:numPr>
          <w:ilvl w:val="0"/>
          <w:numId w:val="70"/>
        </w:numPr>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如投标人此表数据有虚假，一经查实，自行承担相关责任。</w:t>
      </w:r>
    </w:p>
    <w:p w14:paraId="21AFE6D4">
      <w:pPr>
        <w:pStyle w:val="86"/>
        <w:ind w:firstLine="420" w:firstLineChars="200"/>
        <w:rPr>
          <w:rFonts w:ascii="楷体" w:hAnsi="楷体" w:eastAsia="楷体" w:cs="楷体"/>
          <w:bCs w:val="0"/>
          <w:spacing w:val="0"/>
          <w:kern w:val="2"/>
          <w:sz w:val="21"/>
          <w:szCs w:val="21"/>
          <w:lang w:val="en-GB"/>
        </w:rPr>
      </w:pPr>
    </w:p>
    <w:p w14:paraId="1A8F42AA">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3753DB1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062A4BB7">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2286D760">
      <w:pPr>
        <w:numPr>
          <w:ilvl w:val="0"/>
          <w:numId w:val="69"/>
        </w:numPr>
        <w:spacing w:before="72" w:after="72" w:line="360" w:lineRule="auto"/>
        <w:jc w:val="center"/>
        <w:rPr>
          <w:rFonts w:ascii="楷体" w:hAnsi="楷体" w:eastAsia="楷体" w:cs="楷体"/>
          <w:b/>
          <w:kern w:val="44"/>
          <w:sz w:val="30"/>
          <w:szCs w:val="30"/>
        </w:rPr>
      </w:pPr>
      <w:r>
        <w:rPr>
          <w:rFonts w:hint="eastAsia" w:ascii="楷体" w:hAnsi="楷体" w:eastAsia="楷体" w:cs="楷体"/>
          <w:b/>
          <w:kern w:val="44"/>
          <w:sz w:val="30"/>
          <w:szCs w:val="30"/>
        </w:rPr>
        <w:t>同类项目业绩</w:t>
      </w:r>
    </w:p>
    <w:tbl>
      <w:tblPr>
        <w:tblStyle w:val="4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687D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74ADAF82">
            <w:pPr>
              <w:jc w:val="center"/>
              <w:rPr>
                <w:rFonts w:ascii="楷体" w:hAnsi="楷体" w:eastAsia="楷体" w:cs="楷体"/>
                <w:b/>
                <w:bCs/>
                <w:sz w:val="24"/>
              </w:rPr>
            </w:pPr>
            <w:r>
              <w:rPr>
                <w:rFonts w:hint="eastAsia" w:ascii="楷体" w:hAnsi="楷体" w:eastAsia="楷体" w:cs="楷体"/>
                <w:b/>
                <w:bCs/>
                <w:sz w:val="24"/>
              </w:rPr>
              <w:t>序号</w:t>
            </w:r>
          </w:p>
        </w:tc>
        <w:tc>
          <w:tcPr>
            <w:tcW w:w="1872" w:type="dxa"/>
            <w:shd w:val="clear" w:color="auto" w:fill="EAEAEA"/>
            <w:vAlign w:val="center"/>
          </w:tcPr>
          <w:p w14:paraId="0C1C1982">
            <w:pPr>
              <w:jc w:val="center"/>
              <w:rPr>
                <w:rFonts w:ascii="楷体" w:hAnsi="楷体" w:eastAsia="楷体" w:cs="楷体"/>
                <w:b/>
                <w:bCs/>
                <w:sz w:val="24"/>
              </w:rPr>
            </w:pPr>
            <w:r>
              <w:rPr>
                <w:rFonts w:hint="eastAsia" w:ascii="楷体" w:hAnsi="楷体" w:eastAsia="楷体" w:cs="楷体"/>
                <w:b/>
                <w:bCs/>
                <w:sz w:val="24"/>
              </w:rPr>
              <w:t>客户名称</w:t>
            </w:r>
          </w:p>
        </w:tc>
        <w:tc>
          <w:tcPr>
            <w:tcW w:w="2819" w:type="dxa"/>
            <w:shd w:val="clear" w:color="auto" w:fill="EAEAEA"/>
            <w:vAlign w:val="center"/>
          </w:tcPr>
          <w:p w14:paraId="00004710">
            <w:pPr>
              <w:rPr>
                <w:rFonts w:ascii="楷体" w:hAnsi="楷体" w:eastAsia="楷体" w:cs="楷体"/>
                <w:b/>
                <w:bCs/>
                <w:sz w:val="24"/>
              </w:rPr>
            </w:pPr>
            <w:r>
              <w:rPr>
                <w:rFonts w:hint="eastAsia" w:ascii="楷体" w:hAnsi="楷体" w:eastAsia="楷体" w:cs="楷体"/>
                <w:b/>
                <w:bCs/>
                <w:sz w:val="24"/>
              </w:rPr>
              <w:t>项目名称及合同金额</w:t>
            </w:r>
          </w:p>
        </w:tc>
        <w:tc>
          <w:tcPr>
            <w:tcW w:w="1236" w:type="dxa"/>
            <w:shd w:val="clear" w:color="auto" w:fill="EAEAEA"/>
            <w:vAlign w:val="center"/>
          </w:tcPr>
          <w:p w14:paraId="385840A8">
            <w:pPr>
              <w:rPr>
                <w:rFonts w:ascii="楷体" w:hAnsi="楷体" w:eastAsia="楷体" w:cs="楷体"/>
                <w:b/>
                <w:bCs/>
                <w:sz w:val="24"/>
              </w:rPr>
            </w:pPr>
            <w:r>
              <w:rPr>
                <w:rFonts w:hint="eastAsia" w:ascii="楷体" w:hAnsi="楷体" w:eastAsia="楷体" w:cs="楷体"/>
                <w:b/>
                <w:bCs/>
                <w:sz w:val="24"/>
              </w:rPr>
              <w:t>完成时间</w:t>
            </w:r>
          </w:p>
        </w:tc>
        <w:tc>
          <w:tcPr>
            <w:tcW w:w="2237" w:type="dxa"/>
            <w:shd w:val="clear" w:color="auto" w:fill="EAEAEA"/>
            <w:vAlign w:val="center"/>
          </w:tcPr>
          <w:p w14:paraId="1F36F58B">
            <w:pPr>
              <w:jc w:val="center"/>
              <w:rPr>
                <w:rFonts w:ascii="楷体" w:hAnsi="楷体" w:eastAsia="楷体" w:cs="楷体"/>
                <w:b/>
                <w:bCs/>
                <w:sz w:val="24"/>
              </w:rPr>
            </w:pPr>
            <w:r>
              <w:rPr>
                <w:rFonts w:hint="eastAsia" w:ascii="楷体" w:hAnsi="楷体" w:eastAsia="楷体" w:cs="楷体"/>
                <w:b/>
                <w:bCs/>
                <w:sz w:val="24"/>
              </w:rPr>
              <w:t>联系人及电话</w:t>
            </w:r>
          </w:p>
        </w:tc>
      </w:tr>
      <w:tr w14:paraId="50C2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495547E">
            <w:pPr>
              <w:jc w:val="center"/>
              <w:rPr>
                <w:rFonts w:ascii="楷体" w:hAnsi="楷体" w:eastAsia="楷体" w:cs="楷体"/>
                <w:sz w:val="24"/>
              </w:rPr>
            </w:pPr>
            <w:r>
              <w:rPr>
                <w:rFonts w:hint="eastAsia" w:ascii="楷体" w:hAnsi="楷体" w:eastAsia="楷体" w:cs="楷体"/>
                <w:sz w:val="24"/>
              </w:rPr>
              <w:t>1</w:t>
            </w:r>
          </w:p>
        </w:tc>
        <w:tc>
          <w:tcPr>
            <w:tcW w:w="1872" w:type="dxa"/>
            <w:vAlign w:val="center"/>
          </w:tcPr>
          <w:p w14:paraId="34F8CFFE">
            <w:pPr>
              <w:jc w:val="center"/>
              <w:rPr>
                <w:rFonts w:ascii="楷体" w:hAnsi="楷体" w:eastAsia="楷体" w:cs="楷体"/>
                <w:sz w:val="24"/>
              </w:rPr>
            </w:pPr>
          </w:p>
        </w:tc>
        <w:tc>
          <w:tcPr>
            <w:tcW w:w="2819" w:type="dxa"/>
            <w:vAlign w:val="center"/>
          </w:tcPr>
          <w:p w14:paraId="02B03A55">
            <w:pPr>
              <w:jc w:val="center"/>
              <w:rPr>
                <w:rFonts w:ascii="楷体" w:hAnsi="楷体" w:eastAsia="楷体" w:cs="楷体"/>
                <w:sz w:val="24"/>
              </w:rPr>
            </w:pPr>
          </w:p>
        </w:tc>
        <w:tc>
          <w:tcPr>
            <w:tcW w:w="1236" w:type="dxa"/>
            <w:vAlign w:val="center"/>
          </w:tcPr>
          <w:p w14:paraId="3A69AB06">
            <w:pPr>
              <w:jc w:val="center"/>
              <w:rPr>
                <w:rFonts w:ascii="楷体" w:hAnsi="楷体" w:eastAsia="楷体" w:cs="楷体"/>
                <w:sz w:val="24"/>
              </w:rPr>
            </w:pPr>
          </w:p>
        </w:tc>
        <w:tc>
          <w:tcPr>
            <w:tcW w:w="2237" w:type="dxa"/>
            <w:vAlign w:val="center"/>
          </w:tcPr>
          <w:p w14:paraId="17D8B580">
            <w:pPr>
              <w:jc w:val="center"/>
              <w:rPr>
                <w:rFonts w:ascii="楷体" w:hAnsi="楷体" w:eastAsia="楷体" w:cs="楷体"/>
                <w:sz w:val="24"/>
              </w:rPr>
            </w:pPr>
          </w:p>
        </w:tc>
      </w:tr>
      <w:tr w14:paraId="5ADC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1610C81">
            <w:pPr>
              <w:jc w:val="center"/>
              <w:rPr>
                <w:rFonts w:ascii="楷体" w:hAnsi="楷体" w:eastAsia="楷体" w:cs="楷体"/>
                <w:sz w:val="24"/>
              </w:rPr>
            </w:pPr>
            <w:r>
              <w:rPr>
                <w:rFonts w:hint="eastAsia" w:ascii="楷体" w:hAnsi="楷体" w:eastAsia="楷体" w:cs="楷体"/>
                <w:sz w:val="24"/>
              </w:rPr>
              <w:t>2</w:t>
            </w:r>
          </w:p>
        </w:tc>
        <w:tc>
          <w:tcPr>
            <w:tcW w:w="1872" w:type="dxa"/>
            <w:vAlign w:val="center"/>
          </w:tcPr>
          <w:p w14:paraId="2937CA24">
            <w:pPr>
              <w:jc w:val="center"/>
              <w:rPr>
                <w:rFonts w:ascii="楷体" w:hAnsi="楷体" w:eastAsia="楷体" w:cs="楷体"/>
                <w:sz w:val="24"/>
              </w:rPr>
            </w:pPr>
          </w:p>
        </w:tc>
        <w:tc>
          <w:tcPr>
            <w:tcW w:w="2819" w:type="dxa"/>
            <w:vAlign w:val="center"/>
          </w:tcPr>
          <w:p w14:paraId="69D357F7">
            <w:pPr>
              <w:jc w:val="center"/>
              <w:rPr>
                <w:rFonts w:ascii="楷体" w:hAnsi="楷体" w:eastAsia="楷体" w:cs="楷体"/>
                <w:sz w:val="24"/>
              </w:rPr>
            </w:pPr>
          </w:p>
        </w:tc>
        <w:tc>
          <w:tcPr>
            <w:tcW w:w="1236" w:type="dxa"/>
            <w:vAlign w:val="center"/>
          </w:tcPr>
          <w:p w14:paraId="26B65A91">
            <w:pPr>
              <w:pStyle w:val="78"/>
              <w:rPr>
                <w:rFonts w:ascii="楷体" w:hAnsi="楷体" w:eastAsia="楷体" w:cs="楷体"/>
                <w:color w:val="auto"/>
                <w:sz w:val="24"/>
                <w:szCs w:val="24"/>
              </w:rPr>
            </w:pPr>
          </w:p>
        </w:tc>
        <w:tc>
          <w:tcPr>
            <w:tcW w:w="2237" w:type="dxa"/>
            <w:vAlign w:val="center"/>
          </w:tcPr>
          <w:p w14:paraId="2E35F735">
            <w:pPr>
              <w:jc w:val="center"/>
              <w:rPr>
                <w:rFonts w:ascii="楷体" w:hAnsi="楷体" w:eastAsia="楷体" w:cs="楷体"/>
                <w:sz w:val="24"/>
              </w:rPr>
            </w:pPr>
          </w:p>
        </w:tc>
      </w:tr>
      <w:tr w14:paraId="5E0B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0DC2A54">
            <w:pPr>
              <w:jc w:val="center"/>
              <w:rPr>
                <w:rFonts w:ascii="楷体" w:hAnsi="楷体" w:eastAsia="楷体" w:cs="楷体"/>
                <w:sz w:val="24"/>
              </w:rPr>
            </w:pPr>
            <w:r>
              <w:rPr>
                <w:rFonts w:hint="eastAsia" w:ascii="楷体" w:hAnsi="楷体" w:eastAsia="楷体" w:cs="楷体"/>
                <w:sz w:val="24"/>
              </w:rPr>
              <w:t>3</w:t>
            </w:r>
          </w:p>
        </w:tc>
        <w:tc>
          <w:tcPr>
            <w:tcW w:w="1872" w:type="dxa"/>
            <w:vAlign w:val="center"/>
          </w:tcPr>
          <w:p w14:paraId="05CDE1AA">
            <w:pPr>
              <w:jc w:val="center"/>
              <w:rPr>
                <w:rFonts w:ascii="楷体" w:hAnsi="楷体" w:eastAsia="楷体" w:cs="楷体"/>
                <w:sz w:val="24"/>
              </w:rPr>
            </w:pPr>
          </w:p>
        </w:tc>
        <w:tc>
          <w:tcPr>
            <w:tcW w:w="2819" w:type="dxa"/>
            <w:vAlign w:val="center"/>
          </w:tcPr>
          <w:p w14:paraId="4AE70AEF">
            <w:pPr>
              <w:jc w:val="center"/>
              <w:rPr>
                <w:rFonts w:ascii="楷体" w:hAnsi="楷体" w:eastAsia="楷体" w:cs="楷体"/>
                <w:sz w:val="24"/>
              </w:rPr>
            </w:pPr>
          </w:p>
        </w:tc>
        <w:tc>
          <w:tcPr>
            <w:tcW w:w="1236" w:type="dxa"/>
            <w:vAlign w:val="center"/>
          </w:tcPr>
          <w:p w14:paraId="431C6D31">
            <w:pPr>
              <w:jc w:val="center"/>
              <w:rPr>
                <w:rFonts w:ascii="楷体" w:hAnsi="楷体" w:eastAsia="楷体" w:cs="楷体"/>
                <w:sz w:val="24"/>
              </w:rPr>
            </w:pPr>
          </w:p>
        </w:tc>
        <w:tc>
          <w:tcPr>
            <w:tcW w:w="2237" w:type="dxa"/>
            <w:vAlign w:val="center"/>
          </w:tcPr>
          <w:p w14:paraId="72622AF6">
            <w:pPr>
              <w:jc w:val="center"/>
              <w:rPr>
                <w:rFonts w:ascii="楷体" w:hAnsi="楷体" w:eastAsia="楷体" w:cs="楷体"/>
                <w:sz w:val="24"/>
              </w:rPr>
            </w:pPr>
          </w:p>
        </w:tc>
      </w:tr>
      <w:tr w14:paraId="074F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D93DC86">
            <w:pPr>
              <w:jc w:val="center"/>
              <w:rPr>
                <w:rFonts w:ascii="楷体" w:hAnsi="楷体" w:eastAsia="楷体" w:cs="楷体"/>
                <w:sz w:val="24"/>
              </w:rPr>
            </w:pPr>
            <w:r>
              <w:rPr>
                <w:rFonts w:hint="eastAsia" w:ascii="楷体" w:hAnsi="楷体" w:eastAsia="楷体" w:cs="楷体"/>
                <w:sz w:val="24"/>
              </w:rPr>
              <w:t>…</w:t>
            </w:r>
          </w:p>
        </w:tc>
        <w:tc>
          <w:tcPr>
            <w:tcW w:w="1872" w:type="dxa"/>
            <w:vAlign w:val="center"/>
          </w:tcPr>
          <w:p w14:paraId="08FD75C7">
            <w:pPr>
              <w:jc w:val="center"/>
              <w:rPr>
                <w:rFonts w:ascii="楷体" w:hAnsi="楷体" w:eastAsia="楷体" w:cs="楷体"/>
                <w:sz w:val="24"/>
              </w:rPr>
            </w:pPr>
          </w:p>
        </w:tc>
        <w:tc>
          <w:tcPr>
            <w:tcW w:w="2819" w:type="dxa"/>
            <w:vAlign w:val="center"/>
          </w:tcPr>
          <w:p w14:paraId="734C0C37">
            <w:pPr>
              <w:jc w:val="center"/>
              <w:rPr>
                <w:rFonts w:ascii="楷体" w:hAnsi="楷体" w:eastAsia="楷体" w:cs="楷体"/>
                <w:sz w:val="24"/>
              </w:rPr>
            </w:pPr>
          </w:p>
        </w:tc>
        <w:tc>
          <w:tcPr>
            <w:tcW w:w="1236" w:type="dxa"/>
            <w:vAlign w:val="center"/>
          </w:tcPr>
          <w:p w14:paraId="02470557">
            <w:pPr>
              <w:jc w:val="center"/>
              <w:rPr>
                <w:rFonts w:ascii="楷体" w:hAnsi="楷体" w:eastAsia="楷体" w:cs="楷体"/>
                <w:sz w:val="24"/>
              </w:rPr>
            </w:pPr>
          </w:p>
        </w:tc>
        <w:tc>
          <w:tcPr>
            <w:tcW w:w="2237" w:type="dxa"/>
            <w:vAlign w:val="center"/>
          </w:tcPr>
          <w:p w14:paraId="4A216A13">
            <w:pPr>
              <w:jc w:val="center"/>
              <w:rPr>
                <w:rFonts w:ascii="楷体" w:hAnsi="楷体" w:eastAsia="楷体" w:cs="楷体"/>
                <w:sz w:val="24"/>
              </w:rPr>
            </w:pPr>
          </w:p>
        </w:tc>
      </w:tr>
    </w:tbl>
    <w:p w14:paraId="4EFBB691">
      <w:pPr>
        <w:adjustRightInd w:val="0"/>
        <w:snapToGrid w:val="0"/>
        <w:spacing w:line="360" w:lineRule="auto"/>
        <w:ind w:left="-420" w:leftChars="-200" w:firstLine="420" w:firstLineChars="175"/>
        <w:rPr>
          <w:rFonts w:ascii="楷体" w:hAnsi="楷体" w:eastAsia="楷体" w:cs="楷体"/>
          <w:sz w:val="24"/>
        </w:rPr>
      </w:pPr>
      <w:r>
        <w:rPr>
          <w:rFonts w:hint="eastAsia" w:ascii="楷体" w:hAnsi="楷体" w:eastAsia="楷体" w:cs="楷体"/>
          <w:sz w:val="24"/>
        </w:rPr>
        <w:t>注：</w:t>
      </w:r>
    </w:p>
    <w:p w14:paraId="17A0B03F">
      <w:pPr>
        <w:numPr>
          <w:ilvl w:val="0"/>
          <w:numId w:val="71"/>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业绩是必须以投标人名义承接的项目。</w:t>
      </w:r>
    </w:p>
    <w:p w14:paraId="5CBBBD44">
      <w:pPr>
        <w:numPr>
          <w:ilvl w:val="0"/>
          <w:numId w:val="71"/>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投标人按照《商务评审表》要求提供相关证明材料。</w:t>
      </w:r>
    </w:p>
    <w:p w14:paraId="518304F3">
      <w:pPr>
        <w:rPr>
          <w:rFonts w:ascii="楷体" w:hAnsi="楷体" w:eastAsia="楷体" w:cs="楷体"/>
        </w:rPr>
      </w:pPr>
    </w:p>
    <w:p w14:paraId="20759A23">
      <w:pPr>
        <w:rPr>
          <w:rFonts w:ascii="楷体" w:hAnsi="楷体" w:eastAsia="楷体" w:cs="楷体"/>
        </w:rPr>
      </w:pPr>
    </w:p>
    <w:p w14:paraId="0EDDF3C2">
      <w:pPr>
        <w:rPr>
          <w:rFonts w:ascii="楷体" w:hAnsi="楷体" w:eastAsia="楷体" w:cs="楷体"/>
        </w:rPr>
      </w:pPr>
    </w:p>
    <w:p w14:paraId="633C6B7A">
      <w:pPr>
        <w:pStyle w:val="86"/>
        <w:rPr>
          <w:rFonts w:ascii="楷体" w:hAnsi="楷体" w:eastAsia="楷体" w:cs="楷体"/>
        </w:rPr>
      </w:pPr>
    </w:p>
    <w:p w14:paraId="53F3379C">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4EF23EA2">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458D0B78">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4743982B">
      <w:pPr>
        <w:numPr>
          <w:ilvl w:val="0"/>
          <w:numId w:val="69"/>
        </w:numPr>
        <w:spacing w:before="72" w:after="72" w:line="360" w:lineRule="auto"/>
        <w:jc w:val="center"/>
        <w:rPr>
          <w:rFonts w:ascii="楷体" w:hAnsi="楷体" w:eastAsia="楷体" w:cs="楷体"/>
          <w:b/>
          <w:kern w:val="44"/>
          <w:sz w:val="30"/>
          <w:szCs w:val="30"/>
          <w:lang w:val="en-GB"/>
        </w:rPr>
      </w:pPr>
      <w:r>
        <w:rPr>
          <w:rFonts w:hint="eastAsia" w:ascii="楷体" w:hAnsi="楷体" w:eastAsia="楷体" w:cs="楷体"/>
          <w:b/>
          <w:kern w:val="44"/>
          <w:sz w:val="30"/>
          <w:szCs w:val="30"/>
          <w:lang w:val="en-GB"/>
        </w:rPr>
        <w:t>其它重要事项说明及承诺</w:t>
      </w:r>
    </w:p>
    <w:p w14:paraId="3143F7DE">
      <w:pPr>
        <w:pStyle w:val="86"/>
        <w:adjustRightInd w:val="0"/>
        <w:snapToGrid w:val="0"/>
        <w:spacing w:before="0" w:after="0" w:line="360" w:lineRule="auto"/>
        <w:ind w:firstLine="520" w:firstLineChars="200"/>
        <w:rPr>
          <w:rFonts w:ascii="楷体" w:hAnsi="楷体" w:eastAsia="楷体" w:cs="楷体"/>
          <w:szCs w:val="24"/>
        </w:rPr>
      </w:pPr>
    </w:p>
    <w:p w14:paraId="3EF8DAC2">
      <w:pPr>
        <w:pStyle w:val="86"/>
        <w:adjustRightInd w:val="0"/>
        <w:snapToGrid w:val="0"/>
        <w:spacing w:before="0" w:after="0" w:line="360" w:lineRule="auto"/>
        <w:ind w:firstLine="520" w:firstLineChars="200"/>
        <w:rPr>
          <w:rFonts w:ascii="楷体" w:hAnsi="楷体" w:eastAsia="楷体" w:cs="楷体"/>
          <w:szCs w:val="24"/>
        </w:rPr>
      </w:pPr>
    </w:p>
    <w:p w14:paraId="7370E899">
      <w:pPr>
        <w:pStyle w:val="86"/>
        <w:adjustRightInd w:val="0"/>
        <w:snapToGrid w:val="0"/>
        <w:spacing w:before="0" w:after="0" w:line="360" w:lineRule="auto"/>
        <w:ind w:firstLine="520" w:firstLineChars="200"/>
        <w:rPr>
          <w:rFonts w:ascii="楷体" w:hAnsi="楷体" w:eastAsia="楷体" w:cs="楷体"/>
          <w:szCs w:val="24"/>
        </w:rPr>
      </w:pPr>
    </w:p>
    <w:p w14:paraId="586122A7">
      <w:pPr>
        <w:pStyle w:val="86"/>
        <w:adjustRightInd w:val="0"/>
        <w:snapToGrid w:val="0"/>
        <w:spacing w:before="0" w:after="0" w:line="360" w:lineRule="auto"/>
        <w:ind w:firstLine="520" w:firstLineChars="200"/>
        <w:rPr>
          <w:rFonts w:ascii="楷体" w:hAnsi="楷体" w:eastAsia="楷体" w:cs="楷体"/>
          <w:szCs w:val="24"/>
        </w:rPr>
      </w:pPr>
      <w:r>
        <w:rPr>
          <w:rFonts w:hint="eastAsia" w:ascii="楷体" w:hAnsi="楷体" w:eastAsia="楷体" w:cs="楷体"/>
          <w:szCs w:val="24"/>
        </w:rPr>
        <w:t>格式自拟</w:t>
      </w:r>
    </w:p>
    <w:p w14:paraId="29668BE9">
      <w:pPr>
        <w:pStyle w:val="86"/>
        <w:adjustRightInd w:val="0"/>
        <w:snapToGrid w:val="0"/>
        <w:spacing w:before="0" w:after="0" w:line="360" w:lineRule="auto"/>
        <w:ind w:firstLine="520" w:firstLineChars="200"/>
        <w:rPr>
          <w:rFonts w:ascii="楷体" w:hAnsi="楷体" w:eastAsia="楷体" w:cs="楷体"/>
          <w:szCs w:val="24"/>
        </w:rPr>
      </w:pPr>
    </w:p>
    <w:p w14:paraId="13935AC7">
      <w:pPr>
        <w:pStyle w:val="86"/>
        <w:adjustRightInd w:val="0"/>
        <w:snapToGrid w:val="0"/>
        <w:spacing w:before="0" w:after="0" w:line="360" w:lineRule="auto"/>
        <w:ind w:firstLine="520" w:firstLineChars="200"/>
        <w:rPr>
          <w:rFonts w:ascii="楷体" w:hAnsi="楷体" w:eastAsia="楷体" w:cs="楷体"/>
          <w:szCs w:val="24"/>
        </w:rPr>
      </w:pPr>
    </w:p>
    <w:p w14:paraId="0535495E">
      <w:pPr>
        <w:pStyle w:val="86"/>
        <w:adjustRightInd w:val="0"/>
        <w:snapToGrid w:val="0"/>
        <w:spacing w:before="0" w:after="0" w:line="360" w:lineRule="auto"/>
        <w:ind w:firstLine="520" w:firstLineChars="200"/>
        <w:rPr>
          <w:rFonts w:ascii="楷体" w:hAnsi="楷体" w:eastAsia="楷体" w:cs="楷体"/>
          <w:szCs w:val="24"/>
        </w:rPr>
      </w:pPr>
    </w:p>
    <w:p w14:paraId="0BDA64AE">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6F185C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2746F06">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645DA770">
      <w:pPr>
        <w:widowControl/>
        <w:jc w:val="left"/>
        <w:rPr>
          <w:rFonts w:ascii="楷体" w:hAnsi="楷体" w:eastAsia="楷体" w:cs="楷体"/>
          <w:sz w:val="24"/>
        </w:rPr>
      </w:pPr>
    </w:p>
    <w:p w14:paraId="0AFF4687">
      <w:pPr>
        <w:spacing w:line="400" w:lineRule="exact"/>
        <w:rPr>
          <w:rFonts w:ascii="楷体" w:hAnsi="楷体" w:eastAsia="楷体" w:cs="楷体"/>
          <w:sz w:val="24"/>
        </w:rPr>
      </w:pPr>
    </w:p>
    <w:p w14:paraId="1CA4488D">
      <w:pPr>
        <w:pStyle w:val="6"/>
        <w:numPr>
          <w:ilvl w:val="0"/>
          <w:numId w:val="68"/>
        </w:numPr>
        <w:adjustRightInd w:val="0"/>
        <w:snapToGrid w:val="0"/>
        <w:spacing w:before="0" w:after="0" w:line="360" w:lineRule="auto"/>
        <w:jc w:val="center"/>
        <w:rPr>
          <w:rFonts w:ascii="楷体" w:hAnsi="楷体" w:eastAsia="楷体" w:cs="楷体"/>
        </w:rPr>
      </w:pPr>
      <w:bookmarkStart w:id="464" w:name="_Toc483642775"/>
      <w:bookmarkStart w:id="465" w:name="_Toc22155"/>
      <w:bookmarkStart w:id="466" w:name="_Toc13511"/>
      <w:bookmarkStart w:id="467" w:name="_Toc15851"/>
      <w:r>
        <w:rPr>
          <w:rFonts w:hint="eastAsia" w:ascii="楷体" w:hAnsi="楷体" w:eastAsia="楷体" w:cs="楷体"/>
        </w:rPr>
        <w:br w:type="page"/>
      </w:r>
      <w:bookmarkStart w:id="468" w:name="_Toc23931"/>
      <w:bookmarkStart w:id="469" w:name="_Toc4616"/>
      <w:r>
        <w:rPr>
          <w:rFonts w:hint="eastAsia" w:ascii="楷体" w:hAnsi="楷体" w:eastAsia="楷体" w:cs="楷体"/>
        </w:rPr>
        <w:t>商务条款响应一览表</w:t>
      </w:r>
      <w:bookmarkEnd w:id="464"/>
      <w:bookmarkEnd w:id="465"/>
      <w:bookmarkEnd w:id="466"/>
      <w:bookmarkEnd w:id="467"/>
      <w:bookmarkEnd w:id="468"/>
      <w:bookmarkEnd w:id="469"/>
    </w:p>
    <w:tbl>
      <w:tblPr>
        <w:tblStyle w:val="44"/>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77AE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61B21439">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序号</w:t>
            </w:r>
          </w:p>
        </w:tc>
        <w:tc>
          <w:tcPr>
            <w:tcW w:w="6378" w:type="dxa"/>
            <w:shd w:val="clear" w:color="auto" w:fill="EAEAEA"/>
            <w:vAlign w:val="center"/>
          </w:tcPr>
          <w:p w14:paraId="59583B25">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商务条款要求</w:t>
            </w:r>
          </w:p>
        </w:tc>
        <w:tc>
          <w:tcPr>
            <w:tcW w:w="761" w:type="dxa"/>
            <w:shd w:val="clear" w:color="auto" w:fill="EAEAEA"/>
            <w:vAlign w:val="center"/>
          </w:tcPr>
          <w:p w14:paraId="21C2E0EF">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是否响应</w:t>
            </w:r>
          </w:p>
        </w:tc>
        <w:tc>
          <w:tcPr>
            <w:tcW w:w="927" w:type="dxa"/>
            <w:shd w:val="clear" w:color="auto" w:fill="EAEAEA"/>
            <w:vAlign w:val="center"/>
          </w:tcPr>
          <w:p w14:paraId="59DF62F7">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偏离说明</w:t>
            </w:r>
          </w:p>
        </w:tc>
      </w:tr>
      <w:tr w14:paraId="36F5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B86EDF5">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w:t>
            </w:r>
          </w:p>
        </w:tc>
        <w:tc>
          <w:tcPr>
            <w:tcW w:w="6378" w:type="dxa"/>
            <w:vAlign w:val="center"/>
          </w:tcPr>
          <w:p w14:paraId="3513CAA2">
            <w:pPr>
              <w:rPr>
                <w:rFonts w:ascii="楷体" w:hAnsi="楷体" w:eastAsia="楷体" w:cs="楷体"/>
                <w:sz w:val="24"/>
              </w:rPr>
            </w:pPr>
            <w:r>
              <w:rPr>
                <w:rFonts w:hint="eastAsia" w:ascii="楷体" w:hAnsi="楷体" w:eastAsia="楷体" w:cs="楷体"/>
                <w:sz w:val="24"/>
              </w:rPr>
              <w:t>完全理解并接受合同条款要求</w:t>
            </w:r>
          </w:p>
        </w:tc>
        <w:tc>
          <w:tcPr>
            <w:tcW w:w="761" w:type="dxa"/>
            <w:vAlign w:val="center"/>
          </w:tcPr>
          <w:p w14:paraId="4B9DE2A9">
            <w:pPr>
              <w:pStyle w:val="82"/>
              <w:keepNext w:val="0"/>
              <w:snapToGrid w:val="0"/>
              <w:spacing w:line="440" w:lineRule="exact"/>
              <w:textAlignment w:val="auto"/>
              <w:rPr>
                <w:rFonts w:ascii="楷体" w:hAnsi="楷体" w:eastAsia="楷体" w:cs="楷体"/>
                <w:snapToGrid/>
                <w:spacing w:val="0"/>
                <w:kern w:val="2"/>
                <w:szCs w:val="24"/>
              </w:rPr>
            </w:pPr>
          </w:p>
        </w:tc>
        <w:tc>
          <w:tcPr>
            <w:tcW w:w="927" w:type="dxa"/>
            <w:vAlign w:val="center"/>
          </w:tcPr>
          <w:p w14:paraId="7F2E41CC">
            <w:pPr>
              <w:adjustRightInd w:val="0"/>
              <w:snapToGrid w:val="0"/>
              <w:spacing w:line="440" w:lineRule="exact"/>
              <w:jc w:val="center"/>
              <w:rPr>
                <w:rFonts w:ascii="楷体" w:hAnsi="楷体" w:eastAsia="楷体" w:cs="楷体"/>
                <w:sz w:val="24"/>
              </w:rPr>
            </w:pPr>
          </w:p>
        </w:tc>
      </w:tr>
      <w:tr w14:paraId="280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A81E766">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2</w:t>
            </w:r>
          </w:p>
        </w:tc>
        <w:tc>
          <w:tcPr>
            <w:tcW w:w="6378" w:type="dxa"/>
            <w:vAlign w:val="center"/>
          </w:tcPr>
          <w:p w14:paraId="37FEDC5A">
            <w:pPr>
              <w:rPr>
                <w:rFonts w:ascii="楷体" w:hAnsi="楷体" w:eastAsia="楷体" w:cs="楷体"/>
                <w:sz w:val="24"/>
              </w:rPr>
            </w:pPr>
            <w:r>
              <w:rPr>
                <w:rFonts w:hint="eastAsia" w:ascii="楷体" w:hAnsi="楷体" w:eastAsia="楷体" w:cs="楷体"/>
                <w:sz w:val="24"/>
              </w:rPr>
              <w:t>完全理解并接受对合格投标人、合格的服务要求</w:t>
            </w:r>
          </w:p>
        </w:tc>
        <w:tc>
          <w:tcPr>
            <w:tcW w:w="761" w:type="dxa"/>
            <w:vAlign w:val="center"/>
          </w:tcPr>
          <w:p w14:paraId="42EC7D7C">
            <w:pPr>
              <w:adjustRightInd w:val="0"/>
              <w:snapToGrid w:val="0"/>
              <w:spacing w:line="440" w:lineRule="exact"/>
              <w:jc w:val="center"/>
              <w:rPr>
                <w:rFonts w:ascii="楷体" w:hAnsi="楷体" w:eastAsia="楷体" w:cs="楷体"/>
                <w:sz w:val="24"/>
              </w:rPr>
            </w:pPr>
          </w:p>
        </w:tc>
        <w:tc>
          <w:tcPr>
            <w:tcW w:w="927" w:type="dxa"/>
            <w:vAlign w:val="center"/>
          </w:tcPr>
          <w:p w14:paraId="750CCA28">
            <w:pPr>
              <w:adjustRightInd w:val="0"/>
              <w:snapToGrid w:val="0"/>
              <w:spacing w:line="440" w:lineRule="exact"/>
              <w:ind w:right="-35"/>
              <w:jc w:val="center"/>
              <w:rPr>
                <w:rFonts w:ascii="楷体" w:hAnsi="楷体" w:eastAsia="楷体" w:cs="楷体"/>
                <w:sz w:val="24"/>
              </w:rPr>
            </w:pPr>
          </w:p>
        </w:tc>
      </w:tr>
      <w:tr w14:paraId="1A20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CB0A2AB">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3</w:t>
            </w:r>
          </w:p>
        </w:tc>
        <w:tc>
          <w:tcPr>
            <w:tcW w:w="6378" w:type="dxa"/>
            <w:vAlign w:val="center"/>
          </w:tcPr>
          <w:p w14:paraId="695F9B02">
            <w:pPr>
              <w:rPr>
                <w:rFonts w:ascii="楷体" w:hAnsi="楷体" w:eastAsia="楷体" w:cs="楷体"/>
                <w:sz w:val="24"/>
              </w:rPr>
            </w:pPr>
            <w:r>
              <w:rPr>
                <w:rFonts w:hint="eastAsia" w:ascii="楷体" w:hAnsi="楷体" w:eastAsia="楷体" w:cs="楷体"/>
                <w:sz w:val="24"/>
              </w:rPr>
              <w:t>完全理解并接受对投标人的各项须知、规约要求和责任义务</w:t>
            </w:r>
          </w:p>
        </w:tc>
        <w:tc>
          <w:tcPr>
            <w:tcW w:w="761" w:type="dxa"/>
            <w:vAlign w:val="center"/>
          </w:tcPr>
          <w:p w14:paraId="28CE448B">
            <w:pPr>
              <w:adjustRightInd w:val="0"/>
              <w:snapToGrid w:val="0"/>
              <w:spacing w:line="440" w:lineRule="exact"/>
              <w:jc w:val="center"/>
              <w:rPr>
                <w:rFonts w:ascii="楷体" w:hAnsi="楷体" w:eastAsia="楷体" w:cs="楷体"/>
                <w:sz w:val="24"/>
              </w:rPr>
            </w:pPr>
          </w:p>
        </w:tc>
        <w:tc>
          <w:tcPr>
            <w:tcW w:w="927" w:type="dxa"/>
            <w:vAlign w:val="center"/>
          </w:tcPr>
          <w:p w14:paraId="4C3786F4">
            <w:pPr>
              <w:adjustRightInd w:val="0"/>
              <w:snapToGrid w:val="0"/>
              <w:spacing w:line="440" w:lineRule="exact"/>
              <w:ind w:right="-35"/>
              <w:jc w:val="center"/>
              <w:rPr>
                <w:rFonts w:ascii="楷体" w:hAnsi="楷体" w:eastAsia="楷体" w:cs="楷体"/>
                <w:sz w:val="24"/>
              </w:rPr>
            </w:pPr>
          </w:p>
        </w:tc>
      </w:tr>
      <w:tr w14:paraId="351A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8B06CDE">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4</w:t>
            </w:r>
          </w:p>
        </w:tc>
        <w:tc>
          <w:tcPr>
            <w:tcW w:w="6378" w:type="dxa"/>
            <w:vAlign w:val="center"/>
          </w:tcPr>
          <w:p w14:paraId="61B2A7F7">
            <w:pPr>
              <w:rPr>
                <w:rFonts w:ascii="楷体" w:hAnsi="楷体" w:eastAsia="楷体" w:cs="楷体"/>
                <w:sz w:val="24"/>
              </w:rPr>
            </w:pPr>
            <w:r>
              <w:rPr>
                <w:rFonts w:hint="eastAsia" w:ascii="楷体" w:hAnsi="楷体" w:eastAsia="楷体" w:cs="楷体"/>
                <w:sz w:val="24"/>
              </w:rPr>
              <w:t>投标有效期：投标有效期为自递交投标文件起至确定正式中标人止不少于</w:t>
            </w:r>
            <w:r>
              <w:rPr>
                <w:rFonts w:hint="eastAsia" w:ascii="楷体" w:hAnsi="楷体" w:eastAsia="楷体" w:cs="楷体"/>
                <w:sz w:val="24"/>
                <w:u w:val="single"/>
              </w:rPr>
              <w:t xml:space="preserve">90 </w:t>
            </w:r>
            <w:r>
              <w:rPr>
                <w:rFonts w:hint="eastAsia" w:ascii="楷体" w:hAnsi="楷体" w:eastAsia="楷体" w:cs="楷体"/>
                <w:sz w:val="24"/>
              </w:rPr>
              <w:t>天，中标单位有效期至项目验收之日</w:t>
            </w:r>
          </w:p>
        </w:tc>
        <w:tc>
          <w:tcPr>
            <w:tcW w:w="761" w:type="dxa"/>
            <w:vAlign w:val="center"/>
          </w:tcPr>
          <w:p w14:paraId="3BACE0A8">
            <w:pPr>
              <w:adjustRightInd w:val="0"/>
              <w:snapToGrid w:val="0"/>
              <w:spacing w:line="440" w:lineRule="exact"/>
              <w:jc w:val="center"/>
              <w:rPr>
                <w:rFonts w:ascii="楷体" w:hAnsi="楷体" w:eastAsia="楷体" w:cs="楷体"/>
                <w:sz w:val="24"/>
              </w:rPr>
            </w:pPr>
          </w:p>
        </w:tc>
        <w:tc>
          <w:tcPr>
            <w:tcW w:w="927" w:type="dxa"/>
            <w:vAlign w:val="center"/>
          </w:tcPr>
          <w:p w14:paraId="379FEDB6">
            <w:pPr>
              <w:adjustRightInd w:val="0"/>
              <w:snapToGrid w:val="0"/>
              <w:spacing w:line="440" w:lineRule="exact"/>
              <w:ind w:right="-35"/>
              <w:jc w:val="center"/>
              <w:rPr>
                <w:rFonts w:ascii="楷体" w:hAnsi="楷体" w:eastAsia="楷体" w:cs="楷体"/>
                <w:sz w:val="24"/>
              </w:rPr>
            </w:pPr>
          </w:p>
        </w:tc>
      </w:tr>
      <w:tr w14:paraId="749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6326268">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5</w:t>
            </w:r>
          </w:p>
        </w:tc>
        <w:tc>
          <w:tcPr>
            <w:tcW w:w="6378" w:type="dxa"/>
            <w:vAlign w:val="center"/>
          </w:tcPr>
          <w:p w14:paraId="030A0165">
            <w:pPr>
              <w:rPr>
                <w:rFonts w:ascii="楷体" w:hAnsi="楷体" w:eastAsia="楷体" w:cs="楷体"/>
                <w:sz w:val="24"/>
              </w:rPr>
            </w:pPr>
            <w:r>
              <w:rPr>
                <w:rFonts w:hint="eastAsia" w:ascii="楷体" w:hAnsi="楷体" w:eastAsia="楷体" w:cs="楷体"/>
                <w:sz w:val="24"/>
              </w:rPr>
              <w:t>报价内容均涵盖报价要求之一切费用和伴随服务</w:t>
            </w:r>
          </w:p>
        </w:tc>
        <w:tc>
          <w:tcPr>
            <w:tcW w:w="761" w:type="dxa"/>
            <w:vAlign w:val="center"/>
          </w:tcPr>
          <w:p w14:paraId="78BA2912">
            <w:pPr>
              <w:adjustRightInd w:val="0"/>
              <w:snapToGrid w:val="0"/>
              <w:spacing w:line="440" w:lineRule="exact"/>
              <w:jc w:val="center"/>
              <w:rPr>
                <w:rFonts w:ascii="楷体" w:hAnsi="楷体" w:eastAsia="楷体" w:cs="楷体"/>
                <w:sz w:val="24"/>
              </w:rPr>
            </w:pPr>
          </w:p>
        </w:tc>
        <w:tc>
          <w:tcPr>
            <w:tcW w:w="927" w:type="dxa"/>
            <w:vAlign w:val="center"/>
          </w:tcPr>
          <w:p w14:paraId="2C7DE821">
            <w:pPr>
              <w:adjustRightInd w:val="0"/>
              <w:snapToGrid w:val="0"/>
              <w:spacing w:line="440" w:lineRule="exact"/>
              <w:ind w:right="-35"/>
              <w:jc w:val="center"/>
              <w:rPr>
                <w:rFonts w:ascii="楷体" w:hAnsi="楷体" w:eastAsia="楷体" w:cs="楷体"/>
                <w:sz w:val="24"/>
              </w:rPr>
            </w:pPr>
          </w:p>
        </w:tc>
      </w:tr>
      <w:tr w14:paraId="6BCD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521BE8E">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6</w:t>
            </w:r>
          </w:p>
        </w:tc>
        <w:tc>
          <w:tcPr>
            <w:tcW w:w="6378" w:type="dxa"/>
            <w:vAlign w:val="center"/>
          </w:tcPr>
          <w:p w14:paraId="130BB170">
            <w:pPr>
              <w:rPr>
                <w:rFonts w:ascii="楷体" w:hAnsi="楷体" w:eastAsia="楷体" w:cs="楷体"/>
                <w:sz w:val="24"/>
              </w:rPr>
            </w:pPr>
            <w:r>
              <w:rPr>
                <w:rFonts w:hint="eastAsia" w:ascii="楷体" w:hAnsi="楷体" w:eastAsia="楷体" w:cs="楷体"/>
                <w:sz w:val="24"/>
              </w:rPr>
              <w:t>所提供的报价不高于本公司目前的报价水平</w:t>
            </w:r>
          </w:p>
        </w:tc>
        <w:tc>
          <w:tcPr>
            <w:tcW w:w="761" w:type="dxa"/>
            <w:vAlign w:val="center"/>
          </w:tcPr>
          <w:p w14:paraId="4CC3CFAB">
            <w:pPr>
              <w:adjustRightInd w:val="0"/>
              <w:snapToGrid w:val="0"/>
              <w:spacing w:line="440" w:lineRule="exact"/>
              <w:jc w:val="center"/>
              <w:rPr>
                <w:rFonts w:ascii="楷体" w:hAnsi="楷体" w:eastAsia="楷体" w:cs="楷体"/>
                <w:sz w:val="24"/>
              </w:rPr>
            </w:pPr>
          </w:p>
        </w:tc>
        <w:tc>
          <w:tcPr>
            <w:tcW w:w="927" w:type="dxa"/>
            <w:vAlign w:val="center"/>
          </w:tcPr>
          <w:p w14:paraId="7732736F">
            <w:pPr>
              <w:adjustRightInd w:val="0"/>
              <w:snapToGrid w:val="0"/>
              <w:spacing w:line="440" w:lineRule="exact"/>
              <w:ind w:right="-35"/>
              <w:jc w:val="center"/>
              <w:rPr>
                <w:rFonts w:ascii="楷体" w:hAnsi="楷体" w:eastAsia="楷体" w:cs="楷体"/>
                <w:sz w:val="24"/>
              </w:rPr>
            </w:pPr>
          </w:p>
        </w:tc>
      </w:tr>
      <w:tr w14:paraId="74C8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679B6AA">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7</w:t>
            </w:r>
          </w:p>
        </w:tc>
        <w:tc>
          <w:tcPr>
            <w:tcW w:w="6378" w:type="dxa"/>
            <w:vAlign w:val="center"/>
          </w:tcPr>
          <w:p w14:paraId="6CBDFA8A">
            <w:pPr>
              <w:rPr>
                <w:rFonts w:ascii="楷体" w:hAnsi="楷体" w:eastAsia="楷体" w:cs="楷体"/>
                <w:sz w:val="24"/>
              </w:rPr>
            </w:pPr>
            <w:r>
              <w:rPr>
                <w:rFonts w:hint="eastAsia" w:ascii="楷体" w:hAnsi="楷体" w:eastAsia="楷体" w:cs="楷体"/>
                <w:sz w:val="24"/>
              </w:rPr>
              <w:t>满足对售后服务的各项要求，在设有已注册（或合作代理）的售后服务营业性机构</w:t>
            </w:r>
          </w:p>
        </w:tc>
        <w:tc>
          <w:tcPr>
            <w:tcW w:w="761" w:type="dxa"/>
            <w:vAlign w:val="center"/>
          </w:tcPr>
          <w:p w14:paraId="4AA6418D">
            <w:pPr>
              <w:adjustRightInd w:val="0"/>
              <w:snapToGrid w:val="0"/>
              <w:spacing w:line="440" w:lineRule="exact"/>
              <w:jc w:val="center"/>
              <w:rPr>
                <w:rFonts w:ascii="楷体" w:hAnsi="楷体" w:eastAsia="楷体" w:cs="楷体"/>
                <w:sz w:val="24"/>
              </w:rPr>
            </w:pPr>
          </w:p>
        </w:tc>
        <w:tc>
          <w:tcPr>
            <w:tcW w:w="927" w:type="dxa"/>
            <w:vAlign w:val="center"/>
          </w:tcPr>
          <w:p w14:paraId="744667DB">
            <w:pPr>
              <w:adjustRightInd w:val="0"/>
              <w:snapToGrid w:val="0"/>
              <w:spacing w:line="440" w:lineRule="exact"/>
              <w:jc w:val="center"/>
              <w:rPr>
                <w:rFonts w:ascii="楷体" w:hAnsi="楷体" w:eastAsia="楷体" w:cs="楷体"/>
                <w:sz w:val="24"/>
              </w:rPr>
            </w:pPr>
          </w:p>
        </w:tc>
      </w:tr>
      <w:tr w14:paraId="6524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52BA027">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8</w:t>
            </w:r>
          </w:p>
        </w:tc>
        <w:tc>
          <w:tcPr>
            <w:tcW w:w="6378" w:type="dxa"/>
            <w:vAlign w:val="center"/>
          </w:tcPr>
          <w:p w14:paraId="4F393012">
            <w:pPr>
              <w:rPr>
                <w:rFonts w:ascii="楷体" w:hAnsi="楷体" w:eastAsia="楷体" w:cs="楷体"/>
                <w:sz w:val="24"/>
              </w:rPr>
            </w:pPr>
            <w:r>
              <w:rPr>
                <w:rFonts w:hint="eastAsia" w:ascii="楷体" w:hAnsi="楷体" w:eastAsia="楷体" w:cs="楷体"/>
                <w:sz w:val="24"/>
                <w:lang w:val="en-GB"/>
              </w:rPr>
              <w:t>同意接受合同范本所列述的各项条款</w:t>
            </w:r>
          </w:p>
        </w:tc>
        <w:tc>
          <w:tcPr>
            <w:tcW w:w="761" w:type="dxa"/>
            <w:vAlign w:val="center"/>
          </w:tcPr>
          <w:p w14:paraId="5AF4F197">
            <w:pPr>
              <w:adjustRightInd w:val="0"/>
              <w:snapToGrid w:val="0"/>
              <w:spacing w:line="440" w:lineRule="exact"/>
              <w:jc w:val="center"/>
              <w:rPr>
                <w:rFonts w:ascii="楷体" w:hAnsi="楷体" w:eastAsia="楷体" w:cs="楷体"/>
                <w:sz w:val="24"/>
              </w:rPr>
            </w:pPr>
          </w:p>
        </w:tc>
        <w:tc>
          <w:tcPr>
            <w:tcW w:w="927" w:type="dxa"/>
            <w:vAlign w:val="center"/>
          </w:tcPr>
          <w:p w14:paraId="77EFF87D">
            <w:pPr>
              <w:adjustRightInd w:val="0"/>
              <w:snapToGrid w:val="0"/>
              <w:spacing w:line="440" w:lineRule="exact"/>
              <w:jc w:val="center"/>
              <w:rPr>
                <w:rFonts w:ascii="楷体" w:hAnsi="楷体" w:eastAsia="楷体" w:cs="楷体"/>
                <w:sz w:val="24"/>
              </w:rPr>
            </w:pPr>
          </w:p>
        </w:tc>
      </w:tr>
      <w:tr w14:paraId="5762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80F9633">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9</w:t>
            </w:r>
          </w:p>
        </w:tc>
        <w:tc>
          <w:tcPr>
            <w:tcW w:w="6378" w:type="dxa"/>
            <w:vAlign w:val="center"/>
          </w:tcPr>
          <w:p w14:paraId="7A119DED">
            <w:pPr>
              <w:rPr>
                <w:rFonts w:ascii="楷体" w:hAnsi="楷体" w:eastAsia="楷体" w:cs="楷体"/>
                <w:sz w:val="24"/>
              </w:rPr>
            </w:pPr>
            <w:r>
              <w:rPr>
                <w:rFonts w:hint="eastAsia" w:ascii="楷体" w:hAnsi="楷体" w:eastAsia="楷体" w:cs="楷体"/>
                <w:sz w:val="24"/>
              </w:rPr>
              <w:t>同意按本项目要求缴付相关款项</w:t>
            </w:r>
          </w:p>
        </w:tc>
        <w:tc>
          <w:tcPr>
            <w:tcW w:w="761" w:type="dxa"/>
            <w:vAlign w:val="center"/>
          </w:tcPr>
          <w:p w14:paraId="3F1D4005">
            <w:pPr>
              <w:adjustRightInd w:val="0"/>
              <w:snapToGrid w:val="0"/>
              <w:spacing w:line="440" w:lineRule="exact"/>
              <w:jc w:val="center"/>
              <w:rPr>
                <w:rFonts w:ascii="楷体" w:hAnsi="楷体" w:eastAsia="楷体" w:cs="楷体"/>
                <w:sz w:val="24"/>
                <w:lang w:val="en-GB"/>
              </w:rPr>
            </w:pPr>
          </w:p>
        </w:tc>
        <w:tc>
          <w:tcPr>
            <w:tcW w:w="927" w:type="dxa"/>
            <w:vAlign w:val="center"/>
          </w:tcPr>
          <w:p w14:paraId="4211B9FC">
            <w:pPr>
              <w:adjustRightInd w:val="0"/>
              <w:snapToGrid w:val="0"/>
              <w:spacing w:line="440" w:lineRule="exact"/>
              <w:jc w:val="center"/>
              <w:rPr>
                <w:rFonts w:ascii="楷体" w:hAnsi="楷体" w:eastAsia="楷体" w:cs="楷体"/>
                <w:sz w:val="24"/>
              </w:rPr>
            </w:pPr>
          </w:p>
        </w:tc>
      </w:tr>
      <w:tr w14:paraId="219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55C64D0">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10</w:t>
            </w:r>
          </w:p>
        </w:tc>
        <w:tc>
          <w:tcPr>
            <w:tcW w:w="6378" w:type="dxa"/>
            <w:vAlign w:val="center"/>
          </w:tcPr>
          <w:p w14:paraId="3396CC6B">
            <w:pPr>
              <w:rPr>
                <w:rFonts w:ascii="楷体" w:hAnsi="楷体" w:eastAsia="楷体" w:cs="楷体"/>
                <w:sz w:val="24"/>
              </w:rPr>
            </w:pPr>
            <w:r>
              <w:rPr>
                <w:rFonts w:hint="eastAsia" w:ascii="楷体" w:hAnsi="楷体" w:eastAsia="楷体" w:cs="楷体"/>
                <w:sz w:val="24"/>
              </w:rPr>
              <w:t>同意招标人以任何形式对我方投标文件内容的真实性和有效性进行审查、验证</w:t>
            </w:r>
          </w:p>
        </w:tc>
        <w:tc>
          <w:tcPr>
            <w:tcW w:w="761" w:type="dxa"/>
            <w:vAlign w:val="center"/>
          </w:tcPr>
          <w:p w14:paraId="0130CF72">
            <w:pPr>
              <w:adjustRightInd w:val="0"/>
              <w:snapToGrid w:val="0"/>
              <w:spacing w:line="440" w:lineRule="exact"/>
              <w:jc w:val="center"/>
              <w:rPr>
                <w:rFonts w:ascii="楷体" w:hAnsi="楷体" w:eastAsia="楷体" w:cs="楷体"/>
                <w:sz w:val="24"/>
              </w:rPr>
            </w:pPr>
          </w:p>
        </w:tc>
        <w:tc>
          <w:tcPr>
            <w:tcW w:w="927" w:type="dxa"/>
            <w:vAlign w:val="center"/>
          </w:tcPr>
          <w:p w14:paraId="2EE9205A">
            <w:pPr>
              <w:pStyle w:val="82"/>
              <w:keepNext w:val="0"/>
              <w:snapToGrid w:val="0"/>
              <w:spacing w:line="440" w:lineRule="exact"/>
              <w:textAlignment w:val="auto"/>
              <w:rPr>
                <w:rFonts w:ascii="楷体" w:hAnsi="楷体" w:eastAsia="楷体" w:cs="楷体"/>
                <w:snapToGrid/>
                <w:spacing w:val="0"/>
                <w:kern w:val="2"/>
                <w:szCs w:val="24"/>
              </w:rPr>
            </w:pPr>
          </w:p>
        </w:tc>
      </w:tr>
      <w:tr w14:paraId="26E9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7276C4F">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11</w:t>
            </w:r>
          </w:p>
        </w:tc>
        <w:tc>
          <w:tcPr>
            <w:tcW w:w="6378" w:type="dxa"/>
            <w:vAlign w:val="center"/>
          </w:tcPr>
          <w:p w14:paraId="194A963C">
            <w:pPr>
              <w:rPr>
                <w:rFonts w:ascii="楷体" w:hAnsi="楷体" w:eastAsia="楷体" w:cs="楷体"/>
                <w:sz w:val="24"/>
              </w:rPr>
            </w:pPr>
            <w:r>
              <w:rPr>
                <w:rFonts w:hint="eastAsia" w:ascii="楷体" w:hAnsi="楷体" w:eastAsia="楷体" w:cs="楷体"/>
                <w:sz w:val="24"/>
              </w:rPr>
              <w:t>其它商务条款偏离说明：</w:t>
            </w:r>
          </w:p>
        </w:tc>
        <w:tc>
          <w:tcPr>
            <w:tcW w:w="761" w:type="dxa"/>
            <w:vAlign w:val="center"/>
          </w:tcPr>
          <w:p w14:paraId="41174F5F">
            <w:pPr>
              <w:adjustRightInd w:val="0"/>
              <w:snapToGrid w:val="0"/>
              <w:spacing w:line="440" w:lineRule="exact"/>
              <w:jc w:val="center"/>
              <w:rPr>
                <w:rFonts w:ascii="楷体" w:hAnsi="楷体" w:eastAsia="楷体" w:cs="楷体"/>
                <w:sz w:val="24"/>
              </w:rPr>
            </w:pPr>
          </w:p>
        </w:tc>
        <w:tc>
          <w:tcPr>
            <w:tcW w:w="927" w:type="dxa"/>
            <w:vAlign w:val="center"/>
          </w:tcPr>
          <w:p w14:paraId="7137881C">
            <w:pPr>
              <w:pStyle w:val="82"/>
              <w:keepNext w:val="0"/>
              <w:snapToGrid w:val="0"/>
              <w:spacing w:line="440" w:lineRule="exact"/>
              <w:textAlignment w:val="auto"/>
              <w:rPr>
                <w:rFonts w:ascii="楷体" w:hAnsi="楷体" w:eastAsia="楷体" w:cs="楷体"/>
                <w:snapToGrid/>
                <w:spacing w:val="0"/>
                <w:kern w:val="2"/>
                <w:szCs w:val="24"/>
              </w:rPr>
            </w:pPr>
          </w:p>
        </w:tc>
      </w:tr>
    </w:tbl>
    <w:p w14:paraId="0ABA72C6">
      <w:pPr>
        <w:spacing w:line="360" w:lineRule="auto"/>
        <w:ind w:left="840" w:hanging="840" w:hangingChars="350"/>
        <w:rPr>
          <w:rFonts w:ascii="楷体" w:hAnsi="楷体" w:eastAsia="楷体" w:cs="楷体"/>
          <w:sz w:val="24"/>
          <w:lang w:val="en-GB"/>
        </w:rPr>
      </w:pPr>
      <w:r>
        <w:rPr>
          <w:rFonts w:hint="eastAsia" w:ascii="楷体" w:hAnsi="楷体" w:eastAsia="楷体" w:cs="楷体"/>
          <w:sz w:val="24"/>
          <w:lang w:val="en-GB"/>
        </w:rPr>
        <w:t xml:space="preserve">注： </w:t>
      </w:r>
    </w:p>
    <w:p w14:paraId="79D0BA96">
      <w:pPr>
        <w:numPr>
          <w:ilvl w:val="0"/>
          <w:numId w:val="72"/>
        </w:numPr>
        <w:spacing w:line="360" w:lineRule="auto"/>
        <w:rPr>
          <w:rFonts w:ascii="楷体" w:hAnsi="楷体" w:eastAsia="楷体" w:cs="楷体"/>
          <w:sz w:val="24"/>
          <w:lang w:val="en-GB"/>
        </w:rPr>
      </w:pPr>
      <w:r>
        <w:rPr>
          <w:rFonts w:hint="eastAsia" w:ascii="楷体" w:hAnsi="楷体" w:eastAsia="楷体" w:cs="楷体"/>
          <w:sz w:val="24"/>
        </w:rPr>
        <w:t>对</w:t>
      </w:r>
      <w:r>
        <w:rPr>
          <w:rFonts w:hint="eastAsia" w:ascii="楷体" w:hAnsi="楷体" w:eastAsia="楷体" w:cs="楷体"/>
          <w:sz w:val="24"/>
          <w:lang w:val="en-GB"/>
        </w:rPr>
        <w:t>于上述要求，如投标人完全响应，则在“是否响应”栏内打“√”；对空白或打“×”视为偏离，请在“偏离说明”栏内扼要说明偏离情况。</w:t>
      </w:r>
    </w:p>
    <w:p w14:paraId="067E6360">
      <w:pPr>
        <w:numPr>
          <w:ilvl w:val="0"/>
          <w:numId w:val="72"/>
        </w:numPr>
        <w:spacing w:line="360" w:lineRule="auto"/>
        <w:rPr>
          <w:rFonts w:ascii="楷体" w:hAnsi="楷体" w:eastAsia="楷体" w:cs="楷体"/>
          <w:sz w:val="24"/>
          <w:lang w:val="en-GB"/>
        </w:rPr>
      </w:pPr>
      <w:r>
        <w:rPr>
          <w:rFonts w:hint="eastAsia" w:ascii="楷体" w:hAnsi="楷体" w:eastAsia="楷体" w:cs="楷体"/>
          <w:sz w:val="24"/>
          <w:lang w:val="en-GB"/>
        </w:rPr>
        <w:t>本表内容不得擅自修改。</w:t>
      </w:r>
    </w:p>
    <w:p w14:paraId="6CA2D6B3">
      <w:pPr>
        <w:adjustRightInd w:val="0"/>
        <w:snapToGrid w:val="0"/>
        <w:spacing w:before="72" w:after="72" w:line="480" w:lineRule="auto"/>
        <w:ind w:firstLine="3578" w:firstLineChars="1491"/>
        <w:rPr>
          <w:rFonts w:ascii="楷体" w:hAnsi="楷体" w:eastAsia="楷体" w:cs="楷体"/>
          <w:sz w:val="24"/>
        </w:rPr>
      </w:pPr>
    </w:p>
    <w:p w14:paraId="391E8854">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142C6EE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5CA80F6">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359DCFBE">
      <w:pPr>
        <w:adjustRightInd w:val="0"/>
        <w:snapToGrid w:val="0"/>
        <w:spacing w:before="72" w:after="72" w:line="480" w:lineRule="auto"/>
        <w:ind w:firstLine="3578" w:firstLineChars="1491"/>
        <w:rPr>
          <w:rFonts w:ascii="楷体" w:hAnsi="楷体" w:eastAsia="楷体" w:cs="楷体"/>
          <w:sz w:val="24"/>
        </w:rPr>
      </w:pPr>
    </w:p>
    <w:p w14:paraId="3C70AA9F">
      <w:pPr>
        <w:adjustRightInd w:val="0"/>
        <w:snapToGrid w:val="0"/>
        <w:spacing w:before="72" w:after="72" w:line="480" w:lineRule="auto"/>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p>
    <w:p w14:paraId="666CB1B0">
      <w:pPr>
        <w:pStyle w:val="6"/>
        <w:numPr>
          <w:ilvl w:val="0"/>
          <w:numId w:val="68"/>
        </w:numPr>
        <w:jc w:val="center"/>
        <w:rPr>
          <w:rFonts w:ascii="楷体" w:hAnsi="楷体" w:eastAsia="楷体" w:cs="楷体"/>
        </w:rPr>
      </w:pPr>
      <w:bookmarkStart w:id="470" w:name="_Toc23765"/>
      <w:bookmarkStart w:id="471" w:name="_Toc15016"/>
      <w:r>
        <w:rPr>
          <w:rFonts w:hint="eastAsia" w:ascii="楷体" w:hAnsi="楷体" w:eastAsia="楷体" w:cs="楷体"/>
        </w:rPr>
        <w:t>用户需求书响应</w:t>
      </w:r>
      <w:bookmarkEnd w:id="470"/>
      <w:bookmarkEnd w:id="471"/>
    </w:p>
    <w:p w14:paraId="780CF9B5">
      <w:pPr>
        <w:numPr>
          <w:ilvl w:val="0"/>
          <w:numId w:val="73"/>
        </w:numPr>
        <w:spacing w:before="72" w:after="72"/>
        <w:jc w:val="center"/>
        <w:rPr>
          <w:rFonts w:ascii="楷体" w:hAnsi="楷体" w:eastAsia="楷体" w:cs="楷体"/>
          <w:b/>
          <w:sz w:val="28"/>
          <w:szCs w:val="28"/>
        </w:rPr>
      </w:pPr>
      <w:r>
        <w:rPr>
          <w:rFonts w:hint="eastAsia" w:ascii="楷体" w:hAnsi="楷体" w:eastAsia="楷体" w:cs="楷体"/>
          <w:b/>
          <w:sz w:val="28"/>
          <w:szCs w:val="28"/>
        </w:rPr>
        <w:t>实质性响应条款（“</w:t>
      </w:r>
      <w:r>
        <w:rPr>
          <w:rFonts w:hint="eastAsia" w:ascii="楷体" w:hAnsi="楷体" w:eastAsia="楷体" w:cs="楷体"/>
          <w:sz w:val="28"/>
          <w:szCs w:val="28"/>
          <w:lang w:val="en-GB"/>
        </w:rPr>
        <w:t>★</w:t>
      </w:r>
      <w:r>
        <w:rPr>
          <w:rFonts w:hint="eastAsia" w:ascii="楷体" w:hAnsi="楷体" w:eastAsia="楷体" w:cs="楷体"/>
          <w:b/>
          <w:sz w:val="28"/>
          <w:szCs w:val="28"/>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615C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272921EF">
            <w:pPr>
              <w:spacing w:before="72" w:after="72"/>
              <w:jc w:val="center"/>
              <w:rPr>
                <w:rFonts w:ascii="楷体" w:hAnsi="楷体" w:eastAsia="楷体" w:cs="楷体"/>
                <w:b/>
                <w:sz w:val="24"/>
              </w:rPr>
            </w:pPr>
            <w:r>
              <w:rPr>
                <w:rFonts w:hint="eastAsia" w:ascii="楷体" w:hAnsi="楷体" w:eastAsia="楷体" w:cs="楷体"/>
                <w:b/>
                <w:sz w:val="24"/>
              </w:rPr>
              <w:t>序号</w:t>
            </w:r>
          </w:p>
        </w:tc>
        <w:tc>
          <w:tcPr>
            <w:tcW w:w="2169" w:type="dxa"/>
            <w:shd w:val="clear" w:color="auto" w:fill="E6E6E6"/>
            <w:vAlign w:val="center"/>
          </w:tcPr>
          <w:p w14:paraId="35EB7CF2">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3484" w:type="dxa"/>
            <w:shd w:val="clear" w:color="auto" w:fill="E6E6E6"/>
            <w:vAlign w:val="center"/>
          </w:tcPr>
          <w:p w14:paraId="295818B1">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2484" w:type="dxa"/>
            <w:shd w:val="clear" w:color="auto" w:fill="E6E6E6"/>
            <w:vAlign w:val="center"/>
          </w:tcPr>
          <w:p w14:paraId="64EA2455">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261E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42C8DE7">
            <w:pPr>
              <w:spacing w:before="72" w:after="72"/>
              <w:jc w:val="center"/>
              <w:rPr>
                <w:rFonts w:ascii="楷体" w:hAnsi="楷体" w:eastAsia="楷体" w:cs="楷体"/>
                <w:sz w:val="24"/>
              </w:rPr>
            </w:pPr>
            <w:r>
              <w:rPr>
                <w:rFonts w:hint="eastAsia" w:ascii="楷体" w:hAnsi="楷体" w:eastAsia="楷体" w:cs="楷体"/>
                <w:sz w:val="24"/>
              </w:rPr>
              <w:t>1</w:t>
            </w:r>
          </w:p>
        </w:tc>
        <w:tc>
          <w:tcPr>
            <w:tcW w:w="2169" w:type="dxa"/>
          </w:tcPr>
          <w:p w14:paraId="04C90510">
            <w:pPr>
              <w:spacing w:before="72" w:after="72"/>
              <w:jc w:val="center"/>
              <w:rPr>
                <w:rFonts w:ascii="楷体" w:hAnsi="楷体" w:eastAsia="楷体" w:cs="楷体"/>
                <w:sz w:val="24"/>
              </w:rPr>
            </w:pPr>
          </w:p>
        </w:tc>
        <w:tc>
          <w:tcPr>
            <w:tcW w:w="3484" w:type="dxa"/>
          </w:tcPr>
          <w:p w14:paraId="02745AC5">
            <w:pPr>
              <w:spacing w:before="72" w:after="72"/>
              <w:rPr>
                <w:rFonts w:ascii="楷体" w:hAnsi="楷体" w:eastAsia="楷体" w:cs="楷体"/>
                <w:sz w:val="24"/>
              </w:rPr>
            </w:pPr>
          </w:p>
        </w:tc>
        <w:tc>
          <w:tcPr>
            <w:tcW w:w="2484" w:type="dxa"/>
          </w:tcPr>
          <w:p w14:paraId="33711F33">
            <w:pPr>
              <w:spacing w:before="72" w:after="72"/>
              <w:rPr>
                <w:rFonts w:ascii="楷体" w:hAnsi="楷体" w:eastAsia="楷体" w:cs="楷体"/>
                <w:sz w:val="24"/>
              </w:rPr>
            </w:pPr>
          </w:p>
        </w:tc>
      </w:tr>
      <w:tr w14:paraId="569F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A2A40F7">
            <w:pPr>
              <w:spacing w:before="72" w:after="72"/>
              <w:jc w:val="center"/>
              <w:rPr>
                <w:rFonts w:ascii="楷体" w:hAnsi="楷体" w:eastAsia="楷体" w:cs="楷体"/>
                <w:sz w:val="24"/>
              </w:rPr>
            </w:pPr>
            <w:r>
              <w:rPr>
                <w:rFonts w:hint="eastAsia" w:ascii="楷体" w:hAnsi="楷体" w:eastAsia="楷体" w:cs="楷体"/>
                <w:sz w:val="24"/>
              </w:rPr>
              <w:t>2</w:t>
            </w:r>
          </w:p>
        </w:tc>
        <w:tc>
          <w:tcPr>
            <w:tcW w:w="2169" w:type="dxa"/>
          </w:tcPr>
          <w:p w14:paraId="15EC310F">
            <w:pPr>
              <w:spacing w:before="72" w:after="72"/>
              <w:jc w:val="center"/>
              <w:rPr>
                <w:rFonts w:ascii="楷体" w:hAnsi="楷体" w:eastAsia="楷体" w:cs="楷体"/>
                <w:sz w:val="24"/>
              </w:rPr>
            </w:pPr>
          </w:p>
        </w:tc>
        <w:tc>
          <w:tcPr>
            <w:tcW w:w="3484" w:type="dxa"/>
          </w:tcPr>
          <w:p w14:paraId="57989757">
            <w:pPr>
              <w:spacing w:before="72" w:after="72"/>
              <w:rPr>
                <w:rFonts w:ascii="楷体" w:hAnsi="楷体" w:eastAsia="楷体" w:cs="楷体"/>
                <w:sz w:val="24"/>
              </w:rPr>
            </w:pPr>
          </w:p>
        </w:tc>
        <w:tc>
          <w:tcPr>
            <w:tcW w:w="2484" w:type="dxa"/>
          </w:tcPr>
          <w:p w14:paraId="4B4E4871">
            <w:pPr>
              <w:spacing w:before="72" w:after="72"/>
              <w:rPr>
                <w:rFonts w:ascii="楷体" w:hAnsi="楷体" w:eastAsia="楷体" w:cs="楷体"/>
                <w:sz w:val="24"/>
              </w:rPr>
            </w:pPr>
          </w:p>
        </w:tc>
      </w:tr>
      <w:tr w14:paraId="2E99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1025447">
            <w:pPr>
              <w:spacing w:before="72" w:after="72"/>
              <w:jc w:val="center"/>
              <w:rPr>
                <w:rFonts w:ascii="楷体" w:hAnsi="楷体" w:eastAsia="楷体" w:cs="楷体"/>
                <w:sz w:val="24"/>
              </w:rPr>
            </w:pPr>
            <w:r>
              <w:rPr>
                <w:rFonts w:hint="eastAsia" w:ascii="楷体" w:hAnsi="楷体" w:eastAsia="楷体" w:cs="楷体"/>
                <w:sz w:val="24"/>
              </w:rPr>
              <w:t>3</w:t>
            </w:r>
          </w:p>
        </w:tc>
        <w:tc>
          <w:tcPr>
            <w:tcW w:w="2169" w:type="dxa"/>
          </w:tcPr>
          <w:p w14:paraId="0B3FBF06">
            <w:pPr>
              <w:spacing w:before="72" w:after="72"/>
              <w:jc w:val="center"/>
              <w:rPr>
                <w:rFonts w:ascii="楷体" w:hAnsi="楷体" w:eastAsia="楷体" w:cs="楷体"/>
                <w:sz w:val="24"/>
              </w:rPr>
            </w:pPr>
          </w:p>
        </w:tc>
        <w:tc>
          <w:tcPr>
            <w:tcW w:w="3484" w:type="dxa"/>
          </w:tcPr>
          <w:p w14:paraId="4D3F24D6">
            <w:pPr>
              <w:spacing w:before="72" w:after="72"/>
              <w:rPr>
                <w:rFonts w:ascii="楷体" w:hAnsi="楷体" w:eastAsia="楷体" w:cs="楷体"/>
                <w:sz w:val="24"/>
              </w:rPr>
            </w:pPr>
          </w:p>
        </w:tc>
        <w:tc>
          <w:tcPr>
            <w:tcW w:w="2484" w:type="dxa"/>
          </w:tcPr>
          <w:p w14:paraId="60118C41">
            <w:pPr>
              <w:spacing w:before="72" w:after="72"/>
              <w:rPr>
                <w:rFonts w:ascii="楷体" w:hAnsi="楷体" w:eastAsia="楷体" w:cs="楷体"/>
                <w:sz w:val="24"/>
              </w:rPr>
            </w:pPr>
          </w:p>
        </w:tc>
      </w:tr>
      <w:tr w14:paraId="066E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30F1C05">
            <w:pPr>
              <w:spacing w:before="72" w:after="72"/>
              <w:jc w:val="center"/>
              <w:rPr>
                <w:rFonts w:ascii="楷体" w:hAnsi="楷体" w:eastAsia="楷体" w:cs="楷体"/>
                <w:sz w:val="24"/>
              </w:rPr>
            </w:pPr>
            <w:r>
              <w:rPr>
                <w:rFonts w:hint="eastAsia" w:ascii="楷体" w:hAnsi="楷体" w:eastAsia="楷体" w:cs="楷体"/>
                <w:sz w:val="24"/>
              </w:rPr>
              <w:t>4</w:t>
            </w:r>
          </w:p>
        </w:tc>
        <w:tc>
          <w:tcPr>
            <w:tcW w:w="2169" w:type="dxa"/>
          </w:tcPr>
          <w:p w14:paraId="7DC6BAD9">
            <w:pPr>
              <w:spacing w:before="72" w:after="72"/>
              <w:jc w:val="center"/>
              <w:rPr>
                <w:rFonts w:ascii="楷体" w:hAnsi="楷体" w:eastAsia="楷体" w:cs="楷体"/>
                <w:sz w:val="24"/>
              </w:rPr>
            </w:pPr>
          </w:p>
        </w:tc>
        <w:tc>
          <w:tcPr>
            <w:tcW w:w="3484" w:type="dxa"/>
          </w:tcPr>
          <w:p w14:paraId="0655FE7D">
            <w:pPr>
              <w:spacing w:before="72" w:after="72"/>
              <w:rPr>
                <w:rFonts w:ascii="楷体" w:hAnsi="楷体" w:eastAsia="楷体" w:cs="楷体"/>
                <w:sz w:val="24"/>
              </w:rPr>
            </w:pPr>
          </w:p>
        </w:tc>
        <w:tc>
          <w:tcPr>
            <w:tcW w:w="2484" w:type="dxa"/>
          </w:tcPr>
          <w:p w14:paraId="15CDDD04">
            <w:pPr>
              <w:spacing w:before="72" w:after="72"/>
              <w:rPr>
                <w:rFonts w:ascii="楷体" w:hAnsi="楷体" w:eastAsia="楷体" w:cs="楷体"/>
                <w:sz w:val="24"/>
              </w:rPr>
            </w:pPr>
          </w:p>
        </w:tc>
      </w:tr>
      <w:tr w14:paraId="491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C0DCDCE">
            <w:pPr>
              <w:spacing w:before="72" w:after="72"/>
              <w:jc w:val="center"/>
              <w:rPr>
                <w:rFonts w:ascii="楷体" w:hAnsi="楷体" w:eastAsia="楷体" w:cs="楷体"/>
                <w:sz w:val="24"/>
              </w:rPr>
            </w:pPr>
            <w:r>
              <w:rPr>
                <w:rFonts w:hint="eastAsia" w:ascii="楷体" w:hAnsi="楷体" w:eastAsia="楷体" w:cs="楷体"/>
                <w:sz w:val="24"/>
              </w:rPr>
              <w:t>5</w:t>
            </w:r>
          </w:p>
        </w:tc>
        <w:tc>
          <w:tcPr>
            <w:tcW w:w="2169" w:type="dxa"/>
          </w:tcPr>
          <w:p w14:paraId="3EA0BA9C">
            <w:pPr>
              <w:spacing w:before="72" w:after="72"/>
              <w:jc w:val="center"/>
              <w:rPr>
                <w:rFonts w:ascii="楷体" w:hAnsi="楷体" w:eastAsia="楷体" w:cs="楷体"/>
                <w:sz w:val="24"/>
              </w:rPr>
            </w:pPr>
          </w:p>
        </w:tc>
        <w:tc>
          <w:tcPr>
            <w:tcW w:w="3484" w:type="dxa"/>
          </w:tcPr>
          <w:p w14:paraId="11869CD6">
            <w:pPr>
              <w:spacing w:before="72" w:after="72"/>
              <w:rPr>
                <w:rFonts w:ascii="楷体" w:hAnsi="楷体" w:eastAsia="楷体" w:cs="楷体"/>
                <w:sz w:val="24"/>
              </w:rPr>
            </w:pPr>
          </w:p>
        </w:tc>
        <w:tc>
          <w:tcPr>
            <w:tcW w:w="2484" w:type="dxa"/>
          </w:tcPr>
          <w:p w14:paraId="5052EBAD">
            <w:pPr>
              <w:spacing w:before="72" w:after="72"/>
              <w:rPr>
                <w:rFonts w:ascii="楷体" w:hAnsi="楷体" w:eastAsia="楷体" w:cs="楷体"/>
                <w:sz w:val="24"/>
              </w:rPr>
            </w:pPr>
          </w:p>
        </w:tc>
      </w:tr>
      <w:tr w14:paraId="7C73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FD5D6E9">
            <w:pPr>
              <w:spacing w:before="72" w:after="72"/>
              <w:jc w:val="center"/>
              <w:rPr>
                <w:rFonts w:ascii="楷体" w:hAnsi="楷体" w:eastAsia="楷体" w:cs="楷体"/>
                <w:sz w:val="24"/>
              </w:rPr>
            </w:pPr>
            <w:r>
              <w:rPr>
                <w:rFonts w:hint="eastAsia" w:ascii="楷体" w:hAnsi="楷体" w:eastAsia="楷体" w:cs="楷体"/>
                <w:sz w:val="24"/>
              </w:rPr>
              <w:t>6</w:t>
            </w:r>
          </w:p>
        </w:tc>
        <w:tc>
          <w:tcPr>
            <w:tcW w:w="2169" w:type="dxa"/>
          </w:tcPr>
          <w:p w14:paraId="336A9969">
            <w:pPr>
              <w:spacing w:before="72" w:after="72"/>
              <w:jc w:val="center"/>
              <w:rPr>
                <w:rFonts w:ascii="楷体" w:hAnsi="楷体" w:eastAsia="楷体" w:cs="楷体"/>
                <w:sz w:val="24"/>
              </w:rPr>
            </w:pPr>
          </w:p>
        </w:tc>
        <w:tc>
          <w:tcPr>
            <w:tcW w:w="3484" w:type="dxa"/>
          </w:tcPr>
          <w:p w14:paraId="75A53FD8">
            <w:pPr>
              <w:spacing w:before="72" w:after="72"/>
              <w:rPr>
                <w:rFonts w:ascii="楷体" w:hAnsi="楷体" w:eastAsia="楷体" w:cs="楷体"/>
                <w:sz w:val="24"/>
              </w:rPr>
            </w:pPr>
          </w:p>
        </w:tc>
        <w:tc>
          <w:tcPr>
            <w:tcW w:w="2484" w:type="dxa"/>
          </w:tcPr>
          <w:p w14:paraId="4944702B">
            <w:pPr>
              <w:spacing w:before="72" w:after="72"/>
              <w:rPr>
                <w:rFonts w:ascii="楷体" w:hAnsi="楷体" w:eastAsia="楷体" w:cs="楷体"/>
                <w:sz w:val="24"/>
              </w:rPr>
            </w:pPr>
          </w:p>
        </w:tc>
      </w:tr>
      <w:tr w14:paraId="1897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082B5EB">
            <w:pPr>
              <w:spacing w:before="72" w:after="72"/>
              <w:jc w:val="center"/>
              <w:rPr>
                <w:rFonts w:ascii="楷体" w:hAnsi="楷体" w:eastAsia="楷体" w:cs="楷体"/>
                <w:sz w:val="24"/>
              </w:rPr>
            </w:pPr>
            <w:r>
              <w:rPr>
                <w:rFonts w:hint="eastAsia" w:ascii="楷体" w:hAnsi="楷体" w:eastAsia="楷体" w:cs="楷体"/>
                <w:sz w:val="24"/>
              </w:rPr>
              <w:t>7</w:t>
            </w:r>
          </w:p>
        </w:tc>
        <w:tc>
          <w:tcPr>
            <w:tcW w:w="2169" w:type="dxa"/>
          </w:tcPr>
          <w:p w14:paraId="5E74AD3E">
            <w:pPr>
              <w:spacing w:before="72" w:after="72"/>
              <w:jc w:val="center"/>
              <w:rPr>
                <w:rFonts w:ascii="楷体" w:hAnsi="楷体" w:eastAsia="楷体" w:cs="楷体"/>
                <w:sz w:val="24"/>
              </w:rPr>
            </w:pPr>
          </w:p>
        </w:tc>
        <w:tc>
          <w:tcPr>
            <w:tcW w:w="3484" w:type="dxa"/>
          </w:tcPr>
          <w:p w14:paraId="57B604DF">
            <w:pPr>
              <w:spacing w:before="72" w:after="72"/>
              <w:rPr>
                <w:rFonts w:ascii="楷体" w:hAnsi="楷体" w:eastAsia="楷体" w:cs="楷体"/>
                <w:sz w:val="24"/>
              </w:rPr>
            </w:pPr>
          </w:p>
        </w:tc>
        <w:tc>
          <w:tcPr>
            <w:tcW w:w="2484" w:type="dxa"/>
          </w:tcPr>
          <w:p w14:paraId="3DE73525">
            <w:pPr>
              <w:spacing w:before="72" w:after="72"/>
              <w:rPr>
                <w:rFonts w:ascii="楷体" w:hAnsi="楷体" w:eastAsia="楷体" w:cs="楷体"/>
                <w:sz w:val="24"/>
              </w:rPr>
            </w:pPr>
          </w:p>
        </w:tc>
      </w:tr>
      <w:tr w14:paraId="6FF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FE98160">
            <w:pPr>
              <w:spacing w:before="72" w:after="72"/>
              <w:jc w:val="center"/>
              <w:rPr>
                <w:rFonts w:ascii="楷体" w:hAnsi="楷体" w:eastAsia="楷体" w:cs="楷体"/>
                <w:sz w:val="24"/>
              </w:rPr>
            </w:pPr>
            <w:r>
              <w:rPr>
                <w:rFonts w:hint="eastAsia" w:ascii="楷体" w:hAnsi="楷体" w:eastAsia="楷体" w:cs="楷体"/>
                <w:sz w:val="24"/>
              </w:rPr>
              <w:t>8</w:t>
            </w:r>
          </w:p>
        </w:tc>
        <w:tc>
          <w:tcPr>
            <w:tcW w:w="2169" w:type="dxa"/>
          </w:tcPr>
          <w:p w14:paraId="5C1AC3EA">
            <w:pPr>
              <w:spacing w:before="72" w:after="72"/>
              <w:jc w:val="center"/>
              <w:rPr>
                <w:rFonts w:ascii="楷体" w:hAnsi="楷体" w:eastAsia="楷体" w:cs="楷体"/>
                <w:sz w:val="24"/>
              </w:rPr>
            </w:pPr>
          </w:p>
        </w:tc>
        <w:tc>
          <w:tcPr>
            <w:tcW w:w="3484" w:type="dxa"/>
          </w:tcPr>
          <w:p w14:paraId="4B73100D">
            <w:pPr>
              <w:spacing w:before="72" w:after="72"/>
              <w:rPr>
                <w:rFonts w:ascii="楷体" w:hAnsi="楷体" w:eastAsia="楷体" w:cs="楷体"/>
                <w:sz w:val="24"/>
              </w:rPr>
            </w:pPr>
          </w:p>
        </w:tc>
        <w:tc>
          <w:tcPr>
            <w:tcW w:w="2484" w:type="dxa"/>
          </w:tcPr>
          <w:p w14:paraId="5930F212">
            <w:pPr>
              <w:spacing w:before="72" w:after="72"/>
              <w:rPr>
                <w:rFonts w:ascii="楷体" w:hAnsi="楷体" w:eastAsia="楷体" w:cs="楷体"/>
                <w:sz w:val="24"/>
              </w:rPr>
            </w:pPr>
          </w:p>
        </w:tc>
      </w:tr>
      <w:tr w14:paraId="42EB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8804863">
            <w:pPr>
              <w:spacing w:before="72" w:after="72"/>
              <w:jc w:val="center"/>
              <w:rPr>
                <w:rFonts w:ascii="楷体" w:hAnsi="楷体" w:eastAsia="楷体" w:cs="楷体"/>
                <w:sz w:val="24"/>
              </w:rPr>
            </w:pPr>
            <w:r>
              <w:rPr>
                <w:rFonts w:hint="eastAsia" w:ascii="楷体" w:hAnsi="楷体" w:eastAsia="楷体" w:cs="楷体"/>
                <w:sz w:val="24"/>
              </w:rPr>
              <w:t>…</w:t>
            </w:r>
          </w:p>
        </w:tc>
        <w:tc>
          <w:tcPr>
            <w:tcW w:w="2169" w:type="dxa"/>
          </w:tcPr>
          <w:p w14:paraId="04996312">
            <w:pPr>
              <w:spacing w:before="72" w:after="72"/>
              <w:jc w:val="center"/>
              <w:rPr>
                <w:rFonts w:ascii="楷体" w:hAnsi="楷体" w:eastAsia="楷体" w:cs="楷体"/>
                <w:sz w:val="24"/>
              </w:rPr>
            </w:pPr>
          </w:p>
        </w:tc>
        <w:tc>
          <w:tcPr>
            <w:tcW w:w="3484" w:type="dxa"/>
          </w:tcPr>
          <w:p w14:paraId="75ED5C83">
            <w:pPr>
              <w:spacing w:before="72" w:after="72"/>
              <w:rPr>
                <w:rFonts w:ascii="楷体" w:hAnsi="楷体" w:eastAsia="楷体" w:cs="楷体"/>
                <w:sz w:val="24"/>
              </w:rPr>
            </w:pPr>
          </w:p>
        </w:tc>
        <w:tc>
          <w:tcPr>
            <w:tcW w:w="2484" w:type="dxa"/>
          </w:tcPr>
          <w:p w14:paraId="608F00D0">
            <w:pPr>
              <w:spacing w:before="72" w:after="72"/>
              <w:rPr>
                <w:rFonts w:ascii="楷体" w:hAnsi="楷体" w:eastAsia="楷体" w:cs="楷体"/>
                <w:sz w:val="24"/>
              </w:rPr>
            </w:pPr>
          </w:p>
        </w:tc>
      </w:tr>
    </w:tbl>
    <w:p w14:paraId="5D15B289">
      <w:pPr>
        <w:spacing w:line="400" w:lineRule="exact"/>
        <w:rPr>
          <w:rFonts w:ascii="楷体" w:hAnsi="楷体" w:eastAsia="楷体" w:cs="楷体"/>
          <w:sz w:val="24"/>
        </w:rPr>
      </w:pPr>
      <w:r>
        <w:rPr>
          <w:rFonts w:hint="eastAsia" w:ascii="楷体" w:hAnsi="楷体" w:eastAsia="楷体" w:cs="楷体"/>
          <w:sz w:val="24"/>
        </w:rPr>
        <w:t>注：</w:t>
      </w:r>
    </w:p>
    <w:p w14:paraId="37141121">
      <w:pPr>
        <w:numPr>
          <w:ilvl w:val="0"/>
          <w:numId w:val="74"/>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投标人必须对应招标文件“用户需求书”中带“★” 项内容逐条响应。如有缺漏，缺漏项视同不符合招标要求。 带“★”项为不可负偏离(劣于)的重要项。</w:t>
      </w:r>
    </w:p>
    <w:p w14:paraId="29C8EAA7">
      <w:pPr>
        <w:numPr>
          <w:ilvl w:val="0"/>
          <w:numId w:val="74"/>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投标人响应采购需求应具体、明确，含糊不清、不确切或伪造、变造证明材料的，按照不完全响应或者完全不响应处理。构成提供虚假材料的，移送监管部门查处。</w:t>
      </w:r>
    </w:p>
    <w:p w14:paraId="3C12C70C">
      <w:pPr>
        <w:numPr>
          <w:ilvl w:val="0"/>
          <w:numId w:val="74"/>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本表内容不得擅自修改。</w:t>
      </w:r>
    </w:p>
    <w:p w14:paraId="3E5A7506">
      <w:pPr>
        <w:adjustRightInd w:val="0"/>
        <w:snapToGrid w:val="0"/>
        <w:spacing w:before="72" w:after="72" w:line="300" w:lineRule="auto"/>
        <w:rPr>
          <w:rFonts w:ascii="楷体" w:hAnsi="楷体" w:eastAsia="楷体" w:cs="楷体"/>
          <w:sz w:val="24"/>
        </w:rPr>
      </w:pPr>
    </w:p>
    <w:p w14:paraId="77AD8FD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5A443C9">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3EAF6C1">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79A32748">
      <w:pPr>
        <w:numPr>
          <w:ilvl w:val="0"/>
          <w:numId w:val="73"/>
        </w:numPr>
        <w:spacing w:before="72" w:after="72"/>
        <w:jc w:val="center"/>
        <w:rPr>
          <w:rFonts w:ascii="楷体" w:hAnsi="楷体" w:eastAsia="楷体" w:cs="楷体"/>
          <w:b/>
          <w:sz w:val="28"/>
          <w:szCs w:val="28"/>
        </w:rPr>
      </w:pPr>
      <w:r>
        <w:rPr>
          <w:rFonts w:hint="eastAsia" w:ascii="楷体" w:hAnsi="楷体" w:eastAsia="楷体" w:cs="楷体"/>
          <w:b/>
          <w:sz w:val="28"/>
          <w:szCs w:val="28"/>
        </w:rPr>
        <w:t>重要技术条款（“</w:t>
      </w:r>
      <w:r>
        <w:rPr>
          <w:rFonts w:hint="eastAsia" w:ascii="楷体" w:hAnsi="楷体" w:eastAsia="楷体" w:cs="楷体"/>
          <w:kern w:val="0"/>
          <w:sz w:val="24"/>
        </w:rPr>
        <w:t>▲</w:t>
      </w:r>
      <w:r>
        <w:rPr>
          <w:rFonts w:hint="eastAsia" w:ascii="楷体" w:hAnsi="楷体" w:eastAsia="楷体" w:cs="楷体"/>
          <w:b/>
          <w:sz w:val="28"/>
          <w:szCs w:val="28"/>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27E5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4675153E">
            <w:pPr>
              <w:spacing w:before="72" w:after="72"/>
              <w:jc w:val="center"/>
              <w:rPr>
                <w:rFonts w:ascii="楷体" w:hAnsi="楷体" w:eastAsia="楷体" w:cs="楷体"/>
                <w:b/>
                <w:sz w:val="24"/>
              </w:rPr>
            </w:pPr>
            <w:r>
              <w:rPr>
                <w:rFonts w:hint="eastAsia" w:ascii="楷体" w:hAnsi="楷体" w:eastAsia="楷体" w:cs="楷体"/>
                <w:b/>
                <w:sz w:val="24"/>
              </w:rPr>
              <w:t>序号</w:t>
            </w:r>
          </w:p>
        </w:tc>
        <w:tc>
          <w:tcPr>
            <w:tcW w:w="2169" w:type="dxa"/>
            <w:shd w:val="clear" w:color="auto" w:fill="E6E6E6"/>
            <w:vAlign w:val="center"/>
          </w:tcPr>
          <w:p w14:paraId="608E736D">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3484" w:type="dxa"/>
            <w:shd w:val="clear" w:color="auto" w:fill="E6E6E6"/>
            <w:vAlign w:val="center"/>
          </w:tcPr>
          <w:p w14:paraId="6B5C8EFA">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2484" w:type="dxa"/>
            <w:shd w:val="clear" w:color="auto" w:fill="E6E6E6"/>
            <w:vAlign w:val="center"/>
          </w:tcPr>
          <w:p w14:paraId="6E59A9BA">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3228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6936928">
            <w:pPr>
              <w:spacing w:before="72" w:after="72"/>
              <w:jc w:val="center"/>
              <w:rPr>
                <w:rFonts w:ascii="楷体" w:hAnsi="楷体" w:eastAsia="楷体" w:cs="楷体"/>
                <w:sz w:val="24"/>
              </w:rPr>
            </w:pPr>
            <w:r>
              <w:rPr>
                <w:rFonts w:hint="eastAsia" w:ascii="楷体" w:hAnsi="楷体" w:eastAsia="楷体" w:cs="楷体"/>
                <w:sz w:val="24"/>
              </w:rPr>
              <w:t>1</w:t>
            </w:r>
          </w:p>
        </w:tc>
        <w:tc>
          <w:tcPr>
            <w:tcW w:w="2169" w:type="dxa"/>
          </w:tcPr>
          <w:p w14:paraId="1ACA6501">
            <w:pPr>
              <w:spacing w:before="72" w:after="72"/>
              <w:jc w:val="center"/>
              <w:rPr>
                <w:rFonts w:ascii="楷体" w:hAnsi="楷体" w:eastAsia="楷体" w:cs="楷体"/>
                <w:sz w:val="24"/>
              </w:rPr>
            </w:pPr>
          </w:p>
        </w:tc>
        <w:tc>
          <w:tcPr>
            <w:tcW w:w="3484" w:type="dxa"/>
          </w:tcPr>
          <w:p w14:paraId="2922979C">
            <w:pPr>
              <w:spacing w:before="72" w:after="72"/>
              <w:rPr>
                <w:rFonts w:ascii="楷体" w:hAnsi="楷体" w:eastAsia="楷体" w:cs="楷体"/>
                <w:sz w:val="24"/>
              </w:rPr>
            </w:pPr>
          </w:p>
        </w:tc>
        <w:tc>
          <w:tcPr>
            <w:tcW w:w="2484" w:type="dxa"/>
          </w:tcPr>
          <w:p w14:paraId="031081D1">
            <w:pPr>
              <w:spacing w:before="72" w:after="72"/>
              <w:rPr>
                <w:rFonts w:ascii="楷体" w:hAnsi="楷体" w:eastAsia="楷体" w:cs="楷体"/>
                <w:sz w:val="24"/>
              </w:rPr>
            </w:pPr>
          </w:p>
        </w:tc>
      </w:tr>
      <w:tr w14:paraId="242F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DC7B5DF">
            <w:pPr>
              <w:spacing w:before="72" w:after="72"/>
              <w:jc w:val="center"/>
              <w:rPr>
                <w:rFonts w:ascii="楷体" w:hAnsi="楷体" w:eastAsia="楷体" w:cs="楷体"/>
                <w:sz w:val="24"/>
              </w:rPr>
            </w:pPr>
            <w:r>
              <w:rPr>
                <w:rFonts w:hint="eastAsia" w:ascii="楷体" w:hAnsi="楷体" w:eastAsia="楷体" w:cs="楷体"/>
                <w:sz w:val="24"/>
              </w:rPr>
              <w:t>2</w:t>
            </w:r>
          </w:p>
        </w:tc>
        <w:tc>
          <w:tcPr>
            <w:tcW w:w="2169" w:type="dxa"/>
          </w:tcPr>
          <w:p w14:paraId="69E482A3">
            <w:pPr>
              <w:spacing w:before="72" w:after="72"/>
              <w:jc w:val="center"/>
              <w:rPr>
                <w:rFonts w:ascii="楷体" w:hAnsi="楷体" w:eastAsia="楷体" w:cs="楷体"/>
                <w:sz w:val="24"/>
              </w:rPr>
            </w:pPr>
          </w:p>
        </w:tc>
        <w:tc>
          <w:tcPr>
            <w:tcW w:w="3484" w:type="dxa"/>
          </w:tcPr>
          <w:p w14:paraId="14CFB0F2">
            <w:pPr>
              <w:spacing w:before="72" w:after="72"/>
              <w:rPr>
                <w:rFonts w:ascii="楷体" w:hAnsi="楷体" w:eastAsia="楷体" w:cs="楷体"/>
                <w:sz w:val="24"/>
              </w:rPr>
            </w:pPr>
          </w:p>
        </w:tc>
        <w:tc>
          <w:tcPr>
            <w:tcW w:w="2484" w:type="dxa"/>
          </w:tcPr>
          <w:p w14:paraId="1B947DBB">
            <w:pPr>
              <w:spacing w:before="72" w:after="72"/>
              <w:rPr>
                <w:rFonts w:ascii="楷体" w:hAnsi="楷体" w:eastAsia="楷体" w:cs="楷体"/>
                <w:sz w:val="24"/>
              </w:rPr>
            </w:pPr>
          </w:p>
        </w:tc>
      </w:tr>
      <w:tr w14:paraId="682B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8FE4FC6">
            <w:pPr>
              <w:spacing w:before="72" w:after="72"/>
              <w:jc w:val="center"/>
              <w:rPr>
                <w:rFonts w:ascii="楷体" w:hAnsi="楷体" w:eastAsia="楷体" w:cs="楷体"/>
                <w:sz w:val="24"/>
              </w:rPr>
            </w:pPr>
            <w:r>
              <w:rPr>
                <w:rFonts w:hint="eastAsia" w:ascii="楷体" w:hAnsi="楷体" w:eastAsia="楷体" w:cs="楷体"/>
                <w:sz w:val="24"/>
              </w:rPr>
              <w:t>3</w:t>
            </w:r>
          </w:p>
        </w:tc>
        <w:tc>
          <w:tcPr>
            <w:tcW w:w="2169" w:type="dxa"/>
          </w:tcPr>
          <w:p w14:paraId="6608C8AA">
            <w:pPr>
              <w:spacing w:before="72" w:after="72"/>
              <w:jc w:val="center"/>
              <w:rPr>
                <w:rFonts w:ascii="楷体" w:hAnsi="楷体" w:eastAsia="楷体" w:cs="楷体"/>
                <w:sz w:val="24"/>
              </w:rPr>
            </w:pPr>
          </w:p>
        </w:tc>
        <w:tc>
          <w:tcPr>
            <w:tcW w:w="3484" w:type="dxa"/>
          </w:tcPr>
          <w:p w14:paraId="1BDC2C5E">
            <w:pPr>
              <w:spacing w:before="72" w:after="72"/>
              <w:rPr>
                <w:rFonts w:ascii="楷体" w:hAnsi="楷体" w:eastAsia="楷体" w:cs="楷体"/>
                <w:sz w:val="24"/>
              </w:rPr>
            </w:pPr>
          </w:p>
        </w:tc>
        <w:tc>
          <w:tcPr>
            <w:tcW w:w="2484" w:type="dxa"/>
          </w:tcPr>
          <w:p w14:paraId="7E7638E7">
            <w:pPr>
              <w:spacing w:before="72" w:after="72"/>
              <w:rPr>
                <w:rFonts w:ascii="楷体" w:hAnsi="楷体" w:eastAsia="楷体" w:cs="楷体"/>
                <w:sz w:val="24"/>
              </w:rPr>
            </w:pPr>
          </w:p>
        </w:tc>
      </w:tr>
      <w:tr w14:paraId="399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7486405">
            <w:pPr>
              <w:spacing w:before="72" w:after="72"/>
              <w:jc w:val="center"/>
              <w:rPr>
                <w:rFonts w:ascii="楷体" w:hAnsi="楷体" w:eastAsia="楷体" w:cs="楷体"/>
                <w:sz w:val="24"/>
              </w:rPr>
            </w:pPr>
            <w:r>
              <w:rPr>
                <w:rFonts w:hint="eastAsia" w:ascii="楷体" w:hAnsi="楷体" w:eastAsia="楷体" w:cs="楷体"/>
                <w:sz w:val="24"/>
              </w:rPr>
              <w:t>4</w:t>
            </w:r>
          </w:p>
        </w:tc>
        <w:tc>
          <w:tcPr>
            <w:tcW w:w="2169" w:type="dxa"/>
          </w:tcPr>
          <w:p w14:paraId="0749F7F5">
            <w:pPr>
              <w:spacing w:before="72" w:after="72"/>
              <w:jc w:val="center"/>
              <w:rPr>
                <w:rFonts w:ascii="楷体" w:hAnsi="楷体" w:eastAsia="楷体" w:cs="楷体"/>
                <w:sz w:val="24"/>
              </w:rPr>
            </w:pPr>
          </w:p>
        </w:tc>
        <w:tc>
          <w:tcPr>
            <w:tcW w:w="3484" w:type="dxa"/>
          </w:tcPr>
          <w:p w14:paraId="01619004">
            <w:pPr>
              <w:spacing w:before="72" w:after="72"/>
              <w:rPr>
                <w:rFonts w:ascii="楷体" w:hAnsi="楷体" w:eastAsia="楷体" w:cs="楷体"/>
                <w:sz w:val="24"/>
              </w:rPr>
            </w:pPr>
          </w:p>
        </w:tc>
        <w:tc>
          <w:tcPr>
            <w:tcW w:w="2484" w:type="dxa"/>
          </w:tcPr>
          <w:p w14:paraId="569F8DB3">
            <w:pPr>
              <w:spacing w:before="72" w:after="72"/>
              <w:rPr>
                <w:rFonts w:ascii="楷体" w:hAnsi="楷体" w:eastAsia="楷体" w:cs="楷体"/>
                <w:sz w:val="24"/>
              </w:rPr>
            </w:pPr>
          </w:p>
        </w:tc>
      </w:tr>
      <w:tr w14:paraId="1BEA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D81883D">
            <w:pPr>
              <w:spacing w:before="72" w:after="72"/>
              <w:jc w:val="center"/>
              <w:rPr>
                <w:rFonts w:ascii="楷体" w:hAnsi="楷体" w:eastAsia="楷体" w:cs="楷体"/>
                <w:sz w:val="24"/>
              </w:rPr>
            </w:pPr>
            <w:r>
              <w:rPr>
                <w:rFonts w:hint="eastAsia" w:ascii="楷体" w:hAnsi="楷体" w:eastAsia="楷体" w:cs="楷体"/>
                <w:sz w:val="24"/>
              </w:rPr>
              <w:t>5</w:t>
            </w:r>
          </w:p>
        </w:tc>
        <w:tc>
          <w:tcPr>
            <w:tcW w:w="2169" w:type="dxa"/>
          </w:tcPr>
          <w:p w14:paraId="2CC43EA1">
            <w:pPr>
              <w:spacing w:before="72" w:after="72"/>
              <w:jc w:val="center"/>
              <w:rPr>
                <w:rFonts w:ascii="楷体" w:hAnsi="楷体" w:eastAsia="楷体" w:cs="楷体"/>
                <w:sz w:val="24"/>
              </w:rPr>
            </w:pPr>
          </w:p>
        </w:tc>
        <w:tc>
          <w:tcPr>
            <w:tcW w:w="3484" w:type="dxa"/>
          </w:tcPr>
          <w:p w14:paraId="74E5D059">
            <w:pPr>
              <w:spacing w:before="72" w:after="72"/>
              <w:rPr>
                <w:rFonts w:ascii="楷体" w:hAnsi="楷体" w:eastAsia="楷体" w:cs="楷体"/>
                <w:sz w:val="24"/>
              </w:rPr>
            </w:pPr>
          </w:p>
        </w:tc>
        <w:tc>
          <w:tcPr>
            <w:tcW w:w="2484" w:type="dxa"/>
          </w:tcPr>
          <w:p w14:paraId="138EB800">
            <w:pPr>
              <w:spacing w:before="72" w:after="72"/>
              <w:rPr>
                <w:rFonts w:ascii="楷体" w:hAnsi="楷体" w:eastAsia="楷体" w:cs="楷体"/>
                <w:sz w:val="24"/>
              </w:rPr>
            </w:pPr>
          </w:p>
        </w:tc>
      </w:tr>
      <w:tr w14:paraId="487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A308734">
            <w:pPr>
              <w:spacing w:before="72" w:after="72"/>
              <w:jc w:val="center"/>
              <w:rPr>
                <w:rFonts w:ascii="楷体" w:hAnsi="楷体" w:eastAsia="楷体" w:cs="楷体"/>
                <w:sz w:val="24"/>
              </w:rPr>
            </w:pPr>
            <w:r>
              <w:rPr>
                <w:rFonts w:hint="eastAsia" w:ascii="楷体" w:hAnsi="楷体" w:eastAsia="楷体" w:cs="楷体"/>
                <w:sz w:val="24"/>
              </w:rPr>
              <w:t>6</w:t>
            </w:r>
          </w:p>
        </w:tc>
        <w:tc>
          <w:tcPr>
            <w:tcW w:w="2169" w:type="dxa"/>
          </w:tcPr>
          <w:p w14:paraId="3C828038">
            <w:pPr>
              <w:spacing w:before="72" w:after="72"/>
              <w:jc w:val="center"/>
              <w:rPr>
                <w:rFonts w:ascii="楷体" w:hAnsi="楷体" w:eastAsia="楷体" w:cs="楷体"/>
                <w:sz w:val="24"/>
              </w:rPr>
            </w:pPr>
          </w:p>
        </w:tc>
        <w:tc>
          <w:tcPr>
            <w:tcW w:w="3484" w:type="dxa"/>
          </w:tcPr>
          <w:p w14:paraId="111D8332">
            <w:pPr>
              <w:spacing w:before="72" w:after="72"/>
              <w:rPr>
                <w:rFonts w:ascii="楷体" w:hAnsi="楷体" w:eastAsia="楷体" w:cs="楷体"/>
                <w:sz w:val="24"/>
              </w:rPr>
            </w:pPr>
          </w:p>
        </w:tc>
        <w:tc>
          <w:tcPr>
            <w:tcW w:w="2484" w:type="dxa"/>
          </w:tcPr>
          <w:p w14:paraId="6D0EC2A1">
            <w:pPr>
              <w:spacing w:before="72" w:after="72"/>
              <w:rPr>
                <w:rFonts w:ascii="楷体" w:hAnsi="楷体" w:eastAsia="楷体" w:cs="楷体"/>
                <w:sz w:val="24"/>
              </w:rPr>
            </w:pPr>
          </w:p>
        </w:tc>
      </w:tr>
      <w:tr w14:paraId="7A7D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97E8691">
            <w:pPr>
              <w:spacing w:before="72" w:after="72"/>
              <w:jc w:val="center"/>
              <w:rPr>
                <w:rFonts w:ascii="楷体" w:hAnsi="楷体" w:eastAsia="楷体" w:cs="楷体"/>
                <w:sz w:val="24"/>
              </w:rPr>
            </w:pPr>
            <w:r>
              <w:rPr>
                <w:rFonts w:hint="eastAsia" w:ascii="楷体" w:hAnsi="楷体" w:eastAsia="楷体" w:cs="楷体"/>
                <w:sz w:val="24"/>
              </w:rPr>
              <w:t>7</w:t>
            </w:r>
          </w:p>
        </w:tc>
        <w:tc>
          <w:tcPr>
            <w:tcW w:w="2169" w:type="dxa"/>
          </w:tcPr>
          <w:p w14:paraId="4F0DC597">
            <w:pPr>
              <w:spacing w:before="72" w:after="72"/>
              <w:jc w:val="center"/>
              <w:rPr>
                <w:rFonts w:ascii="楷体" w:hAnsi="楷体" w:eastAsia="楷体" w:cs="楷体"/>
                <w:sz w:val="24"/>
              </w:rPr>
            </w:pPr>
          </w:p>
        </w:tc>
        <w:tc>
          <w:tcPr>
            <w:tcW w:w="3484" w:type="dxa"/>
          </w:tcPr>
          <w:p w14:paraId="6C2C16E1">
            <w:pPr>
              <w:spacing w:before="72" w:after="72"/>
              <w:rPr>
                <w:rFonts w:ascii="楷体" w:hAnsi="楷体" w:eastAsia="楷体" w:cs="楷体"/>
                <w:sz w:val="24"/>
              </w:rPr>
            </w:pPr>
          </w:p>
        </w:tc>
        <w:tc>
          <w:tcPr>
            <w:tcW w:w="2484" w:type="dxa"/>
          </w:tcPr>
          <w:p w14:paraId="0B3AAAC4">
            <w:pPr>
              <w:spacing w:before="72" w:after="72"/>
              <w:rPr>
                <w:rFonts w:ascii="楷体" w:hAnsi="楷体" w:eastAsia="楷体" w:cs="楷体"/>
                <w:sz w:val="24"/>
              </w:rPr>
            </w:pPr>
          </w:p>
        </w:tc>
      </w:tr>
      <w:tr w14:paraId="60F3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75C1BB1">
            <w:pPr>
              <w:spacing w:before="72" w:after="72"/>
              <w:jc w:val="center"/>
              <w:rPr>
                <w:rFonts w:ascii="楷体" w:hAnsi="楷体" w:eastAsia="楷体" w:cs="楷体"/>
                <w:sz w:val="24"/>
              </w:rPr>
            </w:pPr>
            <w:r>
              <w:rPr>
                <w:rFonts w:hint="eastAsia" w:ascii="楷体" w:hAnsi="楷体" w:eastAsia="楷体" w:cs="楷体"/>
                <w:sz w:val="24"/>
              </w:rPr>
              <w:t>8</w:t>
            </w:r>
          </w:p>
        </w:tc>
        <w:tc>
          <w:tcPr>
            <w:tcW w:w="2169" w:type="dxa"/>
          </w:tcPr>
          <w:p w14:paraId="590D2A5E">
            <w:pPr>
              <w:spacing w:before="72" w:after="72"/>
              <w:jc w:val="center"/>
              <w:rPr>
                <w:rFonts w:ascii="楷体" w:hAnsi="楷体" w:eastAsia="楷体" w:cs="楷体"/>
                <w:sz w:val="24"/>
              </w:rPr>
            </w:pPr>
          </w:p>
        </w:tc>
        <w:tc>
          <w:tcPr>
            <w:tcW w:w="3484" w:type="dxa"/>
          </w:tcPr>
          <w:p w14:paraId="02DFA289">
            <w:pPr>
              <w:spacing w:before="72" w:after="72"/>
              <w:rPr>
                <w:rFonts w:ascii="楷体" w:hAnsi="楷体" w:eastAsia="楷体" w:cs="楷体"/>
                <w:sz w:val="24"/>
              </w:rPr>
            </w:pPr>
          </w:p>
        </w:tc>
        <w:tc>
          <w:tcPr>
            <w:tcW w:w="2484" w:type="dxa"/>
          </w:tcPr>
          <w:p w14:paraId="2728EA74">
            <w:pPr>
              <w:spacing w:before="72" w:after="72"/>
              <w:rPr>
                <w:rFonts w:ascii="楷体" w:hAnsi="楷体" w:eastAsia="楷体" w:cs="楷体"/>
                <w:sz w:val="24"/>
              </w:rPr>
            </w:pPr>
          </w:p>
        </w:tc>
      </w:tr>
      <w:tr w14:paraId="5FE9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C2BCE32">
            <w:pPr>
              <w:spacing w:before="72" w:after="72"/>
              <w:jc w:val="center"/>
              <w:rPr>
                <w:rFonts w:ascii="楷体" w:hAnsi="楷体" w:eastAsia="楷体" w:cs="楷体"/>
                <w:sz w:val="24"/>
              </w:rPr>
            </w:pPr>
            <w:r>
              <w:rPr>
                <w:rFonts w:hint="eastAsia" w:ascii="楷体" w:hAnsi="楷体" w:eastAsia="楷体" w:cs="楷体"/>
                <w:sz w:val="24"/>
              </w:rPr>
              <w:t>…</w:t>
            </w:r>
          </w:p>
        </w:tc>
        <w:tc>
          <w:tcPr>
            <w:tcW w:w="2169" w:type="dxa"/>
          </w:tcPr>
          <w:p w14:paraId="7F4366F7">
            <w:pPr>
              <w:spacing w:before="72" w:after="72"/>
              <w:jc w:val="center"/>
              <w:rPr>
                <w:rFonts w:ascii="楷体" w:hAnsi="楷体" w:eastAsia="楷体" w:cs="楷体"/>
                <w:sz w:val="24"/>
              </w:rPr>
            </w:pPr>
          </w:p>
        </w:tc>
        <w:tc>
          <w:tcPr>
            <w:tcW w:w="3484" w:type="dxa"/>
          </w:tcPr>
          <w:p w14:paraId="5B1A3801">
            <w:pPr>
              <w:spacing w:before="72" w:after="72"/>
              <w:rPr>
                <w:rFonts w:ascii="楷体" w:hAnsi="楷体" w:eastAsia="楷体" w:cs="楷体"/>
                <w:sz w:val="24"/>
              </w:rPr>
            </w:pPr>
          </w:p>
        </w:tc>
        <w:tc>
          <w:tcPr>
            <w:tcW w:w="2484" w:type="dxa"/>
          </w:tcPr>
          <w:p w14:paraId="45F1C3F0">
            <w:pPr>
              <w:spacing w:before="72" w:after="72"/>
              <w:rPr>
                <w:rFonts w:ascii="楷体" w:hAnsi="楷体" w:eastAsia="楷体" w:cs="楷体"/>
                <w:sz w:val="24"/>
              </w:rPr>
            </w:pPr>
          </w:p>
        </w:tc>
      </w:tr>
    </w:tbl>
    <w:p w14:paraId="2AD982C7">
      <w:pPr>
        <w:spacing w:line="400" w:lineRule="exact"/>
        <w:rPr>
          <w:rFonts w:ascii="楷体" w:hAnsi="楷体" w:eastAsia="楷体" w:cs="楷体"/>
          <w:sz w:val="24"/>
        </w:rPr>
      </w:pPr>
      <w:r>
        <w:rPr>
          <w:rFonts w:hint="eastAsia" w:ascii="楷体" w:hAnsi="楷体" w:eastAsia="楷体" w:cs="楷体"/>
          <w:sz w:val="24"/>
        </w:rPr>
        <w:t>注：</w:t>
      </w:r>
    </w:p>
    <w:p w14:paraId="29AC0BE9">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1、投标人必须对应招标文件“用户需求书”中带“</w:t>
      </w:r>
      <w:r>
        <w:rPr>
          <w:rFonts w:hint="eastAsia" w:ascii="楷体" w:hAnsi="楷体" w:eastAsia="楷体" w:cs="楷体"/>
          <w:kern w:val="0"/>
          <w:sz w:val="24"/>
        </w:rPr>
        <w:t>▲</w:t>
      </w:r>
      <w:r>
        <w:rPr>
          <w:rFonts w:hint="eastAsia" w:ascii="楷体" w:hAnsi="楷体" w:eastAsia="楷体" w:cs="楷体"/>
          <w:sz w:val="24"/>
          <w:lang w:val="en-GB"/>
        </w:rPr>
        <w:t>” 项内容逐条响应。如有缺漏，缺漏项视</w:t>
      </w:r>
      <w:r>
        <w:rPr>
          <w:rFonts w:hint="eastAsia" w:ascii="楷体" w:hAnsi="楷体" w:eastAsia="楷体" w:cs="楷体"/>
          <w:sz w:val="24"/>
        </w:rPr>
        <w:t>为负偏离，负偏离将导致响应评审严重扣分</w:t>
      </w:r>
      <w:r>
        <w:rPr>
          <w:rFonts w:hint="eastAsia" w:ascii="楷体" w:hAnsi="楷体" w:eastAsia="楷体" w:cs="楷体"/>
          <w:sz w:val="24"/>
          <w:lang w:val="en-GB"/>
        </w:rPr>
        <w:t>。</w:t>
      </w:r>
    </w:p>
    <w:p w14:paraId="294420A5">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2、投标人响应采购需求应具体、明确，含糊不清、不确切或伪造、变造证明材料的，按照不完全响应或者完全不响应处理。构成提供虚假材料的，移送监管部门查处。</w:t>
      </w:r>
    </w:p>
    <w:p w14:paraId="4A19B587">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3、本表内容不得擅自修改。</w:t>
      </w:r>
    </w:p>
    <w:p w14:paraId="76B28D38">
      <w:pPr>
        <w:adjustRightInd w:val="0"/>
        <w:snapToGrid w:val="0"/>
        <w:spacing w:before="72" w:after="72" w:line="300" w:lineRule="auto"/>
        <w:rPr>
          <w:rFonts w:ascii="楷体" w:hAnsi="楷体" w:eastAsia="楷体" w:cs="楷体"/>
          <w:sz w:val="24"/>
        </w:rPr>
      </w:pPr>
    </w:p>
    <w:p w14:paraId="3A20511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47275DF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F232272">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7C991F52">
      <w:pPr>
        <w:numPr>
          <w:ilvl w:val="0"/>
          <w:numId w:val="73"/>
        </w:numPr>
        <w:spacing w:before="72" w:after="72"/>
        <w:jc w:val="center"/>
        <w:rPr>
          <w:rFonts w:ascii="楷体" w:hAnsi="楷体" w:eastAsia="楷体" w:cs="楷体"/>
          <w:b/>
          <w:sz w:val="28"/>
          <w:szCs w:val="28"/>
        </w:rPr>
      </w:pPr>
      <w:r>
        <w:rPr>
          <w:rFonts w:hint="eastAsia" w:ascii="楷体" w:hAnsi="楷体" w:eastAsia="楷体" w:cs="楷体"/>
          <w:b/>
          <w:sz w:val="28"/>
          <w:szCs w:val="28"/>
        </w:rPr>
        <w:t>一般条款响应表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4BA5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64C8C875">
            <w:pPr>
              <w:spacing w:before="72" w:after="72"/>
              <w:jc w:val="center"/>
              <w:rPr>
                <w:rFonts w:ascii="楷体" w:hAnsi="楷体" w:eastAsia="楷体" w:cs="楷体"/>
                <w:b/>
                <w:sz w:val="24"/>
              </w:rPr>
            </w:pPr>
            <w:r>
              <w:rPr>
                <w:rFonts w:hint="eastAsia" w:ascii="楷体" w:hAnsi="楷体" w:eastAsia="楷体" w:cs="楷体"/>
                <w:b/>
                <w:sz w:val="24"/>
              </w:rPr>
              <w:t>序号</w:t>
            </w:r>
          </w:p>
        </w:tc>
        <w:tc>
          <w:tcPr>
            <w:tcW w:w="1403" w:type="pct"/>
            <w:shd w:val="clear" w:color="auto" w:fill="E6E6E6"/>
            <w:vAlign w:val="center"/>
          </w:tcPr>
          <w:p w14:paraId="007AA08C">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1815" w:type="pct"/>
            <w:shd w:val="clear" w:color="auto" w:fill="E6E6E6"/>
            <w:vAlign w:val="center"/>
          </w:tcPr>
          <w:p w14:paraId="04287F2C">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1380" w:type="pct"/>
            <w:shd w:val="clear" w:color="auto" w:fill="E6E6E6"/>
            <w:vAlign w:val="center"/>
          </w:tcPr>
          <w:p w14:paraId="7B612407">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2CFE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06F0241">
            <w:pPr>
              <w:spacing w:before="72" w:after="72"/>
              <w:jc w:val="center"/>
              <w:rPr>
                <w:rFonts w:ascii="楷体" w:hAnsi="楷体" w:eastAsia="楷体" w:cs="楷体"/>
                <w:sz w:val="24"/>
              </w:rPr>
            </w:pPr>
            <w:r>
              <w:rPr>
                <w:rFonts w:hint="eastAsia" w:ascii="楷体" w:hAnsi="楷体" w:eastAsia="楷体" w:cs="楷体"/>
                <w:sz w:val="24"/>
              </w:rPr>
              <w:t>1</w:t>
            </w:r>
          </w:p>
        </w:tc>
        <w:tc>
          <w:tcPr>
            <w:tcW w:w="1403" w:type="pct"/>
          </w:tcPr>
          <w:p w14:paraId="197B60F7">
            <w:pPr>
              <w:spacing w:before="72" w:after="72"/>
              <w:rPr>
                <w:rFonts w:ascii="楷体" w:hAnsi="楷体" w:eastAsia="楷体" w:cs="楷体"/>
                <w:sz w:val="24"/>
              </w:rPr>
            </w:pPr>
          </w:p>
        </w:tc>
        <w:tc>
          <w:tcPr>
            <w:tcW w:w="1815" w:type="pct"/>
          </w:tcPr>
          <w:p w14:paraId="217EDF27">
            <w:pPr>
              <w:spacing w:before="72" w:after="72"/>
              <w:rPr>
                <w:rFonts w:ascii="楷体" w:hAnsi="楷体" w:eastAsia="楷体" w:cs="楷体"/>
                <w:sz w:val="24"/>
              </w:rPr>
            </w:pPr>
          </w:p>
        </w:tc>
        <w:tc>
          <w:tcPr>
            <w:tcW w:w="1380" w:type="pct"/>
          </w:tcPr>
          <w:p w14:paraId="73CB6075">
            <w:pPr>
              <w:spacing w:before="72" w:after="72"/>
              <w:rPr>
                <w:rFonts w:ascii="楷体" w:hAnsi="楷体" w:eastAsia="楷体" w:cs="楷体"/>
                <w:sz w:val="24"/>
              </w:rPr>
            </w:pPr>
          </w:p>
        </w:tc>
      </w:tr>
      <w:tr w14:paraId="4545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09C0FA9">
            <w:pPr>
              <w:spacing w:before="72" w:after="72"/>
              <w:jc w:val="center"/>
              <w:rPr>
                <w:rFonts w:ascii="楷体" w:hAnsi="楷体" w:eastAsia="楷体" w:cs="楷体"/>
                <w:sz w:val="24"/>
              </w:rPr>
            </w:pPr>
            <w:r>
              <w:rPr>
                <w:rFonts w:hint="eastAsia" w:ascii="楷体" w:hAnsi="楷体" w:eastAsia="楷体" w:cs="楷体"/>
                <w:sz w:val="24"/>
              </w:rPr>
              <w:t>2</w:t>
            </w:r>
          </w:p>
        </w:tc>
        <w:tc>
          <w:tcPr>
            <w:tcW w:w="1403" w:type="pct"/>
          </w:tcPr>
          <w:p w14:paraId="304CE58B">
            <w:pPr>
              <w:spacing w:before="72" w:after="72"/>
              <w:rPr>
                <w:rFonts w:ascii="楷体" w:hAnsi="楷体" w:eastAsia="楷体" w:cs="楷体"/>
                <w:sz w:val="24"/>
              </w:rPr>
            </w:pPr>
          </w:p>
        </w:tc>
        <w:tc>
          <w:tcPr>
            <w:tcW w:w="1815" w:type="pct"/>
          </w:tcPr>
          <w:p w14:paraId="4010821F">
            <w:pPr>
              <w:spacing w:before="72" w:after="72"/>
              <w:rPr>
                <w:rFonts w:ascii="楷体" w:hAnsi="楷体" w:eastAsia="楷体" w:cs="楷体"/>
                <w:sz w:val="24"/>
              </w:rPr>
            </w:pPr>
          </w:p>
        </w:tc>
        <w:tc>
          <w:tcPr>
            <w:tcW w:w="1380" w:type="pct"/>
          </w:tcPr>
          <w:p w14:paraId="3FF6A3ED">
            <w:pPr>
              <w:spacing w:before="72" w:after="72"/>
              <w:rPr>
                <w:rFonts w:ascii="楷体" w:hAnsi="楷体" w:eastAsia="楷体" w:cs="楷体"/>
                <w:sz w:val="24"/>
              </w:rPr>
            </w:pPr>
          </w:p>
        </w:tc>
      </w:tr>
      <w:tr w14:paraId="4A4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716D3D9">
            <w:pPr>
              <w:spacing w:before="72" w:after="72"/>
              <w:jc w:val="center"/>
              <w:rPr>
                <w:rFonts w:ascii="楷体" w:hAnsi="楷体" w:eastAsia="楷体" w:cs="楷体"/>
                <w:sz w:val="24"/>
              </w:rPr>
            </w:pPr>
            <w:r>
              <w:rPr>
                <w:rFonts w:hint="eastAsia" w:ascii="楷体" w:hAnsi="楷体" w:eastAsia="楷体" w:cs="楷体"/>
                <w:sz w:val="24"/>
              </w:rPr>
              <w:t>3</w:t>
            </w:r>
          </w:p>
        </w:tc>
        <w:tc>
          <w:tcPr>
            <w:tcW w:w="1403" w:type="pct"/>
          </w:tcPr>
          <w:p w14:paraId="784819A9">
            <w:pPr>
              <w:spacing w:before="72" w:after="72"/>
              <w:rPr>
                <w:rFonts w:ascii="楷体" w:hAnsi="楷体" w:eastAsia="楷体" w:cs="楷体"/>
                <w:sz w:val="24"/>
              </w:rPr>
            </w:pPr>
          </w:p>
        </w:tc>
        <w:tc>
          <w:tcPr>
            <w:tcW w:w="1815" w:type="pct"/>
          </w:tcPr>
          <w:p w14:paraId="36ACF6DD">
            <w:pPr>
              <w:spacing w:before="72" w:after="72"/>
              <w:rPr>
                <w:rFonts w:ascii="楷体" w:hAnsi="楷体" w:eastAsia="楷体" w:cs="楷体"/>
                <w:sz w:val="24"/>
              </w:rPr>
            </w:pPr>
          </w:p>
        </w:tc>
        <w:tc>
          <w:tcPr>
            <w:tcW w:w="1380" w:type="pct"/>
          </w:tcPr>
          <w:p w14:paraId="55560CC1">
            <w:pPr>
              <w:spacing w:before="72" w:after="72"/>
              <w:rPr>
                <w:rFonts w:ascii="楷体" w:hAnsi="楷体" w:eastAsia="楷体" w:cs="楷体"/>
                <w:sz w:val="24"/>
              </w:rPr>
            </w:pPr>
          </w:p>
        </w:tc>
      </w:tr>
      <w:tr w14:paraId="7DD5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DC31F40">
            <w:pPr>
              <w:spacing w:before="72" w:after="72"/>
              <w:jc w:val="center"/>
              <w:rPr>
                <w:rFonts w:ascii="楷体" w:hAnsi="楷体" w:eastAsia="楷体" w:cs="楷体"/>
                <w:sz w:val="24"/>
              </w:rPr>
            </w:pPr>
            <w:r>
              <w:rPr>
                <w:rFonts w:hint="eastAsia" w:ascii="楷体" w:hAnsi="楷体" w:eastAsia="楷体" w:cs="楷体"/>
                <w:sz w:val="24"/>
              </w:rPr>
              <w:t>4</w:t>
            </w:r>
          </w:p>
        </w:tc>
        <w:tc>
          <w:tcPr>
            <w:tcW w:w="1403" w:type="pct"/>
          </w:tcPr>
          <w:p w14:paraId="123648C2">
            <w:pPr>
              <w:spacing w:before="72" w:after="72"/>
              <w:rPr>
                <w:rFonts w:ascii="楷体" w:hAnsi="楷体" w:eastAsia="楷体" w:cs="楷体"/>
                <w:sz w:val="24"/>
              </w:rPr>
            </w:pPr>
          </w:p>
        </w:tc>
        <w:tc>
          <w:tcPr>
            <w:tcW w:w="1815" w:type="pct"/>
          </w:tcPr>
          <w:p w14:paraId="1CDB5825">
            <w:pPr>
              <w:spacing w:before="72" w:after="72"/>
              <w:rPr>
                <w:rFonts w:ascii="楷体" w:hAnsi="楷体" w:eastAsia="楷体" w:cs="楷体"/>
                <w:sz w:val="24"/>
              </w:rPr>
            </w:pPr>
          </w:p>
        </w:tc>
        <w:tc>
          <w:tcPr>
            <w:tcW w:w="1380" w:type="pct"/>
          </w:tcPr>
          <w:p w14:paraId="26E57EA8">
            <w:pPr>
              <w:spacing w:before="72" w:after="72"/>
              <w:rPr>
                <w:rFonts w:ascii="楷体" w:hAnsi="楷体" w:eastAsia="楷体" w:cs="楷体"/>
                <w:sz w:val="24"/>
              </w:rPr>
            </w:pPr>
          </w:p>
        </w:tc>
      </w:tr>
      <w:tr w14:paraId="2DE9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A295421">
            <w:pPr>
              <w:spacing w:before="72" w:after="72"/>
              <w:jc w:val="center"/>
              <w:rPr>
                <w:rFonts w:ascii="楷体" w:hAnsi="楷体" w:eastAsia="楷体" w:cs="楷体"/>
                <w:sz w:val="24"/>
              </w:rPr>
            </w:pPr>
            <w:r>
              <w:rPr>
                <w:rFonts w:hint="eastAsia" w:ascii="楷体" w:hAnsi="楷体" w:eastAsia="楷体" w:cs="楷体"/>
                <w:sz w:val="24"/>
              </w:rPr>
              <w:t>5</w:t>
            </w:r>
          </w:p>
        </w:tc>
        <w:tc>
          <w:tcPr>
            <w:tcW w:w="1403" w:type="pct"/>
          </w:tcPr>
          <w:p w14:paraId="79C352DF">
            <w:pPr>
              <w:spacing w:before="72" w:after="72"/>
              <w:rPr>
                <w:rFonts w:ascii="楷体" w:hAnsi="楷体" w:eastAsia="楷体" w:cs="楷体"/>
                <w:sz w:val="24"/>
              </w:rPr>
            </w:pPr>
          </w:p>
        </w:tc>
        <w:tc>
          <w:tcPr>
            <w:tcW w:w="1815" w:type="pct"/>
          </w:tcPr>
          <w:p w14:paraId="2D985BCD">
            <w:pPr>
              <w:spacing w:before="72" w:after="72"/>
              <w:rPr>
                <w:rFonts w:ascii="楷体" w:hAnsi="楷体" w:eastAsia="楷体" w:cs="楷体"/>
                <w:sz w:val="24"/>
              </w:rPr>
            </w:pPr>
          </w:p>
        </w:tc>
        <w:tc>
          <w:tcPr>
            <w:tcW w:w="1380" w:type="pct"/>
          </w:tcPr>
          <w:p w14:paraId="6C83888F">
            <w:pPr>
              <w:spacing w:before="72" w:after="72"/>
              <w:rPr>
                <w:rFonts w:ascii="楷体" w:hAnsi="楷体" w:eastAsia="楷体" w:cs="楷体"/>
                <w:sz w:val="24"/>
              </w:rPr>
            </w:pPr>
          </w:p>
        </w:tc>
      </w:tr>
      <w:tr w14:paraId="2A78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764CCC2">
            <w:pPr>
              <w:spacing w:before="72" w:after="72"/>
              <w:jc w:val="center"/>
              <w:rPr>
                <w:rFonts w:ascii="楷体" w:hAnsi="楷体" w:eastAsia="楷体" w:cs="楷体"/>
                <w:sz w:val="24"/>
              </w:rPr>
            </w:pPr>
            <w:r>
              <w:rPr>
                <w:rFonts w:hint="eastAsia" w:ascii="楷体" w:hAnsi="楷体" w:eastAsia="楷体" w:cs="楷体"/>
                <w:sz w:val="24"/>
              </w:rPr>
              <w:t>6</w:t>
            </w:r>
          </w:p>
        </w:tc>
        <w:tc>
          <w:tcPr>
            <w:tcW w:w="1403" w:type="pct"/>
          </w:tcPr>
          <w:p w14:paraId="66899E48">
            <w:pPr>
              <w:spacing w:before="72" w:after="72"/>
              <w:rPr>
                <w:rFonts w:ascii="楷体" w:hAnsi="楷体" w:eastAsia="楷体" w:cs="楷体"/>
                <w:sz w:val="24"/>
              </w:rPr>
            </w:pPr>
          </w:p>
        </w:tc>
        <w:tc>
          <w:tcPr>
            <w:tcW w:w="1815" w:type="pct"/>
          </w:tcPr>
          <w:p w14:paraId="3833F2D6">
            <w:pPr>
              <w:spacing w:before="72" w:after="72"/>
              <w:rPr>
                <w:rFonts w:ascii="楷体" w:hAnsi="楷体" w:eastAsia="楷体" w:cs="楷体"/>
                <w:sz w:val="24"/>
              </w:rPr>
            </w:pPr>
          </w:p>
        </w:tc>
        <w:tc>
          <w:tcPr>
            <w:tcW w:w="1380" w:type="pct"/>
          </w:tcPr>
          <w:p w14:paraId="3A0FBD89">
            <w:pPr>
              <w:spacing w:before="72" w:after="72"/>
              <w:rPr>
                <w:rFonts w:ascii="楷体" w:hAnsi="楷体" w:eastAsia="楷体" w:cs="楷体"/>
                <w:sz w:val="24"/>
              </w:rPr>
            </w:pPr>
          </w:p>
        </w:tc>
      </w:tr>
      <w:tr w14:paraId="7AEA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8F443FA">
            <w:pPr>
              <w:spacing w:before="72" w:after="72"/>
              <w:jc w:val="center"/>
              <w:rPr>
                <w:rFonts w:ascii="楷体" w:hAnsi="楷体" w:eastAsia="楷体" w:cs="楷体"/>
                <w:sz w:val="24"/>
              </w:rPr>
            </w:pPr>
            <w:r>
              <w:rPr>
                <w:rFonts w:hint="eastAsia" w:ascii="楷体" w:hAnsi="楷体" w:eastAsia="楷体" w:cs="楷体"/>
                <w:sz w:val="24"/>
              </w:rPr>
              <w:t>7</w:t>
            </w:r>
          </w:p>
        </w:tc>
        <w:tc>
          <w:tcPr>
            <w:tcW w:w="1403" w:type="pct"/>
          </w:tcPr>
          <w:p w14:paraId="769AC2CF">
            <w:pPr>
              <w:spacing w:before="72" w:after="72"/>
              <w:rPr>
                <w:rFonts w:ascii="楷体" w:hAnsi="楷体" w:eastAsia="楷体" w:cs="楷体"/>
                <w:sz w:val="24"/>
              </w:rPr>
            </w:pPr>
          </w:p>
        </w:tc>
        <w:tc>
          <w:tcPr>
            <w:tcW w:w="1815" w:type="pct"/>
          </w:tcPr>
          <w:p w14:paraId="790EA99F">
            <w:pPr>
              <w:spacing w:before="72" w:after="72"/>
              <w:rPr>
                <w:rFonts w:ascii="楷体" w:hAnsi="楷体" w:eastAsia="楷体" w:cs="楷体"/>
                <w:sz w:val="24"/>
              </w:rPr>
            </w:pPr>
          </w:p>
        </w:tc>
        <w:tc>
          <w:tcPr>
            <w:tcW w:w="1380" w:type="pct"/>
          </w:tcPr>
          <w:p w14:paraId="6A77CDAB">
            <w:pPr>
              <w:spacing w:before="72" w:after="72"/>
              <w:rPr>
                <w:rFonts w:ascii="楷体" w:hAnsi="楷体" w:eastAsia="楷体" w:cs="楷体"/>
                <w:sz w:val="24"/>
              </w:rPr>
            </w:pPr>
          </w:p>
        </w:tc>
      </w:tr>
      <w:tr w14:paraId="6CF9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0A78279">
            <w:pPr>
              <w:spacing w:before="72" w:after="72"/>
              <w:jc w:val="center"/>
              <w:rPr>
                <w:rFonts w:ascii="楷体" w:hAnsi="楷体" w:eastAsia="楷体" w:cs="楷体"/>
                <w:sz w:val="24"/>
              </w:rPr>
            </w:pPr>
            <w:r>
              <w:rPr>
                <w:rFonts w:hint="eastAsia" w:ascii="楷体" w:hAnsi="楷体" w:eastAsia="楷体" w:cs="楷体"/>
                <w:sz w:val="24"/>
              </w:rPr>
              <w:t>8</w:t>
            </w:r>
          </w:p>
        </w:tc>
        <w:tc>
          <w:tcPr>
            <w:tcW w:w="1403" w:type="pct"/>
          </w:tcPr>
          <w:p w14:paraId="208674A7">
            <w:pPr>
              <w:spacing w:before="72" w:after="72"/>
              <w:rPr>
                <w:rFonts w:ascii="楷体" w:hAnsi="楷体" w:eastAsia="楷体" w:cs="楷体"/>
                <w:sz w:val="24"/>
              </w:rPr>
            </w:pPr>
          </w:p>
        </w:tc>
        <w:tc>
          <w:tcPr>
            <w:tcW w:w="1815" w:type="pct"/>
          </w:tcPr>
          <w:p w14:paraId="7BF64A24">
            <w:pPr>
              <w:spacing w:before="72" w:after="72"/>
              <w:rPr>
                <w:rFonts w:ascii="楷体" w:hAnsi="楷体" w:eastAsia="楷体" w:cs="楷体"/>
                <w:sz w:val="24"/>
              </w:rPr>
            </w:pPr>
          </w:p>
        </w:tc>
        <w:tc>
          <w:tcPr>
            <w:tcW w:w="1380" w:type="pct"/>
          </w:tcPr>
          <w:p w14:paraId="29E311CA">
            <w:pPr>
              <w:spacing w:before="72" w:after="72"/>
              <w:rPr>
                <w:rFonts w:ascii="楷体" w:hAnsi="楷体" w:eastAsia="楷体" w:cs="楷体"/>
                <w:sz w:val="24"/>
              </w:rPr>
            </w:pPr>
          </w:p>
        </w:tc>
      </w:tr>
      <w:tr w14:paraId="5F5A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1827E02">
            <w:pPr>
              <w:spacing w:before="72" w:after="72"/>
              <w:jc w:val="center"/>
              <w:rPr>
                <w:rFonts w:ascii="楷体" w:hAnsi="楷体" w:eastAsia="楷体" w:cs="楷体"/>
                <w:sz w:val="24"/>
              </w:rPr>
            </w:pPr>
            <w:r>
              <w:rPr>
                <w:rFonts w:hint="eastAsia" w:ascii="楷体" w:hAnsi="楷体" w:eastAsia="楷体" w:cs="楷体"/>
                <w:sz w:val="24"/>
              </w:rPr>
              <w:t>…</w:t>
            </w:r>
          </w:p>
        </w:tc>
        <w:tc>
          <w:tcPr>
            <w:tcW w:w="1403" w:type="pct"/>
          </w:tcPr>
          <w:p w14:paraId="38AE0C8F">
            <w:pPr>
              <w:spacing w:before="72" w:after="72"/>
              <w:rPr>
                <w:rFonts w:ascii="楷体" w:hAnsi="楷体" w:eastAsia="楷体" w:cs="楷体"/>
                <w:sz w:val="24"/>
              </w:rPr>
            </w:pPr>
          </w:p>
        </w:tc>
        <w:tc>
          <w:tcPr>
            <w:tcW w:w="1815" w:type="pct"/>
          </w:tcPr>
          <w:p w14:paraId="4A95F0F5">
            <w:pPr>
              <w:spacing w:before="72" w:after="72"/>
              <w:rPr>
                <w:rFonts w:ascii="楷体" w:hAnsi="楷体" w:eastAsia="楷体" w:cs="楷体"/>
                <w:sz w:val="24"/>
              </w:rPr>
            </w:pPr>
          </w:p>
        </w:tc>
        <w:tc>
          <w:tcPr>
            <w:tcW w:w="1380" w:type="pct"/>
          </w:tcPr>
          <w:p w14:paraId="72D5F1AE">
            <w:pPr>
              <w:spacing w:before="72" w:after="72"/>
              <w:rPr>
                <w:rFonts w:ascii="楷体" w:hAnsi="楷体" w:eastAsia="楷体" w:cs="楷体"/>
                <w:sz w:val="24"/>
              </w:rPr>
            </w:pPr>
          </w:p>
        </w:tc>
      </w:tr>
    </w:tbl>
    <w:p w14:paraId="476C868B">
      <w:pPr>
        <w:spacing w:line="400" w:lineRule="exact"/>
        <w:rPr>
          <w:rFonts w:ascii="楷体" w:hAnsi="楷体" w:eastAsia="楷体" w:cs="楷体"/>
          <w:sz w:val="24"/>
        </w:rPr>
      </w:pPr>
      <w:r>
        <w:rPr>
          <w:rFonts w:hint="eastAsia" w:ascii="楷体" w:hAnsi="楷体" w:eastAsia="楷体" w:cs="楷体"/>
          <w:sz w:val="24"/>
        </w:rPr>
        <w:t>注：</w:t>
      </w:r>
    </w:p>
    <w:p w14:paraId="7B0D8F30">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1、</w:t>
      </w:r>
      <w:r>
        <w:rPr>
          <w:rFonts w:hint="eastAsia" w:ascii="楷体" w:hAnsi="楷体" w:eastAsia="楷体" w:cs="楷体"/>
          <w:sz w:val="24"/>
        </w:rPr>
        <w:t>投标人必须对应招标文件“用户需求书”中服务条款</w:t>
      </w:r>
      <w:r>
        <w:rPr>
          <w:rFonts w:hint="eastAsia" w:ascii="楷体" w:hAnsi="楷体" w:eastAsia="楷体" w:cs="楷体"/>
          <w:b/>
          <w:sz w:val="24"/>
        </w:rPr>
        <w:t>带</w:t>
      </w:r>
      <w:r>
        <w:rPr>
          <w:rFonts w:hint="eastAsia" w:ascii="楷体" w:hAnsi="楷体" w:eastAsia="楷体" w:cs="楷体"/>
          <w:b/>
          <w:sz w:val="24"/>
          <w:lang w:val="en-GB"/>
        </w:rPr>
        <w:t>“★”</w:t>
      </w:r>
      <w:r>
        <w:rPr>
          <w:rFonts w:hint="eastAsia" w:ascii="楷体" w:hAnsi="楷体" w:eastAsia="楷体" w:cs="楷体"/>
          <w:b/>
          <w:sz w:val="24"/>
        </w:rPr>
        <w:t>及</w:t>
      </w:r>
      <w:r>
        <w:rPr>
          <w:rFonts w:hint="eastAsia" w:ascii="楷体" w:hAnsi="楷体" w:eastAsia="楷体" w:cs="楷体"/>
          <w:b/>
          <w:sz w:val="24"/>
          <w:lang w:val="en-GB"/>
        </w:rPr>
        <w:t>“▲” 项以外</w:t>
      </w:r>
      <w:r>
        <w:rPr>
          <w:rFonts w:hint="eastAsia" w:ascii="楷体" w:hAnsi="楷体" w:eastAsia="楷体" w:cs="楷体"/>
          <w:sz w:val="24"/>
        </w:rPr>
        <w:t>的各条目号内容逐条响应。</w:t>
      </w:r>
    </w:p>
    <w:p w14:paraId="4D51690A">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2、投标人响应采购需求应具体、明确，含糊不清、不确切或伪造、变造证明材料的，按照不完全响应或者完全不响应处理。构成提供虚假材料的，移送监管部门查处。</w:t>
      </w:r>
    </w:p>
    <w:p w14:paraId="6E56E02E">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GB"/>
        </w:rPr>
        <w:t>投标响应参数应与厂家的产品资料一致，不一致的以厂家资料为准。</w:t>
      </w:r>
    </w:p>
    <w:p w14:paraId="1D105F56">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4、</w:t>
      </w:r>
      <w:r>
        <w:rPr>
          <w:rFonts w:hint="eastAsia" w:ascii="楷体" w:hAnsi="楷体" w:eastAsia="楷体" w:cs="楷体"/>
          <w:sz w:val="24"/>
          <w:lang w:val="en-GB"/>
        </w:rPr>
        <w:t>本表内容不得擅自修改。</w:t>
      </w:r>
    </w:p>
    <w:p w14:paraId="40B1DE6C">
      <w:pPr>
        <w:adjustRightInd w:val="0"/>
        <w:snapToGrid w:val="0"/>
        <w:spacing w:before="72" w:after="72" w:line="300" w:lineRule="auto"/>
        <w:rPr>
          <w:rFonts w:ascii="楷体" w:hAnsi="楷体" w:eastAsia="楷体" w:cs="楷体"/>
          <w:sz w:val="24"/>
        </w:rPr>
      </w:pPr>
    </w:p>
    <w:p w14:paraId="44585DB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4AF521A3">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FDED7B1">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0E1458E6">
      <w:pPr>
        <w:pStyle w:val="2"/>
        <w:rPr>
          <w:rFonts w:ascii="楷体" w:hAnsi="楷体" w:eastAsia="楷体" w:cs="楷体"/>
          <w:sz w:val="24"/>
        </w:rPr>
      </w:pPr>
    </w:p>
    <w:p w14:paraId="42E0F778">
      <w:pPr>
        <w:pStyle w:val="3"/>
        <w:rPr>
          <w:rFonts w:ascii="楷体" w:hAnsi="楷体" w:eastAsia="楷体" w:cs="楷体"/>
          <w:sz w:val="24"/>
        </w:rPr>
      </w:pPr>
    </w:p>
    <w:p w14:paraId="42330133">
      <w:pPr>
        <w:pStyle w:val="3"/>
        <w:rPr>
          <w:rFonts w:ascii="楷体" w:hAnsi="楷体" w:eastAsia="楷体" w:cs="楷体"/>
          <w:sz w:val="24"/>
        </w:rPr>
      </w:pPr>
    </w:p>
    <w:p w14:paraId="0BD7A3E0">
      <w:pPr>
        <w:spacing w:before="72" w:after="72" w:line="400" w:lineRule="exact"/>
        <w:ind w:firstLine="3578" w:firstLineChars="1491"/>
        <w:rPr>
          <w:rFonts w:ascii="楷体" w:hAnsi="楷体" w:eastAsia="楷体" w:cs="楷体"/>
          <w:sz w:val="24"/>
        </w:rPr>
      </w:pPr>
      <w:bookmarkStart w:id="472" w:name="_Toc7616"/>
      <w:bookmarkStart w:id="473" w:name="_Toc15393"/>
      <w:bookmarkStart w:id="474" w:name="_Toc29584"/>
      <w:bookmarkStart w:id="475" w:name="_Toc423021973"/>
      <w:bookmarkStart w:id="476" w:name="_Toc30925"/>
      <w:bookmarkStart w:id="477" w:name="_Toc2235"/>
      <w:bookmarkStart w:id="478" w:name="_Toc381489443"/>
    </w:p>
    <w:p w14:paraId="199EF480">
      <w:pPr>
        <w:pStyle w:val="6"/>
        <w:numPr>
          <w:ilvl w:val="0"/>
          <w:numId w:val="68"/>
        </w:numPr>
        <w:jc w:val="left"/>
        <w:rPr>
          <w:rFonts w:ascii="楷体" w:hAnsi="楷体" w:eastAsia="楷体" w:cs="楷体"/>
          <w:sz w:val="28"/>
          <w:szCs w:val="28"/>
        </w:rPr>
      </w:pPr>
      <w:r>
        <w:rPr>
          <w:rFonts w:hint="eastAsia" w:ascii="楷体" w:hAnsi="楷体" w:eastAsia="楷体" w:cs="楷体"/>
          <w:sz w:val="28"/>
          <w:szCs w:val="28"/>
        </w:rPr>
        <w:t>项目负责人</w:t>
      </w:r>
    </w:p>
    <w:p w14:paraId="6322108C">
      <w:pPr>
        <w:tabs>
          <w:tab w:val="left" w:pos="720"/>
        </w:tabs>
        <w:jc w:val="center"/>
        <w:rPr>
          <w:rFonts w:ascii="楷体" w:hAnsi="楷体" w:eastAsia="楷体" w:cs="楷体"/>
          <w:sz w:val="24"/>
        </w:rPr>
      </w:pPr>
    </w:p>
    <w:p w14:paraId="4591447D">
      <w:pPr>
        <w:tabs>
          <w:tab w:val="left" w:pos="720"/>
        </w:tabs>
        <w:jc w:val="center"/>
        <w:rPr>
          <w:rFonts w:ascii="楷体" w:hAnsi="楷体" w:eastAsia="楷体" w:cs="楷体"/>
          <w:sz w:val="24"/>
        </w:rPr>
      </w:pPr>
    </w:p>
    <w:p w14:paraId="208455D3">
      <w:pPr>
        <w:tabs>
          <w:tab w:val="left" w:pos="720"/>
        </w:tabs>
        <w:jc w:val="center"/>
        <w:rPr>
          <w:rFonts w:ascii="楷体" w:hAnsi="楷体" w:eastAsia="楷体" w:cs="楷体"/>
          <w:sz w:val="24"/>
        </w:rPr>
      </w:pPr>
    </w:p>
    <w:p w14:paraId="55F1CA1C">
      <w:pPr>
        <w:adjustRightInd w:val="0"/>
        <w:snapToGrid w:val="0"/>
        <w:spacing w:before="72" w:after="72" w:line="480" w:lineRule="auto"/>
        <w:jc w:val="center"/>
        <w:rPr>
          <w:rFonts w:ascii="楷体" w:hAnsi="楷体" w:eastAsia="楷体" w:cs="楷体"/>
          <w:sz w:val="24"/>
        </w:rPr>
      </w:pPr>
      <w:r>
        <w:rPr>
          <w:rFonts w:hint="eastAsia" w:ascii="楷体" w:hAnsi="楷体" w:eastAsia="楷体" w:cs="楷体"/>
          <w:sz w:val="24"/>
        </w:rPr>
        <w:t>根据《商务评审表》要求提供相关证明材料。</w:t>
      </w:r>
    </w:p>
    <w:p w14:paraId="487C56E1">
      <w:pPr>
        <w:adjustRightInd w:val="0"/>
        <w:snapToGrid w:val="0"/>
        <w:spacing w:before="72" w:after="72" w:line="480" w:lineRule="auto"/>
        <w:ind w:firstLine="3578" w:firstLineChars="1491"/>
        <w:rPr>
          <w:rFonts w:ascii="楷体" w:hAnsi="楷体" w:eastAsia="楷体" w:cs="楷体"/>
          <w:sz w:val="24"/>
        </w:rPr>
      </w:pPr>
    </w:p>
    <w:p w14:paraId="11E47EBB">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55B171BF">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4301DBE9">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663CC2A8">
      <w:pPr>
        <w:spacing w:before="72" w:after="72" w:line="400" w:lineRule="exact"/>
        <w:ind w:firstLine="3578" w:firstLineChars="1491"/>
        <w:rPr>
          <w:rFonts w:ascii="楷体" w:hAnsi="楷体" w:eastAsia="楷体" w:cs="楷体"/>
          <w:sz w:val="24"/>
        </w:rPr>
      </w:pPr>
    </w:p>
    <w:p w14:paraId="6A5BA4AA">
      <w:pPr>
        <w:pStyle w:val="54"/>
        <w:ind w:firstLine="480"/>
        <w:rPr>
          <w:rFonts w:ascii="楷体" w:hAnsi="楷体" w:eastAsia="楷体" w:cs="楷体"/>
          <w:sz w:val="24"/>
        </w:rPr>
      </w:pPr>
    </w:p>
    <w:p w14:paraId="7A2F8B29">
      <w:pPr>
        <w:pStyle w:val="6"/>
        <w:numPr>
          <w:ilvl w:val="0"/>
          <w:numId w:val="68"/>
        </w:numPr>
        <w:jc w:val="left"/>
        <w:rPr>
          <w:rFonts w:ascii="楷体" w:hAnsi="楷体" w:eastAsia="楷体" w:cs="楷体"/>
          <w:sz w:val="28"/>
          <w:szCs w:val="28"/>
        </w:rPr>
      </w:pPr>
      <w:r>
        <w:rPr>
          <w:rFonts w:hint="eastAsia" w:ascii="楷体" w:hAnsi="楷体" w:eastAsia="楷体" w:cs="楷体"/>
          <w:sz w:val="28"/>
          <w:szCs w:val="28"/>
        </w:rPr>
        <w:t>拟投入服务人员（项目负责人除外）</w:t>
      </w:r>
    </w:p>
    <w:p w14:paraId="2300EB52">
      <w:pPr>
        <w:tabs>
          <w:tab w:val="left" w:pos="720"/>
        </w:tabs>
        <w:jc w:val="center"/>
        <w:rPr>
          <w:rFonts w:ascii="楷体" w:hAnsi="楷体" w:eastAsia="楷体" w:cs="楷体"/>
          <w:sz w:val="24"/>
        </w:rPr>
      </w:pPr>
    </w:p>
    <w:p w14:paraId="220F34E4">
      <w:pPr>
        <w:tabs>
          <w:tab w:val="left" w:pos="720"/>
        </w:tabs>
        <w:jc w:val="center"/>
        <w:rPr>
          <w:rFonts w:ascii="楷体" w:hAnsi="楷体" w:eastAsia="楷体" w:cs="楷体"/>
          <w:sz w:val="24"/>
        </w:rPr>
      </w:pPr>
    </w:p>
    <w:p w14:paraId="3BDA4740">
      <w:pPr>
        <w:tabs>
          <w:tab w:val="left" w:pos="720"/>
        </w:tabs>
        <w:jc w:val="center"/>
        <w:rPr>
          <w:rFonts w:ascii="楷体" w:hAnsi="楷体" w:eastAsia="楷体" w:cs="楷体"/>
          <w:sz w:val="24"/>
        </w:rPr>
      </w:pPr>
    </w:p>
    <w:p w14:paraId="4CE83CA1">
      <w:pPr>
        <w:adjustRightInd w:val="0"/>
        <w:snapToGrid w:val="0"/>
        <w:spacing w:before="72" w:after="72" w:line="480" w:lineRule="auto"/>
        <w:jc w:val="center"/>
        <w:rPr>
          <w:rFonts w:ascii="楷体" w:hAnsi="楷体" w:eastAsia="楷体" w:cs="楷体"/>
          <w:sz w:val="24"/>
        </w:rPr>
      </w:pPr>
      <w:r>
        <w:rPr>
          <w:rFonts w:hint="eastAsia" w:ascii="楷体" w:hAnsi="楷体" w:eastAsia="楷体" w:cs="楷体"/>
          <w:sz w:val="24"/>
        </w:rPr>
        <w:t>根据《商务评审表》要求提供相关证明材料。</w:t>
      </w:r>
    </w:p>
    <w:p w14:paraId="07F47BA1">
      <w:pPr>
        <w:adjustRightInd w:val="0"/>
        <w:snapToGrid w:val="0"/>
        <w:spacing w:before="72" w:after="72" w:line="480" w:lineRule="auto"/>
        <w:ind w:firstLine="3578" w:firstLineChars="1491"/>
        <w:rPr>
          <w:rFonts w:ascii="楷体" w:hAnsi="楷体" w:eastAsia="楷体" w:cs="楷体"/>
          <w:sz w:val="24"/>
        </w:rPr>
      </w:pPr>
    </w:p>
    <w:p w14:paraId="0880474A">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588865B6">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C89915B">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38DC021B"/>
    <w:p w14:paraId="2B9084DD">
      <w:pPr>
        <w:rPr>
          <w:rFonts w:ascii="楷体" w:hAnsi="楷体" w:eastAsia="楷体" w:cs="楷体"/>
          <w:sz w:val="28"/>
          <w:szCs w:val="28"/>
        </w:rPr>
      </w:pPr>
      <w:r>
        <w:rPr>
          <w:rFonts w:hint="eastAsia" w:ascii="楷体" w:hAnsi="楷体" w:eastAsia="楷体" w:cs="楷体"/>
          <w:sz w:val="28"/>
          <w:szCs w:val="28"/>
        </w:rPr>
        <w:br w:type="page"/>
      </w:r>
    </w:p>
    <w:p w14:paraId="2CC928B1">
      <w:pPr>
        <w:pStyle w:val="6"/>
        <w:numPr>
          <w:ilvl w:val="0"/>
          <w:numId w:val="68"/>
        </w:numPr>
        <w:jc w:val="left"/>
        <w:rPr>
          <w:rFonts w:ascii="楷体" w:hAnsi="楷体" w:eastAsia="楷体" w:cs="楷体"/>
          <w:sz w:val="28"/>
          <w:szCs w:val="28"/>
        </w:rPr>
      </w:pPr>
      <w:r>
        <w:rPr>
          <w:rFonts w:hint="eastAsia" w:ascii="楷体" w:hAnsi="楷体" w:eastAsia="楷体" w:cs="楷体"/>
          <w:sz w:val="28"/>
          <w:szCs w:val="28"/>
        </w:rPr>
        <w:t>投标人认为有必要的其他事项</w:t>
      </w:r>
    </w:p>
    <w:p w14:paraId="220704FB">
      <w:pPr>
        <w:tabs>
          <w:tab w:val="left" w:pos="720"/>
        </w:tabs>
        <w:jc w:val="center"/>
        <w:rPr>
          <w:rFonts w:ascii="楷体" w:hAnsi="楷体" w:eastAsia="楷体" w:cs="楷体"/>
          <w:sz w:val="24"/>
        </w:rPr>
      </w:pPr>
    </w:p>
    <w:p w14:paraId="2FD9236D">
      <w:pPr>
        <w:tabs>
          <w:tab w:val="left" w:pos="720"/>
        </w:tabs>
        <w:jc w:val="center"/>
        <w:rPr>
          <w:rFonts w:ascii="楷体" w:hAnsi="楷体" w:eastAsia="楷体" w:cs="楷体"/>
          <w:sz w:val="24"/>
        </w:rPr>
      </w:pPr>
    </w:p>
    <w:p w14:paraId="67A7983F">
      <w:pPr>
        <w:tabs>
          <w:tab w:val="left" w:pos="720"/>
        </w:tabs>
        <w:jc w:val="center"/>
        <w:rPr>
          <w:rFonts w:ascii="楷体" w:hAnsi="楷体" w:eastAsia="楷体" w:cs="楷体"/>
          <w:sz w:val="24"/>
        </w:rPr>
      </w:pPr>
    </w:p>
    <w:p w14:paraId="6ED583F5">
      <w:pPr>
        <w:adjustRightInd w:val="0"/>
        <w:snapToGrid w:val="0"/>
        <w:spacing w:before="72" w:after="72" w:line="480" w:lineRule="auto"/>
        <w:jc w:val="center"/>
        <w:rPr>
          <w:rFonts w:ascii="楷体" w:hAnsi="楷体" w:eastAsia="楷体" w:cs="楷体"/>
          <w:sz w:val="24"/>
        </w:rPr>
      </w:pPr>
      <w:r>
        <w:rPr>
          <w:rFonts w:hint="eastAsia" w:ascii="楷体" w:hAnsi="楷体" w:eastAsia="楷体" w:cs="楷体"/>
          <w:sz w:val="24"/>
        </w:rPr>
        <w:t>格式自拟</w:t>
      </w:r>
    </w:p>
    <w:p w14:paraId="2A390484">
      <w:pPr>
        <w:adjustRightInd w:val="0"/>
        <w:snapToGrid w:val="0"/>
        <w:spacing w:before="72" w:after="72" w:line="480" w:lineRule="auto"/>
        <w:ind w:firstLine="3578" w:firstLineChars="1491"/>
        <w:rPr>
          <w:rFonts w:ascii="楷体" w:hAnsi="楷体" w:eastAsia="楷体" w:cs="楷体"/>
          <w:sz w:val="24"/>
        </w:rPr>
      </w:pPr>
    </w:p>
    <w:p w14:paraId="3090E9AC">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03DB8DB3">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7D15E0DD">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77CFDBC5">
      <w:pPr>
        <w:pStyle w:val="54"/>
        <w:ind w:firstLine="480"/>
        <w:rPr>
          <w:rFonts w:ascii="楷体" w:hAnsi="楷体" w:eastAsia="楷体" w:cs="楷体"/>
          <w:sz w:val="24"/>
        </w:rPr>
      </w:pPr>
    </w:p>
    <w:p w14:paraId="0705D726">
      <w:pPr>
        <w:rPr>
          <w:rFonts w:ascii="楷体" w:hAnsi="楷体" w:eastAsia="楷体" w:cs="楷体"/>
          <w:sz w:val="44"/>
          <w:szCs w:val="44"/>
        </w:rPr>
      </w:pPr>
    </w:p>
    <w:p w14:paraId="46D09CAF">
      <w:pPr>
        <w:rPr>
          <w:rFonts w:ascii="楷体" w:hAnsi="楷体" w:eastAsia="楷体" w:cs="楷体"/>
          <w:sz w:val="44"/>
          <w:szCs w:val="44"/>
        </w:rPr>
      </w:pPr>
    </w:p>
    <w:p w14:paraId="62666DE8">
      <w:pPr>
        <w:rPr>
          <w:rFonts w:ascii="楷体" w:hAnsi="楷体" w:eastAsia="楷体" w:cs="楷体"/>
          <w:sz w:val="44"/>
          <w:szCs w:val="44"/>
        </w:rPr>
      </w:pPr>
    </w:p>
    <w:p w14:paraId="7E0A6F8C">
      <w:pPr>
        <w:rPr>
          <w:rFonts w:ascii="楷体" w:hAnsi="楷体" w:eastAsia="楷体" w:cs="楷体"/>
          <w:sz w:val="44"/>
          <w:szCs w:val="44"/>
        </w:rPr>
      </w:pPr>
    </w:p>
    <w:p w14:paraId="56595B02">
      <w:pPr>
        <w:pStyle w:val="5"/>
        <w:jc w:val="center"/>
        <w:rPr>
          <w:rFonts w:ascii="楷体" w:hAnsi="楷体" w:eastAsia="楷体" w:cs="楷体"/>
          <w:sz w:val="44"/>
          <w:szCs w:val="44"/>
        </w:rPr>
      </w:pPr>
      <w:bookmarkStart w:id="479" w:name="_Toc7856"/>
      <w:bookmarkStart w:id="480" w:name="_Toc3265"/>
    </w:p>
    <w:p w14:paraId="479A4B99">
      <w:pPr>
        <w:pStyle w:val="5"/>
        <w:jc w:val="center"/>
        <w:rPr>
          <w:rFonts w:ascii="楷体" w:hAnsi="楷体" w:eastAsia="楷体" w:cs="楷体"/>
          <w:sz w:val="44"/>
          <w:szCs w:val="44"/>
        </w:rPr>
      </w:pPr>
    </w:p>
    <w:p w14:paraId="2DF6E027">
      <w:pPr>
        <w:pStyle w:val="5"/>
        <w:jc w:val="center"/>
        <w:rPr>
          <w:rFonts w:ascii="楷体" w:hAnsi="楷体" w:eastAsia="楷体" w:cs="楷体"/>
          <w:sz w:val="44"/>
          <w:szCs w:val="44"/>
        </w:rPr>
      </w:pPr>
    </w:p>
    <w:p w14:paraId="08E8C27D">
      <w:pPr>
        <w:pStyle w:val="5"/>
        <w:jc w:val="center"/>
        <w:rPr>
          <w:rFonts w:ascii="楷体" w:hAnsi="楷体" w:eastAsia="楷体" w:cs="楷体"/>
          <w:sz w:val="44"/>
          <w:szCs w:val="44"/>
        </w:rPr>
      </w:pPr>
    </w:p>
    <w:p w14:paraId="34E22A7B">
      <w:pPr>
        <w:pStyle w:val="5"/>
        <w:jc w:val="center"/>
        <w:rPr>
          <w:rFonts w:ascii="楷体" w:hAnsi="楷体" w:eastAsia="楷体" w:cs="楷体"/>
          <w:sz w:val="44"/>
          <w:szCs w:val="44"/>
        </w:rPr>
      </w:pPr>
    </w:p>
    <w:p w14:paraId="72628526">
      <w:pPr>
        <w:pStyle w:val="5"/>
        <w:jc w:val="center"/>
        <w:rPr>
          <w:rFonts w:ascii="楷体" w:hAnsi="楷体" w:eastAsia="楷体" w:cs="楷体"/>
          <w:sz w:val="44"/>
          <w:szCs w:val="44"/>
        </w:rPr>
      </w:pPr>
      <w:r>
        <w:rPr>
          <w:rFonts w:hint="eastAsia" w:ascii="楷体" w:hAnsi="楷体" w:eastAsia="楷体" w:cs="楷体"/>
          <w:sz w:val="44"/>
          <w:szCs w:val="44"/>
        </w:rPr>
        <w:t>第四部分技术文件</w:t>
      </w:r>
      <w:bookmarkEnd w:id="472"/>
      <w:bookmarkEnd w:id="473"/>
      <w:bookmarkEnd w:id="474"/>
      <w:bookmarkEnd w:id="475"/>
      <w:bookmarkEnd w:id="476"/>
      <w:bookmarkEnd w:id="477"/>
      <w:bookmarkEnd w:id="478"/>
      <w:bookmarkEnd w:id="479"/>
      <w:bookmarkEnd w:id="480"/>
    </w:p>
    <w:p w14:paraId="46F5B1FB">
      <w:pPr>
        <w:rPr>
          <w:rFonts w:ascii="楷体" w:hAnsi="楷体" w:eastAsia="楷体" w:cs="楷体"/>
        </w:rPr>
      </w:pPr>
    </w:p>
    <w:p w14:paraId="2564611B">
      <w:pPr>
        <w:pStyle w:val="6"/>
        <w:jc w:val="center"/>
        <w:rPr>
          <w:rFonts w:ascii="楷体" w:hAnsi="楷体" w:eastAsia="楷体" w:cs="楷体"/>
        </w:rPr>
        <w:sectPr>
          <w:pgSz w:w="11906" w:h="16838"/>
          <w:pgMar w:top="1440" w:right="1800" w:bottom="1440" w:left="1800" w:header="851" w:footer="822" w:gutter="0"/>
          <w:cols w:space="720" w:num="1"/>
          <w:docGrid w:linePitch="312" w:charSpace="0"/>
        </w:sectPr>
      </w:pPr>
      <w:bookmarkStart w:id="481" w:name="_Toc423021974"/>
      <w:bookmarkStart w:id="482" w:name="_Toc381489444"/>
    </w:p>
    <w:bookmarkEnd w:id="481"/>
    <w:bookmarkEnd w:id="482"/>
    <w:p w14:paraId="72552879">
      <w:pPr>
        <w:pStyle w:val="6"/>
        <w:numPr>
          <w:ilvl w:val="0"/>
          <w:numId w:val="75"/>
        </w:numPr>
        <w:jc w:val="center"/>
        <w:rPr>
          <w:rFonts w:ascii="楷体" w:hAnsi="楷体" w:eastAsia="楷体" w:cs="楷体"/>
        </w:rPr>
      </w:pPr>
      <w:bookmarkStart w:id="483" w:name="_Toc499"/>
      <w:bookmarkStart w:id="484" w:name="_Toc31645"/>
      <w:bookmarkStart w:id="485" w:name="_Toc16310"/>
      <w:bookmarkStart w:id="486" w:name="_Toc6686"/>
      <w:bookmarkStart w:id="487" w:name="_Toc12264"/>
      <w:bookmarkStart w:id="488" w:name="_Toc21917"/>
      <w:r>
        <w:rPr>
          <w:rFonts w:hint="eastAsia" w:ascii="楷体" w:hAnsi="楷体" w:eastAsia="楷体" w:cs="楷体"/>
        </w:rPr>
        <w:t>组织实施方案</w:t>
      </w:r>
      <w:bookmarkEnd w:id="483"/>
      <w:bookmarkEnd w:id="484"/>
      <w:bookmarkEnd w:id="485"/>
      <w:bookmarkEnd w:id="486"/>
      <w:bookmarkEnd w:id="487"/>
      <w:bookmarkEnd w:id="488"/>
    </w:p>
    <w:p w14:paraId="57FB2F2E">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投标人应按招标文件要求的内容和顺序，对完成整个项目提出相应的实施方案。对含糊不清或欠具体明确之处，评标委员会可视为投标人履约能力不足或响应不全处理。组织实施方案的内容应包括：</w:t>
      </w:r>
    </w:p>
    <w:p w14:paraId="188898AC">
      <w:pPr>
        <w:numPr>
          <w:ilvl w:val="0"/>
          <w:numId w:val="76"/>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绿化养护服务方案；</w:t>
      </w:r>
    </w:p>
    <w:p w14:paraId="2C636023">
      <w:pPr>
        <w:numPr>
          <w:ilvl w:val="0"/>
          <w:numId w:val="76"/>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保洁服务方案；</w:t>
      </w:r>
    </w:p>
    <w:p w14:paraId="1924B62E">
      <w:pPr>
        <w:numPr>
          <w:ilvl w:val="0"/>
          <w:numId w:val="76"/>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人员培训和管理方案；</w:t>
      </w:r>
    </w:p>
    <w:p w14:paraId="348C8E03">
      <w:pPr>
        <w:numPr>
          <w:ilvl w:val="0"/>
          <w:numId w:val="76"/>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应急处置方案；</w:t>
      </w:r>
    </w:p>
    <w:p w14:paraId="1104F6DC">
      <w:pPr>
        <w:numPr>
          <w:ilvl w:val="0"/>
          <w:numId w:val="76"/>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投标人认为有必要的其他事项。</w:t>
      </w:r>
    </w:p>
    <w:p w14:paraId="0565C6FD">
      <w:pPr>
        <w:tabs>
          <w:tab w:val="left" w:pos="840"/>
        </w:tabs>
        <w:spacing w:line="360" w:lineRule="auto"/>
        <w:ind w:left="400"/>
        <w:rPr>
          <w:rFonts w:ascii="楷体" w:hAnsi="楷体" w:eastAsia="楷体" w:cs="楷体"/>
          <w:sz w:val="24"/>
          <w:lang w:val="en-GB"/>
        </w:rPr>
      </w:pPr>
    </w:p>
    <w:p w14:paraId="22090399">
      <w:pPr>
        <w:adjustRightInd w:val="0"/>
        <w:snapToGrid w:val="0"/>
        <w:spacing w:line="300" w:lineRule="auto"/>
        <w:rPr>
          <w:rFonts w:ascii="楷体" w:hAnsi="楷体" w:eastAsia="楷体" w:cs="楷体"/>
          <w:szCs w:val="21"/>
        </w:rPr>
      </w:pPr>
    </w:p>
    <w:p w14:paraId="45D84B43">
      <w:pPr>
        <w:adjustRightInd w:val="0"/>
        <w:snapToGrid w:val="0"/>
        <w:spacing w:line="300" w:lineRule="auto"/>
        <w:rPr>
          <w:rFonts w:ascii="楷体" w:hAnsi="楷体" w:eastAsia="楷体" w:cs="楷体"/>
          <w:szCs w:val="21"/>
        </w:rPr>
      </w:pPr>
      <w:r>
        <w:rPr>
          <w:rFonts w:hint="eastAsia" w:ascii="楷体" w:hAnsi="楷体" w:eastAsia="楷体" w:cs="楷体"/>
          <w:kern w:val="0"/>
          <w:sz w:val="24"/>
        </w:rPr>
        <w:t>按《技术评审表》要求提供。</w:t>
      </w:r>
    </w:p>
    <w:p w14:paraId="1BE2BE0D">
      <w:pPr>
        <w:adjustRightInd w:val="0"/>
        <w:snapToGrid w:val="0"/>
        <w:spacing w:line="300" w:lineRule="auto"/>
        <w:rPr>
          <w:rFonts w:ascii="楷体" w:hAnsi="楷体" w:eastAsia="楷体" w:cs="楷体"/>
          <w:szCs w:val="21"/>
        </w:rPr>
      </w:pPr>
    </w:p>
    <w:p w14:paraId="1BE52D20">
      <w:pPr>
        <w:pStyle w:val="72"/>
        <w:rPr>
          <w:rFonts w:ascii="楷体" w:hAnsi="楷体" w:eastAsia="楷体" w:cs="楷体"/>
        </w:rPr>
      </w:pPr>
    </w:p>
    <w:p w14:paraId="6330D9CF">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38E4EC30">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0A18AF0C">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5FDFBDA4">
      <w:pPr>
        <w:widowControl/>
        <w:jc w:val="left"/>
        <w:rPr>
          <w:rFonts w:ascii="楷体" w:hAnsi="楷体" w:eastAsia="楷体" w:cs="楷体"/>
          <w:sz w:val="24"/>
        </w:rPr>
      </w:pPr>
      <w:r>
        <w:rPr>
          <w:rFonts w:hint="eastAsia" w:ascii="楷体" w:hAnsi="楷体" w:eastAsia="楷体" w:cs="楷体"/>
          <w:sz w:val="24"/>
        </w:rPr>
        <w:br w:type="page"/>
      </w:r>
    </w:p>
    <w:p w14:paraId="742BCE34">
      <w:pPr>
        <w:spacing w:before="72" w:after="72" w:line="400" w:lineRule="exact"/>
        <w:rPr>
          <w:rFonts w:ascii="楷体" w:hAnsi="楷体" w:eastAsia="楷体" w:cs="楷体"/>
        </w:rPr>
      </w:pPr>
    </w:p>
    <w:p w14:paraId="6013F131">
      <w:pPr>
        <w:spacing w:before="72" w:after="72" w:line="400" w:lineRule="exact"/>
        <w:rPr>
          <w:rFonts w:ascii="楷体" w:hAnsi="楷体" w:eastAsia="楷体" w:cs="楷体"/>
        </w:rPr>
      </w:pPr>
    </w:p>
    <w:p w14:paraId="1F532FF1">
      <w:pPr>
        <w:spacing w:before="72" w:after="72" w:line="400" w:lineRule="exact"/>
        <w:rPr>
          <w:rFonts w:ascii="楷体" w:hAnsi="楷体" w:eastAsia="楷体" w:cs="楷体"/>
        </w:rPr>
      </w:pPr>
    </w:p>
    <w:p w14:paraId="17B7579F">
      <w:pPr>
        <w:spacing w:before="72" w:after="72" w:line="400" w:lineRule="exact"/>
        <w:rPr>
          <w:rFonts w:ascii="楷体" w:hAnsi="楷体" w:eastAsia="楷体" w:cs="楷体"/>
        </w:rPr>
      </w:pPr>
    </w:p>
    <w:p w14:paraId="3501F83D">
      <w:pPr>
        <w:pStyle w:val="5"/>
        <w:adjustRightInd w:val="0"/>
        <w:snapToGrid w:val="0"/>
        <w:spacing w:before="3600" w:beforeLines="1500" w:after="3600" w:afterLines="1500" w:line="240" w:lineRule="auto"/>
        <w:jc w:val="center"/>
        <w:rPr>
          <w:rFonts w:ascii="楷体" w:hAnsi="楷体" w:eastAsia="楷体" w:cs="楷体"/>
          <w:sz w:val="44"/>
          <w:szCs w:val="44"/>
        </w:rPr>
      </w:pPr>
      <w:bookmarkStart w:id="489" w:name="_Toc24669"/>
      <w:bookmarkStart w:id="490" w:name="_Toc13665"/>
      <w:bookmarkStart w:id="491" w:name="_Toc22463"/>
      <w:bookmarkStart w:id="492" w:name="_Toc381489454"/>
      <w:bookmarkStart w:id="493" w:name="_Toc31044"/>
      <w:bookmarkStart w:id="494" w:name="_Toc423021980"/>
      <w:bookmarkStart w:id="495" w:name="_Toc31491"/>
      <w:bookmarkStart w:id="496" w:name="_Toc11275"/>
      <w:bookmarkStart w:id="497" w:name="_Toc483642784"/>
      <w:r>
        <w:rPr>
          <w:rFonts w:hint="eastAsia" w:ascii="楷体" w:hAnsi="楷体" w:eastAsia="楷体" w:cs="楷体"/>
          <w:sz w:val="44"/>
          <w:szCs w:val="44"/>
        </w:rPr>
        <w:t>第五部分报价文件</w:t>
      </w:r>
      <w:bookmarkEnd w:id="489"/>
      <w:bookmarkEnd w:id="490"/>
      <w:bookmarkEnd w:id="491"/>
      <w:bookmarkEnd w:id="492"/>
      <w:bookmarkEnd w:id="493"/>
      <w:bookmarkEnd w:id="494"/>
      <w:bookmarkEnd w:id="495"/>
      <w:bookmarkEnd w:id="496"/>
      <w:bookmarkEnd w:id="497"/>
    </w:p>
    <w:p w14:paraId="7A406EC4">
      <w:pPr>
        <w:pStyle w:val="80"/>
        <w:snapToGrid w:val="0"/>
        <w:spacing w:before="3600" w:beforeLines="1500" w:after="3600" w:afterLines="1500" w:line="240" w:lineRule="auto"/>
        <w:rPr>
          <w:rFonts w:ascii="楷体" w:hAnsi="楷体" w:eastAsia="楷体" w:cs="楷体"/>
          <w:b/>
          <w:kern w:val="2"/>
          <w:szCs w:val="32"/>
        </w:rPr>
        <w:sectPr>
          <w:pgSz w:w="11906" w:h="16838"/>
          <w:pgMar w:top="1440" w:right="1800" w:bottom="1440" w:left="1800" w:header="851" w:footer="822" w:gutter="0"/>
          <w:cols w:space="720" w:num="1"/>
          <w:docGrid w:linePitch="312" w:charSpace="0"/>
        </w:sectPr>
      </w:pPr>
      <w:bookmarkStart w:id="498" w:name="_Toc196294652"/>
      <w:bookmarkStart w:id="499" w:name="_Toc196109463"/>
      <w:bookmarkStart w:id="500" w:name="_Toc423021981"/>
      <w:bookmarkStart w:id="501" w:name="_Toc381489455"/>
      <w:bookmarkStart w:id="502" w:name="_Toc196109464"/>
      <w:bookmarkStart w:id="503" w:name="_Toc196294653"/>
    </w:p>
    <w:bookmarkEnd w:id="498"/>
    <w:bookmarkEnd w:id="499"/>
    <w:bookmarkEnd w:id="500"/>
    <w:bookmarkEnd w:id="501"/>
    <w:p w14:paraId="160FAF8F">
      <w:pPr>
        <w:pStyle w:val="6"/>
        <w:numPr>
          <w:ilvl w:val="0"/>
          <w:numId w:val="77"/>
        </w:numPr>
        <w:jc w:val="center"/>
        <w:rPr>
          <w:rFonts w:ascii="楷体" w:hAnsi="楷体" w:eastAsia="楷体" w:cs="楷体"/>
        </w:rPr>
      </w:pPr>
      <w:bookmarkStart w:id="504" w:name="_Toc24849"/>
      <w:bookmarkStart w:id="505" w:name="_Toc15464"/>
      <w:bookmarkStart w:id="506" w:name="_Toc24691"/>
      <w:bookmarkStart w:id="507" w:name="_Toc483642785"/>
      <w:bookmarkStart w:id="508" w:name="_Toc2165"/>
      <w:bookmarkStart w:id="509" w:name="_Toc11257"/>
      <w:r>
        <w:rPr>
          <w:rFonts w:hint="eastAsia" w:ascii="楷体" w:hAnsi="楷体" w:eastAsia="楷体" w:cs="楷体"/>
        </w:rPr>
        <w:t>开标一览表</w:t>
      </w:r>
      <w:bookmarkEnd w:id="504"/>
      <w:bookmarkEnd w:id="505"/>
      <w:bookmarkEnd w:id="506"/>
      <w:bookmarkEnd w:id="507"/>
      <w:bookmarkEnd w:id="508"/>
      <w:bookmarkEnd w:id="509"/>
    </w:p>
    <w:p w14:paraId="2911C94B">
      <w:pPr>
        <w:spacing w:before="72" w:after="72" w:line="360" w:lineRule="auto"/>
        <w:rPr>
          <w:rFonts w:ascii="楷体" w:hAnsi="楷体" w:eastAsia="楷体" w:cs="楷体"/>
          <w:sz w:val="24"/>
        </w:rPr>
      </w:pPr>
      <w:r>
        <w:rPr>
          <w:rFonts w:hint="eastAsia" w:ascii="楷体" w:hAnsi="楷体" w:eastAsia="楷体" w:cs="楷体"/>
          <w:sz w:val="24"/>
        </w:rPr>
        <w:t>项目名称：广东烟草梅州市有限公司丰顺县分公司绿化种植及养护、保洁项目</w:t>
      </w:r>
    </w:p>
    <w:p w14:paraId="09958740">
      <w:pPr>
        <w:spacing w:before="72" w:after="72" w:line="360" w:lineRule="auto"/>
        <w:rPr>
          <w:rFonts w:ascii="楷体" w:hAnsi="楷体" w:eastAsia="楷体" w:cs="楷体"/>
          <w:sz w:val="24"/>
        </w:rPr>
      </w:pPr>
      <w:r>
        <w:rPr>
          <w:rFonts w:hint="eastAsia" w:ascii="楷体" w:hAnsi="楷体" w:eastAsia="楷体" w:cs="楷体"/>
          <w:sz w:val="24"/>
        </w:rPr>
        <w:t>项目编号：DXZB-2025GPA0194</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976"/>
        <w:gridCol w:w="2569"/>
      </w:tblGrid>
      <w:tr w14:paraId="2AE3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745" w:type="pct"/>
            <w:shd w:val="clear" w:color="auto" w:fill="EEECE1"/>
            <w:vAlign w:val="center"/>
          </w:tcPr>
          <w:p w14:paraId="6A6B426E">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服务内容</w:t>
            </w:r>
          </w:p>
        </w:tc>
        <w:tc>
          <w:tcPr>
            <w:tcW w:w="1746" w:type="pct"/>
            <w:shd w:val="clear" w:color="auto" w:fill="EEECE1"/>
            <w:vAlign w:val="center"/>
          </w:tcPr>
          <w:p w14:paraId="2EBB5864">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投标报价（人民币/元）</w:t>
            </w:r>
          </w:p>
        </w:tc>
        <w:tc>
          <w:tcPr>
            <w:tcW w:w="1507" w:type="pct"/>
            <w:shd w:val="clear" w:color="auto" w:fill="EEECE1"/>
            <w:vAlign w:val="center"/>
          </w:tcPr>
          <w:p w14:paraId="2EF8750A">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服务期</w:t>
            </w:r>
          </w:p>
        </w:tc>
      </w:tr>
      <w:tr w14:paraId="5B37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745" w:type="pct"/>
            <w:vAlign w:val="center"/>
          </w:tcPr>
          <w:p w14:paraId="3690B024">
            <w:pPr>
              <w:adjustRightInd w:val="0"/>
              <w:snapToGrid w:val="0"/>
              <w:spacing w:line="320" w:lineRule="exact"/>
              <w:ind w:right="149" w:rightChars="71"/>
              <w:jc w:val="center"/>
              <w:rPr>
                <w:rFonts w:ascii="楷体" w:hAnsi="楷体" w:eastAsia="楷体" w:cs="楷体"/>
                <w:sz w:val="24"/>
              </w:rPr>
            </w:pPr>
            <w:r>
              <w:rPr>
                <w:rFonts w:hint="eastAsia" w:ascii="楷体" w:hAnsi="楷体" w:eastAsia="楷体" w:cs="楷体"/>
                <w:sz w:val="24"/>
              </w:rPr>
              <w:t>绿化养护及卫生保洁服务</w:t>
            </w:r>
          </w:p>
        </w:tc>
        <w:tc>
          <w:tcPr>
            <w:tcW w:w="1746" w:type="pct"/>
            <w:vAlign w:val="center"/>
          </w:tcPr>
          <w:p w14:paraId="1DF7CB30">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（小写）</w:t>
            </w:r>
          </w:p>
          <w:p w14:paraId="7C6C39AC">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（大写）</w:t>
            </w:r>
          </w:p>
        </w:tc>
        <w:tc>
          <w:tcPr>
            <w:tcW w:w="1507" w:type="pct"/>
            <w:vMerge w:val="restart"/>
            <w:vAlign w:val="center"/>
          </w:tcPr>
          <w:p w14:paraId="33338089">
            <w:pPr>
              <w:adjustRightInd w:val="0"/>
              <w:snapToGrid w:val="0"/>
              <w:spacing w:line="320" w:lineRule="exact"/>
              <w:jc w:val="center"/>
              <w:rPr>
                <w:rFonts w:ascii="楷体" w:hAnsi="楷体" w:eastAsia="楷体" w:cs="楷体"/>
                <w:sz w:val="24"/>
              </w:rPr>
            </w:pPr>
            <w:r>
              <w:rPr>
                <w:rFonts w:hint="eastAsia" w:ascii="楷体" w:hAnsi="楷体" w:eastAsia="楷体" w:cs="楷体"/>
                <w:sz w:val="24"/>
              </w:rPr>
              <w:t xml:space="preserve"> 合同签订之日起三年</w:t>
            </w:r>
          </w:p>
        </w:tc>
      </w:tr>
      <w:tr w14:paraId="72B0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745" w:type="pct"/>
            <w:vAlign w:val="center"/>
          </w:tcPr>
          <w:p w14:paraId="18F939F9">
            <w:pPr>
              <w:adjustRightInd w:val="0"/>
              <w:snapToGrid w:val="0"/>
              <w:spacing w:line="320" w:lineRule="exact"/>
              <w:ind w:right="149" w:rightChars="71"/>
              <w:jc w:val="center"/>
              <w:rPr>
                <w:rFonts w:ascii="楷体" w:hAnsi="楷体" w:eastAsia="楷体" w:cs="楷体"/>
                <w:sz w:val="24"/>
              </w:rPr>
            </w:pPr>
            <w:r>
              <w:rPr>
                <w:rFonts w:hint="eastAsia" w:ascii="楷体" w:hAnsi="楷体" w:eastAsia="楷体" w:cs="楷体"/>
                <w:sz w:val="24"/>
              </w:rPr>
              <w:t>新增绿化种植、局部绿化补种服务</w:t>
            </w:r>
          </w:p>
        </w:tc>
        <w:tc>
          <w:tcPr>
            <w:tcW w:w="1746" w:type="pct"/>
            <w:vAlign w:val="center"/>
          </w:tcPr>
          <w:p w14:paraId="7E709D31">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（小写）</w:t>
            </w:r>
          </w:p>
          <w:p w14:paraId="59D23744">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（大写）</w:t>
            </w:r>
          </w:p>
        </w:tc>
        <w:tc>
          <w:tcPr>
            <w:tcW w:w="1507" w:type="pct"/>
            <w:vMerge w:val="continue"/>
            <w:vAlign w:val="center"/>
          </w:tcPr>
          <w:p w14:paraId="7C29B639">
            <w:pPr>
              <w:adjustRightInd w:val="0"/>
              <w:snapToGrid w:val="0"/>
              <w:spacing w:line="320" w:lineRule="exact"/>
              <w:jc w:val="center"/>
              <w:rPr>
                <w:rFonts w:ascii="楷体" w:hAnsi="楷体" w:eastAsia="楷体" w:cs="楷体"/>
                <w:sz w:val="24"/>
              </w:rPr>
            </w:pPr>
          </w:p>
        </w:tc>
      </w:tr>
    </w:tbl>
    <w:p w14:paraId="09D68D92">
      <w:pPr>
        <w:spacing w:line="360" w:lineRule="auto"/>
        <w:rPr>
          <w:rFonts w:ascii="楷体" w:hAnsi="楷体" w:eastAsia="楷体" w:cs="楷体"/>
          <w:sz w:val="24"/>
        </w:rPr>
      </w:pPr>
    </w:p>
    <w:p w14:paraId="2BBA8F25">
      <w:pPr>
        <w:spacing w:line="360" w:lineRule="auto"/>
        <w:rPr>
          <w:rFonts w:ascii="楷体" w:hAnsi="楷体" w:eastAsia="楷体" w:cs="楷体"/>
          <w:sz w:val="24"/>
        </w:rPr>
      </w:pPr>
      <w:r>
        <w:rPr>
          <w:rFonts w:hint="eastAsia" w:ascii="楷体" w:hAnsi="楷体" w:eastAsia="楷体" w:cs="楷体"/>
          <w:sz w:val="24"/>
        </w:rPr>
        <w:t>注：</w:t>
      </w:r>
    </w:p>
    <w:p w14:paraId="2D8825B2">
      <w:pPr>
        <w:numPr>
          <w:ilvl w:val="0"/>
          <w:numId w:val="78"/>
        </w:numPr>
        <w:adjustRightInd w:val="0"/>
        <w:snapToGrid w:val="0"/>
        <w:spacing w:line="360" w:lineRule="auto"/>
        <w:rPr>
          <w:rFonts w:ascii="楷体" w:hAnsi="楷体" w:eastAsia="楷体" w:cs="楷体"/>
          <w:sz w:val="24"/>
        </w:rPr>
      </w:pPr>
      <w:r>
        <w:rPr>
          <w:rFonts w:hint="eastAsia" w:ascii="楷体" w:hAnsi="楷体" w:eastAsia="楷体" w:cs="楷体"/>
          <w:sz w:val="24"/>
        </w:rPr>
        <w:t>投标人须按要求填写所有信息（留有空白处默认为响应招标文件要求），不得随意更改本表格式。</w:t>
      </w:r>
    </w:p>
    <w:p w14:paraId="4B0966A1">
      <w:pPr>
        <w:numPr>
          <w:ilvl w:val="0"/>
          <w:numId w:val="78"/>
        </w:numPr>
        <w:adjustRightInd w:val="0"/>
        <w:snapToGrid w:val="0"/>
        <w:spacing w:line="360" w:lineRule="auto"/>
        <w:rPr>
          <w:rFonts w:ascii="楷体" w:hAnsi="楷体" w:eastAsia="楷体" w:cs="楷体"/>
          <w:sz w:val="24"/>
        </w:rPr>
      </w:pPr>
      <w:r>
        <w:rPr>
          <w:rFonts w:hint="eastAsia" w:ascii="楷体" w:hAnsi="楷体" w:eastAsia="楷体" w:cs="楷体"/>
          <w:b/>
          <w:bCs/>
          <w:sz w:val="24"/>
        </w:rPr>
        <w:t>绿化养护及卫生保洁服务单价最高限价11万元/年，新增绿化种植、局部绿化补种服务最高单价限价4万元</w:t>
      </w:r>
      <w:r>
        <w:rPr>
          <w:rFonts w:hint="eastAsia" w:ascii="楷体" w:hAnsi="楷体" w:eastAsia="楷体" w:cs="楷体"/>
          <w:sz w:val="24"/>
        </w:rPr>
        <w:t>，报价超过单价最高限价，视为无效报价。</w:t>
      </w:r>
    </w:p>
    <w:p w14:paraId="511F9AFC">
      <w:pPr>
        <w:numPr>
          <w:ilvl w:val="0"/>
          <w:numId w:val="78"/>
        </w:numPr>
        <w:adjustRightInd w:val="0"/>
        <w:snapToGrid w:val="0"/>
        <w:spacing w:line="360" w:lineRule="auto"/>
        <w:rPr>
          <w:rFonts w:ascii="楷体" w:hAnsi="楷体" w:eastAsia="楷体" w:cs="楷体"/>
          <w:sz w:val="24"/>
        </w:rPr>
      </w:pPr>
      <w:r>
        <w:rPr>
          <w:rFonts w:hint="eastAsia" w:ascii="楷体" w:hAnsi="楷体" w:eastAsia="楷体" w:cs="楷体"/>
          <w:sz w:val="24"/>
        </w:rPr>
        <w:t>所有价格均应以人民币报价，金额单位为元。</w:t>
      </w:r>
    </w:p>
    <w:p w14:paraId="44E42A03">
      <w:pPr>
        <w:numPr>
          <w:ilvl w:val="0"/>
          <w:numId w:val="78"/>
        </w:numPr>
        <w:adjustRightInd w:val="0"/>
        <w:snapToGrid w:val="0"/>
        <w:spacing w:line="360" w:lineRule="auto"/>
        <w:rPr>
          <w:rFonts w:ascii="楷体" w:hAnsi="楷体" w:eastAsia="楷体" w:cs="楷体"/>
          <w:sz w:val="24"/>
        </w:rPr>
      </w:pPr>
      <w:r>
        <w:rPr>
          <w:rFonts w:hint="eastAsia" w:ascii="楷体" w:hAnsi="楷体" w:eastAsia="楷体" w:cs="楷体"/>
          <w:sz w:val="24"/>
        </w:rPr>
        <w:t>此表是投标文件的必要文件，是投标文件的组成部分，还应另附一份并与优惠声明（若有）封装在唱标信封中，作为统计之用。</w:t>
      </w:r>
    </w:p>
    <w:p w14:paraId="2DE97EE8">
      <w:pPr>
        <w:spacing w:before="72" w:after="72" w:line="360" w:lineRule="auto"/>
        <w:rPr>
          <w:rFonts w:ascii="楷体" w:hAnsi="楷体" w:eastAsia="楷体" w:cs="楷体"/>
          <w:sz w:val="24"/>
        </w:rPr>
      </w:pPr>
    </w:p>
    <w:p w14:paraId="15BA1563">
      <w:pPr>
        <w:pStyle w:val="18"/>
        <w:rPr>
          <w:rFonts w:ascii="楷体" w:hAnsi="楷体" w:eastAsia="楷体" w:cs="楷体"/>
        </w:rPr>
      </w:pPr>
    </w:p>
    <w:p w14:paraId="429700EF">
      <w:pPr>
        <w:adjustRightInd w:val="0"/>
        <w:snapToGrid w:val="0"/>
        <w:spacing w:before="72" w:after="72" w:line="480" w:lineRule="auto"/>
        <w:ind w:firstLine="3578" w:firstLineChars="1491"/>
        <w:rPr>
          <w:rFonts w:ascii="楷体" w:hAnsi="楷体" w:eastAsia="楷体" w:cs="楷体"/>
          <w:sz w:val="24"/>
          <w:u w:val="single"/>
        </w:rPr>
      </w:pPr>
      <w:bookmarkStart w:id="510" w:name="_Toc381489457"/>
      <w:r>
        <w:rPr>
          <w:rFonts w:hint="eastAsia" w:ascii="楷体" w:hAnsi="楷体" w:eastAsia="楷体" w:cs="楷体"/>
          <w:sz w:val="24"/>
        </w:rPr>
        <w:t>投标人名称（加盖公章）：</w:t>
      </w:r>
    </w:p>
    <w:p w14:paraId="5ADFB413">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1F5F5A9">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bookmarkEnd w:id="502"/>
    <w:bookmarkEnd w:id="503"/>
    <w:bookmarkEnd w:id="510"/>
    <w:p w14:paraId="5BDA6A47">
      <w:pPr>
        <w:pStyle w:val="6"/>
        <w:numPr>
          <w:ilvl w:val="0"/>
          <w:numId w:val="77"/>
        </w:numPr>
        <w:jc w:val="center"/>
        <w:rPr>
          <w:rFonts w:ascii="楷体" w:hAnsi="楷体" w:eastAsia="楷体" w:cs="楷体"/>
        </w:rPr>
      </w:pPr>
      <w:bookmarkStart w:id="511" w:name="_Toc18762"/>
      <w:bookmarkStart w:id="512" w:name="_Toc15647"/>
      <w:bookmarkStart w:id="513" w:name="_Toc17488"/>
      <w:bookmarkStart w:id="514" w:name="_Toc483642786"/>
      <w:bookmarkStart w:id="515" w:name="_Toc3122"/>
      <w:bookmarkStart w:id="516" w:name="_Toc19453"/>
      <w:r>
        <w:rPr>
          <w:rFonts w:hint="eastAsia" w:ascii="楷体" w:hAnsi="楷体" w:eastAsia="楷体" w:cs="楷体"/>
        </w:rPr>
        <w:t>投标明细报价表</w:t>
      </w:r>
      <w:bookmarkEnd w:id="511"/>
      <w:bookmarkEnd w:id="512"/>
      <w:bookmarkEnd w:id="513"/>
      <w:bookmarkEnd w:id="514"/>
      <w:bookmarkEnd w:id="515"/>
      <w:bookmarkEnd w:id="516"/>
      <w:r>
        <w:rPr>
          <w:rFonts w:hint="eastAsia" w:ascii="楷体" w:hAnsi="楷体" w:eastAsia="楷体" w:cs="楷体"/>
        </w:rPr>
        <w:t>（如有）</w:t>
      </w:r>
    </w:p>
    <w:p w14:paraId="5E6504A0">
      <w:pPr>
        <w:spacing w:before="72" w:after="72" w:line="360" w:lineRule="auto"/>
        <w:rPr>
          <w:rFonts w:ascii="楷体" w:hAnsi="楷体" w:eastAsia="楷体" w:cs="楷体"/>
          <w:sz w:val="24"/>
        </w:rPr>
      </w:pPr>
      <w:r>
        <w:rPr>
          <w:rFonts w:hint="eastAsia" w:ascii="楷体" w:hAnsi="楷体" w:eastAsia="楷体" w:cs="楷体"/>
          <w:sz w:val="24"/>
        </w:rPr>
        <w:t>项目名称：广东烟草梅州市有限公司丰顺县分公司绿化种植及养护、保洁项目</w:t>
      </w:r>
    </w:p>
    <w:p w14:paraId="3CE386DA">
      <w:pPr>
        <w:spacing w:before="72" w:after="72" w:line="360" w:lineRule="auto"/>
        <w:rPr>
          <w:rFonts w:ascii="楷体" w:hAnsi="楷体" w:eastAsia="楷体" w:cs="楷体"/>
          <w:sz w:val="24"/>
        </w:rPr>
      </w:pPr>
      <w:r>
        <w:rPr>
          <w:rFonts w:hint="eastAsia" w:ascii="楷体" w:hAnsi="楷体" w:eastAsia="楷体" w:cs="楷体"/>
          <w:sz w:val="24"/>
        </w:rPr>
        <w:t>项目编号：DXZB-2025GPA0194</w:t>
      </w:r>
    </w:p>
    <w:p w14:paraId="4EAC87B8">
      <w:pPr>
        <w:spacing w:line="360" w:lineRule="auto"/>
        <w:rPr>
          <w:rFonts w:ascii="楷体" w:hAnsi="楷体" w:eastAsia="楷体" w:cs="楷体"/>
          <w:sz w:val="24"/>
        </w:rPr>
      </w:pPr>
    </w:p>
    <w:p w14:paraId="096F5111">
      <w:pPr>
        <w:pStyle w:val="2"/>
        <w:ind w:firstLine="0"/>
        <w:rPr>
          <w:rFonts w:ascii="楷体" w:hAnsi="楷体" w:eastAsia="楷体" w:cs="楷体"/>
          <w:color w:val="auto"/>
        </w:rPr>
      </w:pPr>
    </w:p>
    <w:p w14:paraId="51BD1510">
      <w:pPr>
        <w:pStyle w:val="3"/>
        <w:rPr>
          <w:rFonts w:ascii="楷体" w:hAnsi="楷体" w:eastAsia="楷体" w:cs="楷体"/>
        </w:rPr>
      </w:pPr>
    </w:p>
    <w:p w14:paraId="15F91BED">
      <w:pPr>
        <w:pStyle w:val="3"/>
        <w:rPr>
          <w:rFonts w:ascii="楷体" w:hAnsi="楷体" w:eastAsia="楷体" w:cs="楷体"/>
        </w:rPr>
      </w:pPr>
    </w:p>
    <w:p w14:paraId="710ED38F">
      <w:pPr>
        <w:pStyle w:val="3"/>
      </w:pPr>
    </w:p>
    <w:p w14:paraId="53926EFF">
      <w:pPr>
        <w:adjustRightInd w:val="0"/>
        <w:snapToGrid w:val="0"/>
        <w:spacing w:line="360" w:lineRule="auto"/>
        <w:jc w:val="center"/>
        <w:rPr>
          <w:rFonts w:ascii="楷体" w:hAnsi="楷体" w:eastAsia="楷体" w:cs="楷体"/>
          <w:sz w:val="24"/>
        </w:rPr>
      </w:pPr>
      <w:r>
        <w:rPr>
          <w:rFonts w:hint="eastAsia" w:ascii="楷体" w:hAnsi="楷体" w:eastAsia="楷体" w:cs="楷体"/>
          <w:sz w:val="24"/>
        </w:rPr>
        <w:t>格式自拟</w:t>
      </w:r>
    </w:p>
    <w:p w14:paraId="36DEE81F">
      <w:pPr>
        <w:adjustRightInd w:val="0"/>
        <w:snapToGrid w:val="0"/>
        <w:spacing w:line="360" w:lineRule="auto"/>
        <w:rPr>
          <w:rFonts w:ascii="楷体" w:hAnsi="楷体" w:eastAsia="楷体" w:cs="楷体"/>
          <w:sz w:val="24"/>
        </w:rPr>
      </w:pPr>
    </w:p>
    <w:p w14:paraId="51C40DBD">
      <w:pPr>
        <w:tabs>
          <w:tab w:val="left" w:pos="840"/>
        </w:tabs>
        <w:spacing w:before="72" w:after="72" w:line="360" w:lineRule="auto"/>
        <w:rPr>
          <w:rFonts w:ascii="楷体" w:hAnsi="楷体" w:eastAsia="楷体" w:cs="楷体"/>
          <w:sz w:val="24"/>
        </w:rPr>
      </w:pPr>
    </w:p>
    <w:p w14:paraId="6089ABD8">
      <w:pPr>
        <w:tabs>
          <w:tab w:val="left" w:pos="840"/>
        </w:tabs>
        <w:spacing w:before="72" w:after="72" w:line="360" w:lineRule="auto"/>
        <w:rPr>
          <w:rFonts w:ascii="楷体" w:hAnsi="楷体" w:eastAsia="楷体" w:cs="楷体"/>
          <w:sz w:val="24"/>
        </w:rPr>
      </w:pPr>
    </w:p>
    <w:p w14:paraId="142CA313">
      <w:pPr>
        <w:adjustRightInd w:val="0"/>
        <w:snapToGrid w:val="0"/>
        <w:spacing w:before="72" w:after="72" w:line="480" w:lineRule="auto"/>
        <w:ind w:firstLine="3578" w:firstLineChars="1491"/>
        <w:rPr>
          <w:rFonts w:ascii="楷体" w:hAnsi="楷体" w:eastAsia="楷体" w:cs="楷体"/>
          <w:sz w:val="24"/>
        </w:rPr>
      </w:pPr>
      <w:bookmarkStart w:id="517" w:name="_Toc423021983"/>
      <w:bookmarkStart w:id="518" w:name="_Toc18207"/>
    </w:p>
    <w:p w14:paraId="7D5D10CB">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3AF82C2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25E31FE2">
      <w:pPr>
        <w:spacing w:before="72" w:after="72" w:line="400" w:lineRule="exact"/>
        <w:ind w:firstLine="3578" w:firstLineChars="1491"/>
        <w:rPr>
          <w:rFonts w:ascii="楷体" w:hAnsi="楷体" w:eastAsia="楷体" w:cs="楷体"/>
        </w:rPr>
      </w:pPr>
      <w:r>
        <w:rPr>
          <w:rFonts w:hint="eastAsia" w:ascii="楷体" w:hAnsi="楷体" w:eastAsia="楷体" w:cs="楷体"/>
          <w:sz w:val="24"/>
        </w:rPr>
        <w:t>日期：   年   月   日</w:t>
      </w:r>
      <w:bookmarkEnd w:id="517"/>
      <w:bookmarkEnd w:id="518"/>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B251">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3DC4">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hint="eastAsia" w:ascii="楷体" w:hAnsi="楷体" w:eastAsia="楷体" w:cs="楷体"/>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F91B7F">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fill on="f" focussize="0,0"/>
              <v:stroke on="f"/>
              <v:imagedata o:title=""/>
              <o:lock v:ext="edit" aspectratio="f"/>
              <v:textbox inset="0mm,0mm,0mm,0mm" style="mso-fit-shape-to-text:t;">
                <w:txbxContent>
                  <w:p w14:paraId="4AF91B7F">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096B">
    <w:pPr>
      <w:pStyle w:val="3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5913">
    <w:pPr>
      <w:pStyle w:val="30"/>
      <w:jc w:val="right"/>
      <w:rPr>
        <w:rFonts w:ascii="楷体" w:hAnsi="楷体" w:eastAsia="楷体" w:cs="楷体"/>
        <w:sz w:val="20"/>
        <w:szCs w:val="20"/>
      </w:rPr>
    </w:pPr>
    <w:r>
      <w:rPr>
        <w:rFonts w:hint="eastAsia" w:ascii="楷体" w:hAnsi="楷体" w:eastAsia="楷体" w:cs="楷体"/>
        <w:sz w:val="20"/>
        <w:szCs w:val="15"/>
      </w:rPr>
      <w:t>项目名称：广东烟草梅州市有限公司丰顺县分公司绿化种植及养护、保洁项目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42E5">
    <w:pPr>
      <w:pStyle w:val="30"/>
      <w:jc w:val="right"/>
      <w:rPr>
        <w:rFonts w:ascii="楷体" w:hAnsi="楷体" w:eastAsia="楷体" w:cs="楷体"/>
        <w:sz w:val="20"/>
        <w:szCs w:val="20"/>
      </w:rPr>
    </w:pPr>
    <w:r>
      <w:rPr>
        <w:rFonts w:hint="eastAsia" w:ascii="楷体" w:hAnsi="楷体" w:eastAsia="楷体" w:cs="楷体"/>
        <w:sz w:val="20"/>
        <w:szCs w:val="20"/>
      </w:rPr>
      <w:t>项目名称：广东烟草梅州市有限公司丰顺县分公司绿化种植及养护、保洁项目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ACED4"/>
    <w:multiLevelType w:val="singleLevel"/>
    <w:tmpl w:val="A1CACED4"/>
    <w:lvl w:ilvl="0" w:tentative="0">
      <w:start w:val="8"/>
      <w:numFmt w:val="chineseCounting"/>
      <w:suff w:val="nothing"/>
      <w:lvlText w:val="%1、"/>
      <w:lvlJc w:val="left"/>
      <w:rPr>
        <w:rFonts w:hint="eastAsia"/>
      </w:rPr>
    </w:lvl>
  </w:abstractNum>
  <w:abstractNum w:abstractNumId="1">
    <w:nsid w:val="A621857A"/>
    <w:multiLevelType w:val="singleLevel"/>
    <w:tmpl w:val="A621857A"/>
    <w:lvl w:ilvl="0" w:tentative="0">
      <w:start w:val="1"/>
      <w:numFmt w:val="decimal"/>
      <w:suff w:val="nothing"/>
      <w:lvlText w:val="%1."/>
      <w:lvlJc w:val="left"/>
      <w:pPr>
        <w:ind w:left="425" w:hanging="425"/>
      </w:pPr>
      <w:rPr>
        <w:rFonts w:hint="default"/>
      </w:rPr>
    </w:lvl>
  </w:abstractNum>
  <w:abstractNum w:abstractNumId="2">
    <w:nsid w:val="F9E8E789"/>
    <w:multiLevelType w:val="singleLevel"/>
    <w:tmpl w:val="F9E8E789"/>
    <w:lvl w:ilvl="0" w:tentative="0">
      <w:start w:val="1"/>
      <w:numFmt w:val="decimal"/>
      <w:lvlText w:val="%1."/>
      <w:lvlJc w:val="left"/>
      <w:pPr>
        <w:tabs>
          <w:tab w:val="left" w:pos="312"/>
        </w:tabs>
      </w:pPr>
    </w:lvl>
  </w:abstractNum>
  <w:abstractNum w:abstractNumId="3">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4">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6">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7">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C"/>
    <w:multiLevelType w:val="multilevel"/>
    <w:tmpl w:val="0000000C"/>
    <w:lvl w:ilvl="0" w:tentative="0">
      <w:start w:val="1"/>
      <w:numFmt w:val="decimal"/>
      <w:lvlText w:val="4.5.%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0D"/>
    <w:multiLevelType w:val="singleLevel"/>
    <w:tmpl w:val="0000000D"/>
    <w:lvl w:ilvl="0" w:tentative="0">
      <w:start w:val="1"/>
      <w:numFmt w:val="decimal"/>
      <w:suff w:val="nothing"/>
      <w:lvlText w:val="%1、"/>
      <w:lvlJc w:val="left"/>
      <w:pPr>
        <w:ind w:left="0" w:firstLine="420"/>
      </w:pPr>
      <w:rPr>
        <w:rFonts w:hint="default"/>
      </w:rPr>
    </w:lvl>
  </w:abstractNum>
  <w:abstractNum w:abstractNumId="11">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2">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13">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0000017"/>
    <w:multiLevelType w:val="singleLevel"/>
    <w:tmpl w:val="00000017"/>
    <w:lvl w:ilvl="0" w:tentative="0">
      <w:start w:val="1"/>
      <w:numFmt w:val="decimal"/>
      <w:suff w:val="nothing"/>
      <w:lvlText w:val="%1、"/>
      <w:lvlJc w:val="left"/>
      <w:pPr>
        <w:ind w:left="0" w:firstLine="420"/>
      </w:pPr>
      <w:rPr>
        <w:rFonts w:hint="default" w:ascii="楷体" w:hAnsi="楷体" w:eastAsia="楷体" w:cs="楷体"/>
        <w:sz w:val="32"/>
        <w:szCs w:val="32"/>
      </w:rPr>
    </w:lvl>
  </w:abstractNum>
  <w:abstractNum w:abstractNumId="15">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16">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7">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18">
    <w:nsid w:val="0000001B"/>
    <w:multiLevelType w:val="singleLevel"/>
    <w:tmpl w:val="0000001B"/>
    <w:lvl w:ilvl="0" w:tentative="0">
      <w:start w:val="1"/>
      <w:numFmt w:val="decimal"/>
      <w:suff w:val="nothing"/>
      <w:lvlText w:val="%1、"/>
      <w:lvlJc w:val="left"/>
      <w:pPr>
        <w:ind w:left="0" w:firstLine="420"/>
      </w:pPr>
      <w:rPr>
        <w:rFonts w:hint="default"/>
      </w:rPr>
    </w:lvl>
  </w:abstractNum>
  <w:abstractNum w:abstractNumId="19">
    <w:nsid w:val="0000001C"/>
    <w:multiLevelType w:val="multilevel"/>
    <w:tmpl w:val="0000001C"/>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32">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33">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35">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36">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37">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38">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39">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40">
    <w:nsid w:val="0000003F"/>
    <w:multiLevelType w:val="singleLevel"/>
    <w:tmpl w:val="0000003F"/>
    <w:lvl w:ilvl="0" w:tentative="0">
      <w:start w:val="1"/>
      <w:numFmt w:val="decimalEnclosedCircleChinese"/>
      <w:suff w:val="nothing"/>
      <w:lvlText w:val="%1　"/>
      <w:lvlJc w:val="left"/>
      <w:pPr>
        <w:ind w:left="0" w:firstLine="400"/>
      </w:pPr>
      <w:rPr>
        <w:rFonts w:hint="eastAsia"/>
      </w:rPr>
    </w:lvl>
  </w:abstractNum>
  <w:abstractNum w:abstractNumId="41">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00000058"/>
    <w:multiLevelType w:val="multilevel"/>
    <w:tmpl w:val="00000058"/>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0C7BF041"/>
    <w:multiLevelType w:val="singleLevel"/>
    <w:tmpl w:val="0C7BF041"/>
    <w:lvl w:ilvl="0" w:tentative="0">
      <w:start w:val="1"/>
      <w:numFmt w:val="decimal"/>
      <w:lvlText w:val="%1."/>
      <w:lvlJc w:val="left"/>
      <w:pPr>
        <w:tabs>
          <w:tab w:val="left" w:pos="312"/>
        </w:tabs>
      </w:pPr>
    </w:lvl>
  </w:abstractNum>
  <w:abstractNum w:abstractNumId="65">
    <w:nsid w:val="4F77B413"/>
    <w:multiLevelType w:val="singleLevel"/>
    <w:tmpl w:val="4F77B413"/>
    <w:lvl w:ilvl="0" w:tentative="0">
      <w:start w:val="1"/>
      <w:numFmt w:val="decimal"/>
      <w:lvlText w:val="%1."/>
      <w:lvlJc w:val="left"/>
      <w:pPr>
        <w:tabs>
          <w:tab w:val="left" w:pos="312"/>
        </w:tabs>
      </w:pPr>
    </w:lvl>
  </w:abstractNum>
  <w:abstractNum w:abstractNumId="66">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67">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68">
    <w:nsid w:val="58B6C459"/>
    <w:multiLevelType w:val="singleLevel"/>
    <w:tmpl w:val="58B6C459"/>
    <w:lvl w:ilvl="0" w:tentative="0">
      <w:start w:val="1"/>
      <w:numFmt w:val="decimal"/>
      <w:suff w:val="nothing"/>
      <w:lvlText w:val="%1、"/>
      <w:lvlJc w:val="left"/>
      <w:pPr>
        <w:ind w:left="6" w:firstLine="420"/>
      </w:pPr>
      <w:rPr>
        <w:rFonts w:hint="default"/>
      </w:rPr>
    </w:lvl>
  </w:abstractNum>
  <w:abstractNum w:abstractNumId="69">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70">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71">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5">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6">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5EB22E98"/>
    <w:multiLevelType w:val="singleLevel"/>
    <w:tmpl w:val="5EB22E98"/>
    <w:lvl w:ilvl="0" w:tentative="0">
      <w:start w:val="1"/>
      <w:numFmt w:val="decimal"/>
      <w:suff w:val="nothing"/>
      <w:lvlText w:val="%1、"/>
      <w:lvlJc w:val="left"/>
    </w:lvl>
  </w:abstractNum>
  <w:num w:numId="1">
    <w:abstractNumId w:val="70"/>
  </w:num>
  <w:num w:numId="2">
    <w:abstractNumId w:val="11"/>
  </w:num>
  <w:num w:numId="3">
    <w:abstractNumId w:val="12"/>
  </w:num>
  <w:num w:numId="4">
    <w:abstractNumId w:val="68"/>
  </w:num>
  <w:num w:numId="5">
    <w:abstractNumId w:val="66"/>
  </w:num>
  <w:num w:numId="6">
    <w:abstractNumId w:val="69"/>
  </w:num>
  <w:num w:numId="7">
    <w:abstractNumId w:val="5"/>
  </w:num>
  <w:num w:numId="8">
    <w:abstractNumId w:val="1"/>
  </w:num>
  <w:num w:numId="9">
    <w:abstractNumId w:val="20"/>
  </w:num>
  <w:num w:numId="10">
    <w:abstractNumId w:val="21"/>
  </w:num>
  <w:num w:numId="11">
    <w:abstractNumId w:val="7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41"/>
  </w:num>
  <w:num w:numId="20">
    <w:abstractNumId w:val="72"/>
  </w:num>
  <w:num w:numId="21">
    <w:abstractNumId w:val="73"/>
  </w:num>
  <w:num w:numId="22">
    <w:abstractNumId w:val="42"/>
  </w:num>
  <w:num w:numId="23">
    <w:abstractNumId w:val="43"/>
  </w:num>
  <w:num w:numId="24">
    <w:abstractNumId w:val="44"/>
  </w:num>
  <w:num w:numId="25">
    <w:abstractNumId w:val="45"/>
  </w:num>
  <w:num w:numId="26">
    <w:abstractNumId w:val="76"/>
  </w:num>
  <w:num w:numId="27">
    <w:abstractNumId w:val="75"/>
  </w:num>
  <w:num w:numId="28">
    <w:abstractNumId w:val="46"/>
  </w:num>
  <w:num w:numId="29">
    <w:abstractNumId w:val="47"/>
  </w:num>
  <w:num w:numId="30">
    <w:abstractNumId w:val="48"/>
  </w:num>
  <w:num w:numId="31">
    <w:abstractNumId w:val="49"/>
  </w:num>
  <w:num w:numId="32">
    <w:abstractNumId w:val="50"/>
  </w:num>
  <w:num w:numId="33">
    <w:abstractNumId w:val="51"/>
  </w:num>
  <w:num w:numId="34">
    <w:abstractNumId w:val="52"/>
  </w:num>
  <w:num w:numId="35">
    <w:abstractNumId w:val="53"/>
  </w:num>
  <w:num w:numId="36">
    <w:abstractNumId w:val="54"/>
  </w:num>
  <w:num w:numId="37">
    <w:abstractNumId w:val="3"/>
  </w:num>
  <w:num w:numId="38">
    <w:abstractNumId w:val="55"/>
  </w:num>
  <w:num w:numId="39">
    <w:abstractNumId w:val="56"/>
  </w:num>
  <w:num w:numId="40">
    <w:abstractNumId w:val="57"/>
  </w:num>
  <w:num w:numId="41">
    <w:abstractNumId w:val="58"/>
  </w:num>
  <w:num w:numId="42">
    <w:abstractNumId w:val="59"/>
  </w:num>
  <w:num w:numId="43">
    <w:abstractNumId w:val="60"/>
  </w:num>
  <w:num w:numId="44">
    <w:abstractNumId w:val="61"/>
  </w:num>
  <w:num w:numId="45">
    <w:abstractNumId w:val="62"/>
  </w:num>
  <w:num w:numId="46">
    <w:abstractNumId w:val="6"/>
  </w:num>
  <w:num w:numId="47">
    <w:abstractNumId w:val="29"/>
  </w:num>
  <w:num w:numId="48">
    <w:abstractNumId w:val="30"/>
  </w:num>
  <w:num w:numId="49">
    <w:abstractNumId w:val="7"/>
  </w:num>
  <w:num w:numId="50">
    <w:abstractNumId w:val="31"/>
  </w:num>
  <w:num w:numId="51">
    <w:abstractNumId w:val="32"/>
  </w:num>
  <w:num w:numId="52">
    <w:abstractNumId w:val="33"/>
  </w:num>
  <w:num w:numId="53">
    <w:abstractNumId w:val="8"/>
  </w:num>
  <w:num w:numId="54">
    <w:abstractNumId w:val="63"/>
  </w:num>
  <w:num w:numId="55">
    <w:abstractNumId w:val="4"/>
  </w:num>
  <w:num w:numId="56">
    <w:abstractNumId w:val="9"/>
  </w:num>
  <w:num w:numId="57">
    <w:abstractNumId w:val="74"/>
  </w:num>
  <w:num w:numId="58">
    <w:abstractNumId w:val="77"/>
  </w:num>
  <w:num w:numId="59">
    <w:abstractNumId w:val="65"/>
  </w:num>
  <w:num w:numId="60">
    <w:abstractNumId w:val="64"/>
  </w:num>
  <w:num w:numId="61">
    <w:abstractNumId w:val="2"/>
  </w:num>
  <w:num w:numId="62">
    <w:abstractNumId w:val="0"/>
  </w:num>
  <w:num w:numId="63">
    <w:abstractNumId w:val="13"/>
  </w:num>
  <w:num w:numId="64">
    <w:abstractNumId w:val="14"/>
  </w:num>
  <w:num w:numId="65">
    <w:abstractNumId w:val="34"/>
  </w:num>
  <w:num w:numId="66">
    <w:abstractNumId w:val="35"/>
  </w:num>
  <w:num w:numId="67">
    <w:abstractNumId w:val="15"/>
  </w:num>
  <w:num w:numId="68">
    <w:abstractNumId w:val="16"/>
  </w:num>
  <w:num w:numId="69">
    <w:abstractNumId w:val="36"/>
  </w:num>
  <w:num w:numId="70">
    <w:abstractNumId w:val="37"/>
  </w:num>
  <w:num w:numId="71">
    <w:abstractNumId w:val="38"/>
  </w:num>
  <w:num w:numId="72">
    <w:abstractNumId w:val="39"/>
  </w:num>
  <w:num w:numId="73">
    <w:abstractNumId w:val="19"/>
  </w:num>
  <w:num w:numId="74">
    <w:abstractNumId w:val="10"/>
  </w:num>
  <w:num w:numId="75">
    <w:abstractNumId w:val="17"/>
  </w:num>
  <w:num w:numId="76">
    <w:abstractNumId w:val="40"/>
  </w:num>
  <w:num w:numId="77">
    <w:abstractNumId w:val="18"/>
  </w:num>
  <w:num w:numId="7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jQ3MDJmZDU0NDdiMjgwODY0MzQxODFkMTA4NjkifQ=="/>
    <w:docVar w:name="KSO_WPS_MARK_KEY" w:val="a07d3e54-4d39-45fd-b193-20591ed84c93"/>
  </w:docVars>
  <w:rsids>
    <w:rsidRoot w:val="00F3202A"/>
    <w:rsid w:val="00000057"/>
    <w:rsid w:val="00022679"/>
    <w:rsid w:val="0005033C"/>
    <w:rsid w:val="00053C98"/>
    <w:rsid w:val="00070A94"/>
    <w:rsid w:val="000722F4"/>
    <w:rsid w:val="00077C9A"/>
    <w:rsid w:val="00091155"/>
    <w:rsid w:val="00091AE5"/>
    <w:rsid w:val="000953BE"/>
    <w:rsid w:val="000A4CAC"/>
    <w:rsid w:val="000A4D20"/>
    <w:rsid w:val="000A4D38"/>
    <w:rsid w:val="000A7EA7"/>
    <w:rsid w:val="000B6F28"/>
    <w:rsid w:val="000D2E5F"/>
    <w:rsid w:val="000D54A4"/>
    <w:rsid w:val="000D6699"/>
    <w:rsid w:val="000D6E1B"/>
    <w:rsid w:val="000E3FB3"/>
    <w:rsid w:val="000E6B95"/>
    <w:rsid w:val="000E73B5"/>
    <w:rsid w:val="000F3B5D"/>
    <w:rsid w:val="001018D2"/>
    <w:rsid w:val="001109C6"/>
    <w:rsid w:val="001211C9"/>
    <w:rsid w:val="00124872"/>
    <w:rsid w:val="00126948"/>
    <w:rsid w:val="0013373D"/>
    <w:rsid w:val="00142F5B"/>
    <w:rsid w:val="00145C9C"/>
    <w:rsid w:val="00151869"/>
    <w:rsid w:val="001528C6"/>
    <w:rsid w:val="00171CDD"/>
    <w:rsid w:val="00173744"/>
    <w:rsid w:val="001926C7"/>
    <w:rsid w:val="0019287E"/>
    <w:rsid w:val="001952FC"/>
    <w:rsid w:val="001A7044"/>
    <w:rsid w:val="001C08A9"/>
    <w:rsid w:val="001C7428"/>
    <w:rsid w:val="001E0189"/>
    <w:rsid w:val="001F3C3D"/>
    <w:rsid w:val="001F4647"/>
    <w:rsid w:val="001F711C"/>
    <w:rsid w:val="00211449"/>
    <w:rsid w:val="002273BF"/>
    <w:rsid w:val="00232298"/>
    <w:rsid w:val="002440A9"/>
    <w:rsid w:val="00246278"/>
    <w:rsid w:val="0025780A"/>
    <w:rsid w:val="002638A7"/>
    <w:rsid w:val="002656AC"/>
    <w:rsid w:val="0027186F"/>
    <w:rsid w:val="00274AEF"/>
    <w:rsid w:val="002767BB"/>
    <w:rsid w:val="002849A5"/>
    <w:rsid w:val="002A5997"/>
    <w:rsid w:val="002A6240"/>
    <w:rsid w:val="002B2BE1"/>
    <w:rsid w:val="002B551F"/>
    <w:rsid w:val="002D700F"/>
    <w:rsid w:val="002E4CE1"/>
    <w:rsid w:val="002E7452"/>
    <w:rsid w:val="002F214E"/>
    <w:rsid w:val="002F2ACA"/>
    <w:rsid w:val="002F6665"/>
    <w:rsid w:val="0030448E"/>
    <w:rsid w:val="00310848"/>
    <w:rsid w:val="00310A27"/>
    <w:rsid w:val="00310D54"/>
    <w:rsid w:val="00314E2A"/>
    <w:rsid w:val="00322C84"/>
    <w:rsid w:val="00331589"/>
    <w:rsid w:val="0034075E"/>
    <w:rsid w:val="00341D3E"/>
    <w:rsid w:val="003435C7"/>
    <w:rsid w:val="00352C66"/>
    <w:rsid w:val="00354B77"/>
    <w:rsid w:val="003553CC"/>
    <w:rsid w:val="003664F6"/>
    <w:rsid w:val="003772E2"/>
    <w:rsid w:val="003824BC"/>
    <w:rsid w:val="00392C34"/>
    <w:rsid w:val="00393FBC"/>
    <w:rsid w:val="00394603"/>
    <w:rsid w:val="00394C28"/>
    <w:rsid w:val="00397E7B"/>
    <w:rsid w:val="003A2A4B"/>
    <w:rsid w:val="003A4875"/>
    <w:rsid w:val="003B089B"/>
    <w:rsid w:val="003B3025"/>
    <w:rsid w:val="003C58D3"/>
    <w:rsid w:val="003C7C5B"/>
    <w:rsid w:val="003E08C8"/>
    <w:rsid w:val="003E1A6C"/>
    <w:rsid w:val="003E3ACF"/>
    <w:rsid w:val="003E61B3"/>
    <w:rsid w:val="003F2634"/>
    <w:rsid w:val="003F4AFC"/>
    <w:rsid w:val="004020A0"/>
    <w:rsid w:val="00403395"/>
    <w:rsid w:val="004144BB"/>
    <w:rsid w:val="00414EED"/>
    <w:rsid w:val="00423022"/>
    <w:rsid w:val="004238C1"/>
    <w:rsid w:val="00423FF6"/>
    <w:rsid w:val="00430DFC"/>
    <w:rsid w:val="00433259"/>
    <w:rsid w:val="00446998"/>
    <w:rsid w:val="00454BA5"/>
    <w:rsid w:val="00460240"/>
    <w:rsid w:val="00481CCD"/>
    <w:rsid w:val="004843C4"/>
    <w:rsid w:val="004A30D4"/>
    <w:rsid w:val="004B1B8B"/>
    <w:rsid w:val="004C1A04"/>
    <w:rsid w:val="004C43D2"/>
    <w:rsid w:val="004D0519"/>
    <w:rsid w:val="004D7262"/>
    <w:rsid w:val="004E17D6"/>
    <w:rsid w:val="004E6403"/>
    <w:rsid w:val="004E7305"/>
    <w:rsid w:val="004E7C97"/>
    <w:rsid w:val="004F59EE"/>
    <w:rsid w:val="004F6F44"/>
    <w:rsid w:val="00505329"/>
    <w:rsid w:val="0050773C"/>
    <w:rsid w:val="00520425"/>
    <w:rsid w:val="00521B76"/>
    <w:rsid w:val="00540A65"/>
    <w:rsid w:val="00547936"/>
    <w:rsid w:val="005501B6"/>
    <w:rsid w:val="00553081"/>
    <w:rsid w:val="005572D0"/>
    <w:rsid w:val="00557FCD"/>
    <w:rsid w:val="00560C48"/>
    <w:rsid w:val="00563694"/>
    <w:rsid w:val="00572125"/>
    <w:rsid w:val="00580826"/>
    <w:rsid w:val="00590424"/>
    <w:rsid w:val="00591DBC"/>
    <w:rsid w:val="005A1BAB"/>
    <w:rsid w:val="005A368B"/>
    <w:rsid w:val="005A6B87"/>
    <w:rsid w:val="005B1723"/>
    <w:rsid w:val="005C02E7"/>
    <w:rsid w:val="005C6880"/>
    <w:rsid w:val="005D382E"/>
    <w:rsid w:val="005D6633"/>
    <w:rsid w:val="005F29CF"/>
    <w:rsid w:val="005F32B0"/>
    <w:rsid w:val="005F4A23"/>
    <w:rsid w:val="005F63FC"/>
    <w:rsid w:val="00604893"/>
    <w:rsid w:val="006048FF"/>
    <w:rsid w:val="006133C0"/>
    <w:rsid w:val="006140E3"/>
    <w:rsid w:val="0061418D"/>
    <w:rsid w:val="00615D6A"/>
    <w:rsid w:val="00625B9B"/>
    <w:rsid w:val="00630DE7"/>
    <w:rsid w:val="00630E10"/>
    <w:rsid w:val="00633165"/>
    <w:rsid w:val="00637726"/>
    <w:rsid w:val="00643A60"/>
    <w:rsid w:val="00650A3F"/>
    <w:rsid w:val="00650D4B"/>
    <w:rsid w:val="00652DE8"/>
    <w:rsid w:val="00664D97"/>
    <w:rsid w:val="006678C9"/>
    <w:rsid w:val="00667BF6"/>
    <w:rsid w:val="00672026"/>
    <w:rsid w:val="0068500F"/>
    <w:rsid w:val="00685C39"/>
    <w:rsid w:val="0068724B"/>
    <w:rsid w:val="00697B26"/>
    <w:rsid w:val="006A11F4"/>
    <w:rsid w:val="006A3838"/>
    <w:rsid w:val="006B4687"/>
    <w:rsid w:val="006C3CA0"/>
    <w:rsid w:val="006C4C8B"/>
    <w:rsid w:val="006C781D"/>
    <w:rsid w:val="006C7AE4"/>
    <w:rsid w:val="006D1D9B"/>
    <w:rsid w:val="006E5FE6"/>
    <w:rsid w:val="006E75E5"/>
    <w:rsid w:val="006F4D2D"/>
    <w:rsid w:val="006F7654"/>
    <w:rsid w:val="00711031"/>
    <w:rsid w:val="007138AB"/>
    <w:rsid w:val="00713F9E"/>
    <w:rsid w:val="00714CD6"/>
    <w:rsid w:val="007152A5"/>
    <w:rsid w:val="0071594F"/>
    <w:rsid w:val="00715ADE"/>
    <w:rsid w:val="007243E8"/>
    <w:rsid w:val="007263AC"/>
    <w:rsid w:val="0073711C"/>
    <w:rsid w:val="00742827"/>
    <w:rsid w:val="00746E1A"/>
    <w:rsid w:val="00754DE7"/>
    <w:rsid w:val="007563D4"/>
    <w:rsid w:val="0075730B"/>
    <w:rsid w:val="0077153F"/>
    <w:rsid w:val="00775F69"/>
    <w:rsid w:val="00785915"/>
    <w:rsid w:val="00786008"/>
    <w:rsid w:val="00792E58"/>
    <w:rsid w:val="007A15B3"/>
    <w:rsid w:val="007B24A9"/>
    <w:rsid w:val="007C1E9B"/>
    <w:rsid w:val="007C7B7C"/>
    <w:rsid w:val="007D141B"/>
    <w:rsid w:val="007D2C92"/>
    <w:rsid w:val="007D71CC"/>
    <w:rsid w:val="007E491F"/>
    <w:rsid w:val="007F6458"/>
    <w:rsid w:val="007F68E9"/>
    <w:rsid w:val="008159F6"/>
    <w:rsid w:val="0082778F"/>
    <w:rsid w:val="0083082A"/>
    <w:rsid w:val="00832537"/>
    <w:rsid w:val="008408F3"/>
    <w:rsid w:val="008466DE"/>
    <w:rsid w:val="008470D7"/>
    <w:rsid w:val="00850187"/>
    <w:rsid w:val="00851A66"/>
    <w:rsid w:val="00854E83"/>
    <w:rsid w:val="00855D72"/>
    <w:rsid w:val="008566E7"/>
    <w:rsid w:val="00860070"/>
    <w:rsid w:val="00862018"/>
    <w:rsid w:val="00865862"/>
    <w:rsid w:val="00865A7F"/>
    <w:rsid w:val="00871A4E"/>
    <w:rsid w:val="008763DC"/>
    <w:rsid w:val="0087699C"/>
    <w:rsid w:val="0087750F"/>
    <w:rsid w:val="00883F5D"/>
    <w:rsid w:val="00885BFD"/>
    <w:rsid w:val="00890103"/>
    <w:rsid w:val="008A0156"/>
    <w:rsid w:val="008A7477"/>
    <w:rsid w:val="008B5ECB"/>
    <w:rsid w:val="008C5BE6"/>
    <w:rsid w:val="008D6129"/>
    <w:rsid w:val="008E0EC3"/>
    <w:rsid w:val="008E7554"/>
    <w:rsid w:val="008E7877"/>
    <w:rsid w:val="008F0879"/>
    <w:rsid w:val="008F22F8"/>
    <w:rsid w:val="008F4B41"/>
    <w:rsid w:val="008F5713"/>
    <w:rsid w:val="008F6350"/>
    <w:rsid w:val="009045D3"/>
    <w:rsid w:val="00905242"/>
    <w:rsid w:val="00905EBD"/>
    <w:rsid w:val="00924A2E"/>
    <w:rsid w:val="00931766"/>
    <w:rsid w:val="00932750"/>
    <w:rsid w:val="00937FA2"/>
    <w:rsid w:val="0094048B"/>
    <w:rsid w:val="00940F54"/>
    <w:rsid w:val="0095673A"/>
    <w:rsid w:val="00956F5F"/>
    <w:rsid w:val="0098242B"/>
    <w:rsid w:val="0098450C"/>
    <w:rsid w:val="0098673A"/>
    <w:rsid w:val="00993437"/>
    <w:rsid w:val="009B4EE1"/>
    <w:rsid w:val="009C51E2"/>
    <w:rsid w:val="009C5F89"/>
    <w:rsid w:val="009D0540"/>
    <w:rsid w:val="009D219F"/>
    <w:rsid w:val="009E1C70"/>
    <w:rsid w:val="009E60D0"/>
    <w:rsid w:val="009F3857"/>
    <w:rsid w:val="00A04758"/>
    <w:rsid w:val="00A04D7E"/>
    <w:rsid w:val="00A116C0"/>
    <w:rsid w:val="00A14CCA"/>
    <w:rsid w:val="00A1727D"/>
    <w:rsid w:val="00A263E9"/>
    <w:rsid w:val="00A30764"/>
    <w:rsid w:val="00A36F32"/>
    <w:rsid w:val="00A37186"/>
    <w:rsid w:val="00A416D1"/>
    <w:rsid w:val="00A41F48"/>
    <w:rsid w:val="00A451C2"/>
    <w:rsid w:val="00A544D0"/>
    <w:rsid w:val="00A60098"/>
    <w:rsid w:val="00A63A9F"/>
    <w:rsid w:val="00A90A53"/>
    <w:rsid w:val="00A942F6"/>
    <w:rsid w:val="00A95454"/>
    <w:rsid w:val="00A95CCE"/>
    <w:rsid w:val="00AA03FA"/>
    <w:rsid w:val="00AA1A76"/>
    <w:rsid w:val="00AB25AB"/>
    <w:rsid w:val="00AC2095"/>
    <w:rsid w:val="00AD5429"/>
    <w:rsid w:val="00AD6CCB"/>
    <w:rsid w:val="00AD7293"/>
    <w:rsid w:val="00AD7777"/>
    <w:rsid w:val="00AE3BDE"/>
    <w:rsid w:val="00AF2AF3"/>
    <w:rsid w:val="00AF2DDB"/>
    <w:rsid w:val="00AF364F"/>
    <w:rsid w:val="00B1137C"/>
    <w:rsid w:val="00B123E8"/>
    <w:rsid w:val="00B20CEE"/>
    <w:rsid w:val="00B2450F"/>
    <w:rsid w:val="00B50B9C"/>
    <w:rsid w:val="00B6026E"/>
    <w:rsid w:val="00B73856"/>
    <w:rsid w:val="00B810D6"/>
    <w:rsid w:val="00B93CB6"/>
    <w:rsid w:val="00B9703D"/>
    <w:rsid w:val="00B9752B"/>
    <w:rsid w:val="00BA5626"/>
    <w:rsid w:val="00BA675D"/>
    <w:rsid w:val="00BB6D72"/>
    <w:rsid w:val="00BC05D6"/>
    <w:rsid w:val="00BC2F18"/>
    <w:rsid w:val="00BC55FA"/>
    <w:rsid w:val="00BE5AC7"/>
    <w:rsid w:val="00BE712D"/>
    <w:rsid w:val="00BF3E77"/>
    <w:rsid w:val="00BF7612"/>
    <w:rsid w:val="00C00077"/>
    <w:rsid w:val="00C02A9B"/>
    <w:rsid w:val="00C03D52"/>
    <w:rsid w:val="00C06414"/>
    <w:rsid w:val="00C07ADD"/>
    <w:rsid w:val="00C11BC0"/>
    <w:rsid w:val="00C14D6D"/>
    <w:rsid w:val="00C229CA"/>
    <w:rsid w:val="00C25D15"/>
    <w:rsid w:val="00C30792"/>
    <w:rsid w:val="00C417C0"/>
    <w:rsid w:val="00C472DA"/>
    <w:rsid w:val="00C529FD"/>
    <w:rsid w:val="00C6597D"/>
    <w:rsid w:val="00C659B4"/>
    <w:rsid w:val="00C65E6F"/>
    <w:rsid w:val="00C7491B"/>
    <w:rsid w:val="00C76B7A"/>
    <w:rsid w:val="00C80FA9"/>
    <w:rsid w:val="00C827D4"/>
    <w:rsid w:val="00C94E59"/>
    <w:rsid w:val="00C95CD2"/>
    <w:rsid w:val="00CA52FD"/>
    <w:rsid w:val="00CA5445"/>
    <w:rsid w:val="00CB248D"/>
    <w:rsid w:val="00CC087C"/>
    <w:rsid w:val="00CD17C9"/>
    <w:rsid w:val="00CD19A7"/>
    <w:rsid w:val="00CD32DF"/>
    <w:rsid w:val="00CD7E9F"/>
    <w:rsid w:val="00CE1CF6"/>
    <w:rsid w:val="00CF49A3"/>
    <w:rsid w:val="00D064F3"/>
    <w:rsid w:val="00D20F43"/>
    <w:rsid w:val="00D27A10"/>
    <w:rsid w:val="00D32D03"/>
    <w:rsid w:val="00D35FEC"/>
    <w:rsid w:val="00D57A03"/>
    <w:rsid w:val="00D6338D"/>
    <w:rsid w:val="00D6473B"/>
    <w:rsid w:val="00D80372"/>
    <w:rsid w:val="00D85832"/>
    <w:rsid w:val="00D90DCB"/>
    <w:rsid w:val="00DA572D"/>
    <w:rsid w:val="00DB4506"/>
    <w:rsid w:val="00DB4627"/>
    <w:rsid w:val="00DB73D7"/>
    <w:rsid w:val="00DC2B82"/>
    <w:rsid w:val="00DC2E29"/>
    <w:rsid w:val="00DC7561"/>
    <w:rsid w:val="00DD1A06"/>
    <w:rsid w:val="00DD3364"/>
    <w:rsid w:val="00DD699B"/>
    <w:rsid w:val="00DD6F3C"/>
    <w:rsid w:val="00DE1A61"/>
    <w:rsid w:val="00DE277E"/>
    <w:rsid w:val="00DE28EB"/>
    <w:rsid w:val="00DE72A2"/>
    <w:rsid w:val="00DE7B35"/>
    <w:rsid w:val="00DF0BB3"/>
    <w:rsid w:val="00E0560B"/>
    <w:rsid w:val="00E10981"/>
    <w:rsid w:val="00E22732"/>
    <w:rsid w:val="00E3049B"/>
    <w:rsid w:val="00E352F3"/>
    <w:rsid w:val="00E3624B"/>
    <w:rsid w:val="00E43CED"/>
    <w:rsid w:val="00E507B6"/>
    <w:rsid w:val="00E52359"/>
    <w:rsid w:val="00E53701"/>
    <w:rsid w:val="00E60389"/>
    <w:rsid w:val="00E70B86"/>
    <w:rsid w:val="00E73D35"/>
    <w:rsid w:val="00E75332"/>
    <w:rsid w:val="00E848DE"/>
    <w:rsid w:val="00E863FA"/>
    <w:rsid w:val="00E91F1C"/>
    <w:rsid w:val="00E94869"/>
    <w:rsid w:val="00EA481A"/>
    <w:rsid w:val="00EC494C"/>
    <w:rsid w:val="00EC4EE1"/>
    <w:rsid w:val="00EC6E08"/>
    <w:rsid w:val="00ED5C3E"/>
    <w:rsid w:val="00EE2383"/>
    <w:rsid w:val="00EE3309"/>
    <w:rsid w:val="00EF0E0F"/>
    <w:rsid w:val="00EF13A1"/>
    <w:rsid w:val="00EF1BD0"/>
    <w:rsid w:val="00EF238B"/>
    <w:rsid w:val="00F02523"/>
    <w:rsid w:val="00F03370"/>
    <w:rsid w:val="00F1127B"/>
    <w:rsid w:val="00F119B2"/>
    <w:rsid w:val="00F13B7C"/>
    <w:rsid w:val="00F232A2"/>
    <w:rsid w:val="00F3202A"/>
    <w:rsid w:val="00F33ABD"/>
    <w:rsid w:val="00F3534E"/>
    <w:rsid w:val="00F45591"/>
    <w:rsid w:val="00F469D3"/>
    <w:rsid w:val="00F5735F"/>
    <w:rsid w:val="00F57949"/>
    <w:rsid w:val="00F62E3B"/>
    <w:rsid w:val="00F64089"/>
    <w:rsid w:val="00F65618"/>
    <w:rsid w:val="00F7058A"/>
    <w:rsid w:val="00F7186E"/>
    <w:rsid w:val="00F748FB"/>
    <w:rsid w:val="00F841B1"/>
    <w:rsid w:val="00F902CA"/>
    <w:rsid w:val="00F92686"/>
    <w:rsid w:val="00F937B3"/>
    <w:rsid w:val="00F96BCE"/>
    <w:rsid w:val="00FB6D26"/>
    <w:rsid w:val="00FD3066"/>
    <w:rsid w:val="00FF7B99"/>
    <w:rsid w:val="014B4315"/>
    <w:rsid w:val="015853FD"/>
    <w:rsid w:val="016245C6"/>
    <w:rsid w:val="018F4C90"/>
    <w:rsid w:val="01FD2D7A"/>
    <w:rsid w:val="02056D00"/>
    <w:rsid w:val="02235E3A"/>
    <w:rsid w:val="02733093"/>
    <w:rsid w:val="027D71DE"/>
    <w:rsid w:val="028C042D"/>
    <w:rsid w:val="0295277A"/>
    <w:rsid w:val="02B30A8E"/>
    <w:rsid w:val="02BD1509"/>
    <w:rsid w:val="02C763DB"/>
    <w:rsid w:val="031E276F"/>
    <w:rsid w:val="03221B35"/>
    <w:rsid w:val="033575C4"/>
    <w:rsid w:val="03673423"/>
    <w:rsid w:val="037C7496"/>
    <w:rsid w:val="037E6AB7"/>
    <w:rsid w:val="044B7594"/>
    <w:rsid w:val="04506958"/>
    <w:rsid w:val="047270C1"/>
    <w:rsid w:val="04BE2062"/>
    <w:rsid w:val="04FA68C4"/>
    <w:rsid w:val="05A02A82"/>
    <w:rsid w:val="05B23BFD"/>
    <w:rsid w:val="05B812BD"/>
    <w:rsid w:val="05C43595"/>
    <w:rsid w:val="05D9494F"/>
    <w:rsid w:val="05FD2B10"/>
    <w:rsid w:val="062142C7"/>
    <w:rsid w:val="06391244"/>
    <w:rsid w:val="065E32B1"/>
    <w:rsid w:val="066C7717"/>
    <w:rsid w:val="068044F8"/>
    <w:rsid w:val="06961257"/>
    <w:rsid w:val="06BB6284"/>
    <w:rsid w:val="06C72A6B"/>
    <w:rsid w:val="06CD4399"/>
    <w:rsid w:val="06E16969"/>
    <w:rsid w:val="070B62FA"/>
    <w:rsid w:val="070E472E"/>
    <w:rsid w:val="071E1C4B"/>
    <w:rsid w:val="075538B1"/>
    <w:rsid w:val="075F62C5"/>
    <w:rsid w:val="077E2440"/>
    <w:rsid w:val="07940806"/>
    <w:rsid w:val="07B72DD6"/>
    <w:rsid w:val="07EF46DA"/>
    <w:rsid w:val="082C1057"/>
    <w:rsid w:val="08350A80"/>
    <w:rsid w:val="08602EE2"/>
    <w:rsid w:val="08753839"/>
    <w:rsid w:val="088828FC"/>
    <w:rsid w:val="08A234FA"/>
    <w:rsid w:val="08A97A24"/>
    <w:rsid w:val="08B11DE0"/>
    <w:rsid w:val="08D719C5"/>
    <w:rsid w:val="08E62DAD"/>
    <w:rsid w:val="09037615"/>
    <w:rsid w:val="091C7CDC"/>
    <w:rsid w:val="094663E2"/>
    <w:rsid w:val="097E4DC8"/>
    <w:rsid w:val="098A290C"/>
    <w:rsid w:val="09CD410F"/>
    <w:rsid w:val="09DC0C8E"/>
    <w:rsid w:val="0A2E2A9D"/>
    <w:rsid w:val="0A523407"/>
    <w:rsid w:val="0A623B1E"/>
    <w:rsid w:val="0A9D2E71"/>
    <w:rsid w:val="0AA064B9"/>
    <w:rsid w:val="0AD17E5F"/>
    <w:rsid w:val="0B044764"/>
    <w:rsid w:val="0B1B0D8E"/>
    <w:rsid w:val="0B5860AE"/>
    <w:rsid w:val="0B631F1B"/>
    <w:rsid w:val="0B721B23"/>
    <w:rsid w:val="0B807F95"/>
    <w:rsid w:val="0BCD3C22"/>
    <w:rsid w:val="0BF80312"/>
    <w:rsid w:val="0C182F1C"/>
    <w:rsid w:val="0C2124AB"/>
    <w:rsid w:val="0C2B072B"/>
    <w:rsid w:val="0C3A575A"/>
    <w:rsid w:val="0C6350BE"/>
    <w:rsid w:val="0C642C65"/>
    <w:rsid w:val="0C6A07D3"/>
    <w:rsid w:val="0C7645CC"/>
    <w:rsid w:val="0C9774E2"/>
    <w:rsid w:val="0CAF1FA8"/>
    <w:rsid w:val="0CB45B6A"/>
    <w:rsid w:val="0D1433CA"/>
    <w:rsid w:val="0D5E7B21"/>
    <w:rsid w:val="0D65084A"/>
    <w:rsid w:val="0DA758A9"/>
    <w:rsid w:val="0E0F77A6"/>
    <w:rsid w:val="0E1517FE"/>
    <w:rsid w:val="0E1F1149"/>
    <w:rsid w:val="0E2808D8"/>
    <w:rsid w:val="0E2D440E"/>
    <w:rsid w:val="0E4D57A7"/>
    <w:rsid w:val="0E6A2D0C"/>
    <w:rsid w:val="0E7E3E53"/>
    <w:rsid w:val="0E8B693F"/>
    <w:rsid w:val="0EB628F1"/>
    <w:rsid w:val="0ECB5B6D"/>
    <w:rsid w:val="0ED10695"/>
    <w:rsid w:val="0EDA19C4"/>
    <w:rsid w:val="0EE67FC9"/>
    <w:rsid w:val="0EFA07EC"/>
    <w:rsid w:val="0F2875EF"/>
    <w:rsid w:val="0F3C2003"/>
    <w:rsid w:val="0F871B88"/>
    <w:rsid w:val="0FB038B0"/>
    <w:rsid w:val="0FEA6632"/>
    <w:rsid w:val="0FF26B15"/>
    <w:rsid w:val="0FFD5E45"/>
    <w:rsid w:val="1025513D"/>
    <w:rsid w:val="10381943"/>
    <w:rsid w:val="10565E0B"/>
    <w:rsid w:val="107240FA"/>
    <w:rsid w:val="108635A4"/>
    <w:rsid w:val="108F305E"/>
    <w:rsid w:val="10B74375"/>
    <w:rsid w:val="10CE721A"/>
    <w:rsid w:val="111807FE"/>
    <w:rsid w:val="111F3BE3"/>
    <w:rsid w:val="11290C5D"/>
    <w:rsid w:val="113B44EC"/>
    <w:rsid w:val="114A2184"/>
    <w:rsid w:val="119B18B2"/>
    <w:rsid w:val="11A17C7A"/>
    <w:rsid w:val="11CD2258"/>
    <w:rsid w:val="11F50022"/>
    <w:rsid w:val="120172B8"/>
    <w:rsid w:val="12101BC1"/>
    <w:rsid w:val="12195A6A"/>
    <w:rsid w:val="123F625E"/>
    <w:rsid w:val="12686CB0"/>
    <w:rsid w:val="126E42E1"/>
    <w:rsid w:val="1290662F"/>
    <w:rsid w:val="12CF75E2"/>
    <w:rsid w:val="12D46019"/>
    <w:rsid w:val="12EC5B77"/>
    <w:rsid w:val="1300693C"/>
    <w:rsid w:val="130173FC"/>
    <w:rsid w:val="13021765"/>
    <w:rsid w:val="131C5FBB"/>
    <w:rsid w:val="13622015"/>
    <w:rsid w:val="13660DEA"/>
    <w:rsid w:val="13C8545C"/>
    <w:rsid w:val="13DB7C6E"/>
    <w:rsid w:val="14053704"/>
    <w:rsid w:val="142F44D4"/>
    <w:rsid w:val="1432607A"/>
    <w:rsid w:val="145B48C0"/>
    <w:rsid w:val="145D19B3"/>
    <w:rsid w:val="14B46950"/>
    <w:rsid w:val="14BE790E"/>
    <w:rsid w:val="14BF020D"/>
    <w:rsid w:val="14F82D73"/>
    <w:rsid w:val="15082937"/>
    <w:rsid w:val="152357F3"/>
    <w:rsid w:val="155344FA"/>
    <w:rsid w:val="158D108E"/>
    <w:rsid w:val="15A8022C"/>
    <w:rsid w:val="15BE49DE"/>
    <w:rsid w:val="15CF2A72"/>
    <w:rsid w:val="15E433A4"/>
    <w:rsid w:val="15EA54CB"/>
    <w:rsid w:val="15FC6C98"/>
    <w:rsid w:val="15FD4466"/>
    <w:rsid w:val="161778AD"/>
    <w:rsid w:val="161D2412"/>
    <w:rsid w:val="16481DCA"/>
    <w:rsid w:val="1658716F"/>
    <w:rsid w:val="167069E6"/>
    <w:rsid w:val="16846826"/>
    <w:rsid w:val="16880660"/>
    <w:rsid w:val="16AD45FF"/>
    <w:rsid w:val="16B7252F"/>
    <w:rsid w:val="16D97D8D"/>
    <w:rsid w:val="16E35DDC"/>
    <w:rsid w:val="1724254E"/>
    <w:rsid w:val="174E3079"/>
    <w:rsid w:val="177E1C99"/>
    <w:rsid w:val="178E312F"/>
    <w:rsid w:val="17D8582B"/>
    <w:rsid w:val="18122DDE"/>
    <w:rsid w:val="181B23EB"/>
    <w:rsid w:val="18716A45"/>
    <w:rsid w:val="187E29A7"/>
    <w:rsid w:val="188D74FF"/>
    <w:rsid w:val="189C7F66"/>
    <w:rsid w:val="18A0379D"/>
    <w:rsid w:val="18C80D5B"/>
    <w:rsid w:val="18E9297E"/>
    <w:rsid w:val="192625B3"/>
    <w:rsid w:val="19454E92"/>
    <w:rsid w:val="19812363"/>
    <w:rsid w:val="19AB4E42"/>
    <w:rsid w:val="19D77504"/>
    <w:rsid w:val="19D92803"/>
    <w:rsid w:val="1A150761"/>
    <w:rsid w:val="1A2B60D9"/>
    <w:rsid w:val="1A8A233F"/>
    <w:rsid w:val="1A8F0AF9"/>
    <w:rsid w:val="1A915A1F"/>
    <w:rsid w:val="1A9F6652"/>
    <w:rsid w:val="1AAB26E2"/>
    <w:rsid w:val="1AAF430E"/>
    <w:rsid w:val="1AD15684"/>
    <w:rsid w:val="1AED3F54"/>
    <w:rsid w:val="1AFC192A"/>
    <w:rsid w:val="1B0041CA"/>
    <w:rsid w:val="1B1D736F"/>
    <w:rsid w:val="1B80591D"/>
    <w:rsid w:val="1B903EF3"/>
    <w:rsid w:val="1B920776"/>
    <w:rsid w:val="1B994ADE"/>
    <w:rsid w:val="1BA67D14"/>
    <w:rsid w:val="1BA70886"/>
    <w:rsid w:val="1BB47375"/>
    <w:rsid w:val="1BBB4BA7"/>
    <w:rsid w:val="1BD87315"/>
    <w:rsid w:val="1C1457A0"/>
    <w:rsid w:val="1C2564C4"/>
    <w:rsid w:val="1C284DFB"/>
    <w:rsid w:val="1C5B3C94"/>
    <w:rsid w:val="1C6164D4"/>
    <w:rsid w:val="1C68438E"/>
    <w:rsid w:val="1CB71D7A"/>
    <w:rsid w:val="1CBE6535"/>
    <w:rsid w:val="1CD530BF"/>
    <w:rsid w:val="1CD70397"/>
    <w:rsid w:val="1D161A14"/>
    <w:rsid w:val="1D3E1C94"/>
    <w:rsid w:val="1D4170CB"/>
    <w:rsid w:val="1D47608D"/>
    <w:rsid w:val="1D4C63A4"/>
    <w:rsid w:val="1D5C5B3D"/>
    <w:rsid w:val="1D6A6030"/>
    <w:rsid w:val="1D74214D"/>
    <w:rsid w:val="1D7F1D63"/>
    <w:rsid w:val="1D837231"/>
    <w:rsid w:val="1D911085"/>
    <w:rsid w:val="1E0263FB"/>
    <w:rsid w:val="1E2527AC"/>
    <w:rsid w:val="1E301B9F"/>
    <w:rsid w:val="1E3E2708"/>
    <w:rsid w:val="1E506E24"/>
    <w:rsid w:val="1E672DC4"/>
    <w:rsid w:val="1EB007A7"/>
    <w:rsid w:val="1EE968CC"/>
    <w:rsid w:val="1F1803EF"/>
    <w:rsid w:val="1F315ED8"/>
    <w:rsid w:val="1F415ABC"/>
    <w:rsid w:val="1F6E7CB4"/>
    <w:rsid w:val="1F743AAC"/>
    <w:rsid w:val="1F80152B"/>
    <w:rsid w:val="1F8C4A08"/>
    <w:rsid w:val="1F977E2A"/>
    <w:rsid w:val="1FBC0331"/>
    <w:rsid w:val="1FFDE4D4"/>
    <w:rsid w:val="1FFF441D"/>
    <w:rsid w:val="20062BDD"/>
    <w:rsid w:val="203573DE"/>
    <w:rsid w:val="203B38D6"/>
    <w:rsid w:val="207D718A"/>
    <w:rsid w:val="20B00A53"/>
    <w:rsid w:val="20B63B8F"/>
    <w:rsid w:val="20C10042"/>
    <w:rsid w:val="20D96364"/>
    <w:rsid w:val="20F123AA"/>
    <w:rsid w:val="20F13FD1"/>
    <w:rsid w:val="21284C33"/>
    <w:rsid w:val="213925AA"/>
    <w:rsid w:val="2144216C"/>
    <w:rsid w:val="218B159D"/>
    <w:rsid w:val="21910C6F"/>
    <w:rsid w:val="21D5580B"/>
    <w:rsid w:val="21EE6567"/>
    <w:rsid w:val="21FA21C3"/>
    <w:rsid w:val="2227670D"/>
    <w:rsid w:val="222A65E3"/>
    <w:rsid w:val="224A5946"/>
    <w:rsid w:val="22AE30DC"/>
    <w:rsid w:val="22C712E4"/>
    <w:rsid w:val="22C96F23"/>
    <w:rsid w:val="23277D0F"/>
    <w:rsid w:val="23476D20"/>
    <w:rsid w:val="2355768F"/>
    <w:rsid w:val="236F6AA3"/>
    <w:rsid w:val="23CD6A9E"/>
    <w:rsid w:val="24311EAA"/>
    <w:rsid w:val="24456607"/>
    <w:rsid w:val="24476F0F"/>
    <w:rsid w:val="24574BEB"/>
    <w:rsid w:val="24697FC3"/>
    <w:rsid w:val="24771929"/>
    <w:rsid w:val="24A70559"/>
    <w:rsid w:val="24F83EF3"/>
    <w:rsid w:val="2515104D"/>
    <w:rsid w:val="251E05F3"/>
    <w:rsid w:val="252820EF"/>
    <w:rsid w:val="256839EE"/>
    <w:rsid w:val="25E37AFD"/>
    <w:rsid w:val="2606738A"/>
    <w:rsid w:val="262B2618"/>
    <w:rsid w:val="26311389"/>
    <w:rsid w:val="26612061"/>
    <w:rsid w:val="268C0DDD"/>
    <w:rsid w:val="268E0808"/>
    <w:rsid w:val="26B23657"/>
    <w:rsid w:val="26CA5E5C"/>
    <w:rsid w:val="26CD67C2"/>
    <w:rsid w:val="27090EBD"/>
    <w:rsid w:val="273A3B66"/>
    <w:rsid w:val="27400876"/>
    <w:rsid w:val="275971D9"/>
    <w:rsid w:val="276775E3"/>
    <w:rsid w:val="2773258E"/>
    <w:rsid w:val="27983FEE"/>
    <w:rsid w:val="27B66B84"/>
    <w:rsid w:val="27B74E35"/>
    <w:rsid w:val="27E40677"/>
    <w:rsid w:val="27EE3AFB"/>
    <w:rsid w:val="282B6DED"/>
    <w:rsid w:val="28426557"/>
    <w:rsid w:val="284620D4"/>
    <w:rsid w:val="28791080"/>
    <w:rsid w:val="28B14C3F"/>
    <w:rsid w:val="28CD5F1A"/>
    <w:rsid w:val="28D5096F"/>
    <w:rsid w:val="2901713D"/>
    <w:rsid w:val="29090D35"/>
    <w:rsid w:val="2912272D"/>
    <w:rsid w:val="298B4E94"/>
    <w:rsid w:val="299C614B"/>
    <w:rsid w:val="29C235A5"/>
    <w:rsid w:val="29DF1E83"/>
    <w:rsid w:val="29FE1E11"/>
    <w:rsid w:val="2A03331C"/>
    <w:rsid w:val="2A2337E0"/>
    <w:rsid w:val="2A2D0A8E"/>
    <w:rsid w:val="2A3723B5"/>
    <w:rsid w:val="2A401E01"/>
    <w:rsid w:val="2A4D340D"/>
    <w:rsid w:val="2A61307F"/>
    <w:rsid w:val="2A624B8B"/>
    <w:rsid w:val="2A866380"/>
    <w:rsid w:val="2A885F83"/>
    <w:rsid w:val="2B2945B3"/>
    <w:rsid w:val="2B3078C2"/>
    <w:rsid w:val="2B382072"/>
    <w:rsid w:val="2B3A2B98"/>
    <w:rsid w:val="2B6B0B6D"/>
    <w:rsid w:val="2B6C5D72"/>
    <w:rsid w:val="2B910373"/>
    <w:rsid w:val="2C3E5422"/>
    <w:rsid w:val="2C4B6D4D"/>
    <w:rsid w:val="2C9C1EFE"/>
    <w:rsid w:val="2CB36ABA"/>
    <w:rsid w:val="2CBE4236"/>
    <w:rsid w:val="2CD90465"/>
    <w:rsid w:val="2CF75AF5"/>
    <w:rsid w:val="2D5664DE"/>
    <w:rsid w:val="2D6D06D8"/>
    <w:rsid w:val="2DCEA62F"/>
    <w:rsid w:val="2DD32649"/>
    <w:rsid w:val="2E0C3040"/>
    <w:rsid w:val="2E1D4F63"/>
    <w:rsid w:val="2E3E4CA5"/>
    <w:rsid w:val="2E512252"/>
    <w:rsid w:val="2E605F3C"/>
    <w:rsid w:val="2E6A07BE"/>
    <w:rsid w:val="2E7BFD7B"/>
    <w:rsid w:val="2E9574DA"/>
    <w:rsid w:val="2E9B432D"/>
    <w:rsid w:val="2EA1295C"/>
    <w:rsid w:val="2EBD1B49"/>
    <w:rsid w:val="2ECB4CA9"/>
    <w:rsid w:val="2ECD1C6B"/>
    <w:rsid w:val="2ECF2E6C"/>
    <w:rsid w:val="2EDC6D00"/>
    <w:rsid w:val="2F0C75D6"/>
    <w:rsid w:val="2F7C73CB"/>
    <w:rsid w:val="2F8A753A"/>
    <w:rsid w:val="2FA974CF"/>
    <w:rsid w:val="2FB74983"/>
    <w:rsid w:val="2FC37E14"/>
    <w:rsid w:val="30005153"/>
    <w:rsid w:val="301544AB"/>
    <w:rsid w:val="301E5C37"/>
    <w:rsid w:val="3044225A"/>
    <w:rsid w:val="307E4D3E"/>
    <w:rsid w:val="3082583C"/>
    <w:rsid w:val="308E6FBA"/>
    <w:rsid w:val="310B6DA8"/>
    <w:rsid w:val="31123098"/>
    <w:rsid w:val="311834DF"/>
    <w:rsid w:val="31421255"/>
    <w:rsid w:val="31491EFA"/>
    <w:rsid w:val="31DF3148"/>
    <w:rsid w:val="320C360F"/>
    <w:rsid w:val="321B35C0"/>
    <w:rsid w:val="322814D9"/>
    <w:rsid w:val="32293C6E"/>
    <w:rsid w:val="322F4B2F"/>
    <w:rsid w:val="32672A40"/>
    <w:rsid w:val="3268794A"/>
    <w:rsid w:val="32A0644D"/>
    <w:rsid w:val="32AE1990"/>
    <w:rsid w:val="32E703E7"/>
    <w:rsid w:val="32F97908"/>
    <w:rsid w:val="33186469"/>
    <w:rsid w:val="33693D11"/>
    <w:rsid w:val="3375624A"/>
    <w:rsid w:val="3383123D"/>
    <w:rsid w:val="339262A6"/>
    <w:rsid w:val="339B4182"/>
    <w:rsid w:val="339C4E66"/>
    <w:rsid w:val="339E298D"/>
    <w:rsid w:val="33FF0C3D"/>
    <w:rsid w:val="34020204"/>
    <w:rsid w:val="34067ECC"/>
    <w:rsid w:val="34110FF9"/>
    <w:rsid w:val="34175314"/>
    <w:rsid w:val="34212BD6"/>
    <w:rsid w:val="34440303"/>
    <w:rsid w:val="347E0FB0"/>
    <w:rsid w:val="347F02BC"/>
    <w:rsid w:val="34B14942"/>
    <w:rsid w:val="34B34216"/>
    <w:rsid w:val="34E402F2"/>
    <w:rsid w:val="352047DF"/>
    <w:rsid w:val="355365EC"/>
    <w:rsid w:val="35572FC2"/>
    <w:rsid w:val="35871813"/>
    <w:rsid w:val="35A10512"/>
    <w:rsid w:val="35A53805"/>
    <w:rsid w:val="35E03366"/>
    <w:rsid w:val="35E9133F"/>
    <w:rsid w:val="362B5B29"/>
    <w:rsid w:val="364C0C41"/>
    <w:rsid w:val="36654E03"/>
    <w:rsid w:val="369E0C8B"/>
    <w:rsid w:val="36B03BF9"/>
    <w:rsid w:val="36BF2A4B"/>
    <w:rsid w:val="36DA2C14"/>
    <w:rsid w:val="36E0506A"/>
    <w:rsid w:val="37357170"/>
    <w:rsid w:val="37564211"/>
    <w:rsid w:val="37752EBF"/>
    <w:rsid w:val="377F1446"/>
    <w:rsid w:val="377F67F0"/>
    <w:rsid w:val="37A8202C"/>
    <w:rsid w:val="37C53BA6"/>
    <w:rsid w:val="37CC4B18"/>
    <w:rsid w:val="37D42BF8"/>
    <w:rsid w:val="38484C75"/>
    <w:rsid w:val="38560C26"/>
    <w:rsid w:val="38850EA3"/>
    <w:rsid w:val="38AD1864"/>
    <w:rsid w:val="38B3578B"/>
    <w:rsid w:val="38B7004D"/>
    <w:rsid w:val="38B86862"/>
    <w:rsid w:val="38F456F5"/>
    <w:rsid w:val="391A2715"/>
    <w:rsid w:val="393923E4"/>
    <w:rsid w:val="399402D7"/>
    <w:rsid w:val="39B32F0A"/>
    <w:rsid w:val="39B855BD"/>
    <w:rsid w:val="3A1E53AD"/>
    <w:rsid w:val="3A234172"/>
    <w:rsid w:val="3A3B731D"/>
    <w:rsid w:val="3A470F81"/>
    <w:rsid w:val="3A4A1C07"/>
    <w:rsid w:val="3A881279"/>
    <w:rsid w:val="3AC23405"/>
    <w:rsid w:val="3ACB6740"/>
    <w:rsid w:val="3AD92B3F"/>
    <w:rsid w:val="3AE5143C"/>
    <w:rsid w:val="3B0A0626"/>
    <w:rsid w:val="3B691AD2"/>
    <w:rsid w:val="3B726472"/>
    <w:rsid w:val="3B7DA33F"/>
    <w:rsid w:val="3B9E62BE"/>
    <w:rsid w:val="3BC037A4"/>
    <w:rsid w:val="3C3B145B"/>
    <w:rsid w:val="3C5D4DB2"/>
    <w:rsid w:val="3C7E4390"/>
    <w:rsid w:val="3C833745"/>
    <w:rsid w:val="3C8977A4"/>
    <w:rsid w:val="3CAD7138"/>
    <w:rsid w:val="3CBD687A"/>
    <w:rsid w:val="3CBD6F27"/>
    <w:rsid w:val="3CCB53BF"/>
    <w:rsid w:val="3D0D1601"/>
    <w:rsid w:val="3D6E1622"/>
    <w:rsid w:val="3D8B03F6"/>
    <w:rsid w:val="3E291E46"/>
    <w:rsid w:val="3E3068D7"/>
    <w:rsid w:val="3E3F1926"/>
    <w:rsid w:val="3E483E97"/>
    <w:rsid w:val="3E4F1453"/>
    <w:rsid w:val="3E5A2D2E"/>
    <w:rsid w:val="3E7C197B"/>
    <w:rsid w:val="3E921340"/>
    <w:rsid w:val="3F5061FF"/>
    <w:rsid w:val="3F5900B0"/>
    <w:rsid w:val="3F676329"/>
    <w:rsid w:val="3F9C494E"/>
    <w:rsid w:val="3FAB10AD"/>
    <w:rsid w:val="3FB93AEA"/>
    <w:rsid w:val="3FD07AA9"/>
    <w:rsid w:val="3FEA233C"/>
    <w:rsid w:val="4014038D"/>
    <w:rsid w:val="405A5E8D"/>
    <w:rsid w:val="405E54A0"/>
    <w:rsid w:val="405F70F8"/>
    <w:rsid w:val="40B75801"/>
    <w:rsid w:val="40D74927"/>
    <w:rsid w:val="40EE3E95"/>
    <w:rsid w:val="41134450"/>
    <w:rsid w:val="411805E2"/>
    <w:rsid w:val="414F6EE9"/>
    <w:rsid w:val="41603D08"/>
    <w:rsid w:val="416040A6"/>
    <w:rsid w:val="416845DA"/>
    <w:rsid w:val="416A241C"/>
    <w:rsid w:val="41DB1250"/>
    <w:rsid w:val="41E159F5"/>
    <w:rsid w:val="4228277E"/>
    <w:rsid w:val="423C1CEE"/>
    <w:rsid w:val="42502E80"/>
    <w:rsid w:val="42A85862"/>
    <w:rsid w:val="42E63A08"/>
    <w:rsid w:val="42F6303C"/>
    <w:rsid w:val="43005817"/>
    <w:rsid w:val="43217136"/>
    <w:rsid w:val="432A5FEB"/>
    <w:rsid w:val="433C2B9D"/>
    <w:rsid w:val="43572B58"/>
    <w:rsid w:val="43610339"/>
    <w:rsid w:val="437C611B"/>
    <w:rsid w:val="438070B3"/>
    <w:rsid w:val="438D0328"/>
    <w:rsid w:val="439115F6"/>
    <w:rsid w:val="43BA0340"/>
    <w:rsid w:val="43C5363E"/>
    <w:rsid w:val="43D917BF"/>
    <w:rsid w:val="44056110"/>
    <w:rsid w:val="442B201A"/>
    <w:rsid w:val="4448730B"/>
    <w:rsid w:val="446C6548"/>
    <w:rsid w:val="44792962"/>
    <w:rsid w:val="44957494"/>
    <w:rsid w:val="449E2F15"/>
    <w:rsid w:val="44A165CE"/>
    <w:rsid w:val="44A1715D"/>
    <w:rsid w:val="44BF6649"/>
    <w:rsid w:val="44C15E66"/>
    <w:rsid w:val="44D75D0B"/>
    <w:rsid w:val="44DA2A74"/>
    <w:rsid w:val="44ED534F"/>
    <w:rsid w:val="4506388C"/>
    <w:rsid w:val="452F1C93"/>
    <w:rsid w:val="45560719"/>
    <w:rsid w:val="45857508"/>
    <w:rsid w:val="458C0A70"/>
    <w:rsid w:val="459C4852"/>
    <w:rsid w:val="45AB057C"/>
    <w:rsid w:val="45BD1528"/>
    <w:rsid w:val="45C705F8"/>
    <w:rsid w:val="45D658D5"/>
    <w:rsid w:val="45E160E7"/>
    <w:rsid w:val="45E175E7"/>
    <w:rsid w:val="45FD79E7"/>
    <w:rsid w:val="46080501"/>
    <w:rsid w:val="46123B31"/>
    <w:rsid w:val="46324A7E"/>
    <w:rsid w:val="46362EF9"/>
    <w:rsid w:val="46472A10"/>
    <w:rsid w:val="4651107F"/>
    <w:rsid w:val="465574A1"/>
    <w:rsid w:val="465C5C72"/>
    <w:rsid w:val="4672101B"/>
    <w:rsid w:val="468D48BA"/>
    <w:rsid w:val="468F0B8A"/>
    <w:rsid w:val="46CB25D3"/>
    <w:rsid w:val="46CB47AB"/>
    <w:rsid w:val="46E82445"/>
    <w:rsid w:val="46EB3CE3"/>
    <w:rsid w:val="47133534"/>
    <w:rsid w:val="471F573B"/>
    <w:rsid w:val="47233AA7"/>
    <w:rsid w:val="47826516"/>
    <w:rsid w:val="47A95B3A"/>
    <w:rsid w:val="47CA7D9C"/>
    <w:rsid w:val="47F93017"/>
    <w:rsid w:val="480A1226"/>
    <w:rsid w:val="480B131E"/>
    <w:rsid w:val="488A48C9"/>
    <w:rsid w:val="489A24E8"/>
    <w:rsid w:val="48AF6809"/>
    <w:rsid w:val="48B76317"/>
    <w:rsid w:val="48B830BB"/>
    <w:rsid w:val="48BB3958"/>
    <w:rsid w:val="48BC14A1"/>
    <w:rsid w:val="48BD520B"/>
    <w:rsid w:val="48D85A12"/>
    <w:rsid w:val="48FF637B"/>
    <w:rsid w:val="490B6891"/>
    <w:rsid w:val="491A2F72"/>
    <w:rsid w:val="49463622"/>
    <w:rsid w:val="498126DD"/>
    <w:rsid w:val="49A1549B"/>
    <w:rsid w:val="49AC016B"/>
    <w:rsid w:val="49D0648D"/>
    <w:rsid w:val="49FB423D"/>
    <w:rsid w:val="4A1F0A85"/>
    <w:rsid w:val="4A215AAB"/>
    <w:rsid w:val="4A36062E"/>
    <w:rsid w:val="4A6961A2"/>
    <w:rsid w:val="4A7767A6"/>
    <w:rsid w:val="4AE10D6E"/>
    <w:rsid w:val="4AE3603B"/>
    <w:rsid w:val="4AEB0FEA"/>
    <w:rsid w:val="4B0215FB"/>
    <w:rsid w:val="4B8770AA"/>
    <w:rsid w:val="4B9F7A9C"/>
    <w:rsid w:val="4BB2750C"/>
    <w:rsid w:val="4BBF20A9"/>
    <w:rsid w:val="4BC24089"/>
    <w:rsid w:val="4BD25472"/>
    <w:rsid w:val="4BD552B9"/>
    <w:rsid w:val="4C30678B"/>
    <w:rsid w:val="4C433C79"/>
    <w:rsid w:val="4C5F6CA1"/>
    <w:rsid w:val="4C7E6A60"/>
    <w:rsid w:val="4CAD4F6D"/>
    <w:rsid w:val="4CE97FD3"/>
    <w:rsid w:val="4D152462"/>
    <w:rsid w:val="4D3B4C66"/>
    <w:rsid w:val="4D743090"/>
    <w:rsid w:val="4D846CE5"/>
    <w:rsid w:val="4D8A326C"/>
    <w:rsid w:val="4DC200A2"/>
    <w:rsid w:val="4DE24AEA"/>
    <w:rsid w:val="4DE34A9B"/>
    <w:rsid w:val="4E0D0646"/>
    <w:rsid w:val="4E4336C1"/>
    <w:rsid w:val="4E7F5794"/>
    <w:rsid w:val="4EAF55F6"/>
    <w:rsid w:val="4EC06A86"/>
    <w:rsid w:val="4EFC4E5F"/>
    <w:rsid w:val="4F6F0867"/>
    <w:rsid w:val="4F824AB9"/>
    <w:rsid w:val="4FAE338C"/>
    <w:rsid w:val="4FAE5CA7"/>
    <w:rsid w:val="4FE1559E"/>
    <w:rsid w:val="4FFB2245"/>
    <w:rsid w:val="50102EE5"/>
    <w:rsid w:val="5011737A"/>
    <w:rsid w:val="50146059"/>
    <w:rsid w:val="506E64A5"/>
    <w:rsid w:val="50841EA7"/>
    <w:rsid w:val="50963FEB"/>
    <w:rsid w:val="50C21EAD"/>
    <w:rsid w:val="50EC7C1F"/>
    <w:rsid w:val="51125647"/>
    <w:rsid w:val="512675EC"/>
    <w:rsid w:val="513242BC"/>
    <w:rsid w:val="5134045D"/>
    <w:rsid w:val="514E7348"/>
    <w:rsid w:val="51713037"/>
    <w:rsid w:val="51A451BA"/>
    <w:rsid w:val="51F36142"/>
    <w:rsid w:val="5221680B"/>
    <w:rsid w:val="52224331"/>
    <w:rsid w:val="52394042"/>
    <w:rsid w:val="523F1A06"/>
    <w:rsid w:val="52404E44"/>
    <w:rsid w:val="52552958"/>
    <w:rsid w:val="527419F5"/>
    <w:rsid w:val="527470D1"/>
    <w:rsid w:val="52975405"/>
    <w:rsid w:val="52A94F07"/>
    <w:rsid w:val="52B31D05"/>
    <w:rsid w:val="52B96A43"/>
    <w:rsid w:val="52ED0888"/>
    <w:rsid w:val="52EF06DB"/>
    <w:rsid w:val="5306231C"/>
    <w:rsid w:val="5319460C"/>
    <w:rsid w:val="532540B5"/>
    <w:rsid w:val="533B05E6"/>
    <w:rsid w:val="537F1245"/>
    <w:rsid w:val="53877353"/>
    <w:rsid w:val="53C9715A"/>
    <w:rsid w:val="53D86CDD"/>
    <w:rsid w:val="53FE181C"/>
    <w:rsid w:val="54131E71"/>
    <w:rsid w:val="54815B8E"/>
    <w:rsid w:val="5488491F"/>
    <w:rsid w:val="54C05753"/>
    <w:rsid w:val="54FF2BDD"/>
    <w:rsid w:val="553418C3"/>
    <w:rsid w:val="55515659"/>
    <w:rsid w:val="55522844"/>
    <w:rsid w:val="55661E53"/>
    <w:rsid w:val="557B2B0C"/>
    <w:rsid w:val="55BB5A99"/>
    <w:rsid w:val="55EF15FA"/>
    <w:rsid w:val="561145CC"/>
    <w:rsid w:val="5616736A"/>
    <w:rsid w:val="562754E3"/>
    <w:rsid w:val="565E627F"/>
    <w:rsid w:val="56645CCD"/>
    <w:rsid w:val="56737851"/>
    <w:rsid w:val="569804A9"/>
    <w:rsid w:val="56C3728D"/>
    <w:rsid w:val="56E60023"/>
    <w:rsid w:val="57555612"/>
    <w:rsid w:val="57761358"/>
    <w:rsid w:val="5783052C"/>
    <w:rsid w:val="57874E10"/>
    <w:rsid w:val="57CB11C6"/>
    <w:rsid w:val="57EE2BFB"/>
    <w:rsid w:val="57FF0296"/>
    <w:rsid w:val="582337E2"/>
    <w:rsid w:val="58650817"/>
    <w:rsid w:val="58692938"/>
    <w:rsid w:val="58AE75D5"/>
    <w:rsid w:val="59977DAE"/>
    <w:rsid w:val="59A756E0"/>
    <w:rsid w:val="59AD307A"/>
    <w:rsid w:val="59CC7AE7"/>
    <w:rsid w:val="59CD058C"/>
    <w:rsid w:val="59D14FBA"/>
    <w:rsid w:val="59E248C5"/>
    <w:rsid w:val="5A07674D"/>
    <w:rsid w:val="5ACF7D8B"/>
    <w:rsid w:val="5AEB3E5A"/>
    <w:rsid w:val="5AEE086C"/>
    <w:rsid w:val="5AFD2B13"/>
    <w:rsid w:val="5B0319CF"/>
    <w:rsid w:val="5B583E14"/>
    <w:rsid w:val="5B773940"/>
    <w:rsid w:val="5B7B13AF"/>
    <w:rsid w:val="5B8878FB"/>
    <w:rsid w:val="5BD223EA"/>
    <w:rsid w:val="5BF019AB"/>
    <w:rsid w:val="5C2A47C0"/>
    <w:rsid w:val="5C356211"/>
    <w:rsid w:val="5CA62B67"/>
    <w:rsid w:val="5CA85EFB"/>
    <w:rsid w:val="5CCE3563"/>
    <w:rsid w:val="5D384789"/>
    <w:rsid w:val="5D3B758B"/>
    <w:rsid w:val="5D5C0AE7"/>
    <w:rsid w:val="5D7609CA"/>
    <w:rsid w:val="5DBE131F"/>
    <w:rsid w:val="5E1F7CAC"/>
    <w:rsid w:val="5E2676F1"/>
    <w:rsid w:val="5E3020FD"/>
    <w:rsid w:val="5EBE53E1"/>
    <w:rsid w:val="5EC46E9C"/>
    <w:rsid w:val="5EC7698C"/>
    <w:rsid w:val="5F11183D"/>
    <w:rsid w:val="5F62285E"/>
    <w:rsid w:val="5F757EE9"/>
    <w:rsid w:val="5F7600DC"/>
    <w:rsid w:val="5F797C86"/>
    <w:rsid w:val="5F8FD4AA"/>
    <w:rsid w:val="5FDB52AC"/>
    <w:rsid w:val="601A61C3"/>
    <w:rsid w:val="605E57B6"/>
    <w:rsid w:val="60CF1428"/>
    <w:rsid w:val="61214EA3"/>
    <w:rsid w:val="612400C6"/>
    <w:rsid w:val="61323676"/>
    <w:rsid w:val="61353054"/>
    <w:rsid w:val="615269E1"/>
    <w:rsid w:val="615E61C7"/>
    <w:rsid w:val="6182169B"/>
    <w:rsid w:val="61892790"/>
    <w:rsid w:val="618B7B89"/>
    <w:rsid w:val="61AF54D7"/>
    <w:rsid w:val="61BF7532"/>
    <w:rsid w:val="61F15435"/>
    <w:rsid w:val="62141EE8"/>
    <w:rsid w:val="622301A0"/>
    <w:rsid w:val="622D31D4"/>
    <w:rsid w:val="623A4025"/>
    <w:rsid w:val="626A5FAC"/>
    <w:rsid w:val="629923ED"/>
    <w:rsid w:val="62C665ED"/>
    <w:rsid w:val="62DB50CE"/>
    <w:rsid w:val="62EC339C"/>
    <w:rsid w:val="63041E6D"/>
    <w:rsid w:val="634D35BC"/>
    <w:rsid w:val="63561418"/>
    <w:rsid w:val="63620A31"/>
    <w:rsid w:val="636829D8"/>
    <w:rsid w:val="63696264"/>
    <w:rsid w:val="63945A0E"/>
    <w:rsid w:val="63EF514A"/>
    <w:rsid w:val="63FF4368"/>
    <w:rsid w:val="641A755E"/>
    <w:rsid w:val="643B59D5"/>
    <w:rsid w:val="649E3BDD"/>
    <w:rsid w:val="64BE77CC"/>
    <w:rsid w:val="65213BDB"/>
    <w:rsid w:val="6535408B"/>
    <w:rsid w:val="659A2704"/>
    <w:rsid w:val="65A73073"/>
    <w:rsid w:val="65B43BA3"/>
    <w:rsid w:val="65BB267B"/>
    <w:rsid w:val="65BD667D"/>
    <w:rsid w:val="65D17026"/>
    <w:rsid w:val="661E1452"/>
    <w:rsid w:val="66225A21"/>
    <w:rsid w:val="66382D1C"/>
    <w:rsid w:val="666E76AB"/>
    <w:rsid w:val="66865856"/>
    <w:rsid w:val="66896711"/>
    <w:rsid w:val="669B38C6"/>
    <w:rsid w:val="66E75210"/>
    <w:rsid w:val="67086D87"/>
    <w:rsid w:val="67157BBB"/>
    <w:rsid w:val="672506F4"/>
    <w:rsid w:val="6734245B"/>
    <w:rsid w:val="676034DA"/>
    <w:rsid w:val="677A0A3F"/>
    <w:rsid w:val="678C6708"/>
    <w:rsid w:val="67920C47"/>
    <w:rsid w:val="67A01A11"/>
    <w:rsid w:val="67B81568"/>
    <w:rsid w:val="67CD5013"/>
    <w:rsid w:val="67FD3177"/>
    <w:rsid w:val="681A38D9"/>
    <w:rsid w:val="681D195F"/>
    <w:rsid w:val="682F1E5E"/>
    <w:rsid w:val="68AB67DA"/>
    <w:rsid w:val="68CC0CD6"/>
    <w:rsid w:val="69085C00"/>
    <w:rsid w:val="69112CDD"/>
    <w:rsid w:val="69644B75"/>
    <w:rsid w:val="699E71E5"/>
    <w:rsid w:val="69A007FA"/>
    <w:rsid w:val="69AD48AC"/>
    <w:rsid w:val="69CE6E20"/>
    <w:rsid w:val="69DF3283"/>
    <w:rsid w:val="69EF59DA"/>
    <w:rsid w:val="6A194542"/>
    <w:rsid w:val="6A315DF5"/>
    <w:rsid w:val="6A541985"/>
    <w:rsid w:val="6A67407D"/>
    <w:rsid w:val="6A8713B1"/>
    <w:rsid w:val="6A8A1E57"/>
    <w:rsid w:val="6A9A4F55"/>
    <w:rsid w:val="6AB84399"/>
    <w:rsid w:val="6AC111E7"/>
    <w:rsid w:val="6AD62942"/>
    <w:rsid w:val="6B0413A0"/>
    <w:rsid w:val="6B137AAB"/>
    <w:rsid w:val="6B242A8A"/>
    <w:rsid w:val="6B3158B9"/>
    <w:rsid w:val="6B3A6097"/>
    <w:rsid w:val="6B472681"/>
    <w:rsid w:val="6B930322"/>
    <w:rsid w:val="6B947BF6"/>
    <w:rsid w:val="6B9A5D58"/>
    <w:rsid w:val="6BA50011"/>
    <w:rsid w:val="6BB42046"/>
    <w:rsid w:val="6BEC0C66"/>
    <w:rsid w:val="6BF12836"/>
    <w:rsid w:val="6BF57A54"/>
    <w:rsid w:val="6BFC6D28"/>
    <w:rsid w:val="6C032BA3"/>
    <w:rsid w:val="6C231205"/>
    <w:rsid w:val="6C2E787B"/>
    <w:rsid w:val="6CB22A29"/>
    <w:rsid w:val="6CE82AEA"/>
    <w:rsid w:val="6D382F3C"/>
    <w:rsid w:val="6D5011E3"/>
    <w:rsid w:val="6D7E39B6"/>
    <w:rsid w:val="6D974AB8"/>
    <w:rsid w:val="6DC53F83"/>
    <w:rsid w:val="6DD32C57"/>
    <w:rsid w:val="6DEA5676"/>
    <w:rsid w:val="6DF27138"/>
    <w:rsid w:val="6DFB2026"/>
    <w:rsid w:val="6E075FA3"/>
    <w:rsid w:val="6E1462F1"/>
    <w:rsid w:val="6E285B7D"/>
    <w:rsid w:val="6E2E09F0"/>
    <w:rsid w:val="6E3952F4"/>
    <w:rsid w:val="6E5A3B90"/>
    <w:rsid w:val="6EB25F06"/>
    <w:rsid w:val="6EC57377"/>
    <w:rsid w:val="6ED8429D"/>
    <w:rsid w:val="6EFB528F"/>
    <w:rsid w:val="6F101C89"/>
    <w:rsid w:val="6F1053E6"/>
    <w:rsid w:val="6F184060"/>
    <w:rsid w:val="6F475D5A"/>
    <w:rsid w:val="6FB1521A"/>
    <w:rsid w:val="6FCA3D02"/>
    <w:rsid w:val="70025CE0"/>
    <w:rsid w:val="700B5A54"/>
    <w:rsid w:val="702205A9"/>
    <w:rsid w:val="705845CA"/>
    <w:rsid w:val="705C75B7"/>
    <w:rsid w:val="70B07E23"/>
    <w:rsid w:val="70C60851"/>
    <w:rsid w:val="70C70427"/>
    <w:rsid w:val="70CE31A4"/>
    <w:rsid w:val="70E52DAA"/>
    <w:rsid w:val="71050AF1"/>
    <w:rsid w:val="710E785B"/>
    <w:rsid w:val="711E0D1B"/>
    <w:rsid w:val="71254610"/>
    <w:rsid w:val="71306445"/>
    <w:rsid w:val="71351CBC"/>
    <w:rsid w:val="713779A1"/>
    <w:rsid w:val="714A783B"/>
    <w:rsid w:val="714D3E90"/>
    <w:rsid w:val="71685AA9"/>
    <w:rsid w:val="716D7778"/>
    <w:rsid w:val="71E73175"/>
    <w:rsid w:val="72121BA5"/>
    <w:rsid w:val="72183630"/>
    <w:rsid w:val="72284A2D"/>
    <w:rsid w:val="722A3062"/>
    <w:rsid w:val="72377386"/>
    <w:rsid w:val="724C393A"/>
    <w:rsid w:val="725F3E00"/>
    <w:rsid w:val="72842453"/>
    <w:rsid w:val="728F1117"/>
    <w:rsid w:val="729D55E2"/>
    <w:rsid w:val="72B87C2C"/>
    <w:rsid w:val="72FA22E2"/>
    <w:rsid w:val="733E6DC5"/>
    <w:rsid w:val="73444D5B"/>
    <w:rsid w:val="735A1C5A"/>
    <w:rsid w:val="73621CCF"/>
    <w:rsid w:val="73806E8E"/>
    <w:rsid w:val="73860117"/>
    <w:rsid w:val="73E815C1"/>
    <w:rsid w:val="74045405"/>
    <w:rsid w:val="740F42BD"/>
    <w:rsid w:val="742E508B"/>
    <w:rsid w:val="742F6340"/>
    <w:rsid w:val="743F4AED"/>
    <w:rsid w:val="74494FC8"/>
    <w:rsid w:val="74D972B1"/>
    <w:rsid w:val="7505479B"/>
    <w:rsid w:val="750D00B9"/>
    <w:rsid w:val="751C34AE"/>
    <w:rsid w:val="759ECD93"/>
    <w:rsid w:val="75A1646D"/>
    <w:rsid w:val="75EB2452"/>
    <w:rsid w:val="760616F0"/>
    <w:rsid w:val="763A399B"/>
    <w:rsid w:val="76676690"/>
    <w:rsid w:val="7685556B"/>
    <w:rsid w:val="76892C15"/>
    <w:rsid w:val="76BC3F4C"/>
    <w:rsid w:val="76E76DDB"/>
    <w:rsid w:val="76EE3F2C"/>
    <w:rsid w:val="770A29D5"/>
    <w:rsid w:val="77112A42"/>
    <w:rsid w:val="774234B9"/>
    <w:rsid w:val="77434185"/>
    <w:rsid w:val="7746449A"/>
    <w:rsid w:val="77684356"/>
    <w:rsid w:val="77843521"/>
    <w:rsid w:val="77A04669"/>
    <w:rsid w:val="77F78C1E"/>
    <w:rsid w:val="7847232C"/>
    <w:rsid w:val="78531BFB"/>
    <w:rsid w:val="78586870"/>
    <w:rsid w:val="785B420C"/>
    <w:rsid w:val="78640EFE"/>
    <w:rsid w:val="786772D6"/>
    <w:rsid w:val="78681101"/>
    <w:rsid w:val="786E4D72"/>
    <w:rsid w:val="78B96685"/>
    <w:rsid w:val="78C728B3"/>
    <w:rsid w:val="78EF0B61"/>
    <w:rsid w:val="79246C6F"/>
    <w:rsid w:val="79316C75"/>
    <w:rsid w:val="7940316B"/>
    <w:rsid w:val="794763A5"/>
    <w:rsid w:val="79772EE1"/>
    <w:rsid w:val="798B1853"/>
    <w:rsid w:val="798D58F3"/>
    <w:rsid w:val="799854F0"/>
    <w:rsid w:val="79C43D9C"/>
    <w:rsid w:val="79ED1D6E"/>
    <w:rsid w:val="79EE6476"/>
    <w:rsid w:val="7A122D59"/>
    <w:rsid w:val="7A1F6CB4"/>
    <w:rsid w:val="7A467D6E"/>
    <w:rsid w:val="7A535BBA"/>
    <w:rsid w:val="7A542535"/>
    <w:rsid w:val="7A70438A"/>
    <w:rsid w:val="7AAA4D40"/>
    <w:rsid w:val="7ADC0C0A"/>
    <w:rsid w:val="7AED10D1"/>
    <w:rsid w:val="7B014C15"/>
    <w:rsid w:val="7B2B6939"/>
    <w:rsid w:val="7B3F362A"/>
    <w:rsid w:val="7B5839D4"/>
    <w:rsid w:val="7B5B6AF4"/>
    <w:rsid w:val="7B5E1FE8"/>
    <w:rsid w:val="7B7787DD"/>
    <w:rsid w:val="7B9C025B"/>
    <w:rsid w:val="7BAE7D13"/>
    <w:rsid w:val="7BC63DFB"/>
    <w:rsid w:val="7BCC6F38"/>
    <w:rsid w:val="7C010774"/>
    <w:rsid w:val="7C5E7D7E"/>
    <w:rsid w:val="7C6A0D99"/>
    <w:rsid w:val="7CCD740C"/>
    <w:rsid w:val="7CDE53F0"/>
    <w:rsid w:val="7CF136B9"/>
    <w:rsid w:val="7D00333D"/>
    <w:rsid w:val="7D124E1E"/>
    <w:rsid w:val="7D3730FC"/>
    <w:rsid w:val="7D3E3E65"/>
    <w:rsid w:val="7D4E22FA"/>
    <w:rsid w:val="7D5048D8"/>
    <w:rsid w:val="7D5524B2"/>
    <w:rsid w:val="7D5D07EC"/>
    <w:rsid w:val="7D6112F5"/>
    <w:rsid w:val="7D66655C"/>
    <w:rsid w:val="7D7D0A97"/>
    <w:rsid w:val="7DBA4314"/>
    <w:rsid w:val="7DBF4D4E"/>
    <w:rsid w:val="7DDA5C4F"/>
    <w:rsid w:val="7DDF09B7"/>
    <w:rsid w:val="7DE149EC"/>
    <w:rsid w:val="7E097FCF"/>
    <w:rsid w:val="7E2C603C"/>
    <w:rsid w:val="7E332B5D"/>
    <w:rsid w:val="7E5112AD"/>
    <w:rsid w:val="7E514C77"/>
    <w:rsid w:val="7E5666C1"/>
    <w:rsid w:val="7E6B0C8A"/>
    <w:rsid w:val="7E7FF718"/>
    <w:rsid w:val="7E914C9E"/>
    <w:rsid w:val="7EE17B26"/>
    <w:rsid w:val="7EEB205B"/>
    <w:rsid w:val="7EF48D5D"/>
    <w:rsid w:val="7EF54389"/>
    <w:rsid w:val="7F046965"/>
    <w:rsid w:val="7F15345C"/>
    <w:rsid w:val="7F230A24"/>
    <w:rsid w:val="7F3B240A"/>
    <w:rsid w:val="7F3F2B98"/>
    <w:rsid w:val="7F40224A"/>
    <w:rsid w:val="7F695C83"/>
    <w:rsid w:val="7F817745"/>
    <w:rsid w:val="7FA93AC2"/>
    <w:rsid w:val="7FCC39AA"/>
    <w:rsid w:val="7FE02829"/>
    <w:rsid w:val="7FE67123"/>
    <w:rsid w:val="7FF709BB"/>
    <w:rsid w:val="B7FEA023"/>
    <w:rsid w:val="BF4BDEBE"/>
    <w:rsid w:val="BFBC2EF8"/>
    <w:rsid w:val="BFDE947F"/>
    <w:rsid w:val="CDFFF7FC"/>
    <w:rsid w:val="D741AD2C"/>
    <w:rsid w:val="D7F128D3"/>
    <w:rsid w:val="DBF1C71B"/>
    <w:rsid w:val="DBF5FAC1"/>
    <w:rsid w:val="DFDD57A5"/>
    <w:rsid w:val="F67DA9F6"/>
    <w:rsid w:val="F7FF8102"/>
    <w:rsid w:val="F9B7C600"/>
    <w:rsid w:val="FDFFD16B"/>
    <w:rsid w:val="FF5DBE7E"/>
    <w:rsid w:val="FF6F8D13"/>
    <w:rsid w:val="FFEFE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5">
    <w:name w:val="heading 2"/>
    <w:basedOn w:val="1"/>
    <w:next w:val="1"/>
    <w:link w:val="55"/>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6">
    <w:name w:val="heading 3"/>
    <w:basedOn w:val="1"/>
    <w:next w:val="1"/>
    <w:link w:val="111"/>
    <w:qFormat/>
    <w:uiPriority w:val="0"/>
    <w:pPr>
      <w:keepNext/>
      <w:keepLines/>
      <w:tabs>
        <w:tab w:val="left" w:pos="720"/>
      </w:tabs>
      <w:spacing w:before="260" w:after="260" w:line="413" w:lineRule="auto"/>
      <w:ind w:left="720" w:hanging="432"/>
      <w:outlineLvl w:val="2"/>
    </w:pPr>
    <w:rPr>
      <w:b/>
      <w:bCs/>
      <w:sz w:val="32"/>
      <w:szCs w:val="32"/>
    </w:rPr>
  </w:style>
  <w:style w:type="paragraph" w:styleId="7">
    <w:name w:val="heading 4"/>
    <w:basedOn w:val="1"/>
    <w:next w:val="1"/>
    <w:link w:val="57"/>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link w:val="5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5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6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 w:type="paragraph" w:styleId="13">
    <w:name w:val="toc 7"/>
    <w:basedOn w:val="1"/>
    <w:next w:val="1"/>
    <w:qFormat/>
    <w:uiPriority w:val="39"/>
    <w:pPr>
      <w:ind w:left="1260"/>
      <w:jc w:val="left"/>
    </w:pPr>
    <w:rPr>
      <w:sz w:val="20"/>
      <w:szCs w:val="20"/>
    </w:rPr>
  </w:style>
  <w:style w:type="paragraph" w:styleId="14">
    <w:name w:val="Normal Indent"/>
    <w:basedOn w:val="1"/>
    <w:link w:val="63"/>
    <w:qFormat/>
    <w:uiPriority w:val="99"/>
    <w:pPr>
      <w:ind w:firstLine="420"/>
    </w:pPr>
    <w:rPr>
      <w:szCs w:val="20"/>
    </w:rPr>
  </w:style>
  <w:style w:type="paragraph" w:styleId="15">
    <w:name w:val="caption"/>
    <w:basedOn w:val="1"/>
    <w:next w:val="1"/>
    <w:qFormat/>
    <w:uiPriority w:val="35"/>
    <w:rPr>
      <w:rFonts w:ascii="Cambria" w:hAnsi="Cambria" w:eastAsia="黑体"/>
      <w:sz w:val="20"/>
      <w:szCs w:val="20"/>
    </w:rPr>
  </w:style>
  <w:style w:type="paragraph" w:styleId="16">
    <w:name w:val="Document Map"/>
    <w:basedOn w:val="1"/>
    <w:link w:val="64"/>
    <w:qFormat/>
    <w:uiPriority w:val="0"/>
    <w:rPr>
      <w:rFonts w:ascii="宋体"/>
      <w:sz w:val="18"/>
      <w:szCs w:val="18"/>
    </w:rPr>
  </w:style>
  <w:style w:type="paragraph" w:styleId="17">
    <w:name w:val="toa heading"/>
    <w:basedOn w:val="1"/>
    <w:next w:val="1"/>
    <w:unhideWhenUsed/>
    <w:qFormat/>
    <w:uiPriority w:val="99"/>
    <w:pPr>
      <w:spacing w:before="120"/>
    </w:pPr>
    <w:rPr>
      <w:rFonts w:ascii="Cambria" w:hAnsi="Cambria"/>
      <w:sz w:val="24"/>
    </w:rPr>
  </w:style>
  <w:style w:type="paragraph" w:styleId="18">
    <w:name w:val="annotation text"/>
    <w:basedOn w:val="1"/>
    <w:link w:val="65"/>
    <w:qFormat/>
    <w:uiPriority w:val="0"/>
    <w:pPr>
      <w:jc w:val="left"/>
    </w:pPr>
  </w:style>
  <w:style w:type="paragraph" w:styleId="19">
    <w:name w:val="Body Text"/>
    <w:basedOn w:val="1"/>
    <w:next w:val="1"/>
    <w:qFormat/>
    <w:uiPriority w:val="0"/>
    <w:pPr>
      <w:spacing w:after="120"/>
    </w:pPr>
  </w:style>
  <w:style w:type="paragraph" w:styleId="20">
    <w:name w:val="Body Text Indent"/>
    <w:basedOn w:val="1"/>
    <w:qFormat/>
    <w:uiPriority w:val="0"/>
    <w:pPr>
      <w:ind w:firstLine="830" w:firstLineChars="352"/>
    </w:pPr>
    <w:rPr>
      <w:rFonts w:ascii="仿宋_GB2312" w:eastAsia="仿宋_GB2312"/>
      <w:kern w:val="0"/>
      <w:sz w:val="32"/>
      <w:szCs w:val="20"/>
    </w:rPr>
  </w:style>
  <w:style w:type="paragraph" w:styleId="21">
    <w:name w:val="toc 5"/>
    <w:basedOn w:val="1"/>
    <w:next w:val="1"/>
    <w:qFormat/>
    <w:uiPriority w:val="39"/>
    <w:pPr>
      <w:ind w:left="840"/>
      <w:jc w:val="left"/>
    </w:pPr>
    <w:rPr>
      <w:sz w:val="20"/>
      <w:szCs w:val="20"/>
    </w:rPr>
  </w:style>
  <w:style w:type="paragraph" w:styleId="22">
    <w:name w:val="toc 3"/>
    <w:basedOn w:val="1"/>
    <w:next w:val="1"/>
    <w:qFormat/>
    <w:uiPriority w:val="39"/>
    <w:pPr>
      <w:ind w:left="420"/>
      <w:jc w:val="left"/>
    </w:pPr>
    <w:rPr>
      <w:sz w:val="20"/>
      <w:szCs w:val="20"/>
    </w:rPr>
  </w:style>
  <w:style w:type="paragraph" w:styleId="23">
    <w:name w:val="Plain Text"/>
    <w:basedOn w:val="1"/>
    <w:next w:val="24"/>
    <w:link w:val="66"/>
    <w:qFormat/>
    <w:uiPriority w:val="0"/>
    <w:rPr>
      <w:rFonts w:ascii="宋体" w:hAnsi="Courier New"/>
    </w:rPr>
  </w:style>
  <w:style w:type="paragraph" w:customStyle="1" w:styleId="24">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styleId="25">
    <w:name w:val="toc 8"/>
    <w:basedOn w:val="1"/>
    <w:next w:val="1"/>
    <w:qFormat/>
    <w:uiPriority w:val="39"/>
    <w:pPr>
      <w:ind w:left="1470"/>
      <w:jc w:val="left"/>
    </w:pPr>
    <w:rPr>
      <w:sz w:val="20"/>
      <w:szCs w:val="20"/>
    </w:rPr>
  </w:style>
  <w:style w:type="paragraph" w:styleId="26">
    <w:name w:val="Date"/>
    <w:basedOn w:val="1"/>
    <w:next w:val="1"/>
    <w:qFormat/>
    <w:uiPriority w:val="0"/>
    <w:pPr>
      <w:ind w:left="100" w:leftChars="2500"/>
    </w:pPr>
  </w:style>
  <w:style w:type="paragraph" w:styleId="27">
    <w:name w:val="Body Text Indent 2"/>
    <w:basedOn w:val="1"/>
    <w:unhideWhenUsed/>
    <w:qFormat/>
    <w:uiPriority w:val="0"/>
    <w:pPr>
      <w:spacing w:after="120" w:line="480" w:lineRule="auto"/>
      <w:ind w:left="420" w:leftChars="200"/>
    </w:pPr>
  </w:style>
  <w:style w:type="paragraph" w:styleId="28">
    <w:name w:val="Balloon Text"/>
    <w:basedOn w:val="1"/>
    <w:link w:val="67"/>
    <w:qFormat/>
    <w:uiPriority w:val="99"/>
    <w:rPr>
      <w:sz w:val="18"/>
      <w:szCs w:val="18"/>
    </w:rPr>
  </w:style>
  <w:style w:type="paragraph" w:styleId="29">
    <w:name w:val="footer"/>
    <w:basedOn w:val="1"/>
    <w:link w:val="68"/>
    <w:qFormat/>
    <w:uiPriority w:val="99"/>
    <w:pPr>
      <w:tabs>
        <w:tab w:val="center" w:pos="4153"/>
        <w:tab w:val="right" w:pos="8306"/>
      </w:tabs>
      <w:snapToGrid w:val="0"/>
      <w:jc w:val="left"/>
    </w:pPr>
    <w:rPr>
      <w:sz w:val="18"/>
    </w:rPr>
  </w:style>
  <w:style w:type="paragraph" w:styleId="30">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jc w:val="left"/>
    </w:pPr>
    <w:rPr>
      <w:b/>
      <w:bCs/>
      <w:i/>
      <w:iCs/>
      <w:sz w:val="24"/>
    </w:rPr>
  </w:style>
  <w:style w:type="paragraph" w:styleId="32">
    <w:name w:val="toc 4"/>
    <w:basedOn w:val="1"/>
    <w:next w:val="1"/>
    <w:qFormat/>
    <w:uiPriority w:val="39"/>
    <w:pPr>
      <w:ind w:left="630"/>
      <w:jc w:val="left"/>
    </w:pPr>
    <w:rPr>
      <w:sz w:val="20"/>
      <w:szCs w:val="20"/>
    </w:rPr>
  </w:style>
  <w:style w:type="paragraph" w:styleId="33">
    <w:name w:val="index heading"/>
    <w:basedOn w:val="1"/>
    <w:next w:val="34"/>
    <w:qFormat/>
    <w:uiPriority w:val="0"/>
    <w:rPr>
      <w:szCs w:val="20"/>
    </w:rPr>
  </w:style>
  <w:style w:type="paragraph" w:styleId="34">
    <w:name w:val="index 1"/>
    <w:basedOn w:val="1"/>
    <w:next w:val="1"/>
    <w:qFormat/>
    <w:uiPriority w:val="0"/>
    <w:rPr>
      <w:szCs w:val="20"/>
    </w:rPr>
  </w:style>
  <w:style w:type="paragraph" w:styleId="35">
    <w:name w:val="toc 6"/>
    <w:basedOn w:val="1"/>
    <w:next w:val="1"/>
    <w:qFormat/>
    <w:uiPriority w:val="39"/>
    <w:pPr>
      <w:ind w:left="1050"/>
      <w:jc w:val="left"/>
    </w:pPr>
    <w:rPr>
      <w:sz w:val="20"/>
      <w:szCs w:val="20"/>
    </w:rPr>
  </w:style>
  <w:style w:type="paragraph" w:styleId="36">
    <w:name w:val="toc 2"/>
    <w:basedOn w:val="1"/>
    <w:next w:val="1"/>
    <w:link w:val="70"/>
    <w:qFormat/>
    <w:uiPriority w:val="39"/>
    <w:pPr>
      <w:spacing w:before="120"/>
      <w:ind w:left="210"/>
      <w:jc w:val="left"/>
    </w:pPr>
    <w:rPr>
      <w:b/>
      <w:bCs/>
      <w:sz w:val="22"/>
      <w:szCs w:val="22"/>
    </w:rPr>
  </w:style>
  <w:style w:type="paragraph" w:styleId="37">
    <w:name w:val="toc 9"/>
    <w:basedOn w:val="1"/>
    <w:next w:val="1"/>
    <w:qFormat/>
    <w:uiPriority w:val="39"/>
    <w:pPr>
      <w:ind w:left="1680"/>
      <w:jc w:val="left"/>
    </w:pPr>
    <w:rPr>
      <w:sz w:val="20"/>
      <w:szCs w:val="20"/>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Autospacing="1" w:afterAutospacing="1"/>
      <w:jc w:val="left"/>
    </w:pPr>
    <w:rPr>
      <w:rFonts w:hint="eastAsia" w:ascii="宋体" w:hAnsi="宋体"/>
      <w:kern w:val="0"/>
      <w:sz w:val="24"/>
    </w:rPr>
  </w:style>
  <w:style w:type="paragraph" w:styleId="40">
    <w:name w:val="Title"/>
    <w:basedOn w:val="1"/>
    <w:next w:val="1"/>
    <w:qFormat/>
    <w:uiPriority w:val="0"/>
    <w:pPr>
      <w:spacing w:before="240" w:after="60"/>
      <w:jc w:val="center"/>
      <w:outlineLvl w:val="0"/>
    </w:pPr>
    <w:rPr>
      <w:rFonts w:ascii="Cambria" w:hAnsi="Cambria"/>
      <w:b/>
      <w:bCs/>
      <w:sz w:val="32"/>
      <w:szCs w:val="32"/>
    </w:rPr>
  </w:style>
  <w:style w:type="paragraph" w:styleId="41">
    <w:name w:val="annotation subject"/>
    <w:basedOn w:val="18"/>
    <w:next w:val="18"/>
    <w:link w:val="71"/>
    <w:qFormat/>
    <w:uiPriority w:val="99"/>
  </w:style>
  <w:style w:type="paragraph" w:styleId="42">
    <w:name w:val="Body Text First Indent"/>
    <w:basedOn w:val="19"/>
    <w:next w:val="1"/>
    <w:qFormat/>
    <w:uiPriority w:val="0"/>
    <w:pPr>
      <w:ind w:firstLine="420" w:firstLineChars="100"/>
    </w:pPr>
  </w:style>
  <w:style w:type="paragraph" w:styleId="43">
    <w:name w:val="Body Text First Indent 2"/>
    <w:basedOn w:val="20"/>
    <w:qFormat/>
    <w:uiPriority w:val="0"/>
    <w:pPr>
      <w:tabs>
        <w:tab w:val="left" w:pos="720"/>
        <w:tab w:val="left" w:pos="9240"/>
      </w:tabs>
      <w:spacing w:line="360" w:lineRule="auto"/>
      <w:ind w:firstLine="420" w:firstLineChars="200"/>
    </w:pPr>
    <w:rPr>
      <w:rFonts w:ascii="Times New Roman"/>
      <w:sz w:val="24"/>
      <w:szCs w:val="24"/>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0"/>
    <w:rPr>
      <w:b/>
      <w:bCs/>
    </w:rPr>
  </w:style>
  <w:style w:type="character" w:styleId="48">
    <w:name w:val="page number"/>
    <w:qFormat/>
    <w:uiPriority w:val="0"/>
  </w:style>
  <w:style w:type="character" w:styleId="49">
    <w:name w:val="FollowedHyperlink"/>
    <w:basedOn w:val="46"/>
    <w:semiHidden/>
    <w:unhideWhenUsed/>
    <w:qFormat/>
    <w:uiPriority w:val="99"/>
    <w:rPr>
      <w:color w:val="800080"/>
      <w:u w:val="none"/>
    </w:rPr>
  </w:style>
  <w:style w:type="character" w:styleId="50">
    <w:name w:val="Emphasis"/>
    <w:qFormat/>
    <w:uiPriority w:val="20"/>
    <w:rPr>
      <w:i/>
    </w:rPr>
  </w:style>
  <w:style w:type="character" w:styleId="51">
    <w:name w:val="Hyperlink"/>
    <w:qFormat/>
    <w:uiPriority w:val="99"/>
    <w:rPr>
      <w:color w:val="0563C1"/>
      <w:u w:val="single"/>
    </w:rPr>
  </w:style>
  <w:style w:type="character" w:styleId="52">
    <w:name w:val="annotation reference"/>
    <w:basedOn w:val="46"/>
    <w:qFormat/>
    <w:uiPriority w:val="99"/>
    <w:rPr>
      <w:sz w:val="21"/>
      <w:szCs w:val="21"/>
    </w:rPr>
  </w:style>
  <w:style w:type="paragraph" w:customStyle="1" w:styleId="53">
    <w:name w:val="首行缩进"/>
    <w:basedOn w:val="1"/>
    <w:qFormat/>
    <w:uiPriority w:val="0"/>
    <w:pPr>
      <w:ind w:firstLine="480" w:firstLineChars="200"/>
    </w:pPr>
    <w:rPr>
      <w:lang w:val="zh-CN"/>
    </w:rPr>
  </w:style>
  <w:style w:type="paragraph" w:customStyle="1" w:styleId="54">
    <w:name w:val="正文+缩进"/>
    <w:basedOn w:val="1"/>
    <w:qFormat/>
    <w:uiPriority w:val="0"/>
    <w:pPr>
      <w:ind w:firstLine="200" w:firstLineChars="200"/>
    </w:pPr>
  </w:style>
  <w:style w:type="character" w:customStyle="1" w:styleId="55">
    <w:name w:val="标题 2 Char"/>
    <w:link w:val="5"/>
    <w:qFormat/>
    <w:uiPriority w:val="0"/>
    <w:rPr>
      <w:rFonts w:ascii="Arial" w:hAnsi="Arial" w:eastAsia="黑体"/>
      <w:b/>
      <w:bCs/>
      <w:kern w:val="2"/>
      <w:sz w:val="32"/>
      <w:szCs w:val="32"/>
    </w:rPr>
  </w:style>
  <w:style w:type="character" w:customStyle="1" w:styleId="56">
    <w:name w:val="标题 3 Char"/>
    <w:qFormat/>
    <w:uiPriority w:val="0"/>
    <w:rPr>
      <w:b/>
      <w:bCs/>
      <w:kern w:val="2"/>
      <w:sz w:val="32"/>
      <w:szCs w:val="32"/>
    </w:rPr>
  </w:style>
  <w:style w:type="character" w:customStyle="1" w:styleId="57">
    <w:name w:val="标题 4 Char"/>
    <w:link w:val="7"/>
    <w:qFormat/>
    <w:uiPriority w:val="0"/>
    <w:rPr>
      <w:rFonts w:ascii="Arial" w:hAnsi="Arial" w:eastAsia="黑体"/>
      <w:b/>
      <w:bCs/>
      <w:kern w:val="2"/>
      <w:sz w:val="28"/>
      <w:szCs w:val="28"/>
    </w:rPr>
  </w:style>
  <w:style w:type="character" w:customStyle="1" w:styleId="58">
    <w:name w:val="标题 5 Char"/>
    <w:link w:val="8"/>
    <w:qFormat/>
    <w:uiPriority w:val="0"/>
    <w:rPr>
      <w:rFonts w:ascii="Times New Roman" w:hAnsi="Times New Roman" w:eastAsia="宋体" w:cs="Times New Roman"/>
      <w:b/>
      <w:bCs/>
      <w:kern w:val="2"/>
      <w:sz w:val="28"/>
      <w:szCs w:val="28"/>
    </w:rPr>
  </w:style>
  <w:style w:type="character" w:customStyle="1" w:styleId="59">
    <w:name w:val="标题 6 Char"/>
    <w:link w:val="9"/>
    <w:qFormat/>
    <w:uiPriority w:val="0"/>
    <w:rPr>
      <w:rFonts w:ascii="Arial" w:hAnsi="Arial" w:eastAsia="黑体" w:cs="Times New Roman"/>
      <w:b/>
      <w:bCs/>
      <w:kern w:val="2"/>
      <w:sz w:val="24"/>
      <w:szCs w:val="24"/>
    </w:rPr>
  </w:style>
  <w:style w:type="character" w:customStyle="1" w:styleId="60">
    <w:name w:val="标题 7 Char"/>
    <w:link w:val="10"/>
    <w:qFormat/>
    <w:uiPriority w:val="0"/>
    <w:rPr>
      <w:rFonts w:ascii="Times New Roman" w:hAnsi="Times New Roman" w:eastAsia="宋体" w:cs="Times New Roman"/>
      <w:b/>
      <w:bCs/>
      <w:kern w:val="2"/>
      <w:sz w:val="24"/>
      <w:szCs w:val="24"/>
    </w:rPr>
  </w:style>
  <w:style w:type="character" w:customStyle="1" w:styleId="61">
    <w:name w:val="标题 8 Char"/>
    <w:link w:val="11"/>
    <w:qFormat/>
    <w:uiPriority w:val="0"/>
    <w:rPr>
      <w:rFonts w:ascii="Arial" w:hAnsi="Arial" w:eastAsia="黑体" w:cs="Times New Roman"/>
      <w:kern w:val="2"/>
      <w:sz w:val="24"/>
      <w:szCs w:val="24"/>
    </w:rPr>
  </w:style>
  <w:style w:type="character" w:customStyle="1" w:styleId="62">
    <w:name w:val="标题 9 Char"/>
    <w:link w:val="12"/>
    <w:qFormat/>
    <w:uiPriority w:val="0"/>
    <w:rPr>
      <w:rFonts w:ascii="Arial" w:hAnsi="Arial" w:eastAsia="黑体" w:cs="Times New Roman"/>
      <w:kern w:val="2"/>
      <w:sz w:val="28"/>
      <w:szCs w:val="21"/>
    </w:rPr>
  </w:style>
  <w:style w:type="character" w:customStyle="1" w:styleId="63">
    <w:name w:val="正文缩进 Char"/>
    <w:link w:val="14"/>
    <w:qFormat/>
    <w:uiPriority w:val="99"/>
    <w:rPr>
      <w:kern w:val="2"/>
      <w:sz w:val="21"/>
    </w:rPr>
  </w:style>
  <w:style w:type="character" w:customStyle="1" w:styleId="64">
    <w:name w:val="文档结构图 Char"/>
    <w:link w:val="16"/>
    <w:qFormat/>
    <w:uiPriority w:val="0"/>
    <w:rPr>
      <w:rFonts w:ascii="宋体" w:eastAsia="宋体"/>
      <w:kern w:val="2"/>
      <w:sz w:val="18"/>
      <w:szCs w:val="18"/>
    </w:rPr>
  </w:style>
  <w:style w:type="character" w:customStyle="1" w:styleId="65">
    <w:name w:val="批注文字 Char"/>
    <w:link w:val="18"/>
    <w:qFormat/>
    <w:uiPriority w:val="0"/>
    <w:rPr>
      <w:kern w:val="2"/>
      <w:sz w:val="21"/>
      <w:szCs w:val="24"/>
    </w:rPr>
  </w:style>
  <w:style w:type="character" w:customStyle="1" w:styleId="66">
    <w:name w:val="纯文本 Char"/>
    <w:link w:val="23"/>
    <w:qFormat/>
    <w:uiPriority w:val="0"/>
    <w:rPr>
      <w:rFonts w:ascii="宋体" w:hAnsi="Courier New"/>
      <w:kern w:val="2"/>
      <w:sz w:val="21"/>
      <w:szCs w:val="24"/>
    </w:rPr>
  </w:style>
  <w:style w:type="character" w:customStyle="1" w:styleId="67">
    <w:name w:val="批注框文本 Char"/>
    <w:link w:val="28"/>
    <w:qFormat/>
    <w:uiPriority w:val="99"/>
    <w:rPr>
      <w:kern w:val="2"/>
      <w:sz w:val="18"/>
      <w:szCs w:val="18"/>
    </w:rPr>
  </w:style>
  <w:style w:type="character" w:customStyle="1" w:styleId="68">
    <w:name w:val="页脚 Char"/>
    <w:link w:val="29"/>
    <w:qFormat/>
    <w:uiPriority w:val="99"/>
    <w:rPr>
      <w:kern w:val="2"/>
      <w:sz w:val="18"/>
      <w:szCs w:val="24"/>
    </w:rPr>
  </w:style>
  <w:style w:type="character" w:customStyle="1" w:styleId="69">
    <w:name w:val="页眉 Char"/>
    <w:link w:val="30"/>
    <w:qFormat/>
    <w:uiPriority w:val="99"/>
    <w:rPr>
      <w:kern w:val="2"/>
      <w:sz w:val="18"/>
      <w:szCs w:val="18"/>
    </w:rPr>
  </w:style>
  <w:style w:type="character" w:customStyle="1" w:styleId="70">
    <w:name w:val="目录 2 Char"/>
    <w:link w:val="36"/>
    <w:qFormat/>
    <w:uiPriority w:val="39"/>
    <w:rPr>
      <w:b/>
      <w:bCs/>
      <w:kern w:val="2"/>
      <w:sz w:val="22"/>
      <w:szCs w:val="22"/>
    </w:rPr>
  </w:style>
  <w:style w:type="character" w:customStyle="1" w:styleId="71">
    <w:name w:val="批注主题 Char"/>
    <w:link w:val="41"/>
    <w:qFormat/>
    <w:uiPriority w:val="99"/>
    <w:rPr>
      <w:kern w:val="2"/>
      <w:sz w:val="21"/>
      <w:szCs w:val="24"/>
    </w:rPr>
  </w:style>
  <w:style w:type="paragraph" w:customStyle="1" w:styleId="72">
    <w:name w:val="正文正"/>
    <w:basedOn w:val="1"/>
    <w:qFormat/>
    <w:uiPriority w:val="0"/>
    <w:pPr>
      <w:spacing w:line="560" w:lineRule="exact"/>
      <w:ind w:firstLine="561"/>
    </w:pPr>
    <w:rPr>
      <w:rFonts w:eastAsia="仿宋_GB2312"/>
      <w:sz w:val="28"/>
    </w:rPr>
  </w:style>
  <w:style w:type="character" w:customStyle="1" w:styleId="73">
    <w:name w:val="列出段落 Char"/>
    <w:link w:val="74"/>
    <w:qFormat/>
    <w:uiPriority w:val="34"/>
    <w:rPr>
      <w:kern w:val="2"/>
      <w:sz w:val="21"/>
      <w:szCs w:val="24"/>
    </w:rPr>
  </w:style>
  <w:style w:type="paragraph" w:styleId="74">
    <w:name w:val="List Paragraph"/>
    <w:basedOn w:val="1"/>
    <w:link w:val="73"/>
    <w:qFormat/>
    <w:uiPriority w:val="34"/>
    <w:pPr>
      <w:ind w:firstLine="420" w:firstLineChars="200"/>
    </w:pPr>
  </w:style>
  <w:style w:type="character" w:customStyle="1" w:styleId="75">
    <w:name w:val="p141"/>
    <w:qFormat/>
    <w:uiPriority w:val="0"/>
    <w:rPr>
      <w:sz w:val="21"/>
    </w:rPr>
  </w:style>
  <w:style w:type="character" w:customStyle="1" w:styleId="76">
    <w:name w:val="不明显强调1"/>
    <w:qFormat/>
    <w:uiPriority w:val="19"/>
    <w:rPr>
      <w:i/>
      <w:iCs/>
      <w:color w:val="404040"/>
    </w:rPr>
  </w:style>
  <w:style w:type="paragraph" w:customStyle="1" w:styleId="77">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8">
    <w:name w:val="题注4"/>
    <w:basedOn w:val="1"/>
    <w:next w:val="15"/>
    <w:qFormat/>
    <w:uiPriority w:val="0"/>
    <w:pPr>
      <w:ind w:left="-132" w:leftChars="-64" w:right="-105" w:rightChars="-50" w:hanging="2"/>
      <w:jc w:val="center"/>
    </w:pPr>
    <w:rPr>
      <w:b/>
      <w:color w:val="FF0000"/>
      <w:szCs w:val="21"/>
      <w:lang w:val="en-GB"/>
    </w:rPr>
  </w:style>
  <w:style w:type="paragraph" w:customStyle="1" w:styleId="79">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80">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81">
    <w:name w:val="修订1"/>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题注5"/>
    <w:basedOn w:val="1"/>
    <w:next w:val="15"/>
    <w:qFormat/>
    <w:uiPriority w:val="0"/>
    <w:pPr>
      <w:jc w:val="center"/>
    </w:pPr>
    <w:rPr>
      <w:b/>
      <w:color w:val="000000"/>
      <w:sz w:val="24"/>
      <w:szCs w:val="21"/>
    </w:rPr>
  </w:style>
  <w:style w:type="paragraph" w:customStyle="1" w:styleId="85">
    <w:name w:val="修订2"/>
    <w:qFormat/>
    <w:uiPriority w:val="99"/>
    <w:rPr>
      <w:rFonts w:ascii="Times New Roman" w:hAnsi="Times New Roman" w:eastAsia="宋体" w:cs="Times New Roman"/>
      <w:kern w:val="2"/>
      <w:sz w:val="21"/>
      <w:szCs w:val="24"/>
      <w:lang w:val="en-US" w:eastAsia="zh-CN" w:bidi="ar-SA"/>
    </w:rPr>
  </w:style>
  <w:style w:type="paragraph" w:customStyle="1" w:styleId="86">
    <w:name w:val="表格文字"/>
    <w:basedOn w:val="1"/>
    <w:qFormat/>
    <w:uiPriority w:val="0"/>
    <w:pPr>
      <w:spacing w:before="25" w:after="25"/>
      <w:jc w:val="left"/>
    </w:pPr>
    <w:rPr>
      <w:bCs/>
      <w:spacing w:val="10"/>
      <w:kern w:val="0"/>
      <w:sz w:val="24"/>
      <w:szCs w:val="20"/>
    </w:rPr>
  </w:style>
  <w:style w:type="paragraph" w:customStyle="1" w:styleId="8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Table Paragraph"/>
    <w:basedOn w:val="1"/>
    <w:qFormat/>
    <w:uiPriority w:val="1"/>
  </w:style>
  <w:style w:type="paragraph" w:customStyle="1" w:styleId="8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列出段落2"/>
    <w:basedOn w:val="1"/>
    <w:qFormat/>
    <w:uiPriority w:val="99"/>
    <w:pPr>
      <w:ind w:firstLine="420" w:firstLineChars="200"/>
    </w:pPr>
    <w:rPr>
      <w:szCs w:val="22"/>
    </w:rPr>
  </w:style>
  <w:style w:type="paragraph" w:customStyle="1" w:styleId="91">
    <w:name w:val="列出段落1"/>
    <w:basedOn w:val="1"/>
    <w:next w:val="1"/>
    <w:qFormat/>
    <w:uiPriority w:val="34"/>
    <w:pPr>
      <w:ind w:firstLine="420" w:firstLineChars="200"/>
    </w:pPr>
  </w:style>
  <w:style w:type="paragraph" w:customStyle="1" w:styleId="92">
    <w:name w:val="列出段落3"/>
    <w:basedOn w:val="1"/>
    <w:qFormat/>
    <w:uiPriority w:val="34"/>
    <w:pPr>
      <w:ind w:firstLine="420" w:firstLineChars="200"/>
    </w:pPr>
    <w:rPr>
      <w:szCs w:val="22"/>
    </w:rPr>
  </w:style>
  <w:style w:type="paragraph" w:customStyle="1" w:styleId="9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5">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6">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7">
    <w:name w:val="单元格文字（居左）"/>
    <w:basedOn w:val="1"/>
    <w:qFormat/>
    <w:uiPriority w:val="0"/>
    <w:pPr>
      <w:spacing w:line="312" w:lineRule="auto"/>
    </w:pPr>
    <w:rPr>
      <w:rFonts w:cs="宋体"/>
      <w:szCs w:val="20"/>
    </w:rPr>
  </w:style>
  <w:style w:type="character" w:customStyle="1" w:styleId="98">
    <w:name w:val="font01"/>
    <w:qFormat/>
    <w:uiPriority w:val="99"/>
    <w:rPr>
      <w:rFonts w:ascii="宋体" w:hAnsi="宋体" w:eastAsia="宋体" w:cs="宋体"/>
      <w:color w:val="000000"/>
      <w:sz w:val="24"/>
      <w:szCs w:val="24"/>
      <w:u w:val="none"/>
    </w:rPr>
  </w:style>
  <w:style w:type="paragraph" w:customStyle="1" w:styleId="99">
    <w:name w:val="*正文"/>
    <w:basedOn w:val="1"/>
    <w:qFormat/>
    <w:uiPriority w:val="0"/>
    <w:pPr>
      <w:widowControl/>
      <w:spacing w:line="360" w:lineRule="auto"/>
      <w:ind w:firstLine="480" w:firstLineChars="200"/>
    </w:pPr>
    <w:rPr>
      <w:rFonts w:hAnsi="宋体"/>
    </w:rPr>
  </w:style>
  <w:style w:type="paragraph" w:customStyle="1" w:styleId="100">
    <w:name w:val="缺省文本"/>
    <w:basedOn w:val="1"/>
    <w:qFormat/>
    <w:uiPriority w:val="0"/>
    <w:pPr>
      <w:jc w:val="left"/>
    </w:pPr>
    <w:rPr>
      <w:rFonts w:ascii="Calibri" w:hAnsi="Calibri"/>
    </w:rPr>
  </w:style>
  <w:style w:type="paragraph" w:customStyle="1" w:styleId="101">
    <w:name w:val="TOC 标题1"/>
    <w:basedOn w:val="4"/>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02">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普通正文缩进2字符"/>
    <w:basedOn w:val="1"/>
    <w:qFormat/>
    <w:uiPriority w:val="99"/>
    <w:pPr>
      <w:ind w:firstLine="200" w:firstLineChars="200"/>
    </w:pPr>
    <w:rPr>
      <w:rFonts w:ascii="Courier New" w:hAnsi="Courier New" w:cs="Courier New"/>
    </w:rPr>
  </w:style>
  <w:style w:type="paragraph" w:customStyle="1" w:styleId="104">
    <w:name w:val="null3"/>
    <w:qFormat/>
    <w:uiPriority w:val="0"/>
    <w:rPr>
      <w:rFonts w:hint="eastAsia" w:ascii="Calibri" w:hAnsi="Calibri" w:eastAsia="宋体" w:cs="Times New Roman"/>
      <w:lang w:val="en-US" w:eastAsia="zh-CN" w:bidi="ar-SA"/>
    </w:rPr>
  </w:style>
  <w:style w:type="paragraph" w:customStyle="1" w:styleId="10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06">
    <w:name w:val="font21"/>
    <w:basedOn w:val="46"/>
    <w:qFormat/>
    <w:uiPriority w:val="0"/>
    <w:rPr>
      <w:rFonts w:ascii="宋体" w:hAnsi="宋体" w:eastAsia="宋体" w:cs="宋体"/>
      <w:color w:val="000000"/>
      <w:sz w:val="16"/>
      <w:szCs w:val="16"/>
      <w:u w:val="none"/>
    </w:rPr>
  </w:style>
  <w:style w:type="paragraph" w:customStyle="1" w:styleId="107">
    <w:name w:val="Normal_13"/>
    <w:basedOn w:val="1"/>
    <w:qFormat/>
    <w:uiPriority w:val="0"/>
    <w:pPr>
      <w:widowControl/>
      <w:spacing w:before="120" w:after="240"/>
    </w:pPr>
    <w:rPr>
      <w:rFonts w:ascii="Calibri" w:hAnsi="Calibri" w:cs="宋体"/>
      <w:kern w:val="0"/>
      <w:sz w:val="22"/>
      <w:szCs w:val="22"/>
    </w:rPr>
  </w:style>
  <w:style w:type="character" w:customStyle="1" w:styleId="108">
    <w:name w:val="10"/>
    <w:basedOn w:val="46"/>
    <w:qFormat/>
    <w:uiPriority w:val="0"/>
    <w:rPr>
      <w:rFonts w:hint="default" w:ascii="Times New Roman" w:hAnsi="Times New Roman" w:cs="Times New Roman"/>
    </w:rPr>
  </w:style>
  <w:style w:type="paragraph" w:customStyle="1" w:styleId="109">
    <w:name w:val="Normal_15"/>
    <w:basedOn w:val="1"/>
    <w:qFormat/>
    <w:uiPriority w:val="0"/>
    <w:pPr>
      <w:widowControl/>
      <w:spacing w:before="120" w:after="240"/>
    </w:pPr>
    <w:rPr>
      <w:rFonts w:ascii="Calibri" w:hAnsi="Calibri" w:cs="宋体"/>
      <w:kern w:val="0"/>
      <w:sz w:val="22"/>
      <w:szCs w:val="22"/>
    </w:rPr>
  </w:style>
  <w:style w:type="paragraph" w:customStyle="1" w:styleId="110">
    <w:name w:val="正文缩进1"/>
    <w:basedOn w:val="1"/>
    <w:next w:val="1"/>
    <w:qFormat/>
    <w:uiPriority w:val="0"/>
    <w:pPr>
      <w:adjustRightInd w:val="0"/>
      <w:snapToGrid w:val="0"/>
      <w:spacing w:line="360" w:lineRule="auto"/>
      <w:ind w:left="1270"/>
      <w:textAlignment w:val="baseline"/>
    </w:pPr>
    <w:rPr>
      <w:rFonts w:ascii="Arial" w:hAnsi="Arial" w:eastAsia="仿宋_GB2312"/>
      <w:color w:val="000000"/>
      <w:kern w:val="0"/>
      <w:sz w:val="24"/>
      <w:szCs w:val="20"/>
    </w:rPr>
  </w:style>
  <w:style w:type="character" w:customStyle="1" w:styleId="111">
    <w:name w:val="标题 3 Char1"/>
    <w:link w:val="6"/>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4947</Words>
  <Characters>5534</Characters>
  <Lines>313</Lines>
  <Paragraphs>88</Paragraphs>
  <TotalTime>5</TotalTime>
  <ScaleCrop>false</ScaleCrop>
  <LinksUpToDate>false</LinksUpToDate>
  <CharactersWithSpaces>5645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2024-11-18T07:15:00Z</dcterms:created>
  <dc:creator>李伟</dc:creator>
  <cp:lastModifiedBy>XZA</cp:lastModifiedBy>
  <cp:lastPrinted>2021-05-11T16:56:00Z</cp:lastPrinted>
  <dcterms:modified xsi:type="dcterms:W3CDTF">2025-07-11T03:55:49Z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E9D20192753745DE9235195D4996D391_13</vt:lpwstr>
  </property>
  <property fmtid="{D5CDD505-2E9C-101B-9397-08002B2CF9AE}" pid="4" name="KSOTemplateDocerSaveRecord">
    <vt:lpwstr>eyJoZGlkIjoiMDY1MmJjY2VhOGE1Mzg4Y2Y1ZGU4YTY0OWM4MWNjNzAiLCJ1c2VySWQiOiI1Mjc0OTM0MzMifQ==</vt:lpwstr>
  </property>
</Properties>
</file>