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B0A9F">
      <w:pPr>
        <w:rPr>
          <w:rFonts w:hint="eastAsia" w:ascii="宋体" w:hAnsi="宋体" w:eastAsia="宋体" w:cs="宋体"/>
        </w:rPr>
      </w:pPr>
    </w:p>
    <w:p w14:paraId="01593454">
      <w:pPr>
        <w:ind w:left="420" w:firstLine="420"/>
        <w:rPr>
          <w:rFonts w:hint="eastAsia" w:ascii="宋体" w:hAnsi="宋体" w:eastAsia="宋体" w:cs="宋体"/>
        </w:rPr>
      </w:pPr>
      <w:r>
        <w:rPr>
          <w:rFonts w:hint="eastAsia" w:ascii="宋体" w:hAnsi="宋体" w:eastAsia="宋体" w:cs="宋体"/>
        </w:rPr>
        <w:t xml:space="preserve"> </w:t>
      </w:r>
    </w:p>
    <w:p w14:paraId="3EC65507">
      <w:pPr>
        <w:ind w:left="420" w:firstLine="420"/>
        <w:rPr>
          <w:rFonts w:hint="eastAsia" w:ascii="宋体" w:hAnsi="宋体" w:eastAsia="宋体" w:cs="宋体"/>
        </w:rPr>
      </w:pPr>
      <w:r>
        <w:rPr>
          <w:rFonts w:hint="eastAsia" w:ascii="宋体" w:hAnsi="宋体" w:eastAsia="宋体" w:cs="宋体"/>
        </w:rPr>
        <w:t xml:space="preserve"> </w:t>
      </w:r>
    </w:p>
    <w:p w14:paraId="5641D258">
      <w:pPr>
        <w:ind w:left="420" w:firstLine="420"/>
        <w:rPr>
          <w:rFonts w:hint="eastAsia" w:ascii="宋体" w:hAnsi="宋体" w:eastAsia="宋体" w:cs="宋体"/>
        </w:rPr>
      </w:pPr>
      <w:r>
        <w:rPr>
          <w:rFonts w:hint="eastAsia" w:ascii="宋体" w:hAnsi="宋体" w:eastAsia="宋体" w:cs="宋体"/>
        </w:rPr>
        <w:t xml:space="preserve"> </w:t>
      </w:r>
    </w:p>
    <w:p w14:paraId="2FC8687C">
      <w:pPr>
        <w:ind w:left="420" w:firstLine="420"/>
        <w:rPr>
          <w:rFonts w:hint="eastAsia" w:ascii="宋体" w:hAnsi="宋体" w:eastAsia="宋体" w:cs="宋体"/>
        </w:rPr>
      </w:pPr>
      <w:r>
        <w:rPr>
          <w:rFonts w:hint="eastAsia" w:ascii="宋体" w:hAnsi="宋体" w:eastAsia="宋体" w:cs="宋体"/>
        </w:rPr>
        <w:t xml:space="preserve"> </w:t>
      </w:r>
    </w:p>
    <w:p w14:paraId="0E5BD1E7">
      <w:pPr>
        <w:ind w:left="420" w:firstLine="420"/>
        <w:rPr>
          <w:rFonts w:hint="eastAsia" w:ascii="宋体" w:hAnsi="宋体" w:eastAsia="宋体" w:cs="宋体"/>
        </w:rPr>
      </w:pPr>
      <w:r>
        <w:rPr>
          <w:rFonts w:hint="eastAsia" w:ascii="宋体" w:hAnsi="宋体" w:eastAsia="宋体" w:cs="宋体"/>
        </w:rPr>
        <w:t xml:space="preserve"> </w:t>
      </w:r>
    </w:p>
    <w:p w14:paraId="1DF09ACC">
      <w:pPr>
        <w:ind w:left="420" w:firstLine="420"/>
        <w:rPr>
          <w:rFonts w:hint="eastAsia" w:ascii="宋体" w:hAnsi="宋体" w:eastAsia="宋体" w:cs="宋体"/>
        </w:rPr>
      </w:pPr>
      <w:r>
        <w:rPr>
          <w:rFonts w:hint="eastAsia" w:ascii="宋体" w:hAnsi="宋体" w:eastAsia="宋体" w:cs="宋体"/>
        </w:rPr>
        <w:t xml:space="preserve"> </w:t>
      </w:r>
    </w:p>
    <w:p w14:paraId="6503F1D7">
      <w:pPr>
        <w:widowControl w:val="0"/>
        <w:spacing w:before="100" w:beforeAutospacing="1" w:after="100" w:afterAutospacing="1" w:line="360" w:lineRule="auto"/>
        <w:jc w:val="center"/>
        <w:textAlignment w:val="auto"/>
        <w:rPr>
          <w:rFonts w:hint="eastAsia" w:ascii="宋体" w:hAnsi="宋体" w:eastAsia="宋体" w:cs="宋体"/>
          <w:b/>
          <w:bCs/>
          <w:kern w:val="2"/>
          <w:sz w:val="40"/>
          <w:szCs w:val="40"/>
        </w:rPr>
      </w:pPr>
      <w:r>
        <w:rPr>
          <w:rFonts w:hint="eastAsia" w:ascii="宋体" w:hAnsi="宋体" w:eastAsia="宋体" w:cs="宋体"/>
          <w:b/>
          <w:bCs/>
          <w:kern w:val="2"/>
          <w:sz w:val="40"/>
          <w:szCs w:val="40"/>
        </w:rPr>
        <w:t>AI智能体应用</w:t>
      </w:r>
      <w:r>
        <w:rPr>
          <w:rFonts w:hint="eastAsia" w:ascii="宋体" w:hAnsi="宋体" w:eastAsia="宋体" w:cs="宋体"/>
          <w:b/>
          <w:bCs/>
          <w:kern w:val="2"/>
          <w:sz w:val="40"/>
          <w:szCs w:val="40"/>
          <w:lang w:val="en-US" w:eastAsia="zh-CN"/>
        </w:rPr>
        <w:t>定制</w:t>
      </w:r>
      <w:r>
        <w:rPr>
          <w:rFonts w:hint="eastAsia" w:ascii="宋体" w:hAnsi="宋体" w:eastAsia="宋体" w:cs="宋体"/>
          <w:b/>
          <w:bCs/>
          <w:kern w:val="2"/>
          <w:sz w:val="40"/>
          <w:szCs w:val="40"/>
        </w:rPr>
        <w:t>集成支撑服务项目</w:t>
      </w:r>
    </w:p>
    <w:p w14:paraId="564934CD">
      <w:pPr>
        <w:widowControl w:val="0"/>
        <w:spacing w:before="100" w:beforeAutospacing="1" w:after="100" w:afterAutospacing="1" w:line="360" w:lineRule="auto"/>
        <w:jc w:val="center"/>
        <w:textAlignment w:val="auto"/>
        <w:rPr>
          <w:rFonts w:hint="eastAsia" w:ascii="宋体" w:hAnsi="宋体" w:eastAsia="宋体" w:cs="宋体"/>
          <w:b/>
          <w:bCs/>
          <w:kern w:val="2"/>
          <w:sz w:val="40"/>
          <w:szCs w:val="40"/>
        </w:rPr>
      </w:pPr>
      <w:r>
        <w:rPr>
          <w:rFonts w:hint="eastAsia" w:ascii="宋体" w:hAnsi="宋体" w:eastAsia="宋体" w:cs="宋体"/>
          <w:b/>
          <w:bCs/>
          <w:kern w:val="2"/>
          <w:sz w:val="40"/>
          <w:szCs w:val="40"/>
        </w:rPr>
        <w:t>技术规范书</w:t>
      </w:r>
    </w:p>
    <w:p w14:paraId="3A1EB719">
      <w:pPr>
        <w:rPr>
          <w:rFonts w:hint="eastAsia" w:ascii="宋体" w:hAnsi="宋体" w:eastAsia="宋体" w:cs="宋体"/>
          <w:b/>
          <w:bCs/>
          <w:sz w:val="38"/>
          <w:szCs w:val="38"/>
        </w:rPr>
      </w:pPr>
      <w:r>
        <w:rPr>
          <w:rFonts w:hint="eastAsia" w:ascii="宋体" w:hAnsi="宋体" w:eastAsia="宋体" w:cs="宋体"/>
          <w:b/>
          <w:bCs/>
          <w:sz w:val="38"/>
          <w:szCs w:val="38"/>
        </w:rPr>
        <w:br w:type="page"/>
      </w:r>
    </w:p>
    <w:p w14:paraId="650E01D5">
      <w:pPr>
        <w:pStyle w:val="2"/>
        <w:ind w:left="420" w:hanging="420"/>
        <w:rPr>
          <w:rFonts w:hint="eastAsia" w:ascii="宋体" w:hAnsi="宋体" w:eastAsia="宋体" w:cs="宋体"/>
        </w:rPr>
      </w:pPr>
      <w:r>
        <w:rPr>
          <w:rFonts w:hint="eastAsia" w:ascii="宋体" w:hAnsi="宋体" w:eastAsia="宋体" w:cs="宋体"/>
        </w:rPr>
        <w:t>概述</w:t>
      </w:r>
    </w:p>
    <w:p w14:paraId="4AE81628">
      <w:pPr>
        <w:pStyle w:val="3"/>
        <w:tabs>
          <w:tab w:val="left" w:pos="0"/>
        </w:tabs>
        <w:bidi w:val="0"/>
        <w:ind w:left="575" w:leftChars="0" w:hanging="575" w:firstLineChars="0"/>
        <w:rPr>
          <w:rFonts w:hint="eastAsia" w:ascii="宋体" w:hAnsi="宋体" w:eastAsia="宋体" w:cs="宋体"/>
        </w:rPr>
      </w:pPr>
      <w:bookmarkStart w:id="0" w:name="_Toc12022474"/>
      <w:bookmarkStart w:id="1" w:name="_Toc5232"/>
      <w:bookmarkStart w:id="2" w:name="_Toc16765"/>
      <w:bookmarkStart w:id="3" w:name="_Toc14781"/>
      <w:bookmarkStart w:id="4" w:name="_Toc543"/>
      <w:bookmarkStart w:id="5" w:name="_Toc356914940"/>
      <w:bookmarkStart w:id="6" w:name="_Toc24277"/>
      <w:bookmarkStart w:id="7" w:name="_Toc341794177"/>
      <w:bookmarkStart w:id="8" w:name="_Toc2794"/>
      <w:bookmarkStart w:id="9" w:name="_Toc13814"/>
      <w:r>
        <w:rPr>
          <w:rFonts w:hint="eastAsia" w:ascii="宋体" w:hAnsi="宋体" w:eastAsia="宋体" w:cs="宋体"/>
        </w:rPr>
        <w:t>定义</w:t>
      </w:r>
      <w:bookmarkEnd w:id="0"/>
      <w:bookmarkEnd w:id="1"/>
      <w:bookmarkEnd w:id="2"/>
      <w:bookmarkEnd w:id="3"/>
      <w:bookmarkEnd w:id="4"/>
      <w:bookmarkEnd w:id="5"/>
      <w:bookmarkEnd w:id="6"/>
      <w:bookmarkEnd w:id="7"/>
      <w:bookmarkEnd w:id="8"/>
      <w:bookmarkEnd w:id="9"/>
    </w:p>
    <w:p w14:paraId="55C63A6D">
      <w:pPr>
        <w:rPr>
          <w:rFonts w:hint="eastAsia" w:ascii="宋体" w:hAnsi="宋体" w:eastAsia="宋体" w:cs="宋体"/>
          <w:highlight w:val="none"/>
        </w:rPr>
      </w:pPr>
      <w:r>
        <w:rPr>
          <w:rFonts w:hint="eastAsia" w:ascii="宋体" w:hAnsi="宋体" w:eastAsia="宋体" w:cs="宋体"/>
          <w:highlight w:val="none"/>
        </w:rPr>
        <w:t>本文件为</w:t>
      </w:r>
      <w:r>
        <w:rPr>
          <w:rFonts w:hint="eastAsia" w:ascii="宋体" w:hAnsi="宋体" w:eastAsia="宋体" w:cs="宋体"/>
          <w:highlight w:val="none"/>
          <w:lang w:eastAsia="zh-CN"/>
        </w:rPr>
        <w:t>江苏移动信息系统集成有限公司</w:t>
      </w:r>
      <w:r>
        <w:rPr>
          <w:rFonts w:hint="eastAsia" w:ascii="宋体" w:hAnsi="宋体" w:eastAsia="宋体" w:cs="宋体"/>
          <w:highlight w:val="none"/>
        </w:rPr>
        <w:t>（以下简称</w:t>
      </w:r>
      <w:r>
        <w:rPr>
          <w:rFonts w:hint="eastAsia" w:ascii="宋体" w:hAnsi="宋体" w:eastAsia="宋体" w:cs="宋体"/>
          <w:highlight w:val="none"/>
          <w:lang w:eastAsia="zh-CN"/>
        </w:rPr>
        <w:t>需求方</w:t>
      </w:r>
      <w:r>
        <w:rPr>
          <w:rFonts w:hint="eastAsia" w:ascii="宋体" w:hAnsi="宋体" w:eastAsia="宋体" w:cs="宋体"/>
          <w:highlight w:val="none"/>
        </w:rPr>
        <w:t>）对AI智能体应用定制集成</w:t>
      </w:r>
      <w:r>
        <w:rPr>
          <w:rFonts w:hint="eastAsia" w:ascii="宋体" w:hAnsi="宋体" w:eastAsia="宋体" w:cs="宋体"/>
          <w:highlight w:val="none"/>
          <w:lang w:eastAsia="zh-CN"/>
        </w:rPr>
        <w:t>支撑服务支撑提供商</w:t>
      </w:r>
      <w:r>
        <w:rPr>
          <w:rFonts w:hint="eastAsia" w:ascii="宋体" w:hAnsi="宋体" w:eastAsia="宋体" w:cs="宋体"/>
          <w:highlight w:val="none"/>
        </w:rPr>
        <w:t>（以下简称</w:t>
      </w:r>
      <w:r>
        <w:rPr>
          <w:rFonts w:hint="eastAsia" w:ascii="宋体" w:hAnsi="宋体" w:eastAsia="宋体" w:cs="宋体"/>
          <w:highlight w:val="none"/>
          <w:lang w:eastAsia="zh-CN"/>
        </w:rPr>
        <w:t>应答方</w:t>
      </w:r>
      <w:r>
        <w:rPr>
          <w:rFonts w:hint="eastAsia" w:ascii="宋体" w:hAnsi="宋体" w:eastAsia="宋体" w:cs="宋体"/>
          <w:highlight w:val="none"/>
        </w:rPr>
        <w:t>）提出的主要技术要求，供</w:t>
      </w:r>
      <w:r>
        <w:rPr>
          <w:rFonts w:hint="eastAsia" w:ascii="宋体" w:hAnsi="宋体" w:eastAsia="宋体" w:cs="宋体"/>
          <w:highlight w:val="none"/>
          <w:lang w:eastAsia="zh-CN"/>
        </w:rPr>
        <w:t>应答方</w:t>
      </w:r>
      <w:r>
        <w:rPr>
          <w:rFonts w:hint="eastAsia" w:ascii="宋体" w:hAnsi="宋体" w:eastAsia="宋体" w:cs="宋体"/>
          <w:highlight w:val="none"/>
        </w:rPr>
        <w:t>编写建议书和报价之用。</w:t>
      </w:r>
    </w:p>
    <w:p w14:paraId="7264406E">
      <w:pPr>
        <w:rPr>
          <w:rFonts w:hint="eastAsia" w:ascii="宋体" w:hAnsi="宋体" w:eastAsia="宋体" w:cs="宋体"/>
          <w:highlight w:val="none"/>
        </w:rPr>
      </w:pPr>
      <w:r>
        <w:rPr>
          <w:rFonts w:hint="eastAsia" w:ascii="宋体" w:hAnsi="宋体" w:eastAsia="宋体" w:cs="宋体"/>
          <w:highlight w:val="none"/>
        </w:rPr>
        <w:t>本规范书与相关规范一起将作为本项目软件及集成服务的技术文件。根据此文件，</w:t>
      </w:r>
      <w:r>
        <w:rPr>
          <w:rFonts w:hint="eastAsia" w:ascii="宋体" w:hAnsi="宋体" w:eastAsia="宋体" w:cs="宋体"/>
          <w:highlight w:val="none"/>
          <w:lang w:eastAsia="zh-CN"/>
        </w:rPr>
        <w:t>应答方</w:t>
      </w:r>
      <w:r>
        <w:rPr>
          <w:rFonts w:hint="eastAsia" w:ascii="宋体" w:hAnsi="宋体" w:eastAsia="宋体" w:cs="宋体"/>
          <w:highlight w:val="none"/>
        </w:rPr>
        <w:t>应提出具体的技术应答和详细的报价。</w:t>
      </w:r>
    </w:p>
    <w:p w14:paraId="0A04463E">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应按照本文件的要求提供报价和详细的系统建设及实施方案。</w:t>
      </w:r>
      <w:r>
        <w:rPr>
          <w:rFonts w:hint="eastAsia" w:ascii="宋体" w:hAnsi="宋体" w:eastAsia="宋体" w:cs="宋体"/>
          <w:highlight w:val="none"/>
          <w:lang w:eastAsia="zh-CN"/>
        </w:rPr>
        <w:t>应答方</w:t>
      </w:r>
      <w:r>
        <w:rPr>
          <w:rFonts w:hint="eastAsia" w:ascii="宋体" w:hAnsi="宋体" w:eastAsia="宋体" w:cs="宋体"/>
          <w:highlight w:val="none"/>
        </w:rPr>
        <w:t>提供或推荐的各项产品及系统的功能、性能应完全满足</w:t>
      </w:r>
      <w:r>
        <w:rPr>
          <w:rFonts w:hint="eastAsia" w:ascii="宋体" w:hAnsi="宋体" w:eastAsia="宋体" w:cs="宋体"/>
          <w:highlight w:val="none"/>
          <w:lang w:eastAsia="zh-CN"/>
        </w:rPr>
        <w:t>需求方</w:t>
      </w:r>
      <w:r>
        <w:rPr>
          <w:rFonts w:hint="eastAsia" w:ascii="宋体" w:hAnsi="宋体" w:eastAsia="宋体" w:cs="宋体"/>
          <w:highlight w:val="none"/>
        </w:rPr>
        <w:t>的需求。</w:t>
      </w:r>
    </w:p>
    <w:p w14:paraId="7058C8C4">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应按照本文件的内容进行点对点应答，</w:t>
      </w:r>
      <w:r>
        <w:rPr>
          <w:rFonts w:hint="eastAsia" w:ascii="宋体" w:hAnsi="宋体" w:eastAsia="宋体" w:cs="宋体"/>
          <w:highlight w:val="none"/>
          <w:lang w:eastAsia="zh-CN"/>
        </w:rPr>
        <w:t>应答方</w:t>
      </w:r>
      <w:r>
        <w:rPr>
          <w:rFonts w:hint="eastAsia" w:ascii="宋体" w:hAnsi="宋体" w:eastAsia="宋体" w:cs="宋体"/>
          <w:highlight w:val="none"/>
        </w:rPr>
        <w:t>不得简单应答满足或直接复制</w:t>
      </w:r>
      <w:r>
        <w:rPr>
          <w:rFonts w:hint="eastAsia" w:ascii="宋体" w:hAnsi="宋体" w:eastAsia="宋体" w:cs="宋体"/>
          <w:highlight w:val="none"/>
          <w:lang w:eastAsia="zh-CN"/>
        </w:rPr>
        <w:t>需求方</w:t>
      </w:r>
      <w:r>
        <w:rPr>
          <w:rFonts w:hint="eastAsia" w:ascii="宋体" w:hAnsi="宋体" w:eastAsia="宋体" w:cs="宋体"/>
          <w:highlight w:val="none"/>
        </w:rPr>
        <w:t>技术要求，应详细说明在</w:t>
      </w:r>
      <w:r>
        <w:rPr>
          <w:rFonts w:hint="eastAsia" w:ascii="宋体" w:hAnsi="宋体" w:eastAsia="宋体" w:cs="宋体"/>
          <w:highlight w:val="none"/>
          <w:lang w:eastAsia="zh-CN"/>
        </w:rPr>
        <w:t>应答方</w:t>
      </w:r>
      <w:r>
        <w:rPr>
          <w:rFonts w:hint="eastAsia" w:ascii="宋体" w:hAnsi="宋体" w:eastAsia="宋体" w:cs="宋体"/>
          <w:highlight w:val="none"/>
        </w:rPr>
        <w:t>系统中实现</w:t>
      </w:r>
      <w:r>
        <w:rPr>
          <w:rFonts w:hint="eastAsia" w:ascii="宋体" w:hAnsi="宋体" w:eastAsia="宋体" w:cs="宋体"/>
          <w:highlight w:val="none"/>
          <w:lang w:eastAsia="zh-CN"/>
        </w:rPr>
        <w:t>需求方</w:t>
      </w:r>
      <w:r>
        <w:rPr>
          <w:rFonts w:hint="eastAsia" w:ascii="宋体" w:hAnsi="宋体" w:eastAsia="宋体" w:cs="宋体"/>
          <w:highlight w:val="none"/>
        </w:rPr>
        <w:t>要求的技术方案、具体功能模块等。</w:t>
      </w:r>
    </w:p>
    <w:p w14:paraId="38DDEEC9">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所提供的所有各项设备和系统(包括软、硬件)应符合技术标准的要求如下：</w:t>
      </w:r>
    </w:p>
    <w:p w14:paraId="4ABF3581">
      <w:pPr>
        <w:rPr>
          <w:rFonts w:hint="eastAsia" w:ascii="宋体" w:hAnsi="宋体" w:eastAsia="宋体" w:cs="宋体"/>
          <w:highlight w:val="none"/>
        </w:rPr>
      </w:pPr>
      <w:r>
        <w:rPr>
          <w:rFonts w:hint="eastAsia" w:ascii="宋体" w:hAnsi="宋体" w:eastAsia="宋体" w:cs="宋体"/>
          <w:highlight w:val="none"/>
        </w:rPr>
        <w:t>（1）本规范书中未给出，但ISO、IEEE、ITU-T、ETSI、IETF的相关规范等已有建议的相应性能和功能，</w:t>
      </w:r>
      <w:r>
        <w:rPr>
          <w:rFonts w:hint="eastAsia" w:ascii="宋体" w:hAnsi="宋体" w:eastAsia="宋体" w:cs="宋体"/>
          <w:highlight w:val="none"/>
          <w:lang w:eastAsia="zh-CN"/>
        </w:rPr>
        <w:t>应答方</w:t>
      </w:r>
      <w:r>
        <w:rPr>
          <w:rFonts w:hint="eastAsia" w:ascii="宋体" w:hAnsi="宋体" w:eastAsia="宋体" w:cs="宋体"/>
          <w:highlight w:val="none"/>
        </w:rPr>
        <w:t>均应满足。</w:t>
      </w:r>
    </w:p>
    <w:p w14:paraId="27B9935A">
      <w:pPr>
        <w:rPr>
          <w:rFonts w:hint="eastAsia" w:ascii="宋体" w:hAnsi="宋体" w:eastAsia="宋体" w:cs="宋体"/>
          <w:highlight w:val="none"/>
        </w:rPr>
      </w:pPr>
      <w:r>
        <w:rPr>
          <w:rFonts w:hint="eastAsia" w:ascii="宋体" w:hAnsi="宋体" w:eastAsia="宋体" w:cs="宋体"/>
          <w:highlight w:val="none"/>
        </w:rPr>
        <w:t>（2）若</w:t>
      </w:r>
      <w:r>
        <w:rPr>
          <w:rFonts w:hint="eastAsia" w:ascii="宋体" w:hAnsi="宋体" w:eastAsia="宋体" w:cs="宋体"/>
          <w:highlight w:val="none"/>
          <w:lang w:eastAsia="zh-CN"/>
        </w:rPr>
        <w:t>应答方</w:t>
      </w:r>
      <w:r>
        <w:rPr>
          <w:rFonts w:hint="eastAsia" w:ascii="宋体" w:hAnsi="宋体" w:eastAsia="宋体" w:cs="宋体"/>
          <w:highlight w:val="none"/>
        </w:rPr>
        <w:t>的设备和系统包含非标准扩展协议或自有专用标准，应在建议书中具体说明，并附上相应的详细技术资料。</w:t>
      </w:r>
    </w:p>
    <w:p w14:paraId="3FE7BBDD">
      <w:pPr>
        <w:rPr>
          <w:rFonts w:hint="eastAsia" w:ascii="宋体" w:hAnsi="宋体" w:eastAsia="宋体" w:cs="宋体"/>
          <w:highlight w:val="none"/>
        </w:rPr>
      </w:pPr>
      <w:r>
        <w:rPr>
          <w:rFonts w:hint="eastAsia" w:ascii="宋体" w:hAnsi="宋体" w:eastAsia="宋体" w:cs="宋体"/>
          <w:highlight w:val="none"/>
        </w:rPr>
        <w:t>（3）如若有相应的中国（或国际）标准确立，</w:t>
      </w:r>
      <w:r>
        <w:rPr>
          <w:rFonts w:hint="eastAsia" w:ascii="宋体" w:hAnsi="宋体" w:eastAsia="宋体" w:cs="宋体"/>
          <w:highlight w:val="none"/>
          <w:lang w:eastAsia="zh-CN"/>
        </w:rPr>
        <w:t>应答方</w:t>
      </w:r>
      <w:r>
        <w:rPr>
          <w:rFonts w:hint="eastAsia" w:ascii="宋体" w:hAnsi="宋体" w:eastAsia="宋体" w:cs="宋体"/>
          <w:highlight w:val="none"/>
        </w:rPr>
        <w:t>应保证在一年内无偿过渡到</w:t>
      </w:r>
      <w:r>
        <w:rPr>
          <w:rFonts w:hint="eastAsia" w:ascii="宋体" w:hAnsi="宋体" w:eastAsia="宋体" w:cs="宋体"/>
          <w:highlight w:val="none"/>
          <w:lang w:eastAsia="zh-CN"/>
        </w:rPr>
        <w:t>需求方</w:t>
      </w:r>
      <w:r>
        <w:rPr>
          <w:rFonts w:hint="eastAsia" w:ascii="宋体" w:hAnsi="宋体" w:eastAsia="宋体" w:cs="宋体"/>
          <w:highlight w:val="none"/>
        </w:rPr>
        <w:t>要求的相应中国（或国际）标准。</w:t>
      </w:r>
    </w:p>
    <w:p w14:paraId="05801963">
      <w:pPr>
        <w:rPr>
          <w:rFonts w:hint="eastAsia" w:ascii="宋体" w:hAnsi="宋体" w:eastAsia="宋体" w:cs="宋体"/>
          <w:highlight w:val="none"/>
        </w:rPr>
      </w:pPr>
      <w:r>
        <w:rPr>
          <w:rFonts w:hint="eastAsia" w:ascii="宋体" w:hAnsi="宋体" w:eastAsia="宋体" w:cs="宋体"/>
          <w:highlight w:val="none"/>
        </w:rPr>
        <w:t>（4）</w:t>
      </w:r>
      <w:r>
        <w:rPr>
          <w:rFonts w:hint="eastAsia" w:ascii="宋体" w:hAnsi="宋体" w:eastAsia="宋体" w:cs="宋体"/>
          <w:highlight w:val="none"/>
          <w:lang w:eastAsia="zh-CN"/>
        </w:rPr>
        <w:t>应答方</w:t>
      </w:r>
      <w:r>
        <w:rPr>
          <w:rFonts w:hint="eastAsia" w:ascii="宋体" w:hAnsi="宋体" w:eastAsia="宋体" w:cs="宋体"/>
          <w:highlight w:val="none"/>
        </w:rPr>
        <w:t>提供的产品中的第三方产品，若出现技术上或法律上的纠纷，应由</w:t>
      </w:r>
      <w:r>
        <w:rPr>
          <w:rFonts w:hint="eastAsia" w:ascii="宋体" w:hAnsi="宋体" w:eastAsia="宋体" w:cs="宋体"/>
          <w:highlight w:val="none"/>
          <w:lang w:eastAsia="zh-CN"/>
        </w:rPr>
        <w:t>应答方</w:t>
      </w:r>
      <w:r>
        <w:rPr>
          <w:rFonts w:hint="eastAsia" w:ascii="宋体" w:hAnsi="宋体" w:eastAsia="宋体" w:cs="宋体"/>
          <w:highlight w:val="none"/>
        </w:rPr>
        <w:t>负责解决，不影响项目进度，所有引发的后果由</w:t>
      </w:r>
      <w:r>
        <w:rPr>
          <w:rFonts w:hint="eastAsia" w:ascii="宋体" w:hAnsi="宋体" w:eastAsia="宋体" w:cs="宋体"/>
          <w:highlight w:val="none"/>
          <w:lang w:eastAsia="zh-CN"/>
        </w:rPr>
        <w:t>应答方</w:t>
      </w:r>
      <w:r>
        <w:rPr>
          <w:rFonts w:hint="eastAsia" w:ascii="宋体" w:hAnsi="宋体" w:eastAsia="宋体" w:cs="宋体"/>
          <w:highlight w:val="none"/>
        </w:rPr>
        <w:t>承担。</w:t>
      </w:r>
    </w:p>
    <w:p w14:paraId="60B27274">
      <w:pPr>
        <w:pStyle w:val="3"/>
        <w:tabs>
          <w:tab w:val="left" w:pos="0"/>
        </w:tabs>
        <w:bidi w:val="0"/>
        <w:ind w:left="575" w:leftChars="0" w:hanging="575" w:firstLineChars="0"/>
        <w:rPr>
          <w:rFonts w:hint="eastAsia" w:ascii="宋体" w:hAnsi="宋体" w:eastAsia="宋体" w:cs="宋体"/>
        </w:rPr>
      </w:pPr>
      <w:bookmarkStart w:id="10" w:name="_Toc4018"/>
      <w:bookmarkStart w:id="11" w:name="_Toc19254"/>
      <w:bookmarkStart w:id="12" w:name="_Toc3595"/>
      <w:bookmarkStart w:id="13" w:name="_Toc12022476"/>
      <w:bookmarkStart w:id="14" w:name="_Toc4475"/>
      <w:bookmarkStart w:id="15" w:name="_Toc2267"/>
      <w:bookmarkStart w:id="16" w:name="_Toc23381"/>
      <w:bookmarkStart w:id="17" w:name="_Toc11944"/>
      <w:r>
        <w:rPr>
          <w:rFonts w:hint="eastAsia" w:ascii="宋体" w:hAnsi="宋体" w:eastAsia="宋体" w:cs="宋体"/>
        </w:rPr>
        <w:t>保密要求</w:t>
      </w:r>
      <w:bookmarkEnd w:id="10"/>
      <w:bookmarkEnd w:id="11"/>
      <w:bookmarkEnd w:id="12"/>
      <w:bookmarkEnd w:id="13"/>
      <w:bookmarkEnd w:id="14"/>
      <w:bookmarkEnd w:id="15"/>
      <w:bookmarkEnd w:id="16"/>
      <w:bookmarkEnd w:id="17"/>
    </w:p>
    <w:p w14:paraId="562BCF87">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除以下情况外，非经</w:t>
      </w:r>
      <w:r>
        <w:rPr>
          <w:rFonts w:hint="eastAsia" w:ascii="宋体" w:hAnsi="宋体" w:eastAsia="宋体" w:cs="宋体"/>
          <w:highlight w:val="none"/>
          <w:lang w:eastAsia="zh-CN"/>
        </w:rPr>
        <w:t>江苏移动信息系统集成有限公司</w:t>
      </w:r>
      <w:r>
        <w:rPr>
          <w:rFonts w:hint="eastAsia" w:ascii="宋体" w:hAnsi="宋体" w:eastAsia="宋体" w:cs="宋体"/>
          <w:highlight w:val="none"/>
        </w:rPr>
        <w:t>书面许可，不得将本文件的任何内容透露给除</w:t>
      </w:r>
      <w:r>
        <w:rPr>
          <w:rFonts w:hint="eastAsia" w:ascii="宋体" w:hAnsi="宋体" w:eastAsia="宋体" w:cs="宋体"/>
          <w:highlight w:val="none"/>
          <w:lang w:val="en-US" w:eastAsia="zh-CN"/>
        </w:rPr>
        <w:t>江苏移动信息系统集成有限公司</w:t>
      </w:r>
      <w:r>
        <w:rPr>
          <w:rFonts w:hint="eastAsia" w:ascii="宋体" w:hAnsi="宋体" w:eastAsia="宋体" w:cs="宋体"/>
          <w:highlight w:val="none"/>
        </w:rPr>
        <w:t>以外的第三方。</w:t>
      </w:r>
    </w:p>
    <w:p w14:paraId="0CC72281">
      <w:pPr>
        <w:rPr>
          <w:rFonts w:hint="eastAsia" w:ascii="宋体" w:hAnsi="宋体" w:eastAsia="宋体" w:cs="宋体"/>
          <w:highlight w:val="none"/>
        </w:rPr>
      </w:pPr>
      <w:r>
        <w:rPr>
          <w:rFonts w:hint="eastAsia" w:ascii="宋体" w:hAnsi="宋体" w:eastAsia="宋体" w:cs="宋体"/>
          <w:highlight w:val="none"/>
        </w:rPr>
        <w:t>经</w:t>
      </w:r>
      <w:r>
        <w:rPr>
          <w:rFonts w:hint="eastAsia" w:ascii="宋体" w:hAnsi="宋体" w:eastAsia="宋体" w:cs="宋体"/>
          <w:highlight w:val="none"/>
          <w:lang w:eastAsia="zh-CN"/>
        </w:rPr>
        <w:t>江苏移动信息系统集成有限公司</w:t>
      </w:r>
      <w:r>
        <w:rPr>
          <w:rFonts w:hint="eastAsia" w:ascii="宋体" w:hAnsi="宋体" w:eastAsia="宋体" w:cs="宋体"/>
          <w:highlight w:val="none"/>
        </w:rPr>
        <w:t>书面许可，</w:t>
      </w:r>
      <w:r>
        <w:rPr>
          <w:rFonts w:hint="eastAsia" w:ascii="宋体" w:hAnsi="宋体" w:eastAsia="宋体" w:cs="宋体"/>
          <w:highlight w:val="none"/>
          <w:lang w:eastAsia="zh-CN"/>
        </w:rPr>
        <w:t>应答方</w:t>
      </w:r>
      <w:r>
        <w:rPr>
          <w:rFonts w:hint="eastAsia" w:ascii="宋体" w:hAnsi="宋体" w:eastAsia="宋体" w:cs="宋体"/>
          <w:highlight w:val="none"/>
        </w:rPr>
        <w:t>才允许将本文透露给其合作伙伴，并保证其合作伙伴不将本文透露给其它人。</w:t>
      </w:r>
    </w:p>
    <w:p w14:paraId="5A8AED26">
      <w:pPr>
        <w:pStyle w:val="3"/>
        <w:tabs>
          <w:tab w:val="left" w:pos="0"/>
        </w:tabs>
        <w:bidi w:val="0"/>
        <w:ind w:left="575" w:leftChars="0" w:hanging="575" w:firstLineChars="0"/>
        <w:rPr>
          <w:rFonts w:hint="eastAsia" w:ascii="宋体" w:hAnsi="宋体" w:eastAsia="宋体" w:cs="宋体"/>
        </w:rPr>
      </w:pPr>
      <w:bookmarkStart w:id="18" w:name="_Toc29980"/>
      <w:bookmarkStart w:id="19" w:name="_Toc341794180"/>
      <w:bookmarkStart w:id="20" w:name="_Toc12022475"/>
      <w:bookmarkStart w:id="21" w:name="_Toc17238"/>
      <w:bookmarkStart w:id="22" w:name="_Toc356914944"/>
      <w:bookmarkStart w:id="23" w:name="_Toc11274"/>
      <w:bookmarkStart w:id="24" w:name="_Toc18867"/>
      <w:bookmarkStart w:id="25" w:name="_Toc32232"/>
      <w:bookmarkStart w:id="26" w:name="_Toc16909"/>
      <w:bookmarkStart w:id="27" w:name="_Toc27805"/>
      <w:r>
        <w:rPr>
          <w:rFonts w:hint="eastAsia" w:ascii="宋体" w:hAnsi="宋体" w:eastAsia="宋体" w:cs="宋体"/>
        </w:rPr>
        <w:t>总体要求</w:t>
      </w:r>
      <w:bookmarkEnd w:id="18"/>
      <w:bookmarkEnd w:id="19"/>
      <w:bookmarkEnd w:id="20"/>
      <w:bookmarkEnd w:id="21"/>
      <w:bookmarkEnd w:id="22"/>
      <w:bookmarkEnd w:id="23"/>
      <w:bookmarkEnd w:id="24"/>
      <w:bookmarkEnd w:id="25"/>
      <w:bookmarkEnd w:id="26"/>
      <w:bookmarkEnd w:id="27"/>
    </w:p>
    <w:p w14:paraId="154F47E3">
      <w:pPr>
        <w:pStyle w:val="28"/>
        <w:rPr>
          <w:rFonts w:hint="eastAsia" w:ascii="宋体" w:hAnsi="宋体" w:eastAsia="宋体" w:cs="宋体"/>
          <w:lang w:val="en-US" w:eastAsia="zh-CN"/>
        </w:rPr>
      </w:pPr>
      <w:r>
        <w:rPr>
          <w:rFonts w:hint="eastAsia" w:ascii="宋体" w:hAnsi="宋体" w:eastAsia="宋体" w:cs="宋体"/>
          <w:lang w:val="en-US" w:eastAsia="zh-CN"/>
        </w:rPr>
        <w:t>1、本技术规范书是依据AI</w:t>
      </w:r>
      <w:r>
        <w:rPr>
          <w:rFonts w:hint="eastAsia" w:ascii="宋体" w:hAnsi="宋体" w:eastAsia="宋体" w:cs="宋体"/>
          <w:highlight w:val="none"/>
          <w:lang w:eastAsia="zh-CN"/>
        </w:rPr>
        <w:t>模型能力平台</w:t>
      </w:r>
      <w:r>
        <w:rPr>
          <w:rFonts w:hint="eastAsia" w:ascii="宋体" w:hAnsi="宋体" w:eastAsia="宋体" w:cs="宋体"/>
          <w:highlight w:val="none"/>
          <w:lang w:val="en-US" w:eastAsia="zh-CN"/>
        </w:rPr>
        <w:t>服务套件</w:t>
      </w:r>
      <w:r>
        <w:rPr>
          <w:rFonts w:hint="eastAsia" w:ascii="宋体" w:hAnsi="宋体" w:eastAsia="宋体" w:cs="宋体"/>
          <w:lang w:val="en-US" w:eastAsia="zh-CN"/>
        </w:rPr>
        <w:t>支撑服务项目需求编写而成，是智算产品服务的基本技术要求，供应答方编写技术建议书和投标入围之用。应答方应认真阅读、理解每一项内的每一点。应答方负责准确计算及列出所需各类资源（人员数量、资质，产品数量、技术指标等）及相应指标，以满足本规范书所列出的各项要求。如果在合同签署后，被发现各类资源配置和技术方案不能达到本技术规范书要求，则应答方负全责重新配置资源、修订方案、重新返工直至达到要求为止。由此而产生一切费用和支出全部由应答方无条件负责承担。由此造成本项目延误，按合同有关条款处罚。</w:t>
      </w:r>
    </w:p>
    <w:p w14:paraId="4CBF23BE">
      <w:pPr>
        <w:pStyle w:val="28"/>
        <w:rPr>
          <w:rFonts w:hint="eastAsia" w:ascii="宋体" w:hAnsi="宋体" w:eastAsia="宋体" w:cs="宋体"/>
          <w:lang w:val="en-US" w:eastAsia="zh-CN"/>
        </w:rPr>
      </w:pPr>
      <w:r>
        <w:rPr>
          <w:rFonts w:hint="eastAsia" w:ascii="宋体" w:hAnsi="宋体" w:eastAsia="宋体" w:cs="宋体"/>
          <w:lang w:val="en-US" w:eastAsia="zh-CN"/>
        </w:rPr>
        <w:t>2、应答方应按照本文件的要求提供入围方案和详细的技术建议。应答方应承诺所提供的服务在性能、技术指标、服务内容等方面满足本技术规范书的要求。对于本文件未规定的有关系统性能，应答方应提出建议，并陈述其理由。</w:t>
      </w:r>
    </w:p>
    <w:p w14:paraId="54311CEF">
      <w:pPr>
        <w:pStyle w:val="28"/>
        <w:rPr>
          <w:rFonts w:hint="eastAsia" w:ascii="宋体" w:hAnsi="宋体" w:eastAsia="宋体" w:cs="宋体"/>
          <w:lang w:val="en-US" w:eastAsia="zh-CN"/>
        </w:rPr>
      </w:pPr>
      <w:r>
        <w:rPr>
          <w:rFonts w:hint="eastAsia" w:ascii="宋体" w:hAnsi="宋体" w:eastAsia="宋体" w:cs="宋体"/>
          <w:lang w:val="en-US" w:eastAsia="zh-CN"/>
        </w:rPr>
        <w:t>3、本文件提出的具体技术要求如与上述文件及补充规范不一致的地方，以本文件为准。</w:t>
      </w:r>
    </w:p>
    <w:p w14:paraId="0403969A">
      <w:pPr>
        <w:pStyle w:val="28"/>
        <w:rPr>
          <w:rFonts w:hint="eastAsia" w:ascii="宋体" w:hAnsi="宋体" w:eastAsia="宋体" w:cs="宋体"/>
          <w:lang w:val="en-US" w:eastAsia="zh-CN"/>
        </w:rPr>
      </w:pPr>
      <w:r>
        <w:rPr>
          <w:rFonts w:hint="eastAsia" w:ascii="宋体" w:hAnsi="宋体" w:eastAsia="宋体" w:cs="宋体"/>
          <w:lang w:val="en-US" w:eastAsia="zh-CN"/>
        </w:rPr>
        <w:t>4、当需求方有新建议，而本技术规范书又尚未包括或与本技术规范书不符时，则应符合需求方新建议的要求；对于需求方尚未有标准的，而本技术规范书又未提及的部分，应答方提出其标准，留待需求方认可后执行。</w:t>
      </w:r>
    </w:p>
    <w:p w14:paraId="3E6BC57E">
      <w:pPr>
        <w:pStyle w:val="28"/>
        <w:rPr>
          <w:rFonts w:hint="eastAsia" w:ascii="宋体" w:hAnsi="宋体" w:eastAsia="宋体" w:cs="宋体"/>
          <w:lang w:val="en-US" w:eastAsia="zh-CN"/>
        </w:rPr>
      </w:pPr>
      <w:r>
        <w:rPr>
          <w:rFonts w:hint="eastAsia" w:ascii="宋体" w:hAnsi="宋体" w:eastAsia="宋体" w:cs="宋体"/>
          <w:lang w:val="en-US" w:eastAsia="zh-CN"/>
        </w:rPr>
        <w:t>5、当应答方的系统中包含自己的专用标准，应在建议书中具体说明，并附上相应的详细资料。</w:t>
      </w:r>
    </w:p>
    <w:p w14:paraId="2563B99C">
      <w:pPr>
        <w:pStyle w:val="28"/>
        <w:rPr>
          <w:rFonts w:hint="eastAsia" w:ascii="宋体" w:hAnsi="宋体" w:eastAsia="宋体" w:cs="宋体"/>
          <w:lang w:val="en-US" w:eastAsia="zh-CN"/>
        </w:rPr>
      </w:pPr>
      <w:r>
        <w:rPr>
          <w:rFonts w:hint="eastAsia" w:ascii="宋体" w:hAnsi="宋体" w:eastAsia="宋体" w:cs="宋体"/>
          <w:lang w:val="en-US" w:eastAsia="zh-CN"/>
        </w:rPr>
        <w:t>6、需求方有权在签定合同前，根据需要修改和补充本技术规范书，修改补充后的最终技术规范书将作为合同的附件。</w:t>
      </w:r>
    </w:p>
    <w:p w14:paraId="2A21EDB9">
      <w:pPr>
        <w:pStyle w:val="28"/>
        <w:rPr>
          <w:rFonts w:hint="eastAsia" w:ascii="宋体" w:hAnsi="宋体" w:eastAsia="宋体" w:cs="宋体"/>
          <w:lang w:val="en-US" w:eastAsia="zh-CN"/>
        </w:rPr>
      </w:pPr>
      <w:r>
        <w:rPr>
          <w:rFonts w:hint="eastAsia" w:ascii="宋体" w:hAnsi="宋体" w:eastAsia="宋体" w:cs="宋体"/>
          <w:lang w:val="en-US" w:eastAsia="zh-CN"/>
        </w:rPr>
        <w:t>7、本技术规范书应视为保证项目运行所需的最低要求。如有遗漏，应答方应予以补充，否则一旦中标将认为应答方认同遗漏部分并免费提供。</w:t>
      </w:r>
    </w:p>
    <w:p w14:paraId="7A81503E">
      <w:pPr>
        <w:pStyle w:val="28"/>
        <w:rPr>
          <w:rFonts w:hint="eastAsia" w:ascii="宋体" w:hAnsi="宋体" w:eastAsia="宋体" w:cs="宋体"/>
          <w:lang w:val="en-US" w:eastAsia="zh-CN"/>
        </w:rPr>
      </w:pPr>
      <w:r>
        <w:rPr>
          <w:rFonts w:hint="eastAsia" w:ascii="宋体" w:hAnsi="宋体" w:eastAsia="宋体" w:cs="宋体"/>
          <w:lang w:val="en-US" w:eastAsia="zh-CN"/>
        </w:rPr>
        <w:t>8、应答方应答内容应均属实，如其应答为“满足”，但在实际测试、应用中发现其“不满足”或“部分满足”，需求方有权取消其中选资格或解除合同并根据相关规定追究其责任。</w:t>
      </w:r>
    </w:p>
    <w:p w14:paraId="7B468FE3">
      <w:pPr>
        <w:rPr>
          <w:rFonts w:hint="eastAsia" w:ascii="宋体" w:hAnsi="宋体" w:eastAsia="宋体" w:cs="宋体"/>
        </w:rPr>
      </w:pPr>
      <w:r>
        <w:rPr>
          <w:rFonts w:hint="eastAsia" w:ascii="宋体" w:hAnsi="宋体" w:eastAsia="宋体" w:cs="宋体"/>
          <w:lang w:val="en-US" w:eastAsia="zh-CN"/>
        </w:rPr>
        <w:t>9、本技术规范书解释权归江苏移动信息系统集成有限公司</w:t>
      </w:r>
      <w:r>
        <w:rPr>
          <w:rFonts w:hint="eastAsia" w:ascii="宋体" w:hAnsi="宋体" w:eastAsia="宋体" w:cs="宋体"/>
          <w:highlight w:val="none"/>
        </w:rPr>
        <w:t>。</w:t>
      </w:r>
    </w:p>
    <w:p w14:paraId="0AF842DB">
      <w:pPr>
        <w:pStyle w:val="2"/>
        <w:rPr>
          <w:rFonts w:hint="eastAsia" w:ascii="宋体" w:hAnsi="宋体" w:eastAsia="宋体" w:cs="宋体"/>
        </w:rPr>
      </w:pPr>
      <w:r>
        <w:rPr>
          <w:rFonts w:hint="eastAsia" w:ascii="宋体" w:hAnsi="宋体" w:eastAsia="宋体" w:cs="宋体"/>
        </w:rPr>
        <w:t>项目背景</w:t>
      </w:r>
    </w:p>
    <w:p w14:paraId="715F332A">
      <w:pPr>
        <w:ind w:left="420" w:firstLine="420"/>
        <w:rPr>
          <w:rFonts w:hint="eastAsia" w:ascii="宋体" w:hAnsi="宋体" w:eastAsia="宋体" w:cs="宋体"/>
        </w:rPr>
      </w:pPr>
      <w:r>
        <w:rPr>
          <w:rFonts w:hint="eastAsia" w:ascii="宋体" w:hAnsi="宋体" w:eastAsia="宋体" w:cs="宋体"/>
        </w:rPr>
        <w:t>随着人工智能技术的快速发展，AI在各个行业的应用需求日益增长。江苏移动基于自研的“苏晓伴”智能体平台,已经接入了包括中国移动九天、DeepSeek、文心一言等在内的国内主流大模型。目前，“苏晓伴”智能体已汇聚了超过30款AI应用，为用户提供低门槛、多场景的智能服务。随着用户需求的不断变化和业务场景的日益复杂，仅靠平台现有的功能已难以满足所有用户的需求，为此需要开发集成及提供一系列</w:t>
      </w:r>
      <w:r>
        <w:rPr>
          <w:rFonts w:hint="eastAsia" w:ascii="宋体" w:hAnsi="宋体" w:eastAsia="宋体" w:cs="宋体"/>
          <w:highlight w:val="none"/>
        </w:rPr>
        <w:t>AI智能体应用定制集成</w:t>
      </w:r>
      <w:r>
        <w:rPr>
          <w:rFonts w:hint="eastAsia" w:ascii="宋体" w:hAnsi="宋体" w:eastAsia="宋体" w:cs="宋体"/>
        </w:rPr>
        <w:t>支撑服务显得尤为重要。通过插件化的方式，可以灵活地为平台增加新的功能模块，同时保持平台的稳定性和可扩展性，以满足不同行业、不同用户群体的个性化需求。</w:t>
      </w:r>
    </w:p>
    <w:p w14:paraId="5CE717ED">
      <w:pPr>
        <w:ind w:left="420" w:firstLine="420"/>
        <w:rPr>
          <w:rFonts w:hint="eastAsia" w:ascii="宋体" w:hAnsi="宋体" w:eastAsia="宋体" w:cs="宋体"/>
        </w:rPr>
      </w:pPr>
      <w:r>
        <w:rPr>
          <w:rFonts w:hint="eastAsia" w:ascii="宋体" w:hAnsi="宋体" w:eastAsia="宋体" w:cs="宋体"/>
        </w:rPr>
        <w:t>要求应答方能够提供行业客户定制化智能体应用、企业知识库专属服务、行业智能体应用开发服务，实现行业客户智能体应用、企业知识库功能扩展与集成。应答方能够向生态合作伙伴、行业用户提供智能体所需插件，实现智能体功能的扩展与集成，并可通过插件调用外部 API或执行复杂任务，这对于进一步扩展“苏晓伴”智能体平台的应用领域、提升用户体验具有重要意义。</w:t>
      </w:r>
    </w:p>
    <w:p w14:paraId="4D12D8AF">
      <w:pPr>
        <w:pStyle w:val="2"/>
        <w:rPr>
          <w:rFonts w:hint="eastAsia" w:ascii="宋体" w:hAnsi="宋体" w:eastAsia="宋体" w:cs="宋体"/>
        </w:rPr>
      </w:pPr>
      <w:r>
        <w:rPr>
          <w:rFonts w:hint="eastAsia" w:ascii="宋体" w:hAnsi="宋体" w:eastAsia="宋体" w:cs="宋体"/>
        </w:rPr>
        <w:t>项目</w:t>
      </w:r>
      <w:r>
        <w:rPr>
          <w:rFonts w:hint="eastAsia" w:ascii="宋体" w:hAnsi="宋体" w:eastAsia="宋体" w:cs="宋体"/>
          <w:lang w:val="en-US" w:eastAsia="zh-CN"/>
        </w:rPr>
        <w:t>目标</w:t>
      </w:r>
    </w:p>
    <w:p w14:paraId="452B80B4">
      <w:pPr>
        <w:ind w:left="420" w:firstLine="420"/>
        <w:rPr>
          <w:rFonts w:hint="eastAsia" w:ascii="宋体" w:hAnsi="宋体" w:eastAsia="宋体" w:cs="宋体"/>
        </w:rPr>
      </w:pPr>
      <w:r>
        <w:rPr>
          <w:rFonts w:hint="eastAsia" w:ascii="宋体" w:hAnsi="宋体" w:eastAsia="宋体" w:cs="宋体"/>
        </w:rPr>
        <w:t>本项目以深化 “苏晓伴” 智能体平台应用能力为核心，旨在通过开发集成 AI 智能体应用插件支撑服务，实现行业客户智能体应用定制化开发、企业知识库专属服务升级及功能集成拓展。同时，面向生态合作伙伴与行业用户提供智能体功能扩展插件，构建灵活调用外部 API 与执行复杂任务的能力体系，解决平台现有功能难以满足多元需求的痛点。最终实现平台应用领域的深度拓展与用户体验的全面提升，助力 “苏晓伴” 智能体平台在复杂业务场景中保持技术先进性与服务竞争力，成为行业智能服务的标杆平台。</w:t>
      </w:r>
    </w:p>
    <w:p w14:paraId="0E63681E">
      <w:pPr>
        <w:pStyle w:val="2"/>
        <w:rPr>
          <w:rFonts w:hint="eastAsia" w:ascii="宋体" w:hAnsi="宋体" w:eastAsia="宋体" w:cs="宋体"/>
        </w:rPr>
      </w:pPr>
      <w:r>
        <w:rPr>
          <w:rFonts w:hint="eastAsia" w:ascii="宋体" w:hAnsi="宋体" w:eastAsia="宋体" w:cs="宋体"/>
        </w:rPr>
        <w:t>服务内容和技术规范</w:t>
      </w:r>
    </w:p>
    <w:p w14:paraId="5C228E79">
      <w:pPr>
        <w:ind w:firstLine="420"/>
        <w:rPr>
          <w:rFonts w:hint="eastAsia" w:ascii="宋体" w:hAnsi="宋体" w:eastAsia="宋体" w:cs="宋体"/>
        </w:rPr>
      </w:pPr>
      <w:r>
        <w:rPr>
          <w:rFonts w:hint="eastAsia" w:ascii="宋体" w:hAnsi="宋体" w:eastAsia="宋体" w:cs="宋体"/>
        </w:rPr>
        <w:t>本项目服务内容围绕江苏移动苏晓伴AI智能体应用定制集成需求展开，主要包括：应用插件开发与集成、以及定制化服务。苏晓伴AI智能体应用平台架构如下图所示。</w:t>
      </w:r>
    </w:p>
    <w:p w14:paraId="448A22C4">
      <w:pPr>
        <w:rPr>
          <w:rFonts w:hint="eastAsia" w:ascii="宋体" w:hAnsi="宋体" w:eastAsia="宋体" w:cs="宋体"/>
        </w:rPr>
      </w:pPr>
      <w:r>
        <w:rPr>
          <w:rFonts w:hint="eastAsia" w:ascii="宋体" w:hAnsi="宋体" w:eastAsia="宋体" w:cs="宋体"/>
        </w:rPr>
        <w:drawing>
          <wp:inline distT="0" distB="0" distL="114300" distR="114300">
            <wp:extent cx="5407660" cy="3506470"/>
            <wp:effectExtent l="0" t="0" r="254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407660" cy="3506470"/>
                    </a:xfrm>
                    <a:prstGeom prst="rect">
                      <a:avLst/>
                    </a:prstGeom>
                    <a:noFill/>
                    <a:ln>
                      <a:noFill/>
                    </a:ln>
                  </pic:spPr>
                </pic:pic>
              </a:graphicData>
            </a:graphic>
          </wp:inline>
        </w:drawing>
      </w:r>
    </w:p>
    <w:p w14:paraId="588B267D">
      <w:pPr>
        <w:ind w:firstLine="420"/>
        <w:rPr>
          <w:rFonts w:hint="eastAsia" w:ascii="宋体" w:hAnsi="宋体" w:eastAsia="宋体" w:cs="宋体"/>
        </w:rPr>
      </w:pPr>
      <w:r>
        <w:rPr>
          <w:rFonts w:hint="eastAsia" w:ascii="宋体" w:hAnsi="宋体" w:eastAsia="宋体" w:cs="宋体"/>
        </w:rPr>
        <w:t>苏晓伴AI智能体应用平台系统总体架构，自上而下分为五层：展示层、智能体应用层、能力层、模型层、资源层。</w:t>
      </w:r>
    </w:p>
    <w:p w14:paraId="6BE75092">
      <w:pPr>
        <w:ind w:left="420"/>
        <w:rPr>
          <w:rFonts w:hint="eastAsia" w:ascii="宋体" w:hAnsi="宋体" w:eastAsia="宋体" w:cs="宋体"/>
          <w:b/>
          <w:bCs/>
        </w:rPr>
      </w:pPr>
      <w:r>
        <w:rPr>
          <w:rFonts w:hint="eastAsia" w:ascii="宋体" w:hAnsi="宋体" w:eastAsia="宋体" w:cs="宋体"/>
          <w:b/>
          <w:bCs/>
        </w:rPr>
        <w:t>1）展示层</w:t>
      </w:r>
    </w:p>
    <w:p w14:paraId="41166296">
      <w:pPr>
        <w:ind w:left="420" w:firstLine="420"/>
        <w:rPr>
          <w:rFonts w:hint="eastAsia" w:ascii="宋体" w:hAnsi="宋体" w:eastAsia="宋体" w:cs="宋体"/>
        </w:rPr>
      </w:pPr>
      <w:r>
        <w:rPr>
          <w:rFonts w:hint="eastAsia" w:ascii="宋体" w:hAnsi="宋体" w:eastAsia="宋体" w:cs="宋体"/>
        </w:rPr>
        <w:t>苏晓伴平台统一接入、汇聚展示各类智能体应用，以小程序、PC-Web、H5等呈现形式，面向行业客户提供统一集成的“AI超市”、“移动空间”智能体应用服务。苏晓伴“AI超市”是各类AI智能体应用集成页，汇集AI生文、图、音视频等多种模态的产品应用，通过“轮播图”“精品推进”“主题列表”形式呈现；苏晓伴“移动空间”是移动集团内数字化产品应用集成页，打造移动数字化产品生态圈，通过“卡片清单”形式呈现，支持显示产品功能的名称、简介、快捷入口。按照《苏晓伴对外标准场景及接口规范》要求，平台可接入外部智能体应用。</w:t>
      </w:r>
    </w:p>
    <w:p w14:paraId="566CDC2B">
      <w:pPr>
        <w:ind w:left="420"/>
        <w:rPr>
          <w:rFonts w:hint="eastAsia" w:ascii="宋体" w:hAnsi="宋体" w:eastAsia="宋体" w:cs="宋体"/>
          <w:b/>
          <w:bCs/>
        </w:rPr>
      </w:pPr>
      <w:r>
        <w:rPr>
          <w:rFonts w:hint="eastAsia" w:ascii="宋体" w:hAnsi="宋体" w:eastAsia="宋体" w:cs="宋体"/>
          <w:b/>
          <w:bCs/>
        </w:rPr>
        <w:t>2）智能体应用层</w:t>
      </w:r>
    </w:p>
    <w:p w14:paraId="5139FB79">
      <w:pPr>
        <w:ind w:left="420" w:firstLine="420"/>
        <w:rPr>
          <w:rFonts w:hint="eastAsia" w:ascii="宋体" w:hAnsi="宋体" w:eastAsia="宋体" w:cs="宋体"/>
        </w:rPr>
      </w:pPr>
      <w:r>
        <w:rPr>
          <w:rFonts w:hint="eastAsia" w:ascii="宋体" w:hAnsi="宋体" w:eastAsia="宋体" w:cs="宋体"/>
        </w:rPr>
        <w:t>目前“苏晓伴”平台已汇聚了超过30款通用智能体、行业智能体应用。为了进一步深入拓展行业智能体应用领域，本项目提出定制两大类插件服务：通用智能体插件服务、行业智能体插件服务。通用插件服务细分为：开发工具类、协作与沟通类、数据分析与可视化类、人工智能与机器学习类、集成与接口类、内容创作与管理类、安全与监控类等；为行业客户定制的智能体插件服务，包括（但不仅限于）：法律与合规、教育与科研、金融与数据分析、电商与客服服务、制造业与IoT物联网、医疗与健康、行政监管执法等领域的行业插件服务。</w:t>
      </w:r>
    </w:p>
    <w:p w14:paraId="0A1C9FCD">
      <w:pPr>
        <w:ind w:left="420" w:firstLine="420"/>
        <w:rPr>
          <w:rFonts w:hint="eastAsia" w:ascii="宋体" w:hAnsi="宋体" w:eastAsia="宋体" w:cs="宋体"/>
        </w:rPr>
      </w:pPr>
      <w:r>
        <w:rPr>
          <w:rFonts w:hint="eastAsia" w:ascii="宋体" w:hAnsi="宋体" w:eastAsia="宋体" w:cs="宋体"/>
        </w:rPr>
        <w:t>本项目所定制的插件服务，一方面可以被现有的智能体应用所集成、调用，另一方面，可按《苏晓伴对外标准场景及接口规范》要求，统一接入到苏晓伴“AI超市”、“移动空间”，面向行业客户提供智能体应用服务。</w:t>
      </w:r>
    </w:p>
    <w:p w14:paraId="7F05BB7B">
      <w:pPr>
        <w:ind w:left="420"/>
        <w:rPr>
          <w:rFonts w:hint="eastAsia" w:ascii="宋体" w:hAnsi="宋体" w:eastAsia="宋体" w:cs="宋体"/>
          <w:b/>
          <w:bCs/>
        </w:rPr>
      </w:pPr>
      <w:r>
        <w:rPr>
          <w:rFonts w:hint="eastAsia" w:ascii="宋体" w:hAnsi="宋体" w:eastAsia="宋体" w:cs="宋体"/>
          <w:b/>
          <w:bCs/>
        </w:rPr>
        <w:t>3）能力层</w:t>
      </w:r>
    </w:p>
    <w:p w14:paraId="33AFE9C7">
      <w:pPr>
        <w:ind w:left="420" w:firstLine="420"/>
        <w:rPr>
          <w:rFonts w:hint="eastAsia" w:ascii="宋体" w:hAnsi="宋体" w:eastAsia="宋体" w:cs="宋体"/>
        </w:rPr>
      </w:pPr>
      <w:r>
        <w:rPr>
          <w:rFonts w:hint="eastAsia" w:ascii="宋体" w:hAnsi="宋体" w:eastAsia="宋体" w:cs="宋体"/>
        </w:rPr>
        <w:t>能力层是为通用类、行业类插件服务的定制、运行及管理提供支撑，包含：Workflow工作流引擎和Data引擎（包含：RPA、RPA、语义字典等）、数据中台（包含：智能清洗、自动切片及向量化处理、向量检索和全文检索等功能）、应用智改（包含：应用配置、控件配置、模型设置、能力编排、多窗调试、API接入等功能）、开放平台（包含：统一纳管、多KEY轮询、Token统计、嵌入模型和推理模型配置、知识记忆和用户记忆参数设置等）。</w:t>
      </w:r>
    </w:p>
    <w:p w14:paraId="411EC43B">
      <w:pPr>
        <w:ind w:left="420"/>
        <w:rPr>
          <w:rFonts w:hint="eastAsia" w:ascii="宋体" w:hAnsi="宋体" w:eastAsia="宋体" w:cs="宋体"/>
          <w:b/>
          <w:bCs/>
        </w:rPr>
      </w:pPr>
      <w:r>
        <w:rPr>
          <w:rFonts w:hint="eastAsia" w:ascii="宋体" w:hAnsi="宋体" w:eastAsia="宋体" w:cs="宋体"/>
          <w:b/>
          <w:bCs/>
        </w:rPr>
        <w:t>4）模型层</w:t>
      </w:r>
    </w:p>
    <w:p w14:paraId="4ED0A232">
      <w:pPr>
        <w:ind w:left="420" w:firstLine="420"/>
        <w:rPr>
          <w:rFonts w:hint="eastAsia" w:ascii="宋体" w:hAnsi="宋体" w:eastAsia="宋体" w:cs="宋体"/>
        </w:rPr>
      </w:pPr>
      <w:r>
        <w:rPr>
          <w:rFonts w:hint="eastAsia" w:ascii="宋体" w:hAnsi="宋体" w:eastAsia="宋体" w:cs="宋体"/>
        </w:rPr>
        <w:t>苏晓伴平台为插件服务及其智能体应用，调度使用多种大模型（中移九天、DeepSeek、火山引擎等）服务。</w:t>
      </w:r>
    </w:p>
    <w:p w14:paraId="469CD307">
      <w:pPr>
        <w:ind w:left="420"/>
        <w:rPr>
          <w:rFonts w:hint="eastAsia" w:ascii="宋体" w:hAnsi="宋体" w:eastAsia="宋体" w:cs="宋体"/>
          <w:b/>
          <w:bCs/>
        </w:rPr>
      </w:pPr>
      <w:r>
        <w:rPr>
          <w:rFonts w:hint="eastAsia" w:ascii="宋体" w:hAnsi="宋体" w:eastAsia="宋体" w:cs="宋体"/>
          <w:b/>
          <w:bCs/>
        </w:rPr>
        <w:t>5）资源层</w:t>
      </w:r>
    </w:p>
    <w:p w14:paraId="65BB8BA6">
      <w:pPr>
        <w:ind w:left="420" w:firstLine="420"/>
        <w:rPr>
          <w:rFonts w:hint="eastAsia" w:ascii="宋体" w:hAnsi="宋体" w:eastAsia="宋体" w:cs="宋体"/>
        </w:rPr>
      </w:pPr>
      <w:r>
        <w:rPr>
          <w:rFonts w:hint="eastAsia" w:ascii="宋体" w:hAnsi="宋体" w:eastAsia="宋体" w:cs="宋体"/>
        </w:rPr>
        <w:t>资源层主要是部署于公有云、私有云上的服务器、GPU、数据库等系统资源，为大模型、智能体插件服务及应用提供计算、存储资源服务。</w:t>
      </w:r>
    </w:p>
    <w:p w14:paraId="71F95D4A">
      <w:pPr>
        <w:ind w:left="420" w:firstLine="420"/>
        <w:rPr>
          <w:rFonts w:hint="eastAsia" w:ascii="宋体" w:hAnsi="宋体" w:eastAsia="宋体" w:cs="宋体"/>
        </w:rPr>
      </w:pPr>
    </w:p>
    <w:p w14:paraId="55258F32">
      <w:pPr>
        <w:pStyle w:val="3"/>
        <w:bidi w:val="0"/>
        <w:rPr>
          <w:rFonts w:hint="eastAsia" w:ascii="宋体" w:hAnsi="宋体" w:eastAsia="宋体" w:cs="宋体"/>
        </w:rPr>
      </w:pPr>
      <w:r>
        <w:rPr>
          <w:rFonts w:hint="eastAsia" w:ascii="宋体" w:hAnsi="宋体" w:eastAsia="宋体" w:cs="宋体"/>
        </w:rPr>
        <w:t>插件定制与集成</w:t>
      </w:r>
    </w:p>
    <w:p w14:paraId="2ACA4CBF">
      <w:pPr>
        <w:pStyle w:val="4"/>
        <w:bidi w:val="0"/>
        <w:rPr>
          <w:rFonts w:hint="eastAsia" w:ascii="宋体" w:hAnsi="宋体" w:eastAsia="宋体" w:cs="宋体"/>
        </w:rPr>
      </w:pPr>
      <w:r>
        <w:rPr>
          <w:rFonts w:hint="eastAsia" w:ascii="宋体" w:hAnsi="宋体" w:eastAsia="宋体" w:cs="宋体"/>
        </w:rPr>
        <w:t>需支持的插件类别</w:t>
      </w:r>
    </w:p>
    <w:p w14:paraId="29647E47">
      <w:pPr>
        <w:rPr>
          <w:rFonts w:hint="eastAsia" w:ascii="宋体" w:hAnsi="宋体" w:eastAsia="宋体" w:cs="宋体"/>
        </w:rPr>
      </w:pPr>
      <w:r>
        <w:rPr>
          <w:rFonts w:hint="eastAsia" w:ascii="宋体" w:hAnsi="宋体" w:eastAsia="宋体" w:cs="宋体"/>
        </w:rPr>
        <w:t xml:space="preserve">    需支持的插件从功能及应用角度分类，包括但不仅限于以下类别：</w:t>
      </w:r>
    </w:p>
    <w:p w14:paraId="49341573">
      <w:pPr>
        <w:pStyle w:val="5"/>
        <w:bidi w:val="0"/>
        <w:rPr>
          <w:rFonts w:hint="eastAsia" w:ascii="宋体" w:hAnsi="宋体" w:eastAsia="宋体" w:cs="宋体"/>
        </w:rPr>
      </w:pPr>
      <w:r>
        <w:rPr>
          <w:rFonts w:hint="eastAsia" w:ascii="宋体" w:hAnsi="宋体" w:eastAsia="宋体" w:cs="宋体"/>
        </w:rPr>
        <w:t>开发工具类</w:t>
      </w:r>
    </w:p>
    <w:p w14:paraId="6AA6CD62">
      <w:pPr>
        <w:ind w:firstLine="420"/>
        <w:rPr>
          <w:rFonts w:hint="eastAsia" w:ascii="宋体" w:hAnsi="宋体" w:eastAsia="宋体" w:cs="宋体"/>
        </w:rPr>
      </w:pPr>
      <w:r>
        <w:rPr>
          <w:rFonts w:hint="eastAsia" w:ascii="宋体" w:hAnsi="宋体" w:eastAsia="宋体" w:cs="宋体"/>
        </w:rPr>
        <w:t>代码编辑辅助插件：如智能代码补全插件，能在开发者输入代码时自动识别上下文并提供相应的代码补全建议，包括函数名、变量名、类名等，大大提高开发效率，减少代码输入错误。代码格式化插件可自动对代码进行格式化排版，使代码更加规范、整洁易读，方便团队协作和后期维护。</w:t>
      </w:r>
    </w:p>
    <w:p w14:paraId="36F6BB93">
      <w:pPr>
        <w:ind w:firstLine="420"/>
        <w:rPr>
          <w:rFonts w:hint="eastAsia" w:ascii="宋体" w:hAnsi="宋体" w:eastAsia="宋体" w:cs="宋体"/>
        </w:rPr>
      </w:pPr>
      <w:r>
        <w:rPr>
          <w:rFonts w:hint="eastAsia" w:ascii="宋体" w:hAnsi="宋体" w:eastAsia="宋体" w:cs="宋体"/>
        </w:rPr>
        <w:t>调试工具插件：帮助开发者快速定位和解决代码中的问题，例如断点调试插件，允许开发者在代码中设置断点，程序运行到断点处时暂停，开发者可以查看此时的变量值、调用栈等信息，逐步执行代码以分析程序的执行流程和状态，找出潜在的错误和逻辑问题。</w:t>
      </w:r>
    </w:p>
    <w:p w14:paraId="1704B083">
      <w:pPr>
        <w:pStyle w:val="5"/>
        <w:bidi w:val="0"/>
        <w:rPr>
          <w:rFonts w:hint="eastAsia" w:ascii="宋体" w:hAnsi="宋体" w:eastAsia="宋体" w:cs="宋体"/>
        </w:rPr>
      </w:pPr>
      <w:r>
        <w:rPr>
          <w:rFonts w:hint="eastAsia" w:ascii="宋体" w:hAnsi="宋体" w:eastAsia="宋体" w:cs="宋体"/>
        </w:rPr>
        <w:t>协作与沟通类</w:t>
      </w:r>
    </w:p>
    <w:p w14:paraId="2688653C">
      <w:pPr>
        <w:ind w:firstLine="420"/>
        <w:rPr>
          <w:rFonts w:hint="eastAsia" w:ascii="宋体" w:hAnsi="宋体" w:eastAsia="宋体" w:cs="宋体"/>
        </w:rPr>
      </w:pPr>
      <w:r>
        <w:rPr>
          <w:rFonts w:hint="eastAsia" w:ascii="宋体" w:hAnsi="宋体" w:eastAsia="宋体" w:cs="宋体"/>
        </w:rPr>
        <w:t>团队沟通插件：与团队即时通讯工具集成的插件，如与微信、钉钉等的集成插件，方便团队成员在智能体平台内直接进行消息沟通、文件共享和讨论，减少在不同沟通工具之间的切换，提高沟通效率和团队协作的紧密性。</w:t>
      </w:r>
    </w:p>
    <w:p w14:paraId="485C4D9A">
      <w:pPr>
        <w:ind w:firstLine="420"/>
        <w:rPr>
          <w:rFonts w:hint="eastAsia" w:ascii="宋体" w:hAnsi="宋体" w:eastAsia="宋体" w:cs="宋体"/>
        </w:rPr>
      </w:pPr>
      <w:r>
        <w:rPr>
          <w:rFonts w:hint="eastAsia" w:ascii="宋体" w:hAnsi="宋体" w:eastAsia="宋体" w:cs="宋体"/>
        </w:rPr>
        <w:t>项目管理协作插件：可用于项目任务的分配、进度和跟踪管理，比如与 Trello、Jira等项目管理工具集成的插件，团队成员可以在智能体平台上查看项目任务列表、更新任务状态、添加任务评论等，实现项目进度的透明化和高效协作，确保项目按计划顺利推进。</w:t>
      </w:r>
    </w:p>
    <w:p w14:paraId="1A23F349">
      <w:pPr>
        <w:pStyle w:val="5"/>
        <w:bidi w:val="0"/>
        <w:rPr>
          <w:rFonts w:hint="eastAsia" w:ascii="宋体" w:hAnsi="宋体" w:eastAsia="宋体" w:cs="宋体"/>
        </w:rPr>
      </w:pPr>
      <w:r>
        <w:rPr>
          <w:rFonts w:hint="eastAsia" w:ascii="宋体" w:hAnsi="宋体" w:eastAsia="宋体" w:cs="宋体"/>
        </w:rPr>
        <w:t>数据分析与可视化类</w:t>
      </w:r>
    </w:p>
    <w:p w14:paraId="19687B18">
      <w:pPr>
        <w:ind w:firstLine="420"/>
        <w:rPr>
          <w:rFonts w:hint="eastAsia" w:ascii="宋体" w:hAnsi="宋体" w:eastAsia="宋体" w:cs="宋体"/>
        </w:rPr>
      </w:pPr>
      <w:r>
        <w:rPr>
          <w:rFonts w:hint="eastAsia" w:ascii="宋体" w:hAnsi="宋体" w:eastAsia="宋体" w:cs="宋体"/>
        </w:rPr>
        <w:t>数据分析插件：能够对数据进行收集、整理和分析，例如数据统计分析插件，提供常用的数据统计功能，如求和、平均值、最大值、最小值等计算，以及数据的相关性分析、趋势分析等，帮助用户快速了解数据的基本特征和内在规律，为决策提供数据支持。</w:t>
      </w:r>
    </w:p>
    <w:p w14:paraId="268FC1A7">
      <w:pPr>
        <w:ind w:firstLine="420"/>
        <w:rPr>
          <w:rFonts w:hint="eastAsia" w:ascii="宋体" w:hAnsi="宋体" w:eastAsia="宋体" w:cs="宋体"/>
        </w:rPr>
      </w:pPr>
      <w:r>
        <w:rPr>
          <w:rFonts w:hint="eastAsia" w:ascii="宋体" w:hAnsi="宋体" w:eastAsia="宋体" w:cs="宋体"/>
        </w:rPr>
        <w:t>可视化数据插件：将复杂的数据以直观的图表形式展示出来，如柱状图、折线图、饼图、散点图等各类图表插件，用户可以轻松地选择合适图表类型来展示数据，通过可视化的方式更清晰地呈现数据的分布、对比和变化趋势，便于向他人传达数据信息和发现数据中的关键问题。</w:t>
      </w:r>
    </w:p>
    <w:p w14:paraId="0B47F311">
      <w:pPr>
        <w:pStyle w:val="5"/>
        <w:bidi w:val="0"/>
        <w:rPr>
          <w:rFonts w:hint="eastAsia" w:ascii="宋体" w:hAnsi="宋体" w:eastAsia="宋体" w:cs="宋体"/>
        </w:rPr>
      </w:pPr>
      <w:r>
        <w:rPr>
          <w:rFonts w:hint="eastAsia" w:ascii="宋体" w:hAnsi="宋体" w:eastAsia="宋体" w:cs="宋体"/>
        </w:rPr>
        <w:t>人工智能与机器学习类</w:t>
      </w:r>
    </w:p>
    <w:p w14:paraId="5D12D070">
      <w:pPr>
        <w:ind w:firstLine="420"/>
        <w:rPr>
          <w:rFonts w:hint="eastAsia" w:ascii="宋体" w:hAnsi="宋体" w:eastAsia="宋体" w:cs="宋体"/>
        </w:rPr>
      </w:pPr>
      <w:r>
        <w:rPr>
          <w:rFonts w:hint="eastAsia" w:ascii="宋体" w:hAnsi="宋体" w:eastAsia="宋体" w:cs="宋体"/>
        </w:rPr>
        <w:t>自然语言处理插件：如文本生成插件，可以根据用户输入的提示或主题生成相应的文本内容，如文章、故事、文案等，为内容创作提供辅助和灵感。文本分析插件则可以对文本进行情感分析、关键词提取、语义理解等操作，帮助用户深入了解文本的含义和价值，可用于舆情分析、客户反馈分析等场景。</w:t>
      </w:r>
    </w:p>
    <w:p w14:paraId="02C04494">
      <w:pPr>
        <w:ind w:firstLine="420"/>
        <w:rPr>
          <w:rFonts w:hint="eastAsia" w:ascii="宋体" w:hAnsi="宋体" w:eastAsia="宋体" w:cs="宋体"/>
        </w:rPr>
      </w:pPr>
      <w:r>
        <w:rPr>
          <w:rFonts w:hint="eastAsia" w:ascii="宋体" w:hAnsi="宋体" w:eastAsia="宋体" w:cs="宋体"/>
        </w:rPr>
        <w:t>机器学习模型训练与应用插件：方便用户在智能体平台上进行机器学习模型的训练和部署，例如图像识别插件，用户可以利用自己的图像数据集训练图像分类或目标检测模型，然后将训练好的模型应用到实际业务中，如产品的自动分类、安防监控中的目标识别等。</w:t>
      </w:r>
    </w:p>
    <w:p w14:paraId="2146CAC2">
      <w:pPr>
        <w:pStyle w:val="5"/>
        <w:bidi w:val="0"/>
        <w:rPr>
          <w:rFonts w:hint="eastAsia" w:ascii="宋体" w:hAnsi="宋体" w:eastAsia="宋体" w:cs="宋体"/>
        </w:rPr>
      </w:pPr>
      <w:r>
        <w:rPr>
          <w:rFonts w:hint="eastAsia" w:ascii="宋体" w:hAnsi="宋体" w:eastAsia="宋体" w:cs="宋体"/>
        </w:rPr>
        <w:t>集成与接口类</w:t>
      </w:r>
    </w:p>
    <w:p w14:paraId="0EA0FA12">
      <w:pPr>
        <w:ind w:firstLine="420"/>
        <w:rPr>
          <w:rFonts w:hint="eastAsia" w:ascii="宋体" w:hAnsi="宋体" w:eastAsia="宋体" w:cs="宋体"/>
        </w:rPr>
      </w:pPr>
      <w:r>
        <w:rPr>
          <w:rFonts w:hint="eastAsia" w:ascii="宋体" w:hAnsi="宋体" w:eastAsia="宋体" w:cs="宋体"/>
        </w:rPr>
        <w:t>API集成插件：支持将各种外部服务的 API集成到智能体平台中，如天气 API 插件，可以让用户在应用内直接获取实时的天气信息；支付API插件可实现应用内的支付功能，方便用户进行在线交易，拓展了应用的功能边界，使其能够与更多的外部服务进行交互和融合。</w:t>
      </w:r>
    </w:p>
    <w:p w14:paraId="44C35F8D">
      <w:pPr>
        <w:ind w:firstLine="420"/>
        <w:rPr>
          <w:rFonts w:hint="eastAsia" w:ascii="宋体" w:hAnsi="宋体" w:eastAsia="宋体" w:cs="宋体"/>
        </w:rPr>
      </w:pPr>
      <w:r>
        <w:rPr>
          <w:rFonts w:hint="eastAsia" w:ascii="宋体" w:hAnsi="宋体" w:eastAsia="宋体" w:cs="宋体"/>
        </w:rPr>
        <w:t>数据库连接插件：使智能体平台能够与多种数据库系统进行连接和交互，如关系型数据库插件（如MySQL、PostgreSQL等）和非关系型数据库插件（如MongoDB、Redis等），方便用户将平台中的数据存储到数据库中进行持久化管理，同时也能够从数据库中读取数据并在智能体应用中进行展示和处理，实现数据的共享和流通。</w:t>
      </w:r>
    </w:p>
    <w:p w14:paraId="65B66777">
      <w:pPr>
        <w:pStyle w:val="5"/>
        <w:bidi w:val="0"/>
        <w:rPr>
          <w:rFonts w:hint="eastAsia" w:ascii="宋体" w:hAnsi="宋体" w:eastAsia="宋体" w:cs="宋体"/>
        </w:rPr>
      </w:pPr>
      <w:r>
        <w:rPr>
          <w:rFonts w:hint="eastAsia" w:ascii="宋体" w:hAnsi="宋体" w:eastAsia="宋体" w:cs="宋体"/>
        </w:rPr>
        <w:t>内容创作与管理类</w:t>
      </w:r>
    </w:p>
    <w:p w14:paraId="7D2CD45F">
      <w:pPr>
        <w:ind w:firstLine="420"/>
        <w:rPr>
          <w:rFonts w:hint="eastAsia" w:ascii="宋体" w:hAnsi="宋体" w:eastAsia="宋体" w:cs="宋体"/>
        </w:rPr>
      </w:pPr>
      <w:r>
        <w:rPr>
          <w:rFonts w:hint="eastAsia" w:ascii="宋体" w:hAnsi="宋体" w:eastAsia="宋体" w:cs="宋体"/>
        </w:rPr>
        <w:t>富文本编辑插件：提供丰富的文本编辑功能，如插入图片、表格、链接、特殊字符等，以及对文本的样式进行设置，如字体、字号、颜色、对齐方式等，让用户能够在智能体平台上创建和编辑具有精美排版和丰富内容的文档、文章等，提升内容的可读性和吸引力。</w:t>
      </w:r>
    </w:p>
    <w:p w14:paraId="03305AFC">
      <w:pPr>
        <w:ind w:firstLine="420"/>
        <w:rPr>
          <w:rFonts w:hint="eastAsia" w:ascii="宋体" w:hAnsi="宋体" w:eastAsia="宋体" w:cs="宋体"/>
        </w:rPr>
      </w:pPr>
      <w:r>
        <w:rPr>
          <w:rFonts w:hint="eastAsia" w:ascii="宋体" w:hAnsi="宋体" w:eastAsia="宋体" w:cs="宋体"/>
        </w:rPr>
        <w:t>内容管理系统插件：帮助用户对大量的内容进行分类、组织和管理，例如博客管理插件，可以方便用户创建、编辑、发布和管理博客文章，包括文章的分类导航、标签管理、评论管理等功能，使内容能够有序地展示和被用户访问。</w:t>
      </w:r>
    </w:p>
    <w:p w14:paraId="4A798EA9">
      <w:pPr>
        <w:pStyle w:val="5"/>
        <w:bidi w:val="0"/>
        <w:rPr>
          <w:rFonts w:hint="eastAsia" w:ascii="宋体" w:hAnsi="宋体" w:eastAsia="宋体" w:cs="宋体"/>
        </w:rPr>
      </w:pPr>
      <w:r>
        <w:rPr>
          <w:rFonts w:hint="eastAsia" w:ascii="宋体" w:hAnsi="宋体" w:eastAsia="宋体" w:cs="宋体"/>
        </w:rPr>
        <w:t>安全与监控类</w:t>
      </w:r>
    </w:p>
    <w:p w14:paraId="33F509A2">
      <w:pPr>
        <w:ind w:firstLine="420"/>
        <w:rPr>
          <w:rFonts w:hint="eastAsia" w:ascii="宋体" w:hAnsi="宋体" w:eastAsia="宋体" w:cs="宋体"/>
        </w:rPr>
      </w:pPr>
      <w:r>
        <w:rPr>
          <w:rFonts w:hint="eastAsia" w:ascii="宋体" w:hAnsi="宋体" w:eastAsia="宋体" w:cs="宋体"/>
        </w:rPr>
        <w:t>安全防护插件：如防火墙插件，可以对网络流量进行监控和过滤，防止外部的恶意攻击和入侵，保护平台和应用的安全。数据加密插件则可以对敏感数据进行加密处理，确保数据在存储和传输过程中的保密性和完整性，防止数据泄露和被篡改。</w:t>
      </w:r>
    </w:p>
    <w:p w14:paraId="1F645810">
      <w:pPr>
        <w:ind w:firstLine="420"/>
        <w:rPr>
          <w:rFonts w:hint="eastAsia" w:ascii="宋体" w:hAnsi="宋体" w:eastAsia="宋体" w:cs="宋体"/>
        </w:rPr>
      </w:pPr>
      <w:r>
        <w:rPr>
          <w:rFonts w:hint="eastAsia" w:ascii="宋体" w:hAnsi="宋体" w:eastAsia="宋体" w:cs="宋体"/>
        </w:rPr>
        <w:t>应用监控插件：用于对智能体平台及应用的运行状态进行实时监控，包括服务器性能监控（如 CPU使用率、内存占用、磁盘 I/O 等）、应用响应时间监控、错误日志监控等，及时发现和预警潜在的性能问题和故障，帮助运维人员快速定位和解决问题，保证应用的稳定运行。</w:t>
      </w:r>
    </w:p>
    <w:p w14:paraId="500025D7">
      <w:pPr>
        <w:pStyle w:val="5"/>
        <w:bidi w:val="0"/>
        <w:rPr>
          <w:rFonts w:hint="eastAsia" w:ascii="宋体" w:hAnsi="宋体" w:eastAsia="宋体" w:cs="宋体"/>
        </w:rPr>
      </w:pPr>
      <w:r>
        <w:rPr>
          <w:rFonts w:hint="eastAsia" w:ascii="宋体" w:hAnsi="宋体" w:eastAsia="宋体" w:cs="宋体"/>
        </w:rPr>
        <w:t>行业专用插件类</w:t>
      </w:r>
    </w:p>
    <w:p w14:paraId="582A922A">
      <w:pPr>
        <w:ind w:firstLine="420"/>
        <w:rPr>
          <w:rFonts w:hint="eastAsia" w:ascii="宋体" w:hAnsi="宋体" w:eastAsia="宋体" w:cs="宋体"/>
        </w:rPr>
      </w:pPr>
      <w:r>
        <w:rPr>
          <w:rFonts w:hint="eastAsia" w:ascii="宋体" w:hAnsi="宋体" w:eastAsia="宋体" w:cs="宋体"/>
        </w:rPr>
        <w:t>行业专用插件主要针对垂直领域的特定需求，通过定制化工具和功能模块，帮助企业快速实现AI技术与业务场景的深度融合。以下的行业应用举例供参考：</w:t>
      </w:r>
    </w:p>
    <w:p w14:paraId="52D2FA11">
      <w:pPr>
        <w:ind w:firstLine="420"/>
        <w:rPr>
          <w:rFonts w:hint="eastAsia" w:ascii="宋体" w:hAnsi="宋体" w:eastAsia="宋体" w:cs="宋体"/>
        </w:rPr>
      </w:pPr>
      <w:r>
        <w:rPr>
          <w:rFonts w:hint="eastAsia" w:ascii="宋体" w:hAnsi="宋体" w:eastAsia="宋体" w:cs="宋体"/>
        </w:rPr>
        <w:t>法律与合规领域：法律文档分析插件支持合同、法律条文的结构化解析与关键条款提取，自动生成摘要或风险评估报告，提供法律问答系统，基于企业法务知识库回答常见问题（如劳动法、知识产权等）。合规审查工具，内置法律敏感词库（如“侵权”“违约”），结合大模型API调用进行双重内容审查，规避法律风险。支持自定义合规规则，例如金融行业的反洗钱（AML）关键词监测。</w:t>
      </w:r>
    </w:p>
    <w:p w14:paraId="17A81DA4">
      <w:pPr>
        <w:ind w:firstLine="420"/>
        <w:rPr>
          <w:rFonts w:hint="eastAsia" w:ascii="宋体" w:hAnsi="宋体" w:eastAsia="宋体" w:cs="宋体"/>
        </w:rPr>
      </w:pPr>
      <w:r>
        <w:rPr>
          <w:rFonts w:hint="eastAsia" w:ascii="宋体" w:hAnsi="宋体" w:eastAsia="宋体" w:cs="宋体"/>
        </w:rPr>
        <w:t>教育与科研领域：智能教学助手，构建学科知识库（如数学公式库、历史事件库），支持学生通过对话式交互获取知识点讲解。提供作业批改功能，结合代码执行工具自动验证编程题答案。科研文献管理，支持从arXiv、PubMed等平台同步论文数据，自动生成文献综述或研究摘要。</w:t>
      </w:r>
    </w:p>
    <w:p w14:paraId="0894D4A7">
      <w:pPr>
        <w:ind w:firstLine="420"/>
        <w:rPr>
          <w:rFonts w:hint="eastAsia" w:ascii="宋体" w:hAnsi="宋体" w:eastAsia="宋体" w:cs="宋体"/>
        </w:rPr>
      </w:pPr>
      <w:r>
        <w:rPr>
          <w:rFonts w:hint="eastAsia" w:ascii="宋体" w:hAnsi="宋体" w:eastAsia="宋体" w:cs="宋体"/>
        </w:rPr>
        <w:t>金融与数据分析领域：金融数据检索与报告生成，对接财经数据库（如Wind、Bloomberg），实时获取市场数据并生成投资分析报告。结合RAG技术从年报、研报中提取关键指标，辅助决策分析。智能风控插件，集成风险模型与实时交易数据，通过自然语言交互提供风险评估建议。支持自动化生成审计日志，满足金融监管要求。</w:t>
      </w:r>
    </w:p>
    <w:p w14:paraId="595103D0">
      <w:pPr>
        <w:ind w:firstLine="420"/>
        <w:rPr>
          <w:rFonts w:hint="eastAsia" w:ascii="宋体" w:hAnsi="宋体" w:eastAsia="宋体" w:cs="宋体"/>
        </w:rPr>
      </w:pPr>
      <w:r>
        <w:rPr>
          <w:rFonts w:hint="eastAsia" w:ascii="宋体" w:hAnsi="宋体" w:eastAsia="宋体" w:cs="宋体"/>
        </w:rPr>
        <w:t>电商与客户服务领域：智能客服机器人，结合企业知识库与订单系统，实现多轮对话处理退货、物流查询等场景。支持情感分析插件，根据用户语气调整回复策略（如安抚投诉客户）。个性化推荐引擎，基于用户历史行为数据生成商品推荐话术，并支持A/B测试优化转化率。集成图像识别插件（如DELL·E），根据用户上传图片推荐相似商品。</w:t>
      </w:r>
    </w:p>
    <w:p w14:paraId="7890E5B4">
      <w:pPr>
        <w:ind w:firstLine="420"/>
        <w:rPr>
          <w:rFonts w:hint="eastAsia" w:ascii="宋体" w:hAnsi="宋体" w:eastAsia="宋体" w:cs="宋体"/>
        </w:rPr>
      </w:pPr>
      <w:r>
        <w:rPr>
          <w:rFonts w:hint="eastAsia" w:ascii="宋体" w:hAnsi="宋体" w:eastAsia="宋体" w:cs="宋体"/>
        </w:rPr>
        <w:t>制造业与物联网（IoT）领域：设备维护知识库，解析设备手册与维修记录，通过自然语言问答指导技术人员排查故障。支持与IoT平台对接，实时获取传感器数据并生成维护建议。生产流程自动化，通过工作流编排实现生产报告自动生成、异常工单派发等功能。</w:t>
      </w:r>
    </w:p>
    <w:p w14:paraId="485D71B6">
      <w:pPr>
        <w:ind w:firstLine="420"/>
        <w:rPr>
          <w:rFonts w:hint="eastAsia" w:ascii="宋体" w:hAnsi="宋体" w:eastAsia="宋体" w:cs="宋体"/>
        </w:rPr>
      </w:pPr>
      <w:r>
        <w:rPr>
          <w:rFonts w:hint="eastAsia" w:ascii="宋体" w:hAnsi="宋体" w:eastAsia="宋体" w:cs="宋体"/>
        </w:rPr>
        <w:t>医疗健康领域：医疗知识库增强插件，集成医学文献、病例库、药品数据库等结构化数据，支持自然语言查询与诊断建议生成。例如，通过RAG技术从PDF格式的医学指南中提取信息，辅助医生快速获取诊疗依据。提供敏感词过滤功能，确保输出内容符合医疗合规性要求（如避免不当诊断建议）。患者交互与问诊辅助，支持构建智能问诊助手，结合症状描述生成初步诊断建议，并引导患者填写标准化表单。集成语音转文字功能，方便老年患者或行动不便用户通过语音交互完成咨询。</w:t>
      </w:r>
    </w:p>
    <w:p w14:paraId="20CAA495">
      <w:pPr>
        <w:ind w:firstLine="420"/>
        <w:rPr>
          <w:rFonts w:hint="eastAsia" w:ascii="宋体" w:hAnsi="宋体" w:eastAsia="宋体" w:cs="宋体"/>
        </w:rPr>
      </w:pPr>
      <w:r>
        <w:rPr>
          <w:rFonts w:hint="eastAsia" w:ascii="宋体" w:hAnsi="宋体" w:eastAsia="宋体" w:cs="宋体"/>
        </w:rPr>
        <w:t>行政监管执法领域：执法流程管理类插件，涵盖巡查助手、执法办案助手及执法协作插件，能分别助力执法巡查安排与记录、办案流程规范化推进以及多部门间的线索与任务协作。执法监督与评估类插件，包括执法监督和执法评估分析插件，用于监督执法行为合法性、合理性，并依指标评估执法工作，为优化决策提依据。数据分析与决策支持类插件及大数据分析插件可整合数据挖掘规律，智能决策辅助插件依场景提决策建议。信息共享与协同类插件，可实现部门间信息共享和联合执法协同。公众参与类插件，含执法信息公开和举报投诉管理插件，能增强执法透明度、便利公众参与监督。行业监管类插件，则可用于市场监管、环保监管、交通执法、安全生产监管、税务监管、劳动监察等，助力政府高效履行行政监督执法职能，维护社会秩序。</w:t>
      </w:r>
    </w:p>
    <w:p w14:paraId="15BF665C">
      <w:pPr>
        <w:pStyle w:val="4"/>
        <w:bidi w:val="0"/>
        <w:rPr>
          <w:rFonts w:hint="eastAsia" w:ascii="宋体" w:hAnsi="宋体" w:eastAsia="宋体" w:cs="宋体"/>
        </w:rPr>
      </w:pPr>
      <w:r>
        <w:rPr>
          <w:rFonts w:hint="eastAsia" w:ascii="宋体" w:hAnsi="宋体" w:eastAsia="宋体" w:cs="宋体"/>
          <w:b/>
          <w:bCs/>
        </w:rPr>
        <w:t>插件定制与集成的规范要求</w:t>
      </w:r>
    </w:p>
    <w:p w14:paraId="44BC0BC9">
      <w:pPr>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 xml:space="preserve">     “苏晓伴”平台为智能体插件服务应用的集成、运行管理提供支持，智能体插件服务应用可在该平台实现特定功能拓展。所定制提供的插件需具有泛化特性，不局限于 </w:t>
      </w:r>
      <w:r>
        <w:rPr>
          <w:rFonts w:hint="eastAsia" w:ascii="宋体" w:hAnsi="宋体" w:eastAsia="宋体" w:cs="宋体"/>
        </w:rPr>
        <w:t>“苏晓伴”平台运行，它能接入多种智能体平台，依平台特性与需求，融入不同生态，发挥功能优势，为智能体平台增能，助力各领域智能服务优化。</w:t>
      </w:r>
    </w:p>
    <w:p w14:paraId="7BDD4D91">
      <w:pPr>
        <w:rPr>
          <w:rFonts w:hint="eastAsia" w:ascii="宋体" w:hAnsi="宋体" w:eastAsia="宋体" w:cs="宋体"/>
        </w:rPr>
      </w:pPr>
      <w:r>
        <w:rPr>
          <w:rFonts w:hint="eastAsia" w:ascii="宋体" w:hAnsi="宋体" w:eastAsia="宋体" w:cs="宋体"/>
        </w:rPr>
        <w:t xml:space="preserve">    按以下规范要求开展插件的设计开发、平台集成工作：</w:t>
      </w:r>
    </w:p>
    <w:p w14:paraId="450A9072">
      <w:pPr>
        <w:pStyle w:val="5"/>
        <w:bidi w:val="0"/>
        <w:rPr>
          <w:rFonts w:hint="eastAsia" w:ascii="宋体" w:hAnsi="宋体" w:eastAsia="宋体" w:cs="宋体"/>
        </w:rPr>
      </w:pPr>
      <w:r>
        <w:rPr>
          <w:rFonts w:hint="eastAsia" w:ascii="宋体" w:hAnsi="宋体" w:eastAsia="宋体" w:cs="宋体"/>
        </w:rPr>
        <w:t>开发环境搭建规范</w:t>
      </w:r>
    </w:p>
    <w:p w14:paraId="002C69C2">
      <w:pPr>
        <w:ind w:firstLine="420"/>
        <w:rPr>
          <w:rFonts w:hint="eastAsia" w:ascii="宋体" w:hAnsi="宋体" w:eastAsia="宋体" w:cs="宋体"/>
        </w:rPr>
      </w:pPr>
      <w:r>
        <w:rPr>
          <w:rFonts w:hint="eastAsia" w:ascii="宋体" w:hAnsi="宋体" w:eastAsia="宋体" w:cs="宋体"/>
        </w:rPr>
        <w:t>推荐使用脚手架工具：智能体平台提供插件脚手架工具，能帮助开发者快速搭建项目基础框架，推荐使用该工具来初始化插件项目。</w:t>
      </w:r>
    </w:p>
    <w:p w14:paraId="0512841C">
      <w:pPr>
        <w:ind w:firstLine="420"/>
        <w:rPr>
          <w:rFonts w:hint="eastAsia" w:ascii="宋体" w:hAnsi="宋体" w:eastAsia="宋体" w:cs="宋体"/>
        </w:rPr>
      </w:pPr>
      <w:r>
        <w:rPr>
          <w:rFonts w:hint="eastAsia" w:ascii="宋体" w:hAnsi="宋体" w:eastAsia="宋体" w:cs="宋体"/>
        </w:rPr>
        <w:t>环境配置要求：如以Python为例，需使用 Python≥3.12 版本，在开发插件时要确保Python环境满足此要求。</w:t>
      </w:r>
    </w:p>
    <w:p w14:paraId="2848E706">
      <w:pPr>
        <w:pStyle w:val="5"/>
        <w:bidi w:val="0"/>
        <w:rPr>
          <w:rFonts w:hint="eastAsia" w:ascii="宋体" w:hAnsi="宋体" w:eastAsia="宋体" w:cs="宋体"/>
        </w:rPr>
      </w:pPr>
      <w:r>
        <w:rPr>
          <w:rFonts w:hint="eastAsia" w:ascii="宋体" w:hAnsi="宋体" w:eastAsia="宋体" w:cs="宋体"/>
        </w:rPr>
        <w:t>插件功能开发规范</w:t>
      </w:r>
    </w:p>
    <w:p w14:paraId="62715C5D">
      <w:pPr>
        <w:ind w:firstLine="420"/>
        <w:rPr>
          <w:rFonts w:hint="eastAsia" w:ascii="宋体" w:hAnsi="宋体" w:eastAsia="宋体" w:cs="宋体"/>
        </w:rPr>
      </w:pPr>
      <w:r>
        <w:rPr>
          <w:rFonts w:hint="eastAsia" w:ascii="宋体" w:hAnsi="宋体" w:eastAsia="宋体" w:cs="宋体"/>
        </w:rPr>
        <w:t>确保功能正常运行：在提交Pull Request之前，开发者需要对插件功能进行充分测试，验证其是否能够正常运行，避免出现错误或异常情况影响用户体验。</w:t>
      </w:r>
    </w:p>
    <w:p w14:paraId="7850BE2C">
      <w:pPr>
        <w:ind w:firstLine="420"/>
        <w:rPr>
          <w:rFonts w:hint="eastAsia" w:ascii="宋体" w:hAnsi="宋体" w:eastAsia="宋体" w:cs="宋体"/>
        </w:rPr>
      </w:pPr>
      <w:r>
        <w:rPr>
          <w:rFonts w:hint="eastAsia" w:ascii="宋体" w:hAnsi="宋体" w:eastAsia="宋体" w:cs="宋体"/>
        </w:rPr>
        <w:t>遵循安全编码准则：遵循通用的软件安全编码最佳实践，确保插件代码的安全性，防止出现安全漏洞，如SQL注入、跨站脚本攻击等安全问题。</w:t>
      </w:r>
    </w:p>
    <w:p w14:paraId="1D2EFBAB">
      <w:pPr>
        <w:ind w:firstLine="420"/>
        <w:rPr>
          <w:rFonts w:hint="eastAsia" w:ascii="宋体" w:hAnsi="宋体" w:eastAsia="宋体" w:cs="宋体"/>
        </w:rPr>
      </w:pPr>
      <w:r>
        <w:rPr>
          <w:rFonts w:hint="eastAsia" w:ascii="宋体" w:hAnsi="宋体" w:eastAsia="宋体" w:cs="宋体"/>
        </w:rPr>
        <w:t>防止资源泄露问题：必须正确管理各类资源，确保不会发生资源泄露，对于不再使用的资源要及时释放，以保证系统资源的有效利用，避免插件长时间运行导致资源耗尽而影响系统稳定性和性能。</w:t>
      </w:r>
    </w:p>
    <w:p w14:paraId="13F74363">
      <w:pPr>
        <w:pStyle w:val="5"/>
        <w:bidi w:val="0"/>
        <w:rPr>
          <w:rFonts w:hint="eastAsia" w:ascii="宋体" w:hAnsi="宋体" w:eastAsia="宋体" w:cs="宋体"/>
        </w:rPr>
      </w:pPr>
      <w:r>
        <w:rPr>
          <w:rFonts w:hint="eastAsia" w:ascii="宋体" w:hAnsi="宋体" w:eastAsia="宋体" w:cs="宋体"/>
        </w:rPr>
        <w:t>插件结构及配置规范</w:t>
      </w:r>
    </w:p>
    <w:p w14:paraId="60DA6773">
      <w:pPr>
        <w:ind w:firstLine="420"/>
        <w:rPr>
          <w:rFonts w:hint="eastAsia" w:ascii="宋体" w:hAnsi="宋体" w:eastAsia="宋体" w:cs="宋体"/>
        </w:rPr>
      </w:pPr>
      <w:r>
        <w:rPr>
          <w:rFonts w:hint="eastAsia" w:ascii="宋体" w:hAnsi="宋体" w:eastAsia="宋体" w:cs="宋体"/>
        </w:rPr>
        <w:t>通用结构标准定义：插件应遵循智能体平台规定的通用结构标准，包括目录结构、文件组织方式等方面的规范，以便于插件的开发、管理和维护。</w:t>
      </w:r>
    </w:p>
    <w:p w14:paraId="5340304B">
      <w:pPr>
        <w:ind w:firstLine="420"/>
        <w:rPr>
          <w:rFonts w:hint="eastAsia" w:ascii="宋体" w:hAnsi="宋体" w:eastAsia="宋体" w:cs="宋体"/>
        </w:rPr>
      </w:pPr>
      <w:r>
        <w:rPr>
          <w:rFonts w:hint="eastAsia" w:ascii="宋体" w:hAnsi="宋体" w:eastAsia="宋体" w:cs="宋体"/>
        </w:rPr>
        <w:t>Manifest标准定义：插件清单文件 manifest.yaml 是插件的重要配置文件，其中包含了插件的基本信息、功能描述、图标、分类标签等元数据。开发者需要按照规范准确填写各项字段，如 label、description、icon、tags 等，这些信息将展示在平台的插件管理页面和插件市场中，对用户的了解和选择插件起着重要作用。</w:t>
      </w:r>
    </w:p>
    <w:p w14:paraId="20C02EA1">
      <w:pPr>
        <w:ind w:firstLine="420"/>
        <w:rPr>
          <w:rFonts w:hint="eastAsia" w:ascii="宋体" w:hAnsi="宋体" w:eastAsia="宋体" w:cs="宋体"/>
        </w:rPr>
      </w:pPr>
      <w:r>
        <w:rPr>
          <w:rFonts w:hint="eastAsia" w:ascii="宋体" w:hAnsi="宋体" w:eastAsia="宋体" w:cs="宋体"/>
        </w:rPr>
        <w:t>工具接入标准定义：当开发工具类插件时，要遵循工具接入标准定义，包括工具的配置、输入输出参数的定义、与平台的交互方式等方面的规范，确保工具能够正确地在平台中运行和被调用。</w:t>
      </w:r>
    </w:p>
    <w:p w14:paraId="62A7AD74">
      <w:pPr>
        <w:ind w:firstLine="420"/>
        <w:rPr>
          <w:rFonts w:hint="eastAsia" w:ascii="宋体" w:hAnsi="宋体" w:eastAsia="宋体" w:cs="宋体"/>
        </w:rPr>
      </w:pPr>
      <w:r>
        <w:rPr>
          <w:rFonts w:hint="eastAsia" w:ascii="宋体" w:hAnsi="宋体" w:eastAsia="宋体" w:cs="宋体"/>
        </w:rPr>
        <w:t>模型接入简介：对于模型插件，需按照模型接入的规范进行开发，如对模型的封装、配置、与平台的适配等，以便将不同的 AI 模型整合到平台中，为用户提供一份可调用的模型能力。</w:t>
      </w:r>
    </w:p>
    <w:p w14:paraId="5028478B">
      <w:pPr>
        <w:ind w:firstLine="420"/>
        <w:rPr>
          <w:rFonts w:hint="eastAsia" w:ascii="宋体" w:hAnsi="宋体" w:eastAsia="宋体" w:cs="宋体"/>
        </w:rPr>
      </w:pPr>
      <w:r>
        <w:rPr>
          <w:rFonts w:hint="eastAsia" w:ascii="宋体" w:hAnsi="宋体" w:eastAsia="宋体" w:cs="宋体"/>
        </w:rPr>
        <w:t>Endpoint标准定义：明确插件对外提供的接口（Endpoint）的标准定义，包括接口的请求方式、参数格式、返回值格式等，使其能够与其他系统或应用进行有效的数据交互和集成。</w:t>
      </w:r>
    </w:p>
    <w:p w14:paraId="4815DDF2">
      <w:pPr>
        <w:ind w:firstLine="420"/>
        <w:rPr>
          <w:rFonts w:hint="eastAsia" w:ascii="宋体" w:hAnsi="宋体" w:eastAsia="宋体" w:cs="宋体"/>
        </w:rPr>
      </w:pPr>
      <w:r>
        <w:rPr>
          <w:rFonts w:hint="eastAsia" w:ascii="宋体" w:hAnsi="宋体" w:eastAsia="宋体" w:cs="宋体"/>
        </w:rPr>
        <w:t>供应商表单结构（ProviderConfig）规范：如果插件需要与第三方服务进行集成，则需按照ProviderConfig的规范来配置供应商信息，包括供应商的凭据、基础信息等，以便用户能够在平台中正确配置和使用第三方服务相关插件。</w:t>
      </w:r>
    </w:p>
    <w:p w14:paraId="07B6DC2F">
      <w:pPr>
        <w:pStyle w:val="5"/>
        <w:bidi w:val="0"/>
        <w:rPr>
          <w:rFonts w:hint="eastAsia" w:ascii="宋体" w:hAnsi="宋体" w:eastAsia="宋体" w:cs="宋体"/>
        </w:rPr>
      </w:pPr>
      <w:r>
        <w:rPr>
          <w:rFonts w:hint="eastAsia" w:ascii="宋体" w:hAnsi="宋体" w:eastAsia="宋体" w:cs="宋体"/>
        </w:rPr>
        <w:t>插件文档编写规范</w:t>
      </w:r>
    </w:p>
    <w:p w14:paraId="02C4D234">
      <w:pPr>
        <w:ind w:firstLine="420"/>
        <w:rPr>
          <w:rFonts w:hint="eastAsia" w:ascii="宋体" w:hAnsi="宋体" w:eastAsia="宋体" w:cs="宋体"/>
        </w:rPr>
      </w:pPr>
      <w:r>
        <w:rPr>
          <w:rFonts w:hint="eastAsia" w:ascii="宋体" w:hAnsi="宋体" w:eastAsia="宋体" w:cs="宋体"/>
        </w:rPr>
        <w:t>提供全面的README文件：README文件是插件的重要说明文档，应包含设置说明、使用指南等内容，清晰地指导用户如何安装、配置和使用插件。同时，还需要列出插件用户所需的代码、API、凭据或其他信息，以便用户能够顺利地将插件连接到相应的服务。</w:t>
      </w:r>
    </w:p>
    <w:p w14:paraId="478BF1F7">
      <w:pPr>
        <w:ind w:firstLine="420"/>
        <w:rPr>
          <w:rFonts w:hint="eastAsia" w:ascii="宋体" w:hAnsi="宋体" w:eastAsia="宋体" w:cs="宋体"/>
        </w:rPr>
      </w:pPr>
      <w:r>
        <w:rPr>
          <w:rFonts w:hint="eastAsia" w:ascii="宋体" w:hAnsi="宋体" w:eastAsia="宋体" w:cs="宋体"/>
        </w:rPr>
        <w:t>编写插件隐私政策：若插件收集用户个人数据，开发者必须根据插件隐私数据保护指南编写隐私政策内容文件或提供在线文档 URL，声明收集的数据类型、使用方式以及与第三方的共享情况等，以保障用户的隐私权益，确保插件的合规性。</w:t>
      </w:r>
    </w:p>
    <w:p w14:paraId="1524F5F7">
      <w:pPr>
        <w:pStyle w:val="5"/>
        <w:bidi w:val="0"/>
        <w:rPr>
          <w:rFonts w:hint="eastAsia" w:ascii="宋体" w:hAnsi="宋体" w:eastAsia="宋体" w:cs="宋体"/>
        </w:rPr>
      </w:pPr>
      <w:r>
        <w:rPr>
          <w:rFonts w:hint="eastAsia" w:ascii="宋体" w:hAnsi="宋体" w:eastAsia="宋体" w:cs="宋体"/>
        </w:rPr>
        <w:t>插件打包与发布规范</w:t>
      </w:r>
    </w:p>
    <w:p w14:paraId="00C7A3BA">
      <w:pPr>
        <w:ind w:firstLine="420"/>
        <w:rPr>
          <w:rFonts w:hint="eastAsia" w:ascii="宋体" w:hAnsi="宋体" w:eastAsia="宋体" w:cs="宋体"/>
        </w:rPr>
      </w:pPr>
      <w:r>
        <w:rPr>
          <w:rFonts w:hint="eastAsia" w:ascii="宋体" w:hAnsi="宋体" w:eastAsia="宋体" w:cs="宋体"/>
        </w:rPr>
        <w:t>打包成规定的文件格式：当插件开发完成并通过本地测试后，需要将其打包成平台规定的文件格式（如pkg文件），这种格式的文件包含了插件的全部内容和元信息，便于插件的分发和安装。</w:t>
      </w:r>
    </w:p>
    <w:p w14:paraId="479BDA74">
      <w:pPr>
        <w:ind w:firstLine="420"/>
        <w:rPr>
          <w:rFonts w:hint="eastAsia" w:ascii="宋体" w:hAnsi="宋体" w:eastAsia="宋体" w:cs="宋体"/>
        </w:rPr>
      </w:pPr>
      <w:r>
        <w:rPr>
          <w:rFonts w:hint="eastAsia" w:ascii="宋体" w:hAnsi="宋体" w:eastAsia="宋体" w:cs="宋体"/>
        </w:rPr>
        <w:t>遵循插件发布规范提交至Marketplace：如果希望将插件发布到平台 Marketplace，让更多的用户能够发现和使用，开发者必须确保插件遵循插件发布规范，包括插件的功能完整性、质量稳定性、安全性、文档规范性等方面的要求。审核通过后，代码将合并至主分支并自动上线至平台的Marketplace。</w:t>
      </w:r>
    </w:p>
    <w:p w14:paraId="419DCEC0">
      <w:pPr>
        <w:pStyle w:val="5"/>
        <w:bidi w:val="0"/>
        <w:rPr>
          <w:rFonts w:hint="eastAsia" w:ascii="宋体" w:hAnsi="宋体" w:eastAsia="宋体" w:cs="宋体"/>
        </w:rPr>
      </w:pPr>
      <w:r>
        <w:rPr>
          <w:rFonts w:hint="eastAsia" w:ascii="宋体" w:hAnsi="宋体" w:eastAsia="宋体" w:cs="宋体"/>
        </w:rPr>
        <w:t>组件及接口开发规范</w:t>
      </w:r>
    </w:p>
    <w:p w14:paraId="592A2EE5">
      <w:pPr>
        <w:ind w:firstLine="420"/>
        <w:rPr>
          <w:rFonts w:hint="eastAsia" w:ascii="宋体" w:hAnsi="宋体" w:eastAsia="宋体" w:cs="宋体"/>
        </w:rPr>
      </w:pPr>
      <w:r>
        <w:rPr>
          <w:rFonts w:hint="eastAsia" w:ascii="宋体" w:hAnsi="宋体" w:eastAsia="宋体" w:cs="宋体"/>
        </w:rPr>
        <w:t>组件化的代码组织方式：在开发中应遵循组件化的思想来组织代码，将相关的功能和逻辑封装成一个个独立的组件，提高代码的可维护性、可复用性和可测试性，便于后续的开发和管理。</w:t>
      </w:r>
    </w:p>
    <w:p w14:paraId="6058BD0E">
      <w:pPr>
        <w:ind w:firstLine="420"/>
        <w:rPr>
          <w:rFonts w:hint="eastAsia" w:ascii="宋体" w:hAnsi="宋体" w:eastAsia="宋体" w:cs="宋体"/>
        </w:rPr>
      </w:pPr>
      <w:r>
        <w:rPr>
          <w:rFonts w:hint="eastAsia" w:ascii="宋体" w:hAnsi="宋体" w:eastAsia="宋体" w:cs="宋体"/>
        </w:rPr>
        <w:t>遵循接口规范实现组件交互：组件之间以及组件与外部系统之间的交互要通过明确的接口来进行，开发者需要严格遵循平台规定的接口规范，包括接口名称、参数类型、返回值格式等，确保组件之间的松耦合和系统的稳定运行。</w:t>
      </w:r>
    </w:p>
    <w:p w14:paraId="17AE2C65">
      <w:pPr>
        <w:pStyle w:val="5"/>
        <w:bidi w:val="0"/>
        <w:rPr>
          <w:rFonts w:hint="eastAsia" w:ascii="宋体" w:hAnsi="宋体" w:eastAsia="宋体" w:cs="宋体"/>
        </w:rPr>
      </w:pPr>
      <w:r>
        <w:rPr>
          <w:rFonts w:hint="eastAsia" w:ascii="宋体" w:hAnsi="宋体" w:eastAsia="宋体" w:cs="宋体"/>
        </w:rPr>
        <w:t>苏晓伴对外标准场景及接口规范</w:t>
      </w:r>
    </w:p>
    <w:p w14:paraId="54F83890">
      <w:pPr>
        <w:ind w:firstLine="420"/>
        <w:rPr>
          <w:rFonts w:hint="eastAsia" w:ascii="宋体" w:hAnsi="宋体" w:eastAsia="宋体" w:cs="宋体"/>
        </w:rPr>
      </w:pPr>
      <w:r>
        <w:rPr>
          <w:rFonts w:hint="eastAsia" w:ascii="宋体" w:hAnsi="宋体" w:eastAsia="宋体" w:cs="宋体"/>
        </w:rPr>
        <w:t>这一接口规范主要规定了苏晓伴平台接入外部能力模块及智能体应用的标准形式及相关要求。苏晓伴平台包括AI 超市、移动空间、知识库等模块，以不同形式呈现各类智能体应用产品及知识信息。外部智能体应用接入时，需提供相关材料如名称、封面图、简单介绍等，并符合路径规范；小程序应用接入除相关材料外，还需注意跳转链接拼接 Token 等要求；网页引入则涉及引入特征、登录形式、界面交互风格及路径规范等方面内容，旨在为外部应用产品接入苏晓伴平台提供明确的标准与指引。具体规范要求，参见附件一。</w:t>
      </w:r>
    </w:p>
    <w:p w14:paraId="5C36D67B">
      <w:pPr>
        <w:pStyle w:val="4"/>
        <w:bidi w:val="0"/>
        <w:rPr>
          <w:rFonts w:hint="eastAsia" w:ascii="宋体" w:hAnsi="宋体" w:eastAsia="宋体" w:cs="宋体"/>
          <w:b/>
          <w:bCs/>
        </w:rPr>
      </w:pPr>
      <w:r>
        <w:rPr>
          <w:rFonts w:hint="eastAsia" w:ascii="宋体" w:hAnsi="宋体" w:eastAsia="宋体" w:cs="宋体"/>
          <w:b/>
          <w:bCs/>
        </w:rPr>
        <w:t>非功能要求</w:t>
      </w:r>
    </w:p>
    <w:p w14:paraId="3FBD74E0">
      <w:pPr>
        <w:ind w:firstLine="420"/>
        <w:rPr>
          <w:rFonts w:hint="eastAsia" w:ascii="宋体" w:hAnsi="宋体" w:eastAsia="宋体" w:cs="宋体"/>
        </w:rPr>
      </w:pPr>
      <w:r>
        <w:rPr>
          <w:rFonts w:hint="eastAsia" w:ascii="宋体" w:hAnsi="宋体" w:eastAsia="宋体" w:cs="宋体"/>
        </w:rPr>
        <w:t>智能体插件服务的易用性、可维护性和安全性是其重要特点。应答人应提供：</w:t>
      </w:r>
    </w:p>
    <w:p w14:paraId="2651C569">
      <w:pPr>
        <w:numPr>
          <w:ilvl w:val="0"/>
          <w:numId w:val="3"/>
        </w:numPr>
        <w:ind w:firstLine="420"/>
        <w:rPr>
          <w:rFonts w:hint="eastAsia" w:ascii="宋体" w:hAnsi="宋体" w:eastAsia="宋体" w:cs="宋体"/>
        </w:rPr>
      </w:pPr>
      <w:r>
        <w:rPr>
          <w:rFonts w:hint="eastAsia" w:ascii="宋体" w:hAnsi="宋体" w:eastAsia="宋体" w:cs="宋体"/>
        </w:rPr>
        <w:t>简洁直观的界面、操作流程以及开发/测试、数据/应用集成的示例，降低用户的学习成本；</w:t>
      </w:r>
    </w:p>
    <w:p w14:paraId="0265F68C">
      <w:pPr>
        <w:numPr>
          <w:ilvl w:val="0"/>
          <w:numId w:val="3"/>
        </w:numPr>
        <w:ind w:firstLine="420"/>
        <w:rPr>
          <w:rFonts w:hint="eastAsia" w:ascii="宋体" w:hAnsi="宋体" w:eastAsia="宋体" w:cs="宋体"/>
        </w:rPr>
      </w:pPr>
      <w:r>
        <w:rPr>
          <w:rFonts w:hint="eastAsia" w:ascii="宋体" w:hAnsi="宋体" w:eastAsia="宋体" w:cs="宋体"/>
        </w:rPr>
        <w:t>提供详细的运维管理文档、日志记录，便于故障排查与维护；并为用户提供必要的培训和技术支持，确保服务的顺利运行与有效利用。</w:t>
      </w:r>
    </w:p>
    <w:p w14:paraId="268316CD">
      <w:pPr>
        <w:rPr>
          <w:rFonts w:hint="eastAsia" w:ascii="宋体" w:hAnsi="宋体" w:eastAsia="宋体" w:cs="宋体"/>
        </w:rPr>
      </w:pPr>
    </w:p>
    <w:p w14:paraId="51FE14FE">
      <w:pPr>
        <w:pStyle w:val="3"/>
        <w:bidi w:val="0"/>
        <w:rPr>
          <w:rFonts w:hint="eastAsia" w:ascii="宋体" w:hAnsi="宋体" w:eastAsia="宋体" w:cs="宋体"/>
        </w:rPr>
      </w:pPr>
      <w:r>
        <w:rPr>
          <w:rFonts w:hint="eastAsia" w:ascii="宋体" w:hAnsi="宋体" w:eastAsia="宋体" w:cs="宋体"/>
        </w:rPr>
        <w:t>定制化服务</w:t>
      </w:r>
    </w:p>
    <w:p w14:paraId="5124559D">
      <w:pPr>
        <w:pStyle w:val="4"/>
        <w:bidi w:val="0"/>
        <w:rPr>
          <w:rFonts w:hint="eastAsia" w:ascii="宋体" w:hAnsi="宋体" w:eastAsia="宋体" w:cs="宋体"/>
          <w:b/>
          <w:bCs/>
        </w:rPr>
      </w:pPr>
      <w:r>
        <w:rPr>
          <w:rFonts w:hint="eastAsia" w:ascii="宋体" w:hAnsi="宋体" w:eastAsia="宋体" w:cs="宋体"/>
          <w:b/>
          <w:bCs/>
        </w:rPr>
        <w:t>行业场景应用方案设计服务</w:t>
      </w:r>
    </w:p>
    <w:p w14:paraId="5E06BC66">
      <w:pPr>
        <w:numPr>
          <w:ilvl w:val="0"/>
          <w:numId w:val="4"/>
        </w:numPr>
        <w:ind w:left="0"/>
        <w:rPr>
          <w:rFonts w:hint="eastAsia" w:ascii="宋体" w:hAnsi="宋体" w:eastAsia="宋体" w:cs="宋体"/>
          <w:b/>
          <w:bCs/>
        </w:rPr>
      </w:pPr>
      <w:r>
        <w:rPr>
          <w:rFonts w:hint="eastAsia" w:ascii="宋体" w:hAnsi="宋体" w:eastAsia="宋体" w:cs="宋体"/>
          <w:b/>
          <w:bCs/>
        </w:rPr>
        <w:t>服务目标</w:t>
      </w:r>
    </w:p>
    <w:p w14:paraId="04F0C050">
      <w:pPr>
        <w:ind w:firstLine="420"/>
        <w:rPr>
          <w:rFonts w:hint="eastAsia" w:ascii="宋体" w:hAnsi="宋体" w:eastAsia="宋体" w:cs="宋体"/>
        </w:rPr>
      </w:pPr>
      <w:r>
        <w:rPr>
          <w:rFonts w:hint="eastAsia" w:ascii="宋体" w:hAnsi="宋体" w:eastAsia="宋体" w:cs="宋体"/>
        </w:rPr>
        <w:t>对行业的业务场景进行深入调研与分析，结合大模型的能力与特点，为用户量身定制一套完整的大模型行业场景应用解决方案，确保方案具有前瞻性、可行性与创新性，能够精准匹配用户的业务需求与发展目标。</w:t>
      </w:r>
    </w:p>
    <w:p w14:paraId="57924A49">
      <w:pPr>
        <w:numPr>
          <w:ilvl w:val="0"/>
          <w:numId w:val="4"/>
        </w:numPr>
        <w:ind w:left="0"/>
        <w:rPr>
          <w:rFonts w:hint="eastAsia" w:ascii="宋体" w:hAnsi="宋体" w:eastAsia="宋体" w:cs="宋体"/>
          <w:b/>
          <w:bCs/>
        </w:rPr>
      </w:pPr>
      <w:r>
        <w:rPr>
          <w:rFonts w:hint="eastAsia" w:ascii="宋体" w:hAnsi="宋体" w:eastAsia="宋体" w:cs="宋体"/>
          <w:b/>
          <w:bCs/>
        </w:rPr>
        <w:t>服务内容：</w:t>
      </w:r>
    </w:p>
    <w:p w14:paraId="45CC93AC">
      <w:pPr>
        <w:ind w:firstLine="420"/>
        <w:rPr>
          <w:rFonts w:hint="eastAsia" w:ascii="宋体" w:hAnsi="宋体" w:eastAsia="宋体" w:cs="宋体"/>
        </w:rPr>
      </w:pPr>
      <w:r>
        <w:rPr>
          <w:rFonts w:hint="eastAsia" w:ascii="宋体" w:hAnsi="宋体" w:eastAsia="宋体" w:cs="宋体"/>
          <w:b/>
          <w:bCs/>
        </w:rPr>
        <w:t>行业调研：</w:t>
      </w:r>
      <w:r>
        <w:rPr>
          <w:rFonts w:hint="eastAsia" w:ascii="宋体" w:hAnsi="宋体" w:eastAsia="宋体" w:cs="宋体"/>
        </w:rPr>
        <w:t>收集整理行业的行业动态、发展趋势、政策法规、业务流程、痛点难点等信息，形成详细的行业调研报告，为方案设计提供坚实依据。</w:t>
      </w:r>
    </w:p>
    <w:p w14:paraId="1C1A786F">
      <w:pPr>
        <w:ind w:firstLine="420"/>
        <w:rPr>
          <w:rFonts w:hint="eastAsia" w:ascii="宋体" w:hAnsi="宋体" w:eastAsia="宋体" w:cs="宋体"/>
        </w:rPr>
      </w:pPr>
      <w:r>
        <w:rPr>
          <w:rFonts w:hint="eastAsia" w:ascii="宋体" w:hAnsi="宋体" w:eastAsia="宋体" w:cs="宋体"/>
          <w:b/>
          <w:bCs/>
        </w:rPr>
        <w:t>现状评估：</w:t>
      </w:r>
      <w:r>
        <w:rPr>
          <w:rFonts w:hint="eastAsia" w:ascii="宋体" w:hAnsi="宋体" w:eastAsia="宋体" w:cs="宋体"/>
        </w:rPr>
        <w:t>对用户现有的业务系统、数据资源、信息化基础设施等进行全面评估，分析现有系统的优劣势以及与大模型应用的适配性，明确系统集成与改造的关键点。</w:t>
      </w:r>
    </w:p>
    <w:p w14:paraId="48401CB5">
      <w:pPr>
        <w:ind w:firstLine="420"/>
        <w:rPr>
          <w:rFonts w:hint="eastAsia" w:ascii="宋体" w:hAnsi="宋体" w:eastAsia="宋体" w:cs="宋体"/>
        </w:rPr>
      </w:pPr>
      <w:r>
        <w:rPr>
          <w:rFonts w:hint="eastAsia" w:ascii="宋体" w:hAnsi="宋体" w:eastAsia="宋体" w:cs="宋体"/>
          <w:b/>
          <w:bCs/>
        </w:rPr>
        <w:t>方案设计：</w:t>
      </w:r>
      <w:r>
        <w:rPr>
          <w:rFonts w:hint="eastAsia" w:ascii="宋体" w:hAnsi="宋体" w:eastAsia="宋体" w:cs="宋体"/>
        </w:rPr>
        <w:t>基于行业调研和现状评估结果，设计基于大模型的行业场景应用方案。包括但不限于应用场景规划、功能架构设计、技术选型建议、数据需求分析、实施路线图制定等内容，方案应详细阐述每个应用场景的具体业务流程、大模型的应用方式与交互逻辑、预期的业务价值与成果等，同时提供方案的可行性研究报告，从技术、经济、效益等多方面论证方案的可行性与合理性。</w:t>
      </w:r>
    </w:p>
    <w:p w14:paraId="4D0FCCBA">
      <w:pPr>
        <w:ind w:firstLine="420"/>
        <w:rPr>
          <w:rFonts w:hint="eastAsia" w:ascii="宋体" w:hAnsi="宋体" w:eastAsia="宋体" w:cs="宋体"/>
        </w:rPr>
      </w:pPr>
      <w:r>
        <w:rPr>
          <w:rFonts w:hint="eastAsia" w:ascii="宋体" w:hAnsi="宋体" w:eastAsia="宋体" w:cs="宋体"/>
          <w:b/>
          <w:bCs/>
        </w:rPr>
        <w:t>方案优化与完善：</w:t>
      </w:r>
      <w:r>
        <w:rPr>
          <w:rFonts w:hint="eastAsia" w:ascii="宋体" w:hAnsi="宋体" w:eastAsia="宋体" w:cs="宋体"/>
        </w:rPr>
        <w:t>根据用户的反馈意见，对设计方案进行优化与完善，确保方案满足用户的个性化需求，形成最终的大模型行业场景应用咨询设计方案，并进行详细汇报与讲解，确保用户对方案的充分理解和认可。</w:t>
      </w:r>
    </w:p>
    <w:p w14:paraId="14E19C46">
      <w:pPr>
        <w:pStyle w:val="4"/>
        <w:bidi w:val="0"/>
        <w:rPr>
          <w:rFonts w:hint="eastAsia" w:ascii="宋体" w:hAnsi="宋体" w:eastAsia="宋体" w:cs="宋体"/>
          <w:b/>
          <w:bCs/>
        </w:rPr>
      </w:pPr>
      <w:r>
        <w:rPr>
          <w:rFonts w:hint="eastAsia" w:ascii="宋体" w:hAnsi="宋体" w:eastAsia="宋体" w:cs="宋体"/>
          <w:b/>
          <w:bCs/>
        </w:rPr>
        <w:t>行业定制化应用集成服务</w:t>
      </w:r>
    </w:p>
    <w:p w14:paraId="70BE9F61">
      <w:pPr>
        <w:numPr>
          <w:ilvl w:val="0"/>
          <w:numId w:val="5"/>
        </w:numPr>
        <w:ind w:left="0"/>
        <w:rPr>
          <w:rFonts w:hint="eastAsia" w:ascii="宋体" w:hAnsi="宋体" w:eastAsia="宋体" w:cs="宋体"/>
          <w:b/>
          <w:bCs/>
        </w:rPr>
      </w:pPr>
      <w:r>
        <w:rPr>
          <w:rFonts w:hint="eastAsia" w:ascii="宋体" w:hAnsi="宋体" w:eastAsia="宋体" w:cs="宋体"/>
          <w:b/>
          <w:bCs/>
        </w:rPr>
        <w:t>服务目标</w:t>
      </w:r>
    </w:p>
    <w:p w14:paraId="12F65DBF">
      <w:pPr>
        <w:ind w:firstLine="420"/>
        <w:rPr>
          <w:rFonts w:hint="eastAsia" w:ascii="宋体" w:hAnsi="宋体" w:eastAsia="宋体" w:cs="宋体"/>
        </w:rPr>
      </w:pPr>
      <w:r>
        <w:rPr>
          <w:rFonts w:hint="eastAsia" w:ascii="宋体" w:hAnsi="宋体" w:eastAsia="宋体" w:cs="宋体"/>
        </w:rPr>
        <w:t>将基于大模型的智能应用与用户现有的业务系统进行无缝集成，实现数据交互、业务流程衔接与功能融合，确保智能应用能够稳定、高效地运行在客户的现有信息化环境中，为用户提供全面、一体化的业务解决方案，提升业务协同效率与整体效益。</w:t>
      </w:r>
    </w:p>
    <w:p w14:paraId="1A9D18ED">
      <w:pPr>
        <w:rPr>
          <w:rFonts w:hint="eastAsia" w:ascii="宋体" w:hAnsi="宋体" w:eastAsia="宋体" w:cs="宋体"/>
        </w:rPr>
      </w:pPr>
      <w:r>
        <w:rPr>
          <w:rFonts w:hint="eastAsia" w:ascii="宋体" w:hAnsi="宋体" w:eastAsia="宋体" w:cs="宋体"/>
          <w:b/>
          <w:bCs/>
        </w:rPr>
        <w:t>（2）服务内容</w:t>
      </w:r>
    </w:p>
    <w:p w14:paraId="7A0C755F">
      <w:pPr>
        <w:ind w:firstLine="420"/>
        <w:rPr>
          <w:rFonts w:hint="eastAsia" w:ascii="宋体" w:hAnsi="宋体" w:eastAsia="宋体" w:cs="宋体"/>
        </w:rPr>
      </w:pPr>
      <w:r>
        <w:rPr>
          <w:rFonts w:hint="eastAsia" w:ascii="宋体" w:hAnsi="宋体" w:eastAsia="宋体" w:cs="宋体"/>
          <w:b/>
          <w:bCs/>
        </w:rPr>
        <w:t>系统集成需求分析：</w:t>
      </w:r>
      <w:r>
        <w:rPr>
          <w:rFonts w:hint="eastAsia" w:ascii="宋体" w:hAnsi="宋体" w:eastAsia="宋体" w:cs="宋体"/>
        </w:rPr>
        <w:t>与客户业务部门进行深入沟通，详细了解现有业务系统的架构、功能模块、数据结构、接口规范、用户权限管理体系等信息，结合大模型智能应用的功能特点，制定详细的系统集成需求规格说明书，明确系统集成的目标、范围、接口要求、数据交互规则等内容。</w:t>
      </w:r>
    </w:p>
    <w:p w14:paraId="145CCFEA">
      <w:pPr>
        <w:ind w:firstLine="420"/>
        <w:rPr>
          <w:rFonts w:hint="eastAsia" w:ascii="宋体" w:hAnsi="宋体" w:eastAsia="宋体" w:cs="宋体"/>
        </w:rPr>
      </w:pPr>
      <w:r>
        <w:rPr>
          <w:rFonts w:hint="eastAsia" w:ascii="宋体" w:hAnsi="宋体" w:eastAsia="宋体" w:cs="宋体"/>
          <w:b/>
          <w:bCs/>
        </w:rPr>
        <w:t>接口开发与集成：</w:t>
      </w:r>
      <w:r>
        <w:rPr>
          <w:rFonts w:hint="eastAsia" w:ascii="宋体" w:hAnsi="宋体" w:eastAsia="宋体" w:cs="宋体"/>
        </w:rPr>
        <w:t>根据系统集成需求，采用先进的接口开发技术和工具，负责开发大模型智能应用与现有业务系统之间的接口程序，实现数据的实时交互、业务流程的自动化衔接以及功能的协同调用。接口开发应遵循行业标准规范，确保接口的稳定、可靠、高效，能够满足高并发、大数据量的业务场景需求，并提供详细的接口文档，包括接口说明、调用方法、参数定义、返回值规范等内容，以便于后续的系统维护与升级。</w:t>
      </w:r>
    </w:p>
    <w:p w14:paraId="12825C99">
      <w:pPr>
        <w:ind w:firstLine="420"/>
        <w:rPr>
          <w:rFonts w:hint="eastAsia" w:ascii="宋体" w:hAnsi="宋体" w:eastAsia="宋体" w:cs="宋体"/>
        </w:rPr>
      </w:pPr>
      <w:r>
        <w:rPr>
          <w:rFonts w:hint="eastAsia" w:ascii="宋体" w:hAnsi="宋体" w:eastAsia="宋体" w:cs="宋体"/>
          <w:b/>
          <w:bCs/>
        </w:rPr>
        <w:t>系统联调与测试：</w:t>
      </w:r>
      <w:r>
        <w:rPr>
          <w:rFonts w:hint="eastAsia" w:ascii="宋体" w:hAnsi="宋体" w:eastAsia="宋体" w:cs="宋体"/>
        </w:rPr>
        <w:t>组织专业的测试团队，制定全面的测试计划，包括单元测试、集成测试、系统测试、用户验收测试等阶段，对集成后的系统进行全面、严格的测试。测试内容涵盖功能完整性、数据准确性、业务流程正确性、性能稳定性、安全性等方面，及时发现并解决系统集成过程中出现的问题，确保系统集成后的整体功能符合设计方案要求，业务流程顺畅，数据交互准确无误，系统性能满足用户的业务需求。</w:t>
      </w:r>
    </w:p>
    <w:p w14:paraId="18E89AB1">
      <w:pPr>
        <w:ind w:firstLine="420"/>
        <w:rPr>
          <w:rFonts w:hint="eastAsia" w:ascii="宋体" w:hAnsi="宋体" w:eastAsia="宋体" w:cs="宋体"/>
        </w:rPr>
      </w:pPr>
      <w:r>
        <w:rPr>
          <w:rFonts w:hint="eastAsia" w:ascii="宋体" w:hAnsi="宋体" w:eastAsia="宋体" w:cs="宋体"/>
          <w:b/>
          <w:bCs/>
        </w:rPr>
        <w:t>系统优化与调优：</w:t>
      </w:r>
      <w:r>
        <w:rPr>
          <w:rFonts w:hint="eastAsia" w:ascii="宋体" w:hAnsi="宋体" w:eastAsia="宋体" w:cs="宋体"/>
        </w:rPr>
        <w:t>根据系统测试结果以及实际运行情况，对系统集成后的性能瓶颈、功能缺陷、用户体验问题等进行优化与调优。通过优化数据库查询语句、调整系统配置参数、改进应用算法等方式，提升系统的运行效率与响应速度，确保系统在实际业务场景中的稳定、高效运行，为用户提供创意架提供优质的使用体验。</w:t>
      </w:r>
    </w:p>
    <w:p w14:paraId="40DAFD35">
      <w:pPr>
        <w:pStyle w:val="4"/>
        <w:bidi w:val="0"/>
        <w:rPr>
          <w:rFonts w:hint="eastAsia" w:ascii="宋体" w:hAnsi="宋体" w:eastAsia="宋体" w:cs="宋体"/>
          <w:b/>
          <w:bCs/>
        </w:rPr>
      </w:pPr>
      <w:r>
        <w:rPr>
          <w:rFonts w:hint="eastAsia" w:ascii="宋体" w:hAnsi="宋体" w:eastAsia="宋体" w:cs="宋体"/>
          <w:b/>
          <w:bCs/>
        </w:rPr>
        <w:t>数据工程服务</w:t>
      </w:r>
    </w:p>
    <w:p w14:paraId="477CA3FF">
      <w:pPr>
        <w:numPr>
          <w:ilvl w:val="0"/>
          <w:numId w:val="6"/>
        </w:numPr>
        <w:ind w:left="0"/>
        <w:rPr>
          <w:rFonts w:hint="eastAsia" w:ascii="宋体" w:hAnsi="宋体" w:eastAsia="宋体" w:cs="宋体"/>
          <w:b/>
          <w:bCs/>
        </w:rPr>
      </w:pPr>
      <w:r>
        <w:rPr>
          <w:rFonts w:hint="eastAsia" w:ascii="宋体" w:hAnsi="宋体" w:eastAsia="宋体" w:cs="宋体"/>
          <w:b/>
          <w:bCs/>
        </w:rPr>
        <w:t>服务目标</w:t>
      </w:r>
    </w:p>
    <w:p w14:paraId="7A2C5701">
      <w:pPr>
        <w:ind w:firstLine="420"/>
        <w:rPr>
          <w:rFonts w:hint="eastAsia" w:ascii="宋体" w:hAnsi="宋体" w:eastAsia="宋体" w:cs="宋体"/>
        </w:rPr>
      </w:pPr>
      <w:r>
        <w:rPr>
          <w:rFonts w:hint="eastAsia" w:ascii="宋体" w:hAnsi="宋体" w:eastAsia="宋体" w:cs="宋体"/>
        </w:rPr>
        <w:t>为大模型的训练和优化提供高质量、精准、全面的数据支持，确保大模型能够充分学习和理解行业知识与业务特征，从而提升大模型在行业场景中的应用效果与智能水平，同时对行业用户的知识库数据进行清理与整理，提高数据的质量与可用性，为智能应用的运行提供可靠的数据保障</w:t>
      </w:r>
      <w:r>
        <w:rPr>
          <w:rFonts w:hint="eastAsia" w:ascii="宋体" w:hAnsi="宋体" w:eastAsia="宋体" w:cs="宋体"/>
          <w:b/>
          <w:bCs/>
        </w:rPr>
        <w:t>。</w:t>
      </w:r>
    </w:p>
    <w:p w14:paraId="451D733C">
      <w:pPr>
        <w:rPr>
          <w:rFonts w:hint="eastAsia" w:ascii="宋体" w:hAnsi="宋体" w:eastAsia="宋体" w:cs="宋体"/>
        </w:rPr>
      </w:pPr>
      <w:r>
        <w:rPr>
          <w:rFonts w:hint="eastAsia" w:ascii="宋体" w:hAnsi="宋体" w:eastAsia="宋体" w:cs="宋体"/>
          <w:b/>
          <w:bCs/>
        </w:rPr>
        <w:t>（2）服务内容</w:t>
      </w:r>
    </w:p>
    <w:p w14:paraId="0C1D69E8">
      <w:pPr>
        <w:ind w:firstLine="420"/>
        <w:rPr>
          <w:rFonts w:hint="eastAsia" w:ascii="宋体" w:hAnsi="宋体" w:eastAsia="宋体" w:cs="宋体"/>
        </w:rPr>
      </w:pPr>
      <w:r>
        <w:rPr>
          <w:rFonts w:hint="eastAsia" w:ascii="宋体" w:hAnsi="宋体" w:eastAsia="宋体" w:cs="宋体"/>
          <w:b/>
          <w:bCs/>
        </w:rPr>
        <w:t>数据采集：</w:t>
      </w:r>
      <w:r>
        <w:rPr>
          <w:rFonts w:hint="eastAsia" w:ascii="宋体" w:hAnsi="宋体" w:eastAsia="宋体" w:cs="宋体"/>
        </w:rPr>
        <w:t>根据大模型训练和行业场景应用的需求，制定详细的数据采集计划，明确数据的类型、来源、采集范围、采集频率等内容。数据来源包括但不限于用户内部的业务系统数据、历史文档资料、行业公开数据、互联网数据等，以及通过网络爬虫技术从合法授权的外部网站采集相关的行业数据信息。组建专业的数据采集团队，运用 Python 等编程语言开发高效的网络爬虫脚本以及数据采集工具，按照采集计划进行数据采集工作，确保数据采集的全面性、准确性和及时性。在数据采集过程中，严格遵守相关法律法规和网站的使用条款，确保数据采集的合法性与合规性。同时，对采集到的数据进行初步的清洗与预处理，去除重复、错误、无效的数据记录，为后续的数据处理与分析奠定基础。</w:t>
      </w:r>
    </w:p>
    <w:p w14:paraId="27D48FDD">
      <w:pPr>
        <w:ind w:firstLine="420"/>
        <w:rPr>
          <w:rFonts w:hint="eastAsia" w:ascii="宋体" w:hAnsi="宋体" w:eastAsia="宋体" w:cs="宋体"/>
        </w:rPr>
      </w:pPr>
      <w:r>
        <w:rPr>
          <w:rFonts w:hint="eastAsia" w:ascii="宋体" w:hAnsi="宋体" w:eastAsia="宋体" w:cs="宋体"/>
          <w:b/>
          <w:bCs/>
        </w:rPr>
        <w:t>数据清洗：</w:t>
      </w:r>
      <w:r>
        <w:rPr>
          <w:rFonts w:hint="eastAsia" w:ascii="宋体" w:hAnsi="宋体" w:eastAsia="宋体" w:cs="宋体"/>
        </w:rPr>
        <w:t>采用专业的数据清洗工具和技术，对采集到的原始数据进行全面、深入的清洗处理。包括但不限于数据去重、缺失值填充、异常值检测与修正、数据格式标准化、数据一致性校验等操作，确保数据的质量和完整性，提高数据的可用性。在数据清洗过程中，建立严格的数据质量监控机制，对数据的清洗质量进行实时监控与评估，及时发现并解决数据质量问题，确保输出的清洗后数据符合大模型训练和应用的要求。根据数据的质量评估结果，制定针对性的数据质量改进措施，不断完善数据清洗流程和方法，持续提升数据质量。同时，对数据清洗过程中的关键操作步骤和质量指标进行详细记录，形成数据清洗报告，为数据的质量追溯和审计提供依据。</w:t>
      </w:r>
    </w:p>
    <w:p w14:paraId="50C125F6">
      <w:pPr>
        <w:ind w:firstLine="420"/>
        <w:rPr>
          <w:rFonts w:hint="eastAsia" w:ascii="宋体" w:hAnsi="宋体" w:eastAsia="宋体" w:cs="宋体"/>
        </w:rPr>
      </w:pPr>
      <w:r>
        <w:rPr>
          <w:rFonts w:hint="eastAsia" w:ascii="宋体" w:hAnsi="宋体" w:eastAsia="宋体" w:cs="宋体"/>
          <w:b/>
          <w:bCs/>
        </w:rPr>
        <w:t>数据标注：</w:t>
      </w:r>
      <w:r>
        <w:rPr>
          <w:rFonts w:hint="eastAsia" w:ascii="宋体" w:hAnsi="宋体" w:eastAsia="宋体" w:cs="宋体"/>
        </w:rPr>
        <w:t>组建专业的数据标注团队，根据大模型训练和应用的需求，制定详细的数据标注规范和标准。数据标注工作主要包括文本分类标注、实体识别标注、情感分析标注、语义角色标注等多种类型，标注人员应具备专业的行业知识和标注技能，确保数据标注的准确性和一致性。在数据标注过程中，采用人工标注与自动标注工具相结合的方式，提高数据标注的效率和质量，同时建立严格的数据标注质量审核机制，对标注完成的数据进行抽样检查和质量评估，及时纠正标注错误，确保数据标注的准确性达到大模型训练的要求。</w:t>
      </w:r>
    </w:p>
    <w:p w14:paraId="32E24E64">
      <w:pPr>
        <w:ind w:firstLine="420"/>
        <w:rPr>
          <w:rFonts w:hint="eastAsia" w:ascii="宋体" w:hAnsi="宋体" w:eastAsia="宋体" w:cs="宋体"/>
        </w:rPr>
      </w:pPr>
      <w:r>
        <w:rPr>
          <w:rFonts w:hint="eastAsia" w:ascii="宋体" w:hAnsi="宋体" w:eastAsia="宋体" w:cs="宋体"/>
          <w:b/>
          <w:bCs/>
        </w:rPr>
        <w:t>数据转换与导入：</w:t>
      </w:r>
      <w:r>
        <w:rPr>
          <w:rFonts w:hint="eastAsia" w:ascii="宋体" w:hAnsi="宋体" w:eastAsia="宋体" w:cs="宋体"/>
        </w:rPr>
        <w:t>根据大模型训练平台和算法的要求，对清洗、标注后的数据进行格式转换和预处理操作，将数据转换为大模型能够直接读取和处理的格式，如 JSON、CSV、TFRecord 等格式。在数据转换过程中，确保数据的完整性和准确性，避免数据丢失或格式错误等问题。同时，对转换后的数据进行数据集划分，包括训练集、验证集和测试集的划分，合理确定各数据集的比例，以满足大模型的训练、验证和测试需求。</w:t>
      </w:r>
    </w:p>
    <w:p w14:paraId="43CB965E">
      <w:pPr>
        <w:ind w:firstLine="420"/>
        <w:rPr>
          <w:rFonts w:hint="eastAsia" w:ascii="宋体" w:hAnsi="宋体" w:eastAsia="宋体" w:cs="宋体"/>
        </w:rPr>
      </w:pPr>
      <w:r>
        <w:rPr>
          <w:rFonts w:hint="eastAsia" w:ascii="宋体" w:hAnsi="宋体" w:eastAsia="宋体" w:cs="宋体"/>
          <w:b/>
          <w:bCs/>
        </w:rPr>
        <w:t>知识库数据清理整理服务：</w:t>
      </w:r>
      <w:r>
        <w:rPr>
          <w:rFonts w:hint="eastAsia" w:ascii="宋体" w:hAnsi="宋体" w:eastAsia="宋体" w:cs="宋体"/>
        </w:rPr>
        <w:t>针对用户现有的知识库数据，进行深入的调研与分析，了解知识库的结构、内容、数据量、更新频率等情况，制定详细的知识库数据清理整理方案。知识库数据清理整理工作主要包括数据去重、数据分类、数据关联、数据更新、数据备份等内容，旨在提高知识库数据的组织性和可用性，为智能应用的知识检索和问答提供准确、全面的数据支持。运用专业的数据处理工具和人工审核相结合的方式，对知识库数据进行清理与整理。对重复、过时、错误的知识内容进行删除或修正，对知识条目进行分类整理，建立清晰的知识体系和索引，方便智能应用快速准确地检索和调用知识。同时，建立知识库数据的更新机制，定期对知识库数据进行更新与维护，确保知识库数据的时效性和准确性，能够反映行业最新动态和业务变化情况。</w:t>
      </w:r>
    </w:p>
    <w:p w14:paraId="2EA07D7E">
      <w:pPr>
        <w:pStyle w:val="4"/>
        <w:bidi w:val="0"/>
        <w:rPr>
          <w:rFonts w:hint="eastAsia" w:ascii="宋体" w:hAnsi="宋体" w:eastAsia="宋体" w:cs="宋体"/>
          <w:b/>
          <w:bCs/>
        </w:rPr>
      </w:pPr>
      <w:r>
        <w:rPr>
          <w:rFonts w:hint="eastAsia" w:ascii="宋体" w:hAnsi="宋体" w:eastAsia="宋体" w:cs="宋体"/>
          <w:b/>
          <w:bCs/>
        </w:rPr>
        <w:t>大模型本地化部署和集成联调服务</w:t>
      </w:r>
    </w:p>
    <w:p w14:paraId="554E898D">
      <w:pPr>
        <w:numPr>
          <w:ilvl w:val="0"/>
          <w:numId w:val="7"/>
        </w:numPr>
        <w:ind w:left="0"/>
        <w:rPr>
          <w:rFonts w:hint="eastAsia" w:ascii="宋体" w:hAnsi="宋体" w:eastAsia="宋体" w:cs="宋体"/>
          <w:b/>
          <w:bCs/>
        </w:rPr>
      </w:pPr>
      <w:r>
        <w:rPr>
          <w:rFonts w:hint="eastAsia" w:ascii="宋体" w:hAnsi="宋体" w:eastAsia="宋体" w:cs="宋体"/>
          <w:b/>
          <w:bCs/>
        </w:rPr>
        <w:t>服务目标</w:t>
      </w:r>
    </w:p>
    <w:p w14:paraId="0195C6C8">
      <w:pPr>
        <w:ind w:firstLine="420"/>
        <w:rPr>
          <w:rFonts w:hint="eastAsia" w:ascii="宋体" w:hAnsi="宋体" w:eastAsia="宋体" w:cs="宋体"/>
        </w:rPr>
      </w:pPr>
      <w:r>
        <w:rPr>
          <w:rFonts w:hint="eastAsia" w:ascii="宋体" w:hAnsi="宋体" w:eastAsia="宋体" w:cs="宋体"/>
        </w:rPr>
        <w:t>将大模型及其相关应用系统在用户的本地信息化环境中进行安全、稳定、高效的部署，实现大模型与本地基础设施、业务系统的深度融合与协同运行，确保大模型智能应用在本地环境中的性能、功能和安全性满足用户的业务需求，并为后续的系统运维与管理提供便利条件。</w:t>
      </w:r>
    </w:p>
    <w:p w14:paraId="041BEE17">
      <w:pPr>
        <w:rPr>
          <w:rFonts w:hint="eastAsia" w:ascii="宋体" w:hAnsi="宋体" w:eastAsia="宋体" w:cs="宋体"/>
        </w:rPr>
      </w:pPr>
      <w:r>
        <w:rPr>
          <w:rFonts w:hint="eastAsia" w:ascii="宋体" w:hAnsi="宋体" w:eastAsia="宋体" w:cs="宋体"/>
          <w:b/>
          <w:bCs/>
        </w:rPr>
        <w:t>（2）服务内容：</w:t>
      </w:r>
    </w:p>
    <w:p w14:paraId="0D4312F5">
      <w:pPr>
        <w:ind w:firstLine="420"/>
        <w:rPr>
          <w:rFonts w:hint="eastAsia" w:ascii="宋体" w:hAnsi="宋体" w:eastAsia="宋体" w:cs="宋体"/>
        </w:rPr>
      </w:pPr>
      <w:r>
        <w:rPr>
          <w:rFonts w:hint="eastAsia" w:ascii="宋体" w:hAnsi="宋体" w:eastAsia="宋体" w:cs="宋体"/>
          <w:b/>
          <w:bCs/>
        </w:rPr>
        <w:t>部署方案制定：</w:t>
      </w:r>
      <w:r>
        <w:rPr>
          <w:rFonts w:hint="eastAsia" w:ascii="宋体" w:hAnsi="宋体" w:eastAsia="宋体" w:cs="宋体"/>
        </w:rPr>
        <w:t>根据用户的本地信息化基础设施环境（包括服务器、存储、网络设备等）以及大模型的技术架构和资源需求，制定详细的大模型本地化部署方案。部署方案应包括但不限于硬件资源配置、操作系统及软件环境搭建、大模型部署架构设计、数据存储与管理策略、网络安全保障措施、系统备份与恢复策略等内容，确保大模型在本地环境中的部署具有高可用性、高可靠性和高安全性。</w:t>
      </w:r>
    </w:p>
    <w:p w14:paraId="05A58E21">
      <w:pPr>
        <w:ind w:firstLine="420"/>
        <w:rPr>
          <w:rFonts w:hint="eastAsia" w:ascii="宋体" w:hAnsi="宋体" w:eastAsia="宋体" w:cs="宋体"/>
        </w:rPr>
      </w:pPr>
      <w:r>
        <w:rPr>
          <w:rFonts w:hint="eastAsia" w:ascii="宋体" w:hAnsi="宋体" w:eastAsia="宋体" w:cs="宋体"/>
          <w:b/>
          <w:bCs/>
        </w:rPr>
        <w:t>环境搭建与配置：</w:t>
      </w:r>
      <w:r>
        <w:rPr>
          <w:rFonts w:hint="eastAsia" w:ascii="宋体" w:hAnsi="宋体" w:eastAsia="宋体" w:cs="宋体"/>
        </w:rPr>
        <w:t>按照部署方案要求，负责用户本地环境的硬件设备安装、调试与配置，操作系统、数据库管理系统、中间件等软件环境的安装与部署，以及大模型运行所需的依赖库、工具链等的安装与配置。在环境搭建过程中，严格按照相关的技术规范和安全标准进行操作，确保系统的稳定性和安全性，同时对环境搭建过程中的关键配置参数和操作步骤进行详细记录，为后续的系统运维提供技术文档支持。</w:t>
      </w:r>
    </w:p>
    <w:p w14:paraId="1EF7B6AE">
      <w:pPr>
        <w:ind w:firstLine="420"/>
        <w:rPr>
          <w:rFonts w:hint="eastAsia" w:ascii="宋体" w:hAnsi="宋体" w:eastAsia="宋体" w:cs="宋体"/>
        </w:rPr>
      </w:pPr>
      <w:r>
        <w:rPr>
          <w:rFonts w:hint="eastAsia" w:ascii="宋体" w:hAnsi="宋体" w:eastAsia="宋体" w:cs="宋体"/>
          <w:b/>
          <w:bCs/>
        </w:rPr>
        <w:t>大模型部署与优化：</w:t>
      </w:r>
      <w:r>
        <w:rPr>
          <w:rFonts w:hint="eastAsia" w:ascii="宋体" w:hAnsi="宋体" w:eastAsia="宋体" w:cs="宋体"/>
        </w:rPr>
        <w:t>采用合适的大模型部署技术（如容器化部署、虚拟化部署等），将大模型及其相关应用组件部署到本地环境中，确保大模型的高效运行和快速响应。同时，对大模型的运行状态进行实时监控，及时发现并解决模型运行过程中出现的资源瓶颈、故障等问题，确保大模型的稳定运行。</w:t>
      </w:r>
    </w:p>
    <w:p w14:paraId="4182EE67">
      <w:pPr>
        <w:ind w:firstLine="420"/>
        <w:rPr>
          <w:rFonts w:hint="eastAsia" w:ascii="宋体" w:hAnsi="宋体" w:eastAsia="宋体" w:cs="宋体"/>
        </w:rPr>
      </w:pPr>
      <w:r>
        <w:rPr>
          <w:rFonts w:hint="eastAsia" w:ascii="宋体" w:hAnsi="宋体" w:eastAsia="宋体" w:cs="宋体"/>
          <w:b/>
          <w:bCs/>
        </w:rPr>
        <w:t>部署交付与培训：</w:t>
      </w:r>
      <w:r>
        <w:rPr>
          <w:rFonts w:hint="eastAsia" w:ascii="宋体" w:hAnsi="宋体" w:eastAsia="宋体" w:cs="宋体"/>
        </w:rPr>
        <w:t>完成大模型本地化部署和集成联调工作后，向用户进行系统的部署交付，包括提供完整的技术文档、系统配置参数、用户操作手册等资料。同时，为用户的技术人员和业务人员提供全面的系统培训服务，培训内容涵盖大模型的基本原理、系统操作使用方法、数据管理与维护、简单故障排查与解决等方面，提高用户对系统的熟悉程度和操作技能，确保系统能够充分发挥其应用价值。</w:t>
      </w:r>
    </w:p>
    <w:p w14:paraId="0B51C1B5">
      <w:pPr>
        <w:pStyle w:val="4"/>
        <w:bidi w:val="0"/>
        <w:rPr>
          <w:rFonts w:hint="eastAsia" w:ascii="宋体" w:hAnsi="宋体" w:eastAsia="宋体" w:cs="宋体"/>
          <w:b/>
          <w:bCs/>
        </w:rPr>
      </w:pPr>
      <w:r>
        <w:rPr>
          <w:rFonts w:hint="eastAsia" w:ascii="宋体" w:hAnsi="宋体" w:eastAsia="宋体" w:cs="宋体"/>
          <w:b/>
          <w:bCs/>
        </w:rPr>
        <w:t>服务运营与维护</w:t>
      </w:r>
    </w:p>
    <w:p w14:paraId="05E21293">
      <w:pPr>
        <w:rPr>
          <w:rFonts w:hint="eastAsia" w:ascii="宋体" w:hAnsi="宋体" w:eastAsia="宋体" w:cs="宋体"/>
          <w:b/>
          <w:bCs/>
        </w:rPr>
      </w:pPr>
      <w:r>
        <w:rPr>
          <w:rFonts w:hint="eastAsia" w:ascii="宋体" w:hAnsi="宋体" w:eastAsia="宋体" w:cs="宋体"/>
          <w:b/>
          <w:bCs/>
        </w:rPr>
        <w:t>（1）行业用户支持</w:t>
      </w:r>
    </w:p>
    <w:p w14:paraId="2DCC0CDB">
      <w:pPr>
        <w:ind w:left="1260" w:firstLine="420"/>
        <w:rPr>
          <w:rFonts w:hint="eastAsia" w:ascii="宋体" w:hAnsi="宋体" w:eastAsia="宋体" w:cs="宋体"/>
        </w:rPr>
      </w:pPr>
      <w:r>
        <w:rPr>
          <w:rFonts w:hint="eastAsia" w:ascii="宋体" w:hAnsi="宋体" w:eastAsia="宋体" w:cs="宋体"/>
        </w:rPr>
        <w:t>建立行业用户支持体系，提供在线客服、技术支持和用户反馈渠道。</w:t>
      </w:r>
    </w:p>
    <w:p w14:paraId="7A03CBA3">
      <w:pPr>
        <w:rPr>
          <w:rFonts w:hint="eastAsia" w:ascii="宋体" w:hAnsi="宋体" w:eastAsia="宋体" w:cs="宋体"/>
          <w:b/>
          <w:bCs/>
        </w:rPr>
      </w:pPr>
      <w:r>
        <w:rPr>
          <w:rFonts w:hint="eastAsia" w:ascii="宋体" w:hAnsi="宋体" w:eastAsia="宋体" w:cs="宋体"/>
          <w:b/>
          <w:bCs/>
        </w:rPr>
        <w:t>（2）数据安全管理</w:t>
      </w:r>
    </w:p>
    <w:p w14:paraId="7F627615">
      <w:pPr>
        <w:ind w:left="1260" w:firstLine="420"/>
        <w:rPr>
          <w:rFonts w:hint="eastAsia" w:ascii="宋体" w:hAnsi="宋体" w:eastAsia="宋体" w:cs="宋体"/>
        </w:rPr>
      </w:pPr>
      <w:r>
        <w:rPr>
          <w:rFonts w:hint="eastAsia" w:ascii="宋体" w:hAnsi="宋体" w:eastAsia="宋体" w:cs="宋体"/>
        </w:rPr>
        <w:t>制定数据管理策略，确保用户数据的安全性和隐私性。</w:t>
      </w:r>
    </w:p>
    <w:p w14:paraId="110D3721">
      <w:pPr>
        <w:rPr>
          <w:rFonts w:hint="eastAsia" w:ascii="宋体" w:hAnsi="宋体" w:eastAsia="宋体" w:cs="宋体"/>
          <w:b/>
          <w:bCs/>
        </w:rPr>
      </w:pPr>
      <w:r>
        <w:rPr>
          <w:rFonts w:hint="eastAsia" w:ascii="宋体" w:hAnsi="宋体" w:eastAsia="宋体" w:cs="宋体"/>
          <w:b/>
          <w:bCs/>
        </w:rPr>
        <w:t>（3）持续更新优化</w:t>
      </w:r>
    </w:p>
    <w:p w14:paraId="27396F5F">
      <w:pPr>
        <w:ind w:left="1260" w:firstLine="420"/>
        <w:rPr>
          <w:rFonts w:hint="eastAsia" w:ascii="宋体" w:hAnsi="宋体" w:eastAsia="宋体" w:cs="宋体"/>
        </w:rPr>
      </w:pPr>
      <w:r>
        <w:rPr>
          <w:rFonts w:hint="eastAsia" w:ascii="宋体" w:hAnsi="宋体" w:eastAsia="宋体" w:cs="宋体"/>
        </w:rPr>
        <w:t>根据用户反馈和市场需求，持续更新和优化智能体插件服务。</w:t>
      </w:r>
    </w:p>
    <w:p w14:paraId="64205BB6">
      <w:pPr>
        <w:pStyle w:val="2"/>
        <w:rPr>
          <w:rFonts w:hint="eastAsia" w:ascii="宋体" w:hAnsi="宋体" w:eastAsia="宋体" w:cs="宋体"/>
        </w:rPr>
      </w:pPr>
      <w:r>
        <w:rPr>
          <w:rFonts w:hint="eastAsia" w:ascii="宋体" w:hAnsi="宋体" w:eastAsia="宋体" w:cs="宋体"/>
        </w:rPr>
        <w:t>技术支撑服务要求</w:t>
      </w:r>
    </w:p>
    <w:p w14:paraId="7BAC263B">
      <w:pPr>
        <w:pStyle w:val="3"/>
        <w:bidi w:val="0"/>
        <w:rPr>
          <w:rFonts w:hint="eastAsia" w:ascii="宋体" w:hAnsi="宋体" w:eastAsia="宋体" w:cs="宋体"/>
        </w:rPr>
      </w:pPr>
      <w:r>
        <w:rPr>
          <w:rFonts w:hint="eastAsia" w:ascii="宋体" w:hAnsi="宋体" w:eastAsia="宋体" w:cs="宋体"/>
        </w:rPr>
        <w:t>技术支持服务</w:t>
      </w:r>
    </w:p>
    <w:p w14:paraId="46C2AEA1">
      <w:pPr>
        <w:ind w:left="420" w:firstLine="420"/>
        <w:rPr>
          <w:rFonts w:hint="eastAsia" w:ascii="宋体" w:hAnsi="宋体" w:eastAsia="宋体" w:cs="宋体"/>
        </w:rPr>
      </w:pPr>
      <w:r>
        <w:rPr>
          <w:rFonts w:hint="eastAsia" w:ascii="宋体" w:hAnsi="宋体" w:eastAsia="宋体" w:cs="宋体"/>
        </w:rPr>
        <w:t>技术支撑服务覆盖江苏全省范围内客户</w:t>
      </w:r>
      <w:r>
        <w:rPr>
          <w:rFonts w:hint="eastAsia" w:ascii="宋体" w:hAnsi="宋体" w:eastAsia="宋体" w:cs="宋体"/>
          <w:lang w:eastAsia="zh-CN"/>
        </w:rPr>
        <w:t>，</w:t>
      </w:r>
      <w:r>
        <w:rPr>
          <w:rFonts w:hint="eastAsia" w:ascii="宋体" w:hAnsi="宋体" w:eastAsia="宋体" w:cs="宋体"/>
        </w:rPr>
        <w:t>针对现场技术支持服务，应答方应具有完善的技术支持体系。保证每周7×24小时响应支撑并在指定的时间内处理完毕，同时提交报告说明及相关文档资料。故障响应及时率100%，故障修复及时率100%。除了现场技术支持中心，还需提供其它多种技术支持手段。</w:t>
      </w:r>
    </w:p>
    <w:p w14:paraId="521C9DE1">
      <w:pPr>
        <w:ind w:left="420" w:firstLine="420"/>
        <w:rPr>
          <w:rFonts w:hint="eastAsia" w:ascii="宋体" w:hAnsi="宋体" w:eastAsia="宋体" w:cs="宋体"/>
        </w:rPr>
      </w:pPr>
      <w:r>
        <w:rPr>
          <w:rFonts w:hint="eastAsia" w:ascii="宋体" w:hAnsi="宋体" w:eastAsia="宋体" w:cs="宋体"/>
        </w:rPr>
        <w:t>（1）需求调研服务</w:t>
      </w:r>
    </w:p>
    <w:p w14:paraId="3DD672B9">
      <w:pPr>
        <w:ind w:left="420" w:firstLine="420"/>
        <w:rPr>
          <w:rFonts w:hint="eastAsia" w:ascii="宋体" w:hAnsi="宋体" w:eastAsia="宋体" w:cs="宋体"/>
        </w:rPr>
      </w:pPr>
      <w:r>
        <w:rPr>
          <w:rFonts w:hint="eastAsia" w:ascii="宋体" w:hAnsi="宋体" w:eastAsia="宋体" w:cs="宋体"/>
        </w:rPr>
        <w:t>需求调研服务：协助进行包括需求收集、技术交流、方案设计、现场勘查等工作</w:t>
      </w:r>
    </w:p>
    <w:p w14:paraId="7F88F70F">
      <w:pPr>
        <w:ind w:left="420" w:firstLine="420"/>
        <w:rPr>
          <w:rFonts w:hint="eastAsia" w:ascii="宋体" w:hAnsi="宋体" w:eastAsia="宋体" w:cs="宋体"/>
        </w:rPr>
      </w:pPr>
      <w:r>
        <w:rPr>
          <w:rFonts w:hint="eastAsia" w:ascii="宋体" w:hAnsi="宋体" w:eastAsia="宋体" w:cs="宋体"/>
        </w:rPr>
        <w:t>（2）实施方案服务</w:t>
      </w:r>
    </w:p>
    <w:p w14:paraId="1F5A67C3">
      <w:pPr>
        <w:ind w:left="420" w:firstLine="420"/>
        <w:rPr>
          <w:rFonts w:hint="eastAsia" w:ascii="宋体" w:hAnsi="宋体" w:eastAsia="宋体" w:cs="宋体"/>
          <w:lang w:eastAsia="zh-CN"/>
        </w:rPr>
      </w:pPr>
      <w:r>
        <w:rPr>
          <w:rFonts w:hint="eastAsia" w:ascii="宋体" w:hAnsi="宋体" w:eastAsia="宋体" w:cs="宋体"/>
        </w:rPr>
        <w:t>实施方案设计执行：协助客户进行包括项目实施方案的初步设计、编制、整合等，以及现场具体安装实施调试工作</w:t>
      </w:r>
      <w:r>
        <w:rPr>
          <w:rFonts w:hint="eastAsia" w:ascii="宋体" w:hAnsi="宋体" w:eastAsia="宋体" w:cs="宋体"/>
          <w:lang w:eastAsia="zh-CN"/>
        </w:rPr>
        <w:t>。</w:t>
      </w:r>
    </w:p>
    <w:p w14:paraId="1421D19E">
      <w:pPr>
        <w:ind w:left="420" w:firstLine="420"/>
        <w:rPr>
          <w:rFonts w:hint="eastAsia" w:ascii="宋体" w:hAnsi="宋体" w:eastAsia="宋体" w:cs="宋体"/>
          <w:lang w:eastAsia="zh-CN"/>
        </w:rPr>
      </w:pPr>
      <w:r>
        <w:rPr>
          <w:rFonts w:hint="eastAsia" w:ascii="宋体" w:hAnsi="宋体" w:eastAsia="宋体" w:cs="宋体"/>
          <w:lang w:eastAsia="zh-CN"/>
        </w:rPr>
        <w:t>标准化产品服务需在收到服务开通申请后一周内完成开通部署，定制化服务根据实际工作量评估，不得晚于预估交付时间点。</w:t>
      </w:r>
    </w:p>
    <w:p w14:paraId="61EF09C8">
      <w:pPr>
        <w:ind w:left="420" w:firstLine="420"/>
        <w:rPr>
          <w:rFonts w:hint="eastAsia" w:ascii="宋体" w:hAnsi="宋体" w:eastAsia="宋体" w:cs="宋体"/>
        </w:rPr>
      </w:pPr>
      <w:r>
        <w:rPr>
          <w:rFonts w:hint="eastAsia" w:ascii="宋体" w:hAnsi="宋体" w:eastAsia="宋体" w:cs="宋体"/>
        </w:rPr>
        <w:t>（3）投诉及故障处理服务</w:t>
      </w:r>
    </w:p>
    <w:p w14:paraId="340705A3">
      <w:pPr>
        <w:ind w:left="420" w:firstLine="420"/>
        <w:rPr>
          <w:rFonts w:hint="eastAsia" w:ascii="宋体" w:hAnsi="宋体" w:eastAsia="宋体" w:cs="宋体"/>
        </w:rPr>
      </w:pPr>
      <w:r>
        <w:rPr>
          <w:rFonts w:hint="eastAsia" w:ascii="宋体" w:hAnsi="宋体" w:eastAsia="宋体" w:cs="宋体"/>
        </w:rPr>
        <w:t>客户投诉及故障处理：平台相关的咨询、投诉、报障的处理，解决客户疑惑和操作解答，协助客户进行故障定位，保障平台稳定运行；</w:t>
      </w:r>
    </w:p>
    <w:p w14:paraId="3201629B">
      <w:pPr>
        <w:ind w:left="420" w:firstLine="420"/>
        <w:rPr>
          <w:rFonts w:hint="eastAsia" w:ascii="宋体" w:hAnsi="宋体" w:eastAsia="宋体" w:cs="宋体"/>
        </w:rPr>
      </w:pPr>
      <w:r>
        <w:rPr>
          <w:rFonts w:hint="eastAsia" w:ascii="宋体" w:hAnsi="宋体" w:eastAsia="宋体" w:cs="宋体"/>
        </w:rPr>
        <w:t>（4）热线响应服务</w:t>
      </w:r>
    </w:p>
    <w:p w14:paraId="28987E1F">
      <w:pPr>
        <w:ind w:left="420" w:firstLine="420"/>
        <w:rPr>
          <w:rFonts w:hint="eastAsia" w:ascii="宋体" w:hAnsi="宋体" w:eastAsia="宋体" w:cs="宋体"/>
        </w:rPr>
      </w:pPr>
      <w:r>
        <w:rPr>
          <w:rFonts w:hint="eastAsia" w:ascii="宋体" w:hAnsi="宋体" w:eastAsia="宋体" w:cs="宋体"/>
        </w:rPr>
        <w:t>热线响应服务：应用软件7×24小时不间断运行特殊需求，承诺提供7×24小时热线电话的技术响应，在收到用户的电话或传真后，及时对技术问题作出响应，提供在线维护技术支持，快速的指导用户技术人员解决问题或排除故障。工作时间内，响应时间不超过30分钟；工作时间外，响应时间不超过1小时。</w:t>
      </w:r>
    </w:p>
    <w:p w14:paraId="5E359567">
      <w:pPr>
        <w:ind w:left="420" w:firstLine="420"/>
        <w:rPr>
          <w:rFonts w:hint="eastAsia" w:ascii="宋体" w:hAnsi="宋体" w:eastAsia="宋体" w:cs="宋体"/>
        </w:rPr>
      </w:pPr>
      <w:r>
        <w:rPr>
          <w:rFonts w:hint="eastAsia" w:ascii="宋体" w:hAnsi="宋体" w:eastAsia="宋体" w:cs="宋体"/>
        </w:rPr>
        <w:t>（5）远程接入支持</w:t>
      </w:r>
    </w:p>
    <w:p w14:paraId="64420F66">
      <w:pPr>
        <w:ind w:left="420" w:firstLine="420"/>
        <w:rPr>
          <w:rFonts w:hint="eastAsia" w:ascii="宋体" w:hAnsi="宋体" w:eastAsia="宋体" w:cs="宋体"/>
        </w:rPr>
      </w:pPr>
      <w:r>
        <w:rPr>
          <w:rFonts w:hint="eastAsia" w:ascii="宋体" w:hAnsi="宋体" w:eastAsia="宋体" w:cs="宋体"/>
        </w:rPr>
        <w:t>远程接入支持：当热线服务及现场支持中心无法解决问题时，维护工程师在最终用户授权下，直接以远程终端方式接入系统进行故障诊断，并采取可能的措施排除故障；在工作时间内，在接到故障要求维护的电话后1小时内启动远程诊断和恢复程序。工作时间外，响应时间不超过2小时。</w:t>
      </w:r>
    </w:p>
    <w:p w14:paraId="5ECEB72F">
      <w:pPr>
        <w:ind w:left="420" w:firstLine="420"/>
        <w:rPr>
          <w:rFonts w:hint="eastAsia" w:ascii="宋体" w:hAnsi="宋体" w:eastAsia="宋体" w:cs="宋体"/>
        </w:rPr>
      </w:pPr>
      <w:r>
        <w:rPr>
          <w:rFonts w:hint="eastAsia" w:ascii="宋体" w:hAnsi="宋体" w:eastAsia="宋体" w:cs="宋体"/>
        </w:rPr>
        <w:t>（6）紧急现场维护服务</w:t>
      </w:r>
    </w:p>
    <w:p w14:paraId="2F1BB9F3">
      <w:pPr>
        <w:ind w:left="420" w:firstLine="420"/>
        <w:rPr>
          <w:rFonts w:hint="eastAsia" w:ascii="宋体" w:hAnsi="宋体" w:eastAsia="宋体" w:cs="宋体"/>
        </w:rPr>
      </w:pPr>
      <w:r>
        <w:rPr>
          <w:rFonts w:hint="eastAsia" w:ascii="宋体" w:hAnsi="宋体" w:eastAsia="宋体" w:cs="宋体"/>
        </w:rPr>
        <w:t>紧急现场维护服务：对于电话响应、现场支持中心、远程支持均无法解决的问题，提供如下承诺：紧急重大故障，需要在得到通知后2小时内派技术人员赶赴现场；普通故障，需要在得到通知后8小时内派技术人员赶赴现场。</w:t>
      </w:r>
    </w:p>
    <w:p w14:paraId="7F0CA78F">
      <w:pPr>
        <w:ind w:left="420" w:firstLine="420"/>
        <w:rPr>
          <w:rFonts w:hint="eastAsia" w:ascii="宋体" w:hAnsi="宋体" w:eastAsia="宋体" w:cs="宋体"/>
        </w:rPr>
      </w:pPr>
      <w:r>
        <w:rPr>
          <w:rFonts w:hint="eastAsia" w:ascii="宋体" w:hAnsi="宋体" w:eastAsia="宋体" w:cs="宋体"/>
        </w:rPr>
        <w:t>（7）定期巡检服务</w:t>
      </w:r>
    </w:p>
    <w:p w14:paraId="4323CB6D">
      <w:pPr>
        <w:ind w:left="420" w:firstLine="420"/>
        <w:rPr>
          <w:rFonts w:hint="eastAsia" w:ascii="宋体" w:hAnsi="宋体" w:eastAsia="宋体" w:cs="宋体"/>
        </w:rPr>
      </w:pPr>
      <w:r>
        <w:rPr>
          <w:rFonts w:hint="eastAsia" w:ascii="宋体" w:hAnsi="宋体" w:eastAsia="宋体" w:cs="宋体"/>
        </w:rPr>
        <w:t>定期巡检服务：需要指派专门的技术人员定期到用户现场进行巡检，跟踪系统运行情况，解答用户提出的问题。</w:t>
      </w:r>
    </w:p>
    <w:p w14:paraId="41A1AEB2">
      <w:pPr>
        <w:ind w:left="420" w:firstLine="420"/>
        <w:rPr>
          <w:rFonts w:hint="eastAsia" w:ascii="宋体" w:hAnsi="宋体" w:eastAsia="宋体" w:cs="宋体"/>
        </w:rPr>
      </w:pPr>
      <w:r>
        <w:rPr>
          <w:rFonts w:hint="eastAsia" w:ascii="宋体" w:hAnsi="宋体" w:eastAsia="宋体" w:cs="宋体"/>
        </w:rPr>
        <w:t>（8）应答方提供系统的质保服务。</w:t>
      </w:r>
    </w:p>
    <w:p w14:paraId="69348E1A">
      <w:pPr>
        <w:ind w:left="420" w:firstLine="420"/>
        <w:rPr>
          <w:rFonts w:hint="eastAsia" w:ascii="宋体" w:hAnsi="宋体" w:eastAsia="宋体" w:cs="宋体"/>
        </w:rPr>
      </w:pPr>
      <w:r>
        <w:rPr>
          <w:rFonts w:hint="eastAsia" w:ascii="宋体" w:hAnsi="宋体" w:eastAsia="宋体" w:cs="宋体"/>
        </w:rPr>
        <w:t>（9）在需求方使用期间，如果发现任何属于应答方责任的问题，应答方须免费进行改正。</w:t>
      </w:r>
    </w:p>
    <w:p w14:paraId="09F16021">
      <w:pPr>
        <w:ind w:left="420" w:firstLine="420"/>
        <w:rPr>
          <w:rFonts w:hint="eastAsia" w:ascii="宋体" w:hAnsi="宋体" w:eastAsia="宋体" w:cs="宋体"/>
        </w:rPr>
      </w:pPr>
      <w:r>
        <w:rPr>
          <w:rFonts w:hint="eastAsia" w:ascii="宋体" w:hAnsi="宋体" w:eastAsia="宋体" w:cs="宋体"/>
        </w:rPr>
        <w:t>（10）在质保期满后，应答方仍应满足项目采购单位针对项目所出现问题的完善要求。</w:t>
      </w:r>
    </w:p>
    <w:p w14:paraId="479578AD">
      <w:pPr>
        <w:ind w:left="420" w:firstLine="420"/>
        <w:rPr>
          <w:rFonts w:hint="eastAsia" w:ascii="宋体" w:hAnsi="宋体" w:eastAsia="宋体" w:cs="宋体"/>
        </w:rPr>
      </w:pPr>
      <w:r>
        <w:rPr>
          <w:rFonts w:hint="eastAsia" w:ascii="宋体" w:hAnsi="宋体" w:eastAsia="宋体" w:cs="宋体"/>
        </w:rPr>
        <w:t>（11）应答方必须对所实施的项目中的程序进行严格的版本管理。</w:t>
      </w:r>
    </w:p>
    <w:p w14:paraId="3F02B04F">
      <w:pPr>
        <w:pStyle w:val="3"/>
        <w:bidi w:val="0"/>
        <w:rPr>
          <w:rFonts w:hint="eastAsia" w:ascii="宋体" w:hAnsi="宋体" w:eastAsia="宋体" w:cs="宋体"/>
        </w:rPr>
      </w:pPr>
      <w:r>
        <w:rPr>
          <w:rFonts w:hint="eastAsia" w:ascii="宋体" w:hAnsi="宋体" w:eastAsia="宋体" w:cs="宋体"/>
        </w:rPr>
        <w:t>支撑人员要求</w:t>
      </w:r>
    </w:p>
    <w:p w14:paraId="78894207">
      <w:pPr>
        <w:ind w:firstLine="480"/>
        <w:rPr>
          <w:rFonts w:hint="eastAsia" w:ascii="宋体" w:hAnsi="宋体" w:eastAsia="宋体" w:cs="宋体"/>
        </w:rPr>
      </w:pPr>
      <w:r>
        <w:rPr>
          <w:rFonts w:hint="eastAsia" w:ascii="宋体" w:hAnsi="宋体" w:eastAsia="宋体" w:cs="宋体"/>
        </w:rPr>
        <w:t>（1）应答方必须配合需求方积极参与对其派遣工程师的有效的监督和管理，遵守需求方的相关规章制度。应答方服务人员考勤等须接受甲方监督；同时，应答方还须向需求方提供便利条件，便于需求方即时通过现场、远程等方式确认服务人员动态。需求方如对应答方所指派人员提供的服务不满意（包括技术能力、服务态度），有权通过书面形式提出撤换该人员的要求，应答方应无条件予以执行。</w:t>
      </w:r>
    </w:p>
    <w:p w14:paraId="635679B5">
      <w:pPr>
        <w:pStyle w:val="28"/>
        <w:rPr>
          <w:rFonts w:hint="eastAsia" w:ascii="宋体" w:hAnsi="宋体" w:eastAsia="宋体" w:cs="宋体"/>
          <w:lang w:val="en-US" w:eastAsia="zh-CN"/>
        </w:rPr>
      </w:pPr>
      <w:r>
        <w:rPr>
          <w:rFonts w:hint="eastAsia" w:ascii="宋体" w:hAnsi="宋体" w:eastAsia="宋体" w:cs="宋体"/>
          <w:lang w:val="en-US" w:eastAsia="zh-CN"/>
        </w:rPr>
        <w:t>（2）应答方保证其技术服务支撑人员具备需求方要求的技术水平，并能配合需求方组织的相关能力测评工作。</w:t>
      </w:r>
    </w:p>
    <w:p w14:paraId="6FD818E7">
      <w:pPr>
        <w:pStyle w:val="28"/>
        <w:rPr>
          <w:rFonts w:hint="eastAsia" w:ascii="宋体" w:hAnsi="宋体" w:eastAsia="宋体" w:cs="宋体"/>
          <w:lang w:val="en-US" w:eastAsia="zh-CN"/>
        </w:rPr>
      </w:pPr>
      <w:r>
        <w:rPr>
          <w:rFonts w:hint="eastAsia" w:ascii="宋体" w:hAnsi="宋体" w:eastAsia="宋体" w:cs="宋体"/>
          <w:lang w:val="en-US" w:eastAsia="zh-CN"/>
        </w:rPr>
        <w:t>（3）技术服务支撑人员应具备稳定性，不得随意更换，需求方有权向技术服务支撑公司要求更换不满足工作要求的技术服务支撑人员。</w:t>
      </w:r>
    </w:p>
    <w:p w14:paraId="0A7635B8">
      <w:pPr>
        <w:pStyle w:val="3"/>
        <w:bidi w:val="0"/>
        <w:rPr>
          <w:rFonts w:hint="eastAsia" w:ascii="宋体" w:hAnsi="宋体" w:eastAsia="宋体" w:cs="宋体"/>
        </w:rPr>
      </w:pPr>
      <w:r>
        <w:rPr>
          <w:rFonts w:hint="eastAsia" w:ascii="宋体" w:hAnsi="宋体" w:eastAsia="宋体" w:cs="宋体"/>
        </w:rPr>
        <w:t>文档输出要求</w:t>
      </w:r>
    </w:p>
    <w:p w14:paraId="5966B411">
      <w:pPr>
        <w:ind w:left="420" w:firstLine="420"/>
        <w:rPr>
          <w:rFonts w:hint="eastAsia" w:ascii="宋体" w:hAnsi="宋体" w:eastAsia="宋体" w:cs="宋体"/>
        </w:rPr>
      </w:pPr>
      <w:r>
        <w:rPr>
          <w:rFonts w:hint="eastAsia" w:ascii="宋体" w:hAnsi="宋体" w:eastAsia="宋体" w:cs="宋体"/>
        </w:rPr>
        <w:t>全部档案资料版权归需求方所有，应答方未经需求方允许的情况下，不能以任何形式向第三方提供，交付文件必须包括但不限于如下文档：</w:t>
      </w:r>
    </w:p>
    <w:p w14:paraId="3EEB502E">
      <w:pPr>
        <w:ind w:left="420" w:firstLine="420"/>
        <w:rPr>
          <w:rFonts w:hint="eastAsia" w:ascii="宋体" w:hAnsi="宋体" w:eastAsia="宋体" w:cs="宋体"/>
        </w:rPr>
      </w:pPr>
      <w:r>
        <w:rPr>
          <w:rFonts w:hint="eastAsia" w:ascii="宋体" w:hAnsi="宋体" w:eastAsia="宋体" w:cs="宋体"/>
        </w:rPr>
        <w:t>1）售后安全服务相关文档。</w:t>
      </w:r>
    </w:p>
    <w:p w14:paraId="6A46794C">
      <w:pPr>
        <w:ind w:left="420" w:firstLine="420"/>
        <w:rPr>
          <w:rFonts w:hint="eastAsia" w:ascii="宋体" w:hAnsi="宋体" w:eastAsia="宋体" w:cs="宋体"/>
        </w:rPr>
      </w:pPr>
      <w:r>
        <w:rPr>
          <w:rFonts w:hint="eastAsia" w:ascii="宋体" w:hAnsi="宋体" w:eastAsia="宋体" w:cs="宋体"/>
        </w:rPr>
        <w:t>2）产品手册。</w:t>
      </w:r>
    </w:p>
    <w:p w14:paraId="752DCB04">
      <w:pPr>
        <w:ind w:left="420" w:firstLine="420"/>
        <w:rPr>
          <w:rFonts w:hint="eastAsia" w:ascii="宋体" w:hAnsi="宋体" w:eastAsia="宋体" w:cs="宋体"/>
        </w:rPr>
      </w:pPr>
      <w:r>
        <w:rPr>
          <w:rFonts w:hint="eastAsia" w:ascii="宋体" w:hAnsi="宋体" w:eastAsia="宋体" w:cs="宋体"/>
        </w:rPr>
        <w:t>3）售后维护记录及相关文档。</w:t>
      </w:r>
    </w:p>
    <w:p w14:paraId="743BCB6B">
      <w:pPr>
        <w:pStyle w:val="2"/>
        <w:rPr>
          <w:rFonts w:hint="eastAsia" w:ascii="宋体" w:hAnsi="宋体" w:eastAsia="宋体" w:cs="宋体"/>
        </w:rPr>
      </w:pPr>
      <w:r>
        <w:rPr>
          <w:rFonts w:hint="eastAsia" w:ascii="宋体" w:hAnsi="宋体" w:eastAsia="宋体" w:cs="宋体"/>
        </w:rPr>
        <w:t>项目</w:t>
      </w:r>
      <w:r>
        <w:rPr>
          <w:rFonts w:hint="eastAsia" w:ascii="宋体" w:hAnsi="宋体" w:eastAsia="宋体" w:cs="宋体"/>
          <w:lang w:val="en-US" w:eastAsia="zh-CN"/>
        </w:rPr>
        <w:t>管理要求</w:t>
      </w:r>
    </w:p>
    <w:p w14:paraId="6BA075C4">
      <w:pPr>
        <w:pStyle w:val="3"/>
        <w:bidi w:val="0"/>
        <w:rPr>
          <w:rFonts w:hint="eastAsia" w:ascii="宋体" w:hAnsi="宋体" w:eastAsia="宋体" w:cs="宋体"/>
        </w:rPr>
      </w:pPr>
      <w:r>
        <w:rPr>
          <w:rFonts w:hint="eastAsia" w:ascii="宋体" w:hAnsi="宋体" w:eastAsia="宋体" w:cs="宋体"/>
        </w:rPr>
        <w:t>项目组织实施计划</w:t>
      </w:r>
    </w:p>
    <w:p w14:paraId="7A02717A">
      <w:pPr>
        <w:ind w:left="420" w:firstLine="420"/>
        <w:rPr>
          <w:rFonts w:hint="eastAsia" w:ascii="宋体" w:hAnsi="宋体" w:eastAsia="宋体" w:cs="宋体"/>
        </w:rPr>
      </w:pPr>
      <w:r>
        <w:rPr>
          <w:rFonts w:hint="eastAsia" w:ascii="宋体" w:hAnsi="宋体" w:eastAsia="宋体" w:cs="宋体"/>
        </w:rPr>
        <w:t>应答方应针对本项目提供完整、详细的项目组织实施计划，规划制定需求方相关维护流程。</w:t>
      </w:r>
    </w:p>
    <w:p w14:paraId="342C6D45">
      <w:pPr>
        <w:ind w:left="420" w:firstLine="420"/>
        <w:rPr>
          <w:rFonts w:hint="eastAsia" w:ascii="宋体" w:hAnsi="宋体" w:eastAsia="宋体" w:cs="宋体"/>
        </w:rPr>
      </w:pPr>
      <w:r>
        <w:rPr>
          <w:rFonts w:hint="eastAsia" w:ascii="宋体" w:hAnsi="宋体" w:eastAsia="宋体" w:cs="宋体"/>
        </w:rPr>
        <w:t>流程内容针对安全方面（包括服务安全、数据安全、网络安全等）、运维方面、服务维护方面、用户管理方面，日常维护工作方面、故障处理方面、SLA方面及服务的各项处理流程、风险规避措施等。</w:t>
      </w:r>
    </w:p>
    <w:p w14:paraId="43A9B4F0">
      <w:pPr>
        <w:ind w:left="420" w:firstLine="420"/>
        <w:rPr>
          <w:rFonts w:hint="eastAsia" w:ascii="宋体" w:hAnsi="宋体" w:eastAsia="宋体" w:cs="宋体"/>
        </w:rPr>
      </w:pPr>
      <w:r>
        <w:rPr>
          <w:rFonts w:hint="eastAsia" w:ascii="宋体" w:hAnsi="宋体" w:eastAsia="宋体" w:cs="宋体"/>
        </w:rPr>
        <w:t>支撑维护内容包括针对服务保障方面的各类工作说明，包括但不限于，各类备份维护手册，服务维护手册，服务巡检手册，日常监控指标等服务保障相关的各类工作指导说明。</w:t>
      </w:r>
    </w:p>
    <w:p w14:paraId="12269165">
      <w:pPr>
        <w:pStyle w:val="3"/>
        <w:bidi w:val="0"/>
        <w:rPr>
          <w:rFonts w:hint="eastAsia" w:ascii="宋体" w:hAnsi="宋体" w:eastAsia="宋体" w:cs="宋体"/>
        </w:rPr>
      </w:pPr>
      <w:r>
        <w:rPr>
          <w:rFonts w:hint="eastAsia" w:ascii="宋体" w:hAnsi="宋体" w:eastAsia="宋体" w:cs="宋体"/>
        </w:rPr>
        <w:t>项目沟通机制</w:t>
      </w:r>
    </w:p>
    <w:p w14:paraId="00351934">
      <w:pPr>
        <w:ind w:left="420" w:firstLine="420"/>
        <w:rPr>
          <w:rFonts w:hint="eastAsia" w:ascii="宋体" w:hAnsi="宋体" w:eastAsia="宋体" w:cs="宋体"/>
        </w:rPr>
      </w:pPr>
      <w:r>
        <w:rPr>
          <w:rFonts w:hint="eastAsia" w:ascii="宋体" w:hAnsi="宋体" w:eastAsia="宋体" w:cs="宋体"/>
        </w:rPr>
        <w:t>应答方应针对本项目提供完善的沟通机制，以确保合作的顺畅无阻。沟通机制包括各种周、月、半年、年报等。</w:t>
      </w:r>
    </w:p>
    <w:p w14:paraId="60D55F4F">
      <w:pPr>
        <w:ind w:left="420" w:firstLine="420"/>
        <w:rPr>
          <w:rFonts w:hint="eastAsia" w:ascii="宋体" w:hAnsi="宋体" w:eastAsia="宋体" w:cs="宋体"/>
        </w:rPr>
      </w:pPr>
      <w:r>
        <w:rPr>
          <w:rFonts w:hint="eastAsia" w:ascii="宋体" w:hAnsi="宋体" w:eastAsia="宋体" w:cs="宋体"/>
        </w:rPr>
        <w:t>为便于整个项目的顺利进行，在服务期间双方需要建立例会制度，会议时间及地点由需求方根据项目实际情况安排，应答方需派项目相关人员参会，应答方参会人员需提供上次例会以来项目的进展情况、遇到的问题等内容以PPT的形式提供给需求方。</w:t>
      </w:r>
    </w:p>
    <w:p w14:paraId="1EE23F6F">
      <w:pPr>
        <w:pStyle w:val="3"/>
        <w:bidi w:val="0"/>
        <w:rPr>
          <w:rFonts w:hint="eastAsia" w:ascii="宋体" w:hAnsi="宋体" w:eastAsia="宋体" w:cs="宋体"/>
        </w:rPr>
      </w:pPr>
      <w:r>
        <w:rPr>
          <w:rFonts w:hint="eastAsia" w:ascii="宋体" w:hAnsi="宋体" w:eastAsia="宋体" w:cs="宋体"/>
        </w:rPr>
        <w:t>项目质量要求</w:t>
      </w:r>
    </w:p>
    <w:p w14:paraId="56F7EDFF">
      <w:pPr>
        <w:ind w:left="420" w:firstLine="420"/>
        <w:rPr>
          <w:rFonts w:hint="eastAsia" w:ascii="宋体" w:hAnsi="宋体" w:eastAsia="宋体" w:cs="宋体"/>
        </w:rPr>
      </w:pPr>
      <w:r>
        <w:rPr>
          <w:rFonts w:hint="eastAsia" w:ascii="宋体" w:hAnsi="宋体" w:eastAsia="宋体" w:cs="宋体"/>
        </w:rPr>
        <w:t>（1）应答方应建立严格的质量保证体系，制定项目实施质量控制方案和实施措施，并督促落实各环节质量控制内容和目标；保证总体规划设计、实施等各个阶段工作，满足需求方对质量的要求。</w:t>
      </w:r>
    </w:p>
    <w:p w14:paraId="1C922035">
      <w:pPr>
        <w:ind w:left="420" w:firstLine="420"/>
        <w:rPr>
          <w:rFonts w:hint="eastAsia" w:ascii="宋体" w:hAnsi="宋体" w:eastAsia="宋体" w:cs="宋体"/>
        </w:rPr>
      </w:pPr>
      <w:r>
        <w:rPr>
          <w:rFonts w:hint="eastAsia" w:ascii="宋体" w:hAnsi="宋体" w:eastAsia="宋体" w:cs="宋体"/>
        </w:rPr>
        <w:t>（2）应答方应根据整个实施的工作计划，对阶段性工作成果进行审查和测试，并向需求方提交里程碑式工作成果。通过保证各阶段性成果的质量，最终保证整个系统实施的质量。</w:t>
      </w:r>
    </w:p>
    <w:p w14:paraId="03CA8B7D">
      <w:pPr>
        <w:ind w:left="420" w:firstLine="420"/>
        <w:rPr>
          <w:rFonts w:hint="eastAsia" w:ascii="宋体" w:hAnsi="宋体" w:eastAsia="宋体" w:cs="宋体"/>
        </w:rPr>
      </w:pPr>
      <w:r>
        <w:rPr>
          <w:rFonts w:hint="eastAsia" w:ascii="宋体" w:hAnsi="宋体" w:eastAsia="宋体" w:cs="宋体"/>
        </w:rPr>
        <w:t>（3）应答方应提交针对本项目的详细质量管理方案。</w:t>
      </w:r>
    </w:p>
    <w:p w14:paraId="2664E183">
      <w:pPr>
        <w:pStyle w:val="3"/>
        <w:bidi w:val="0"/>
        <w:rPr>
          <w:rFonts w:hint="eastAsia" w:ascii="宋体" w:hAnsi="宋体" w:eastAsia="宋体" w:cs="宋体"/>
        </w:rPr>
      </w:pPr>
      <w:r>
        <w:rPr>
          <w:rFonts w:hint="eastAsia" w:ascii="宋体" w:hAnsi="宋体" w:eastAsia="宋体" w:cs="宋体"/>
        </w:rPr>
        <w:t>项目实施工期</w:t>
      </w:r>
    </w:p>
    <w:p w14:paraId="502446F3">
      <w:pPr>
        <w:ind w:left="420" w:firstLine="420"/>
        <w:rPr>
          <w:rFonts w:hint="eastAsia" w:ascii="宋体" w:hAnsi="宋体" w:eastAsia="宋体" w:cs="宋体"/>
        </w:rPr>
      </w:pPr>
      <w:r>
        <w:rPr>
          <w:rFonts w:hint="eastAsia" w:ascii="宋体" w:hAnsi="宋体" w:eastAsia="宋体" w:cs="宋体"/>
        </w:rPr>
        <w:t>应答方应按需求方要求确定详细的项目进度安排，明确每个阶段的阶段目标、阶段应交付的成果、验收依据、双方的责任和义务，经需求方认可后，以合同加以明确。</w:t>
      </w:r>
    </w:p>
    <w:p w14:paraId="0CCD98B3">
      <w:pPr>
        <w:ind w:left="420" w:firstLine="420"/>
        <w:rPr>
          <w:rFonts w:hint="eastAsia" w:ascii="宋体" w:hAnsi="宋体" w:eastAsia="宋体" w:cs="宋体"/>
        </w:rPr>
      </w:pPr>
      <w:r>
        <w:rPr>
          <w:rFonts w:hint="eastAsia" w:ascii="宋体" w:hAnsi="宋体" w:eastAsia="宋体" w:cs="宋体"/>
        </w:rPr>
        <w:t>应答方的项目进度管理应该遵循以下原则：</w:t>
      </w:r>
    </w:p>
    <w:p w14:paraId="7B4B78AB">
      <w:pPr>
        <w:ind w:left="420" w:firstLine="420"/>
        <w:rPr>
          <w:rFonts w:hint="eastAsia" w:ascii="宋体" w:hAnsi="宋体" w:eastAsia="宋体" w:cs="宋体"/>
        </w:rPr>
      </w:pPr>
      <w:r>
        <w:rPr>
          <w:rFonts w:hint="eastAsia" w:ascii="宋体" w:hAnsi="宋体" w:eastAsia="宋体" w:cs="宋体"/>
        </w:rPr>
        <w:t>项目进度管理的依据是项目合同所约定的工期目标，在确保项目质量和安全的前提下，控制项目进度。</w:t>
      </w:r>
    </w:p>
    <w:p w14:paraId="0BF6CE56">
      <w:pPr>
        <w:ind w:left="420" w:firstLine="420"/>
        <w:rPr>
          <w:rFonts w:hint="eastAsia" w:ascii="宋体" w:hAnsi="宋体" w:eastAsia="宋体" w:cs="宋体"/>
        </w:rPr>
      </w:pPr>
      <w:r>
        <w:rPr>
          <w:rFonts w:hint="eastAsia" w:ascii="宋体" w:hAnsi="宋体" w:eastAsia="宋体" w:cs="宋体"/>
        </w:rPr>
        <w:t>应答方的项目进度管理应该至少包含以下内容：</w:t>
      </w:r>
    </w:p>
    <w:p w14:paraId="19F761A7">
      <w:pPr>
        <w:ind w:left="420" w:firstLine="420"/>
        <w:rPr>
          <w:rFonts w:hint="eastAsia" w:ascii="宋体" w:hAnsi="宋体" w:eastAsia="宋体" w:cs="宋体"/>
        </w:rPr>
      </w:pPr>
      <w:r>
        <w:rPr>
          <w:rFonts w:hint="eastAsia" w:ascii="宋体" w:hAnsi="宋体" w:eastAsia="宋体" w:cs="宋体"/>
        </w:rPr>
        <w:t>（1）应答方在了解项目特点的前提下，根据工期目标，提交总体进度计划，以及定期提交阶段性工作计划。</w:t>
      </w:r>
    </w:p>
    <w:p w14:paraId="1DB766E4">
      <w:pPr>
        <w:ind w:left="420" w:firstLine="420"/>
        <w:rPr>
          <w:rFonts w:hint="eastAsia" w:ascii="宋体" w:hAnsi="宋体" w:eastAsia="宋体" w:cs="宋体"/>
        </w:rPr>
      </w:pPr>
      <w:r>
        <w:rPr>
          <w:rFonts w:hint="eastAsia" w:ascii="宋体" w:hAnsi="宋体" w:eastAsia="宋体" w:cs="宋体"/>
        </w:rPr>
        <w:t>（2）制定详细的项目实施进度，按照合同进度制定具体的实施计划，定期跟踪检查，对可能发生的工程延误提出相应对策并提前报备。</w:t>
      </w:r>
    </w:p>
    <w:p w14:paraId="35B05491">
      <w:pPr>
        <w:ind w:left="420" w:firstLine="420"/>
        <w:rPr>
          <w:rFonts w:hint="eastAsia" w:ascii="宋体" w:hAnsi="宋体" w:eastAsia="宋体" w:cs="宋体"/>
        </w:rPr>
      </w:pPr>
      <w:r>
        <w:rPr>
          <w:rFonts w:hint="eastAsia" w:ascii="宋体" w:hAnsi="宋体" w:eastAsia="宋体" w:cs="宋体"/>
        </w:rPr>
        <w:t>（3）定期或不定期地召开或参加项目例会、协调会议等，向需求方通报项目进展情况，提交进度报告，及时解决相关问题。</w:t>
      </w:r>
    </w:p>
    <w:p w14:paraId="04DCAF2C">
      <w:pPr>
        <w:pStyle w:val="3"/>
        <w:bidi w:val="0"/>
        <w:rPr>
          <w:rFonts w:hint="eastAsia" w:ascii="宋体" w:hAnsi="宋体" w:eastAsia="宋体" w:cs="宋体"/>
        </w:rPr>
      </w:pPr>
      <w:r>
        <w:rPr>
          <w:rFonts w:hint="eastAsia" w:ascii="宋体" w:hAnsi="宋体" w:eastAsia="宋体" w:cs="宋体"/>
        </w:rPr>
        <w:t>验收标准及其他</w:t>
      </w:r>
    </w:p>
    <w:p w14:paraId="68147879">
      <w:pPr>
        <w:ind w:left="420" w:firstLine="420"/>
        <w:rPr>
          <w:rFonts w:hint="eastAsia" w:ascii="宋体" w:hAnsi="宋体" w:eastAsia="宋体" w:cs="宋体"/>
        </w:rPr>
      </w:pPr>
      <w:r>
        <w:rPr>
          <w:rFonts w:hint="eastAsia" w:ascii="宋体" w:hAnsi="宋体" w:eastAsia="宋体" w:cs="宋体"/>
        </w:rPr>
        <w:t>为保证本项目成果的质量，项目验收按照江苏移动信息系统集成有限公司制定的相关办法和标准执行。</w:t>
      </w:r>
    </w:p>
    <w:p w14:paraId="1205DBBB">
      <w:pPr>
        <w:ind w:left="420" w:firstLine="420"/>
        <w:rPr>
          <w:rFonts w:hint="eastAsia" w:ascii="宋体" w:hAnsi="宋体" w:eastAsia="宋体" w:cs="宋体"/>
        </w:rPr>
      </w:pPr>
      <w:r>
        <w:rPr>
          <w:rFonts w:hint="eastAsia" w:ascii="宋体" w:hAnsi="宋体" w:eastAsia="宋体" w:cs="宋体"/>
        </w:rPr>
        <w:t>应答方严格保守需求方一切的商业机密，保证需求方相关信息的安全使用，不得自行将需求方资料转让给第三人。</w:t>
      </w:r>
    </w:p>
    <w:p w14:paraId="27431039">
      <w:pPr>
        <w:pStyle w:val="2"/>
        <w:tabs>
          <w:tab w:val="left" w:pos="-420"/>
          <w:tab w:val="left" w:pos="0"/>
        </w:tabs>
        <w:bidi w:val="0"/>
        <w:ind w:left="432" w:leftChars="0" w:hanging="432" w:firstLineChars="0"/>
        <w:rPr>
          <w:rFonts w:hint="eastAsia" w:ascii="宋体" w:hAnsi="宋体" w:eastAsia="宋体" w:cs="宋体"/>
          <w:lang w:val="en-US" w:eastAsia="zh-CN"/>
        </w:rPr>
      </w:pPr>
      <w:r>
        <w:rPr>
          <w:rFonts w:hint="eastAsia" w:ascii="宋体" w:hAnsi="宋体" w:eastAsia="宋体" w:cs="宋体"/>
          <w:lang w:val="en-US" w:eastAsia="zh-CN"/>
        </w:rPr>
        <w:t>视频演示要求</w:t>
      </w:r>
    </w:p>
    <w:p w14:paraId="7987AC1B">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应答方根据技术规范书要求提供以下核心功能视频演示，将在评分中获得相应分值：</w:t>
      </w:r>
    </w:p>
    <w:p w14:paraId="7222A46E">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（1）演示任一智能体应用插</w:t>
      </w:r>
      <w:bookmarkStart w:id="28" w:name="_GoBack"/>
      <w:bookmarkEnd w:id="28"/>
      <w:r>
        <w:rPr>
          <w:rFonts w:hint="eastAsia" w:ascii="宋体" w:hAnsi="宋体" w:eastAsia="宋体" w:cs="宋体"/>
          <w:sz w:val="24"/>
          <w:szCs w:val="24"/>
          <w:lang w:val="en-US" w:eastAsia="zh-CN"/>
        </w:rPr>
        <w:t>件可针对一组数据，进行数据分析并展示可视化的表格及图表；</w:t>
      </w:r>
    </w:p>
    <w:p w14:paraId="1C866D5A">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（2）演示任一智能体插件能够对图像进行精准的理解，并能够根据对图片的理解进行场景识别；</w:t>
      </w:r>
    </w:p>
    <w:p w14:paraId="51D8A2AF">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（3）演示任一智能体插件能够进行多种外部API集成，与外部服务进行交互；</w:t>
      </w:r>
    </w:p>
    <w:p w14:paraId="4AE8E9F5">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（4）演示任一行业的专用智能体应用插件的能力，体现AI技术与业务场景的融合；</w:t>
      </w:r>
    </w:p>
    <w:p w14:paraId="53B7E252">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（5）演示任一智能体应用的系统集成能力，与外部业务系统进行数据交互，按照业务系统的数据结构及接口规范，进行数据传递与集成。</w:t>
      </w:r>
    </w:p>
    <w:p w14:paraId="577D589B">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定标准：基于以上共5个功能，提供对应的演示视频，每个功能演示完全满足上述要求(包括但不限于功能点的执行、结果展示)的得该项满分，每个功能中每有一项演示内容不完整、不符合需求的将扣分，扣完该项功能总分为止。不提供视频的不得分。</w:t>
      </w:r>
    </w:p>
    <w:p w14:paraId="3A83A902">
      <w:pPr>
        <w:pStyle w:val="2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注：1）演示视频须随应答文件一并提交，且可正常播放，建议采用MP4格式，视频总时长不超过15分钟；2）建议各功能点演示前进行字幕预告。不提供或不符合不得分。</w:t>
      </w:r>
    </w:p>
    <w:p w14:paraId="385532E9">
      <w:pPr>
        <w:rPr>
          <w:rFonts w:hint="eastAsia" w:ascii="宋体" w:hAnsi="宋体" w:eastAsia="宋体" w:cs="宋体"/>
        </w:rPr>
      </w:pPr>
      <w:r>
        <w:rPr>
          <w:rFonts w:hint="eastAsia" w:ascii="宋体" w:hAnsi="宋体" w:eastAsia="宋体" w:cs="宋体"/>
        </w:rPr>
        <w:br w:type="page"/>
      </w:r>
    </w:p>
    <w:p w14:paraId="73EC54AF">
      <w:pPr>
        <w:pStyle w:val="2"/>
        <w:numPr>
          <w:ilvl w:val="0"/>
          <w:numId w:val="0"/>
        </w:numPr>
        <w:ind w:left="432" w:hanging="432"/>
        <w:rPr>
          <w:rFonts w:hint="eastAsia" w:ascii="宋体" w:hAnsi="宋体" w:eastAsia="宋体" w:cs="宋体"/>
        </w:rPr>
      </w:pPr>
      <w:r>
        <w:rPr>
          <w:rFonts w:hint="eastAsia" w:ascii="宋体" w:hAnsi="宋体" w:eastAsia="宋体" w:cs="宋体"/>
        </w:rPr>
        <w:t>附件一：苏晓伴对外标准场景及接口规范</w:t>
      </w:r>
    </w:p>
    <w:p w14:paraId="5E3CD348">
      <w:pPr>
        <w:spacing w:line="360" w:lineRule="auto"/>
        <w:ind w:firstLine="442" w:firstLineChars="200"/>
        <w:rPr>
          <w:rFonts w:hint="eastAsia" w:ascii="宋体" w:hAnsi="宋体" w:eastAsia="宋体" w:cs="宋体"/>
          <w:b/>
          <w:bCs/>
          <w:szCs w:val="22"/>
        </w:rPr>
      </w:pPr>
      <w:r>
        <w:rPr>
          <w:rFonts w:hint="eastAsia" w:ascii="宋体" w:hAnsi="宋体" w:eastAsia="宋体" w:cs="宋体"/>
          <w:b/>
          <w:bCs/>
          <w:szCs w:val="22"/>
        </w:rPr>
        <w:t>一、苏晓伴承载接入外部能力模块</w:t>
      </w:r>
    </w:p>
    <w:p w14:paraId="1682C0C9">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1、AI超市</w:t>
      </w:r>
    </w:p>
    <w:p w14:paraId="306015A3">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1.1 定义：为类AI智能体应用集成页，汇集AI生文、图、音视频等多种模态的产品应用</w:t>
      </w:r>
    </w:p>
    <w:p w14:paraId="0BF8F273">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1.2 形式：通过“轮播图”“精品推进”“主题列表”形式呈现</w:t>
      </w:r>
    </w:p>
    <w:p w14:paraId="1DB161E8">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2、移动空间</w:t>
      </w:r>
    </w:p>
    <w:p w14:paraId="25ADF3A3">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2.1 定义：为移动集团内数字化产品应用集成页，打造移动数字化产品生态圈</w:t>
      </w:r>
    </w:p>
    <w:p w14:paraId="768938D5">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2.2形式：通过“卡片清单”形式呈现，支持显示产品功能的名称、简介、快捷入口</w:t>
      </w:r>
    </w:p>
    <w:p w14:paraId="2CA9B7C1">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3、知识库</w:t>
      </w:r>
    </w:p>
    <w:p w14:paraId="7FC350D3">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2.1 定义：汇集企业介绍、品牌文化、产品介绍、内外部资料等一站式知识智能体，便捷查询、答疑</w:t>
      </w:r>
    </w:p>
    <w:p w14:paraId="6CBCC4CE">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2.2形式：通过“智能体问答”形式交互</w:t>
      </w:r>
    </w:p>
    <w:p w14:paraId="7BD4B10E">
      <w:pPr>
        <w:spacing w:line="360" w:lineRule="auto"/>
        <w:ind w:firstLine="442" w:firstLineChars="200"/>
        <w:rPr>
          <w:rFonts w:hint="eastAsia" w:ascii="宋体" w:hAnsi="宋体" w:eastAsia="宋体" w:cs="宋体"/>
          <w:b/>
          <w:bCs/>
          <w:szCs w:val="22"/>
        </w:rPr>
      </w:pPr>
      <w:r>
        <w:rPr>
          <w:rFonts w:hint="eastAsia" w:ascii="宋体" w:hAnsi="宋体" w:eastAsia="宋体" w:cs="宋体"/>
          <w:b/>
          <w:bCs/>
          <w:szCs w:val="22"/>
        </w:rPr>
        <w:t>二、外部产品接入苏晓伴标准形式：</w:t>
      </w:r>
    </w:p>
    <w:p w14:paraId="38A130F0">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1、Agent应用接入苏晓伴：</w:t>
      </w:r>
    </w:p>
    <w:p w14:paraId="0ABC6247">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1.1相关材料：</w:t>
      </w:r>
    </w:p>
    <w:p w14:paraId="3EBD9BED">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名称：苏小安</w:t>
      </w:r>
    </w:p>
    <w:p w14:paraId="374256F5">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封面图：</w:t>
      </w:r>
    </w:p>
    <w:p w14:paraId="0371436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 WEB端:849*498</w:t>
      </w:r>
    </w:p>
    <w:p w14:paraId="5B1484CC">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 小程序端：400*280</w:t>
      </w:r>
    </w:p>
    <w:p w14:paraId="25A2FB08">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 logo：95*95</w:t>
      </w:r>
    </w:p>
    <w:p w14:paraId="0490C331">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简单介绍（10字以内）：例-数据驱动 党建领航</w:t>
      </w:r>
    </w:p>
    <w:p w14:paraId="699A165C">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开场白（40字以内）：嗨，我是苏晓星，一个专为党务工作而生的智能体小伙伴！</w:t>
      </w:r>
    </w:p>
    <w:p w14:paraId="7B3A6154">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三个引导问题（每条40字以内）：</w:t>
      </w:r>
    </w:p>
    <w:p w14:paraId="1AD10739">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例1-如何成立7人党支部</w:t>
      </w:r>
    </w:p>
    <w:p w14:paraId="5EEB2F8F">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例2-四个一工作机制是什么</w:t>
      </w:r>
    </w:p>
    <w:p w14:paraId="27E86E69">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例3-如何进行支部换届选举</w:t>
      </w:r>
    </w:p>
    <w:p w14:paraId="2EB53533">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1.2路径规范：有效Agent链接</w:t>
      </w:r>
    </w:p>
    <w:p w14:paraId="51E2E1F0">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2、小程序应用接入苏晓伴：</w:t>
      </w:r>
    </w:p>
    <w:p w14:paraId="1E775ABE">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1.1相关材料：</w:t>
      </w:r>
    </w:p>
    <w:p w14:paraId="26341B2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名称：苏小安</w:t>
      </w:r>
    </w:p>
    <w:p w14:paraId="10EAF82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封面图：</w:t>
      </w:r>
    </w:p>
    <w:p w14:paraId="5BC1617D">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 WEB端:849*498</w:t>
      </w:r>
    </w:p>
    <w:p w14:paraId="6FA463E1">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 小程序端：400*280</w:t>
      </w:r>
    </w:p>
    <w:p w14:paraId="469EFCDE">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 logo：95*95</w:t>
      </w:r>
    </w:p>
    <w:p w14:paraId="67BBD05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简单介绍（10字以内）：例-数据驱动 党建领航</w:t>
      </w:r>
    </w:p>
    <w:p w14:paraId="5E9E323A">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开场白（40字以内）：嗨，我是苏晓星，一个专为党务工作而生的智能体小伙伴！</w:t>
      </w:r>
    </w:p>
    <w:p w14:paraId="3DC8BAA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三个引导问题（每条40字以内）：</w:t>
      </w:r>
    </w:p>
    <w:p w14:paraId="5F31790D">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例1-如何成立7人党支部</w:t>
      </w:r>
    </w:p>
    <w:p w14:paraId="02F58A96">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例2-四个一工作机制是什么</w:t>
      </w:r>
    </w:p>
    <w:p w14:paraId="56971A38">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例3-如何进行支部换届选举</w:t>
      </w:r>
    </w:p>
    <w:p w14:paraId="2237CCD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1.2路径规范：</w:t>
      </w:r>
    </w:p>
    <w:p w14:paraId="6AD256A0">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·Agent类智能体，跳转链接需拼接Token（特定）</w:t>
      </w:r>
    </w:p>
    <w:p w14:paraId="1A819B76">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·提供有效：APPid、路径、参数（如有）</w:t>
      </w:r>
    </w:p>
    <w:p w14:paraId="5304760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·跳转链接须在提供真实可用业务域名，并完成苏晓伴校验文件配置</w:t>
      </w:r>
    </w:p>
    <w:p w14:paraId="3B1BC0F2">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3、网页引入(H5，PC版WEB)</w:t>
      </w:r>
    </w:p>
    <w:p w14:paraId="7D34E1BC">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2.1引入特征:周期短，能快速推向市场</w:t>
      </w:r>
    </w:p>
    <w:p w14:paraId="0329D2B8">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2.2登录形式：单点登录（待明确单点登录与统一认证能力后补充）</w:t>
      </w:r>
    </w:p>
    <w:p w14:paraId="4FEE6380">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2.3界面交互风格</w:t>
      </w:r>
    </w:p>
    <w:p w14:paraId="0220BB6E">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·企业端产品风格：与苏晓伴企业端主题色“蓝/灰色系”保持一致，商务智简风格；</w:t>
      </w:r>
    </w:p>
    <w:p w14:paraId="7FF2506B">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·个人端产品风格：与苏晓伴个人版主题色“红/橙色系”保持一致，用户友好导向；</w:t>
      </w:r>
    </w:p>
    <w:p w14:paraId="76483077">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2.4路径规范：</w:t>
      </w:r>
    </w:p>
    <w:p w14:paraId="002A3627">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·有效链接</w:t>
      </w:r>
    </w:p>
    <w:p w14:paraId="7E58A5A6">
      <w:pPr>
        <w:spacing w:line="360" w:lineRule="auto"/>
        <w:ind w:firstLine="440" w:firstLineChars="200"/>
        <w:rPr>
          <w:rFonts w:hint="eastAsia" w:ascii="宋体" w:hAnsi="宋体" w:eastAsia="宋体" w:cs="宋体"/>
          <w:szCs w:val="22"/>
        </w:rPr>
      </w:pPr>
      <w:r>
        <w:rPr>
          <w:rFonts w:hint="eastAsia" w:ascii="宋体" w:hAnsi="宋体" w:eastAsia="宋体" w:cs="宋体"/>
          <w:szCs w:val="22"/>
        </w:rPr>
        <w:t>·跳转链接需拼接Token（特定）</w:t>
      </w:r>
    </w:p>
    <w:sectPr>
      <w:pgSz w:w="11906" w:h="16838"/>
      <w:pgMar w:top="1440" w:right="1803" w:bottom="1440" w:left="1803" w:header="13" w:footer="13" w:gutter="0"/>
      <w:cols w:space="0" w:num="1"/>
      <w:docGrid w:type="lines" w:linePitch="24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Segoe UI Emoji">
    <w:panose1 w:val="020B0502040204020203"/>
    <w:charset w:val="00"/>
    <w:family w:val="swiss"/>
    <w:pitch w:val="default"/>
    <w:sig w:usb0="00000001" w:usb1="02000000" w:usb2="08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6A3EFE"/>
    <w:multiLevelType w:val="singleLevel"/>
    <w:tmpl w:val="CD6A3EFE"/>
    <w:lvl w:ilvl="0" w:tentative="0">
      <w:start w:val="1"/>
      <w:numFmt w:val="decimal"/>
      <w:suff w:val="nothing"/>
      <w:lvlText w:val="（%1）"/>
      <w:lvlJc w:val="left"/>
      <w:pPr>
        <w:ind w:left="-420"/>
      </w:pPr>
    </w:lvl>
  </w:abstractNum>
  <w:abstractNum w:abstractNumId="1">
    <w:nsid w:val="F60789C1"/>
    <w:multiLevelType w:val="singleLevel"/>
    <w:tmpl w:val="F60789C1"/>
    <w:lvl w:ilvl="0" w:tentative="0">
      <w:start w:val="1"/>
      <w:numFmt w:val="decimal"/>
      <w:suff w:val="nothing"/>
      <w:lvlText w:val="（%1）"/>
      <w:lvlJc w:val="left"/>
      <w:pPr>
        <w:ind w:left="-420"/>
      </w:pPr>
    </w:lvl>
  </w:abstractNum>
  <w:abstractNum w:abstractNumId="2">
    <w:nsid w:val="FCB5CB5C"/>
    <w:multiLevelType w:val="singleLevel"/>
    <w:tmpl w:val="FCB5CB5C"/>
    <w:lvl w:ilvl="0" w:tentative="0">
      <w:start w:val="1"/>
      <w:numFmt w:val="decimal"/>
      <w:suff w:val="nothing"/>
      <w:lvlText w:val="（%1）"/>
      <w:lvlJc w:val="left"/>
      <w:pPr>
        <w:ind w:left="-420"/>
      </w:pPr>
    </w:lvl>
  </w:abstractNum>
  <w:abstractNum w:abstractNumId="3">
    <w:nsid w:val="193BA21A"/>
    <w:multiLevelType w:val="singleLevel"/>
    <w:tmpl w:val="193BA21A"/>
    <w:lvl w:ilvl="0" w:tentative="0">
      <w:start w:val="1"/>
      <w:numFmt w:val="decimal"/>
      <w:suff w:val="nothing"/>
      <w:lvlText w:val="（%1）"/>
      <w:lvlJc w:val="left"/>
      <w:pPr>
        <w:ind w:left="-420"/>
      </w:pPr>
    </w:lvl>
  </w:abstractNum>
  <w:abstractNum w:abstractNumId="4">
    <w:nsid w:val="195267E0"/>
    <w:multiLevelType w:val="singleLevel"/>
    <w:tmpl w:val="195267E0"/>
    <w:lvl w:ilvl="0" w:tentative="0">
      <w:start w:val="1"/>
      <w:numFmt w:val="decimal"/>
      <w:suff w:val="nothing"/>
      <w:lvlText w:val="（%1）"/>
      <w:lvlJc w:val="left"/>
    </w:lvl>
  </w:abstractNum>
  <w:abstractNum w:abstractNumId="5">
    <w:nsid w:val="20000001"/>
    <w:multiLevelType w:val="singleLevel"/>
    <w:tmpl w:val="20000001"/>
    <w:lvl w:ilvl="0" w:tentative="0">
      <w:start w:val="1"/>
      <w:numFmt w:val="decimal"/>
      <w:pStyle w:val="23"/>
      <w:suff w:val="space"/>
      <w:lvlText w:val="%1 "/>
      <w:lvlJc w:val="right"/>
      <w:rPr>
        <w:rFonts w:ascii="微软雅黑" w:hAnsi="微软雅黑" w:eastAsia="微软雅黑" w:cs="微软雅黑"/>
        <w:color w:val="C0C6CF"/>
        <w:sz w:val="16"/>
      </w:rPr>
    </w:lvl>
  </w:abstractNum>
  <w:abstractNum w:abstractNumId="6">
    <w:nsid w:val="6545DC3D"/>
    <w:multiLevelType w:val="multilevel"/>
    <w:tmpl w:val="6545DC3D"/>
    <w:lvl w:ilvl="0" w:tentative="0">
      <w:start w:val="1"/>
      <w:numFmt w:val="chineseCounting"/>
      <w:pStyle w:val="2"/>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rPr>
    </w:lvl>
    <w:lvl w:ilvl="2" w:tentative="0">
      <w:start w:val="1"/>
      <w:numFmt w:val="decimal"/>
      <w:pStyle w:val="4"/>
      <w:isLgl/>
      <w:lvlText w:val="%1.%2.%3."/>
      <w:lvlJc w:val="left"/>
      <w:pPr>
        <w:ind w:left="720"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6"/>
  </w:num>
  <w:num w:numId="2">
    <w:abstractNumId w:val="5"/>
  </w:num>
  <w:num w:numId="3">
    <w:abstractNumId w:val="4"/>
  </w:num>
  <w:num w:numId="4">
    <w:abstractNumId w:val="3"/>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08"/>
    <w:rsid w:val="00052FF5"/>
    <w:rsid w:val="001E3E37"/>
    <w:rsid w:val="002375D8"/>
    <w:rsid w:val="002451ED"/>
    <w:rsid w:val="002C4608"/>
    <w:rsid w:val="002E44BB"/>
    <w:rsid w:val="00312838"/>
    <w:rsid w:val="003F11E8"/>
    <w:rsid w:val="0041510D"/>
    <w:rsid w:val="005F2F30"/>
    <w:rsid w:val="00617E7B"/>
    <w:rsid w:val="0062696D"/>
    <w:rsid w:val="006E697E"/>
    <w:rsid w:val="0073392B"/>
    <w:rsid w:val="007417ED"/>
    <w:rsid w:val="008819BE"/>
    <w:rsid w:val="009D5E5F"/>
    <w:rsid w:val="00A57122"/>
    <w:rsid w:val="00AE64F9"/>
    <w:rsid w:val="00AF5868"/>
    <w:rsid w:val="00D8262B"/>
    <w:rsid w:val="00EC19D0"/>
    <w:rsid w:val="00F04A3D"/>
    <w:rsid w:val="00FD2FDD"/>
    <w:rsid w:val="00FF4120"/>
    <w:rsid w:val="023615AF"/>
    <w:rsid w:val="02512AEE"/>
    <w:rsid w:val="038B458E"/>
    <w:rsid w:val="06BE314F"/>
    <w:rsid w:val="072029AF"/>
    <w:rsid w:val="076270D3"/>
    <w:rsid w:val="07666648"/>
    <w:rsid w:val="095A2027"/>
    <w:rsid w:val="09965127"/>
    <w:rsid w:val="09F14739"/>
    <w:rsid w:val="0E1B7FD7"/>
    <w:rsid w:val="14F7667C"/>
    <w:rsid w:val="15802E15"/>
    <w:rsid w:val="15EF2250"/>
    <w:rsid w:val="16F944A3"/>
    <w:rsid w:val="1B1E1106"/>
    <w:rsid w:val="1B4A2C53"/>
    <w:rsid w:val="1EB853CE"/>
    <w:rsid w:val="209A6992"/>
    <w:rsid w:val="20B147CB"/>
    <w:rsid w:val="20DA0394"/>
    <w:rsid w:val="21935C7E"/>
    <w:rsid w:val="258134F8"/>
    <w:rsid w:val="284E28FF"/>
    <w:rsid w:val="2CE43832"/>
    <w:rsid w:val="2D9F0AED"/>
    <w:rsid w:val="2DAA25FF"/>
    <w:rsid w:val="30455AC0"/>
    <w:rsid w:val="32A51A6B"/>
    <w:rsid w:val="32E23756"/>
    <w:rsid w:val="34EE34A0"/>
    <w:rsid w:val="381551E7"/>
    <w:rsid w:val="3C0B0DDB"/>
    <w:rsid w:val="3DB46420"/>
    <w:rsid w:val="3DFA29D2"/>
    <w:rsid w:val="3F954585"/>
    <w:rsid w:val="42E5394B"/>
    <w:rsid w:val="4A2E2CF3"/>
    <w:rsid w:val="50095F5C"/>
    <w:rsid w:val="507E5DB7"/>
    <w:rsid w:val="53791642"/>
    <w:rsid w:val="595C45CC"/>
    <w:rsid w:val="59CA3C2C"/>
    <w:rsid w:val="5A5F25C6"/>
    <w:rsid w:val="60A46301"/>
    <w:rsid w:val="611936F3"/>
    <w:rsid w:val="612E5B5B"/>
    <w:rsid w:val="648F6182"/>
    <w:rsid w:val="65F40862"/>
    <w:rsid w:val="6897117D"/>
    <w:rsid w:val="68D8360C"/>
    <w:rsid w:val="69474951"/>
    <w:rsid w:val="6A5E5B0E"/>
    <w:rsid w:val="6B650C2F"/>
    <w:rsid w:val="6E3654D9"/>
    <w:rsid w:val="70E10EAD"/>
    <w:rsid w:val="732B193A"/>
    <w:rsid w:val="762E0F41"/>
    <w:rsid w:val="76B64EC4"/>
    <w:rsid w:val="77E25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textAlignment w:val="baseline"/>
    </w:pPr>
    <w:rPr>
      <w:rFonts w:ascii="微软雅黑" w:hAnsi="微软雅黑" w:eastAsia="微软雅黑" w:cs="微软雅黑"/>
      <w:color w:val="080F17"/>
      <w:sz w:val="22"/>
      <w:lang w:val="en-US" w:eastAsia="zh-CN" w:bidi="ar-SA"/>
    </w:rPr>
  </w:style>
  <w:style w:type="paragraph" w:styleId="2">
    <w:name w:val="heading 1"/>
    <w:basedOn w:val="1"/>
    <w:next w:val="1"/>
    <w:qFormat/>
    <w:uiPriority w:val="0"/>
    <w:pPr>
      <w:numPr>
        <w:ilvl w:val="0"/>
        <w:numId w:val="1"/>
      </w:numPr>
      <w:spacing w:before="390" w:after="120" w:line="634" w:lineRule="exact"/>
      <w:outlineLvl w:val="0"/>
    </w:pPr>
    <w:rPr>
      <w:b/>
      <w:sz w:val="38"/>
    </w:rPr>
  </w:style>
  <w:style w:type="paragraph" w:styleId="3">
    <w:name w:val="heading 2"/>
    <w:basedOn w:val="1"/>
    <w:next w:val="1"/>
    <w:qFormat/>
    <w:uiPriority w:val="0"/>
    <w:pPr>
      <w:numPr>
        <w:ilvl w:val="1"/>
        <w:numId w:val="1"/>
      </w:numPr>
      <w:spacing w:before="330" w:after="120" w:line="536" w:lineRule="exact"/>
      <w:outlineLvl w:val="1"/>
    </w:pPr>
    <w:rPr>
      <w:b/>
      <w:sz w:val="32"/>
    </w:rPr>
  </w:style>
  <w:style w:type="paragraph" w:styleId="4">
    <w:name w:val="heading 3"/>
    <w:basedOn w:val="1"/>
    <w:qFormat/>
    <w:uiPriority w:val="0"/>
    <w:pPr>
      <w:numPr>
        <w:ilvl w:val="2"/>
        <w:numId w:val="1"/>
      </w:numPr>
      <w:spacing w:before="300" w:after="120" w:line="488" w:lineRule="exact"/>
      <w:outlineLvl w:val="2"/>
    </w:pPr>
    <w:rPr>
      <w:b/>
      <w:sz w:val="30"/>
    </w:rPr>
  </w:style>
  <w:style w:type="paragraph" w:styleId="5">
    <w:name w:val="heading 4"/>
    <w:basedOn w:val="1"/>
    <w:qFormat/>
    <w:uiPriority w:val="0"/>
    <w:pPr>
      <w:numPr>
        <w:ilvl w:val="3"/>
        <w:numId w:val="1"/>
      </w:numPr>
      <w:spacing w:before="270" w:after="120" w:line="439" w:lineRule="exact"/>
      <w:outlineLvl w:val="3"/>
    </w:pPr>
    <w:rPr>
      <w:b/>
      <w:sz w:val="26"/>
    </w:rPr>
  </w:style>
  <w:style w:type="paragraph" w:styleId="6">
    <w:name w:val="heading 5"/>
    <w:basedOn w:val="1"/>
    <w:qFormat/>
    <w:uiPriority w:val="0"/>
    <w:pPr>
      <w:numPr>
        <w:ilvl w:val="4"/>
        <w:numId w:val="1"/>
      </w:numPr>
      <w:spacing w:before="240" w:after="120" w:line="390" w:lineRule="exact"/>
      <w:outlineLvl w:val="4"/>
    </w:pPr>
    <w:rPr>
      <w:b/>
    </w:rPr>
  </w:style>
  <w:style w:type="paragraph" w:styleId="7">
    <w:name w:val="heading 6"/>
    <w:basedOn w:val="1"/>
    <w:qFormat/>
    <w:uiPriority w:val="0"/>
    <w:pPr>
      <w:numPr>
        <w:ilvl w:val="5"/>
        <w:numId w:val="1"/>
      </w:numPr>
      <w:spacing w:before="240" w:after="120" w:line="390" w:lineRule="exact"/>
      <w:outlineLvl w:val="5"/>
    </w:pPr>
    <w:rPr>
      <w:b/>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sz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27"/>
    <w:qFormat/>
    <w:uiPriority w:val="0"/>
    <w:pPr>
      <w:spacing w:after="120"/>
    </w:pPr>
  </w:style>
  <w:style w:type="paragraph" w:styleId="12">
    <w:name w:val="footer"/>
    <w:basedOn w:val="1"/>
    <w:qFormat/>
    <w:uiPriority w:val="0"/>
    <w:pPr>
      <w:tabs>
        <w:tab w:val="center" w:pos="4153"/>
        <w:tab w:val="right" w:pos="8306"/>
      </w:tabs>
      <w:ind w:firstLine="0" w:firstLineChars="0"/>
      <w:jc w:val="center"/>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ind w:firstLine="0" w:firstLineChars="0"/>
      <w:jc w:val="center"/>
    </w:pPr>
    <w:rPr>
      <w:sz w:val="18"/>
      <w:szCs w:val="18"/>
    </w:rPr>
  </w:style>
  <w:style w:type="table" w:styleId="15">
    <w:name w:val="Table Grid"/>
    <w:qFormat/>
    <w:uiPriority w:val="0"/>
    <w:tblPr>
      <w:tblBorders>
        <w:top w:val="single" w:color="080F17" w:sz="6" w:space="0"/>
        <w:left w:val="single" w:color="080F17" w:sz="6" w:space="0"/>
        <w:bottom w:val="single" w:color="080F17" w:sz="6" w:space="0"/>
        <w:right w:val="single" w:color="080F17" w:sz="6" w:space="0"/>
        <w:insideH w:val="single" w:color="080F17" w:sz="6" w:space="0"/>
        <w:insideV w:val="single" w:color="080F17" w:sz="6" w:space="0"/>
      </w:tblBorders>
      <w:tblCellMar>
        <w:top w:w="0" w:type="dxa"/>
        <w:left w:w="108" w:type="dxa"/>
        <w:bottom w:w="0" w:type="dxa"/>
        <w:right w:w="108" w:type="dxa"/>
      </w:tblCellMar>
    </w:tblPr>
  </w:style>
  <w:style w:type="character" w:styleId="17">
    <w:name w:val="Hyperlink"/>
    <w:qFormat/>
    <w:uiPriority w:val="0"/>
    <w:rPr>
      <w:color w:val="0A6CFF"/>
      <w:u w:val="single" w:color="0A6CFF"/>
    </w:rPr>
  </w:style>
  <w:style w:type="paragraph" w:customStyle="1" w:styleId="18">
    <w:name w:val="MainTitle"/>
    <w:basedOn w:val="1"/>
    <w:qFormat/>
    <w:uiPriority w:val="0"/>
    <w:pPr>
      <w:pBdr>
        <w:bottom w:val="single" w:color="E2E6ED" w:sz="6" w:space="5"/>
      </w:pBdr>
      <w:spacing w:before="180" w:after="480" w:line="780" w:lineRule="exact"/>
    </w:pPr>
    <w:rPr>
      <w:b/>
      <w:sz w:val="44"/>
    </w:rPr>
  </w:style>
  <w:style w:type="character" w:customStyle="1" w:styleId="19">
    <w:name w:val="DateTime"/>
    <w:qFormat/>
    <w:uiPriority w:val="0"/>
    <w:rPr>
      <w:color w:val="0A6CFF"/>
    </w:rPr>
  </w:style>
  <w:style w:type="paragraph" w:customStyle="1" w:styleId="20">
    <w:name w:val="Blockquote"/>
    <w:basedOn w:val="1"/>
    <w:qFormat/>
    <w:uiPriority w:val="0"/>
    <w:pPr>
      <w:pBdr>
        <w:left w:val="single" w:color="E2E6ED" w:sz="36" w:space="12"/>
      </w:pBdr>
      <w:ind w:left="330"/>
    </w:pPr>
    <w:rPr>
      <w:color w:val="767C85"/>
    </w:rPr>
  </w:style>
  <w:style w:type="character" w:customStyle="1" w:styleId="21">
    <w:name w:val="Code"/>
    <w:qFormat/>
    <w:uiPriority w:val="0"/>
    <w:rPr>
      <w:bdr w:val="single" w:color="E2E6ED" w:sz="6" w:space="0"/>
    </w:rPr>
  </w:style>
  <w:style w:type="character" w:customStyle="1" w:styleId="22">
    <w:name w:val="Emoji"/>
    <w:qFormat/>
    <w:uiPriority w:val="0"/>
    <w:rPr>
      <w:rFonts w:ascii="Segoe UI Emoji" w:hAnsi="Segoe UI Emoji" w:eastAsia="Segoe UI Emoji" w:cs="Segoe UI Emoji"/>
    </w:rPr>
  </w:style>
  <w:style w:type="paragraph" w:customStyle="1" w:styleId="23">
    <w:name w:val="CodeBlock"/>
    <w:basedOn w:val="1"/>
    <w:qFormat/>
    <w:uiPriority w:val="0"/>
    <w:pPr>
      <w:numPr>
        <w:ilvl w:val="0"/>
        <w:numId w:val="2"/>
      </w:numPr>
      <w:pBdr>
        <w:top w:val="single" w:color="E2E6ED" w:sz="6" w:space="8"/>
        <w:left w:val="single" w:color="E2E6ED" w:sz="6" w:space="26"/>
        <w:bottom w:val="single" w:color="E2E6ED" w:sz="6" w:space="8"/>
        <w:right w:val="single" w:color="E2E6ED" w:sz="6" w:space="0"/>
      </w:pBdr>
      <w:shd w:val="clear" w:color="FFFFFF" w:fill="F5F7F9"/>
      <w:spacing w:line="300" w:lineRule="exact"/>
      <w:ind w:left="540"/>
    </w:pPr>
    <w:rPr>
      <w:sz w:val="18"/>
    </w:rPr>
  </w:style>
  <w:style w:type="table" w:customStyle="1" w:styleId="24">
    <w:name w:val="HighlightBlock"/>
    <w:qFormat/>
    <w:uiPriority w:val="0"/>
    <w:tblPr>
      <w:tblBorders>
        <w:top w:val="single" w:color="FEC794" w:sz="6" w:space="0"/>
        <w:left w:val="single" w:color="FEC794" w:sz="6" w:space="0"/>
        <w:bottom w:val="single" w:color="FEC794" w:sz="6" w:space="0"/>
        <w:right w:val="single" w:color="FEC794" w:sz="6" w:space="0"/>
        <w:insideH w:val="single" w:color="FEC794" w:sz="6" w:space="0"/>
        <w:insideV w:val="single" w:color="FEC794" w:sz="6" w:space="0"/>
      </w:tblBorders>
      <w:tblCellMar>
        <w:top w:w="0" w:type="dxa"/>
        <w:left w:w="108" w:type="dxa"/>
        <w:bottom w:w="0" w:type="dxa"/>
        <w:right w:w="108" w:type="dxa"/>
      </w:tblCellMar>
    </w:tblPr>
  </w:style>
  <w:style w:type="paragraph" w:customStyle="1" w:styleId="25">
    <w:name w:val="Seperate"/>
    <w:basedOn w:val="1"/>
    <w:qFormat/>
    <w:uiPriority w:val="0"/>
    <w:pPr>
      <w:spacing w:line="120" w:lineRule="exact"/>
    </w:pPr>
  </w:style>
  <w:style w:type="paragraph" w:customStyle="1" w:styleId="26">
    <w:name w:val="修订1"/>
    <w:hidden/>
    <w:semiHidden/>
    <w:qFormat/>
    <w:uiPriority w:val="99"/>
    <w:rPr>
      <w:rFonts w:ascii="微软雅黑" w:hAnsi="微软雅黑" w:eastAsia="微软雅黑" w:cs="微软雅黑"/>
      <w:color w:val="080F17"/>
      <w:sz w:val="22"/>
      <w:lang w:val="en-US" w:eastAsia="zh-CN" w:bidi="ar-SA"/>
    </w:rPr>
  </w:style>
  <w:style w:type="character" w:customStyle="1" w:styleId="27">
    <w:name w:val="正文文本 字符"/>
    <w:basedOn w:val="16"/>
    <w:link w:val="11"/>
    <w:qFormat/>
    <w:uiPriority w:val="0"/>
    <w:rPr>
      <w:rFonts w:hint="eastAsia" w:ascii="微软雅黑" w:hAnsi="微软雅黑" w:eastAsia="微软雅黑" w:cs="微软雅黑"/>
      <w:color w:val="080F17"/>
      <w:sz w:val="22"/>
    </w:rPr>
  </w:style>
  <w:style w:type="paragraph" w:customStyle="1" w:styleId="28">
    <w:name w:val="欧万龙"/>
    <w:basedOn w:val="1"/>
    <w:qFormat/>
    <w:uiPriority w:val="0"/>
    <w:pPr>
      <w:spacing w:before="0" w:beforeAutospacing="0" w:after="0" w:afterAutospacing="0" w:line="500" w:lineRule="exact"/>
      <w:ind w:firstLine="48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14906</Words>
  <Characters>15381</Characters>
  <Lines>103</Lines>
  <Paragraphs>29</Paragraphs>
  <TotalTime>0</TotalTime>
  <ScaleCrop>false</ScaleCrop>
  <LinksUpToDate>false</LinksUpToDate>
  <CharactersWithSpaces>15447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2025-05-30T07:06:00Z</dcterms:created>
  <dc:creator>webotl</dc:creator>
  <cp:lastModifiedBy>caolijuansgs@js.cmcc</cp:lastModifiedBy>
  <dcterms:modified xsi:type="dcterms:W3CDTF">2025-07-18T06:24:05Z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webotl</vt:lpwstr>
  </property>
  <property fmtid="{D5CDD505-2E9C-101B-9397-08002B2CF9AE}" pid="3" name="KSOTemplateDocerSaveRecord">
    <vt:lpwstr>eyJoZGlkIjoiMmVmOGFiMDlkNTQ2OTg0ZTI2NDQwZWFlYjBkM2Y3ZjUiLCJ1c2VySWQiOiIyNzIwNzc0MTUifQ==</vt:lpwstr>
  </property>
  <property fmtid="{D5CDD505-2E9C-101B-9397-08002B2CF9AE}" pid="4" name="KSOProductBuildVer">
    <vt:lpwstr>2052-12.8.2.18205</vt:lpwstr>
  </property>
  <property fmtid="{D5CDD505-2E9C-101B-9397-08002B2CF9AE}" pid="5" name="ICV">
    <vt:lpwstr>1E98BD929B8F4EF8B7CC49144DF42C2E_13</vt:lpwstr>
  </property>
</Properties>
</file>