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A7B64">
      <w:pPr>
        <w:spacing w:line="312" w:lineRule="auto"/>
        <w:jc w:val="center"/>
        <w:outlineLvl w:val="0"/>
        <w:rPr>
          <w:color w:val="auto"/>
          <w:highlight w:val="none"/>
        </w:rPr>
      </w:pPr>
      <w:bookmarkStart w:id="0" w:name="_Toc18121"/>
      <w:r>
        <w:rPr>
          <w:rFonts w:hint="eastAsia" w:ascii="黑体" w:eastAsia="黑体"/>
          <w:color w:val="auto"/>
          <w:sz w:val="44"/>
          <w:szCs w:val="22"/>
          <w:highlight w:val="none"/>
        </w:rPr>
        <w:t xml:space="preserve"> 采购（技术及服务）需求</w:t>
      </w:r>
      <w:bookmarkEnd w:id="0"/>
    </w:p>
    <w:p w14:paraId="5D199499">
      <w:pPr>
        <w:pStyle w:val="57"/>
        <w:numPr>
          <w:ilvl w:val="0"/>
          <w:numId w:val="0"/>
        </w:numPr>
        <w:spacing w:line="360" w:lineRule="auto"/>
        <w:ind w:leftChars="200"/>
        <w:jc w:val="center"/>
        <w:rPr>
          <w:rFonts w:hint="eastAsia" w:ascii="宋体" w:hAnsi="宋体"/>
          <w:b/>
          <w:sz w:val="28"/>
          <w:szCs w:val="28"/>
          <w:lang w:val="en-US" w:eastAsia="zh-CN"/>
        </w:rPr>
      </w:pPr>
      <w:r>
        <w:rPr>
          <w:rFonts w:hint="eastAsia" w:ascii="宋体" w:hAnsi="宋体"/>
          <w:b/>
          <w:sz w:val="28"/>
          <w:szCs w:val="28"/>
          <w:lang w:val="en-US" w:eastAsia="zh-CN"/>
        </w:rPr>
        <w:t>电计量管理系统平台</w:t>
      </w:r>
    </w:p>
    <w:p w14:paraId="6F14BDD6">
      <w:pPr>
        <w:pStyle w:val="3"/>
      </w:pPr>
      <w:bookmarkStart w:id="1" w:name="_Toc279072497"/>
      <w:bookmarkStart w:id="2" w:name="_Toc203667651"/>
      <w:r>
        <w:rPr>
          <w:rFonts w:hint="eastAsia"/>
          <w:lang w:eastAsia="zh-CN"/>
        </w:rPr>
        <w:t>一</w:t>
      </w:r>
      <w:r>
        <w:rPr>
          <w:rFonts w:hint="eastAsia"/>
        </w:rPr>
        <w:t>、</w:t>
      </w:r>
      <w:bookmarkEnd w:id="1"/>
      <w:bookmarkStart w:id="3" w:name="_Toc279072498"/>
      <w:bookmarkStart w:id="4" w:name="_Toc279732273"/>
      <w:r>
        <w:rPr>
          <w:rFonts w:hint="eastAsia"/>
        </w:rPr>
        <w:t>项目概况</w:t>
      </w:r>
      <w:bookmarkEnd w:id="2"/>
      <w:bookmarkEnd w:id="3"/>
      <w:bookmarkEnd w:id="4"/>
    </w:p>
    <w:p w14:paraId="79F4D143">
      <w:pPr>
        <w:pStyle w:val="4"/>
        <w:rPr>
          <w:rFonts w:hint="eastAsia"/>
          <w:lang w:val="sq-AL"/>
        </w:rPr>
      </w:pPr>
      <w:bookmarkStart w:id="5" w:name="_Toc203667652"/>
      <w:r>
        <w:rPr>
          <w:rFonts w:hint="eastAsia"/>
          <w:lang w:val="sq-AL"/>
        </w:rPr>
        <w:t>1、建设目标</w:t>
      </w:r>
      <w:bookmarkEnd w:id="5"/>
    </w:p>
    <w:p w14:paraId="247DCD76">
      <w:pPr>
        <w:spacing w:line="360" w:lineRule="auto"/>
        <w:ind w:firstLine="480" w:firstLineChars="200"/>
        <w:rPr>
          <w:rFonts w:hint="eastAsia"/>
          <w:sz w:val="24"/>
        </w:rPr>
      </w:pPr>
      <w:bookmarkStart w:id="6" w:name="OLE_LINK33"/>
      <w:bookmarkStart w:id="7" w:name="_Toc279072499"/>
      <w:bookmarkStart w:id="8" w:name="_Toc279732274"/>
      <w:r>
        <w:rPr>
          <w:rFonts w:hint="eastAsia"/>
          <w:sz w:val="24"/>
        </w:rPr>
        <w:t>哈尔滨工业大学计量电表设备通过多期建设，现存不同厂家的计量设备和系统，且松北园区“双一流建筑”极端环境电驱动楼内房间均为科研用房，为进行电费回收，拟进行计量表具安装。同时解决校内其他用房内各个厂家电表与原系统不兼容问题，提高学校对电计量管理、统计、收费等工作的效率，拟建立一套统一的电计量管理系统平台，在接入及管理极端环境电驱动楼内计量表具同时，从而实现全校用电费用统一支付入口，统一数据查询入口，统一数据展示入口等，同时能够和现有的财务等系统对接。实现财务报表的展示和核对。做到</w:t>
      </w:r>
      <w:r>
        <w:rPr>
          <w:sz w:val="24"/>
        </w:rPr>
        <w:t>PC</w:t>
      </w:r>
      <w:r>
        <w:rPr>
          <w:rFonts w:hint="eastAsia"/>
          <w:sz w:val="24"/>
        </w:rPr>
        <w:t>端的数据统一查询，用户手机端统一缴费等功能，提升学校整体电力计量管理能力。</w:t>
      </w:r>
      <w:bookmarkEnd w:id="6"/>
    </w:p>
    <w:p w14:paraId="3A441E27">
      <w:pPr>
        <w:pStyle w:val="4"/>
        <w:rPr>
          <w:rFonts w:hint="eastAsia"/>
          <w:lang w:val="sq-AL"/>
        </w:rPr>
      </w:pPr>
      <w:bookmarkStart w:id="9" w:name="_Toc203667653"/>
      <w:r>
        <w:rPr>
          <w:rFonts w:hint="eastAsia"/>
          <w:lang w:val="sq-AL"/>
        </w:rPr>
        <w:t>2、预期的建设效果</w:t>
      </w:r>
      <w:bookmarkEnd w:id="9"/>
    </w:p>
    <w:p w14:paraId="421D50FF">
      <w:pPr>
        <w:spacing w:line="360" w:lineRule="auto"/>
        <w:ind w:firstLine="480" w:firstLineChars="200"/>
        <w:rPr>
          <w:sz w:val="24"/>
        </w:rPr>
      </w:pPr>
      <w:r>
        <w:rPr>
          <w:rFonts w:hint="eastAsia"/>
          <w:sz w:val="24"/>
        </w:rPr>
        <w:t>本</w:t>
      </w:r>
      <w:bookmarkStart w:id="10" w:name="OLE_LINK24"/>
      <w:r>
        <w:rPr>
          <w:rFonts w:hint="eastAsia"/>
          <w:sz w:val="24"/>
        </w:rPr>
        <w:t>次项目需完成哈尔滨工业大学电计量管理系统平台建设，平</w:t>
      </w:r>
      <w:bookmarkEnd w:id="10"/>
      <w:r>
        <w:rPr>
          <w:rFonts w:hint="eastAsia"/>
          <w:sz w:val="24"/>
        </w:rPr>
        <w:t>台由管理系统，物联网管理平台、移动端等部分组成，通过物联网管理平台做到通讯规约标准化、兼容多种物联网通讯技术，实现对项目所有物联网设备（包括电表，及其他如水表、热表等各种智能硬件）的统一管理，实现设备层监控管理一体化，收费系统实现现有设备统一支付，统一管理，统一展示等功能。</w:t>
      </w:r>
    </w:p>
    <w:p w14:paraId="1414BB1C">
      <w:pPr>
        <w:pStyle w:val="3"/>
        <w:rPr>
          <w:rFonts w:hint="eastAsia"/>
        </w:rPr>
      </w:pPr>
      <w:bookmarkStart w:id="11" w:name="_Toc203667654"/>
      <w:r>
        <w:rPr>
          <w:rFonts w:hint="eastAsia"/>
        </w:rPr>
        <w:t>二、项目需求描述</w:t>
      </w:r>
      <w:bookmarkEnd w:id="11"/>
    </w:p>
    <w:p w14:paraId="4ACB6DF9">
      <w:pPr>
        <w:pStyle w:val="4"/>
        <w:rPr>
          <w:lang w:val="sq-AL"/>
        </w:rPr>
      </w:pPr>
      <w:bookmarkStart w:id="12" w:name="_Toc203667655"/>
      <w:bookmarkStart w:id="13" w:name="OLE_LINK3"/>
      <w:r>
        <w:rPr>
          <w:lang w:val="sq-AL"/>
        </w:rPr>
        <w:t>1</w:t>
      </w:r>
      <w:r>
        <w:rPr>
          <w:rFonts w:hint="eastAsia"/>
          <w:lang w:val="sq-AL"/>
        </w:rPr>
        <w:t>、管理软件功能要求（包括但不限于以下内容）</w:t>
      </w:r>
      <w:bookmarkEnd w:id="12"/>
    </w:p>
    <w:p w14:paraId="1F22E2F9">
      <w:pPr>
        <w:spacing w:line="360" w:lineRule="auto"/>
        <w:ind w:firstLine="482" w:firstLineChars="200"/>
        <w:rPr>
          <w:sz w:val="24"/>
        </w:rPr>
      </w:pPr>
      <w:r>
        <w:rPr>
          <w:b/>
          <w:bCs/>
          <w:sz w:val="24"/>
        </w:rPr>
        <w:t>1</w:t>
      </w:r>
      <w:r>
        <w:rPr>
          <w:rFonts w:hint="eastAsia"/>
          <w:b/>
          <w:bCs/>
          <w:sz w:val="24"/>
        </w:rPr>
        <w:t>.1系统总架构：</w:t>
      </w:r>
      <w:r>
        <w:rPr>
          <w:rFonts w:hint="eastAsia"/>
          <w:sz w:val="24"/>
        </w:rPr>
        <w:t>系统基于</w:t>
      </w:r>
      <w:r>
        <w:rPr>
          <w:sz w:val="24"/>
        </w:rPr>
        <w:t>B/S</w:t>
      </w:r>
      <w:r>
        <w:rPr>
          <w:rFonts w:hint="eastAsia"/>
          <w:sz w:val="24"/>
        </w:rPr>
        <w:t>架构体系，支持多类型浏览器登录，支持多点登录，支持本地部署或云端部署；</w:t>
      </w:r>
    </w:p>
    <w:p w14:paraId="71AAD0D4">
      <w:pPr>
        <w:spacing w:line="360" w:lineRule="auto"/>
        <w:ind w:firstLine="482" w:firstLineChars="200"/>
        <w:rPr>
          <w:sz w:val="24"/>
        </w:rPr>
      </w:pPr>
      <w:r>
        <w:rPr>
          <w:b/>
          <w:bCs/>
          <w:sz w:val="24"/>
        </w:rPr>
        <w:t>1</w:t>
      </w:r>
      <w:r>
        <w:rPr>
          <w:rFonts w:hint="eastAsia"/>
          <w:b/>
          <w:bCs/>
          <w:sz w:val="24"/>
        </w:rPr>
        <w:t>.</w:t>
      </w:r>
      <w:r>
        <w:rPr>
          <w:b/>
          <w:bCs/>
          <w:sz w:val="24"/>
        </w:rPr>
        <w:t>2</w:t>
      </w:r>
      <w:r>
        <w:rPr>
          <w:rFonts w:hint="eastAsia"/>
          <w:b/>
          <w:bCs/>
          <w:sz w:val="24"/>
        </w:rPr>
        <w:t>系统登录：</w:t>
      </w:r>
      <w:r>
        <w:rPr>
          <w:rFonts w:hint="eastAsia"/>
          <w:sz w:val="24"/>
        </w:rPr>
        <w:t>支持用户名密码登录及校内统一身份认证，提供验证码验证及扩展认证方式</w:t>
      </w:r>
      <w:r>
        <w:rPr>
          <w:sz w:val="24"/>
        </w:rPr>
        <w:t>.</w:t>
      </w:r>
    </w:p>
    <w:p w14:paraId="49236657">
      <w:pPr>
        <w:spacing w:line="360" w:lineRule="auto"/>
        <w:ind w:firstLine="482" w:firstLineChars="200"/>
        <w:rPr>
          <w:sz w:val="24"/>
        </w:rPr>
      </w:pPr>
      <w:r>
        <w:rPr>
          <w:b/>
          <w:bCs/>
          <w:sz w:val="24"/>
        </w:rPr>
        <w:t>1</w:t>
      </w:r>
      <w:r>
        <w:rPr>
          <w:rFonts w:hint="eastAsia"/>
          <w:b/>
          <w:bCs/>
          <w:sz w:val="24"/>
        </w:rPr>
        <w:t>.3系统总览</w:t>
      </w:r>
      <w:r>
        <w:rPr>
          <w:rFonts w:hint="eastAsia"/>
          <w:sz w:val="24"/>
        </w:rPr>
        <w:t>：具备系统总览界面，总览界面直观显示本年度水电费用收支情况及可选择近五年收支状况，展示系统接入的计量设备及采集设备汇总状况（总数量、使用数量、设备正常异常数量、网关在线率等情况）；系统总览界面支持收费数据视窗的切换，在收费数据视窗界面，直观呈现年度总收支、总用量、回收率、数据通讯成功率等收费及通讯重要数据；</w:t>
      </w:r>
    </w:p>
    <w:p w14:paraId="0D674447">
      <w:pPr>
        <w:spacing w:line="360" w:lineRule="auto"/>
        <w:ind w:firstLine="482" w:firstLineChars="200"/>
        <w:rPr>
          <w:sz w:val="24"/>
        </w:rPr>
      </w:pPr>
      <w:r>
        <w:rPr>
          <w:b/>
          <w:bCs/>
          <w:sz w:val="24"/>
        </w:rPr>
        <w:t>1</w:t>
      </w:r>
      <w:r>
        <w:rPr>
          <w:rFonts w:hint="eastAsia"/>
          <w:b/>
          <w:bCs/>
          <w:sz w:val="24"/>
        </w:rPr>
        <w:t>.4系统管理：</w:t>
      </w:r>
      <w:r>
        <w:rPr>
          <w:rFonts w:hint="eastAsia"/>
          <w:sz w:val="24"/>
        </w:rPr>
        <w:t>系统管理包含系统参数、角色管理，用户管理，系统操作日志等设置及查询功能。</w:t>
      </w:r>
    </w:p>
    <w:p w14:paraId="568F63CF">
      <w:pPr>
        <w:pStyle w:val="57"/>
        <w:numPr>
          <w:ilvl w:val="0"/>
          <w:numId w:val="5"/>
        </w:numPr>
        <w:spacing w:line="360" w:lineRule="auto"/>
        <w:ind w:left="0" w:firstLine="0" w:firstLineChars="0"/>
        <w:rPr>
          <w:sz w:val="24"/>
        </w:rPr>
      </w:pPr>
      <w:r>
        <w:rPr>
          <w:rFonts w:hint="eastAsia"/>
          <w:sz w:val="24"/>
        </w:rPr>
        <w:t>系统参数：支持项目名称修改、建筑名称</w:t>
      </w:r>
      <w:r>
        <w:rPr>
          <w:sz w:val="24"/>
        </w:rPr>
        <w:t>/</w:t>
      </w:r>
      <w:r>
        <w:rPr>
          <w:rFonts w:hint="eastAsia"/>
          <w:sz w:val="24"/>
        </w:rPr>
        <w:t>线路名称等设置、房间名称制定规则参数设计；</w:t>
      </w:r>
    </w:p>
    <w:p w14:paraId="32456A4B">
      <w:pPr>
        <w:pStyle w:val="57"/>
        <w:numPr>
          <w:ilvl w:val="0"/>
          <w:numId w:val="5"/>
        </w:numPr>
        <w:spacing w:line="360" w:lineRule="auto"/>
        <w:ind w:left="0" w:firstLine="0" w:firstLineChars="0"/>
        <w:rPr>
          <w:sz w:val="24"/>
        </w:rPr>
      </w:pPr>
      <w:r>
        <w:rPr>
          <w:rFonts w:hint="eastAsia"/>
          <w:sz w:val="24"/>
        </w:rPr>
        <w:t>角色管理/操作权限管理：系统对操作员以身份进行划分，对不同身份的操作员授以不同的操作权限，系统管理员具有最高权限，可对其他操作员进行权限管理；权限授予须以系统具有的每一项功能进行单项或批量授权；</w:t>
      </w:r>
    </w:p>
    <w:p w14:paraId="28AE8467">
      <w:pPr>
        <w:pStyle w:val="57"/>
        <w:numPr>
          <w:ilvl w:val="0"/>
          <w:numId w:val="5"/>
        </w:numPr>
        <w:spacing w:line="360" w:lineRule="auto"/>
        <w:ind w:left="0" w:firstLine="0" w:firstLineChars="0"/>
        <w:rPr>
          <w:rFonts w:hint="eastAsia"/>
          <w:sz w:val="24"/>
        </w:rPr>
      </w:pPr>
      <w:r>
        <w:rPr>
          <w:rFonts w:hint="eastAsia"/>
          <w:sz w:val="24"/>
        </w:rPr>
        <w:t>用户管理：提供用户账户的创建、修改、删除、角色分配和权限控制功能，确保系统的安全性和灵活性；</w:t>
      </w:r>
    </w:p>
    <w:p w14:paraId="49F64818">
      <w:pPr>
        <w:pStyle w:val="57"/>
        <w:numPr>
          <w:ilvl w:val="0"/>
          <w:numId w:val="5"/>
        </w:numPr>
        <w:spacing w:line="360" w:lineRule="auto"/>
        <w:ind w:left="0" w:firstLine="0" w:firstLineChars="0"/>
        <w:rPr>
          <w:sz w:val="24"/>
        </w:rPr>
      </w:pPr>
      <w:r>
        <w:rPr>
          <w:rFonts w:hint="eastAsia"/>
          <w:sz w:val="24"/>
        </w:rPr>
        <w:t>系统日志：系统具有完整的操作日志，详细记录每位操作员进入、退出系统的时间，以及进入系统后进行的关键操作记录日志（如写入和修改数据等）。</w:t>
      </w:r>
    </w:p>
    <w:p w14:paraId="5A5F94F1">
      <w:pPr>
        <w:spacing w:line="360" w:lineRule="auto"/>
        <w:ind w:firstLine="482" w:firstLineChars="200"/>
        <w:rPr>
          <w:sz w:val="24"/>
        </w:rPr>
      </w:pPr>
      <w:r>
        <w:rPr>
          <w:b/>
          <w:bCs/>
          <w:sz w:val="24"/>
        </w:rPr>
        <w:t>1</w:t>
      </w:r>
      <w:r>
        <w:rPr>
          <w:rFonts w:hint="eastAsia"/>
          <w:b/>
          <w:bCs/>
          <w:sz w:val="24"/>
        </w:rPr>
        <w:t>.5资产管理：</w:t>
      </w:r>
      <w:r>
        <w:rPr>
          <w:rFonts w:hint="eastAsia"/>
          <w:sz w:val="24"/>
        </w:rPr>
        <w:t>对系统内所有计量设备、通讯设备进行统一管理，并能详细记录设备更换情况。</w:t>
      </w:r>
    </w:p>
    <w:p w14:paraId="490268C8">
      <w:pPr>
        <w:pStyle w:val="57"/>
        <w:numPr>
          <w:ilvl w:val="0"/>
          <w:numId w:val="6"/>
        </w:numPr>
        <w:spacing w:line="360" w:lineRule="auto"/>
        <w:ind w:left="0" w:firstLine="0" w:firstLineChars="0"/>
        <w:rPr>
          <w:sz w:val="24"/>
        </w:rPr>
      </w:pPr>
      <w:r>
        <w:rPr>
          <w:rFonts w:hint="eastAsia"/>
          <w:sz w:val="24"/>
        </w:rPr>
        <w:t>采集设备管理：记录系统接入的各类采集设备，包含设备名称、编号、类型、在线状态、网络信息等；</w:t>
      </w:r>
    </w:p>
    <w:p w14:paraId="2D583602">
      <w:pPr>
        <w:pStyle w:val="57"/>
        <w:numPr>
          <w:ilvl w:val="0"/>
          <w:numId w:val="6"/>
        </w:numPr>
        <w:spacing w:line="360" w:lineRule="auto"/>
        <w:ind w:left="0" w:firstLine="0" w:firstLineChars="0"/>
        <w:rPr>
          <w:sz w:val="24"/>
        </w:rPr>
      </w:pPr>
      <w:r>
        <w:rPr>
          <w:rFonts w:hint="eastAsia"/>
          <w:sz w:val="24"/>
        </w:rPr>
        <w:t>计量设备管理：记录系统内所有设备编号、类型、使用状态、入库日期、安装地址等设备信息；</w:t>
      </w:r>
    </w:p>
    <w:p w14:paraId="045040BF">
      <w:pPr>
        <w:pStyle w:val="57"/>
        <w:numPr>
          <w:ilvl w:val="0"/>
          <w:numId w:val="6"/>
        </w:numPr>
        <w:spacing w:line="360" w:lineRule="auto"/>
        <w:ind w:left="0" w:firstLine="0" w:firstLineChars="0"/>
        <w:rPr>
          <w:sz w:val="24"/>
        </w:rPr>
      </w:pPr>
      <w:r>
        <w:rPr>
          <w:rFonts w:hint="eastAsia"/>
          <w:sz w:val="24"/>
        </w:rPr>
        <w:t>设备更换日志：详细记录设备更换情况，支持通过新设备信息，旧设备信息等查询设备更换详细日志；</w:t>
      </w:r>
    </w:p>
    <w:p w14:paraId="5A5331FD">
      <w:pPr>
        <w:spacing w:line="360" w:lineRule="auto"/>
        <w:ind w:firstLine="482" w:firstLineChars="200"/>
        <w:rPr>
          <w:sz w:val="24"/>
        </w:rPr>
      </w:pPr>
      <w:r>
        <w:rPr>
          <w:b/>
          <w:bCs/>
          <w:sz w:val="24"/>
        </w:rPr>
        <w:t>1</w:t>
      </w:r>
      <w:r>
        <w:rPr>
          <w:rFonts w:hint="eastAsia"/>
          <w:b/>
          <w:bCs/>
          <w:sz w:val="24"/>
        </w:rPr>
        <w:t>.6基础信息管理：</w:t>
      </w:r>
      <w:r>
        <w:rPr>
          <w:rFonts w:hint="eastAsia"/>
          <w:sz w:val="24"/>
        </w:rPr>
        <w:t>包含计费结算信息设置、电表方案配置、基础档案建立功能</w:t>
      </w:r>
    </w:p>
    <w:p w14:paraId="4EC858B4">
      <w:pPr>
        <w:pStyle w:val="57"/>
        <w:numPr>
          <w:ilvl w:val="0"/>
          <w:numId w:val="7"/>
        </w:numPr>
        <w:spacing w:line="360" w:lineRule="auto"/>
        <w:ind w:left="0" w:firstLine="0" w:firstLineChars="0"/>
        <w:rPr>
          <w:sz w:val="24"/>
        </w:rPr>
      </w:pPr>
      <w:r>
        <w:rPr>
          <w:rFonts w:hint="eastAsia"/>
          <w:sz w:val="24"/>
        </w:rPr>
        <w:t>计费结算信息设置：包含阶梯方案及阶梯电价，时区时段及费率单价设置及代收费用管理设置等功能；</w:t>
      </w:r>
    </w:p>
    <w:p w14:paraId="57EB2F32">
      <w:pPr>
        <w:pStyle w:val="57"/>
        <w:numPr>
          <w:ilvl w:val="0"/>
          <w:numId w:val="7"/>
        </w:numPr>
        <w:spacing w:line="360" w:lineRule="auto"/>
        <w:ind w:left="0" w:firstLine="0" w:firstLineChars="0"/>
        <w:rPr>
          <w:sz w:val="24"/>
        </w:rPr>
      </w:pPr>
      <w:r>
        <w:rPr>
          <w:rFonts w:hint="eastAsia"/>
          <w:sz w:val="24"/>
        </w:rPr>
        <w:t>电表方案配置：</w:t>
      </w:r>
    </w:p>
    <w:p w14:paraId="331ADDC1">
      <w:pPr>
        <w:numPr>
          <w:ilvl w:val="0"/>
          <w:numId w:val="8"/>
        </w:numPr>
        <w:spacing w:line="360" w:lineRule="auto"/>
        <w:rPr>
          <w:sz w:val="24"/>
        </w:rPr>
      </w:pPr>
      <w:r>
        <w:rPr>
          <w:rFonts w:hint="eastAsia"/>
          <w:sz w:val="24"/>
        </w:rPr>
        <w:t>补助电管理：系统可根据学校给每位学生每月的免费用电量进行设置，并支持</w:t>
      </w:r>
      <w:r>
        <w:rPr>
          <w:sz w:val="24"/>
        </w:rPr>
        <w:t>Excel</w:t>
      </w:r>
      <w:r>
        <w:rPr>
          <w:rFonts w:hint="eastAsia"/>
          <w:sz w:val="24"/>
        </w:rPr>
        <w:t>格式文件导入系统；学校发放的电费补助，在系统内为单独帐户并扣减，补助费不能退费。针对用户补助，系统将参数下发给电表，电表在设定的时间按设定的额度自动补助，无须人工干预，且断网亦不应该受干扰。补助电按房间发放；补助电发放时，对上月补助电余额可作</w:t>
      </w:r>
      <w:r>
        <w:rPr>
          <w:sz w:val="24"/>
        </w:rPr>
        <w:t>“</w:t>
      </w:r>
      <w:r>
        <w:rPr>
          <w:rFonts w:hint="eastAsia"/>
          <w:sz w:val="24"/>
        </w:rPr>
        <w:t>累加</w:t>
      </w:r>
      <w:r>
        <w:rPr>
          <w:sz w:val="24"/>
        </w:rPr>
        <w:t>”</w:t>
      </w:r>
      <w:r>
        <w:rPr>
          <w:rFonts w:hint="eastAsia"/>
          <w:sz w:val="24"/>
        </w:rPr>
        <w:t>或</w:t>
      </w:r>
      <w:r>
        <w:rPr>
          <w:sz w:val="24"/>
        </w:rPr>
        <w:t>“</w:t>
      </w:r>
      <w:r>
        <w:rPr>
          <w:rFonts w:hint="eastAsia"/>
          <w:sz w:val="24"/>
        </w:rPr>
        <w:t>清零</w:t>
      </w:r>
      <w:r>
        <w:rPr>
          <w:sz w:val="24"/>
        </w:rPr>
        <w:t>”</w:t>
      </w:r>
      <w:r>
        <w:rPr>
          <w:rFonts w:hint="eastAsia"/>
          <w:sz w:val="24"/>
        </w:rPr>
        <w:t>的操作选择；</w:t>
      </w:r>
    </w:p>
    <w:p w14:paraId="4C99DB9E">
      <w:pPr>
        <w:numPr>
          <w:ilvl w:val="0"/>
          <w:numId w:val="8"/>
        </w:numPr>
        <w:spacing w:line="360" w:lineRule="auto"/>
        <w:rPr>
          <w:sz w:val="24"/>
        </w:rPr>
      </w:pPr>
      <w:r>
        <w:rPr>
          <w:rFonts w:hint="eastAsia"/>
          <w:color w:val="000000"/>
          <w:kern w:val="0"/>
          <w:sz w:val="24"/>
          <w:lang w:bidi="ar"/>
        </w:rPr>
        <w:t>定时开关电功能，该功能启用方式可设定为启用、关闭两种状态。系统可成批地对全部或部分电表进行设置，也可单独地对个别电表进行设置。</w:t>
      </w:r>
      <w:r>
        <w:rPr>
          <w:color w:val="000000"/>
          <w:kern w:val="0"/>
          <w:sz w:val="24"/>
          <w:lang w:bidi="ar"/>
        </w:rPr>
        <w:br w:type="textWrapping"/>
      </w:r>
      <w:r>
        <w:rPr>
          <w:rFonts w:hint="eastAsia"/>
          <w:color w:val="000000"/>
          <w:kern w:val="0"/>
          <w:sz w:val="24"/>
          <w:lang w:bidi="ar"/>
        </w:rPr>
        <w:t>该功能可设</w:t>
      </w:r>
      <w:r>
        <w:rPr>
          <w:color w:val="000000"/>
          <w:kern w:val="0"/>
          <w:sz w:val="24"/>
          <w:lang w:bidi="ar"/>
        </w:rPr>
        <w:t>1-8</w:t>
      </w:r>
      <w:r>
        <w:rPr>
          <w:rFonts w:hint="eastAsia"/>
          <w:color w:val="000000"/>
          <w:kern w:val="0"/>
          <w:sz w:val="24"/>
          <w:lang w:bidi="ar"/>
        </w:rPr>
        <w:t>个时间表，每个时间表内可将一天</w:t>
      </w:r>
      <w:r>
        <w:rPr>
          <w:color w:val="000000"/>
          <w:kern w:val="0"/>
          <w:sz w:val="24"/>
          <w:lang w:bidi="ar"/>
        </w:rPr>
        <w:t>24</w:t>
      </w:r>
      <w:r>
        <w:rPr>
          <w:rFonts w:hint="eastAsia"/>
          <w:color w:val="000000"/>
          <w:kern w:val="0"/>
          <w:sz w:val="24"/>
          <w:lang w:bidi="ar"/>
        </w:rPr>
        <w:t>小时设为不同的</w:t>
      </w:r>
      <w:r>
        <w:rPr>
          <w:color w:val="000000"/>
          <w:kern w:val="0"/>
          <w:sz w:val="24"/>
          <w:lang w:bidi="ar"/>
        </w:rPr>
        <w:t>1~6</w:t>
      </w:r>
      <w:r>
        <w:rPr>
          <w:rFonts w:hint="eastAsia"/>
          <w:color w:val="000000"/>
          <w:kern w:val="0"/>
          <w:sz w:val="24"/>
          <w:lang w:bidi="ar"/>
        </w:rPr>
        <w:t>个供电时间段。一周七天，每天可以从</w:t>
      </w:r>
      <w:r>
        <w:rPr>
          <w:color w:val="000000"/>
          <w:kern w:val="0"/>
          <w:sz w:val="24"/>
          <w:lang w:bidi="ar"/>
        </w:rPr>
        <w:t>1-8</w:t>
      </w:r>
      <w:r>
        <w:rPr>
          <w:rFonts w:hint="eastAsia"/>
          <w:color w:val="000000"/>
          <w:kern w:val="0"/>
          <w:sz w:val="24"/>
          <w:lang w:bidi="ar"/>
        </w:rPr>
        <w:t>个时间表中选用适合的时间表进行匹配，对当天的开、关电进行自动管理（即每周七天的开、关电时间可以互不相同）。</w:t>
      </w:r>
    </w:p>
    <w:p w14:paraId="29288622">
      <w:pPr>
        <w:numPr>
          <w:ilvl w:val="0"/>
          <w:numId w:val="8"/>
        </w:numPr>
        <w:spacing w:line="360" w:lineRule="auto"/>
        <w:rPr>
          <w:sz w:val="24"/>
        </w:rPr>
      </w:pPr>
      <w:r>
        <w:rPr>
          <w:rFonts w:hint="eastAsia"/>
          <w:sz w:val="24"/>
        </w:rPr>
        <w:t>分时段总功率限制功能，该功能启用方式可设定为跳闸、报警、关闭三种状态。系统可成批地对全部或部分电表进行设置，也可单独地对个别电表进行设置</w:t>
      </w:r>
    </w:p>
    <w:p w14:paraId="47A2788C">
      <w:pPr>
        <w:numPr>
          <w:ilvl w:val="0"/>
          <w:numId w:val="8"/>
        </w:numPr>
        <w:spacing w:line="360" w:lineRule="auto"/>
        <w:rPr>
          <w:sz w:val="24"/>
        </w:rPr>
      </w:pPr>
      <w:r>
        <w:rPr>
          <w:rFonts w:hint="eastAsia"/>
          <w:sz w:val="24"/>
        </w:rPr>
        <w:t>恶性用电负载管理：具有自动识别恶性负载管理功能，可对学生宿舍常用电器使用特征进行识别，例如电炉、热得快等；可对恶性负载电器数据进行记录并提供报警功能；具备学习功能能识别可调插座，防止学生使用违章电；</w:t>
      </w:r>
    </w:p>
    <w:p w14:paraId="355AF328">
      <w:pPr>
        <w:numPr>
          <w:ilvl w:val="0"/>
          <w:numId w:val="8"/>
        </w:numPr>
        <w:spacing w:line="360" w:lineRule="auto"/>
        <w:rPr>
          <w:sz w:val="24"/>
        </w:rPr>
      </w:pPr>
      <w:r>
        <w:rPr>
          <w:rFonts w:hint="eastAsia"/>
          <w:color w:val="000000"/>
          <w:kern w:val="0"/>
          <w:sz w:val="24"/>
          <w:lang w:bidi="ar"/>
        </w:rPr>
        <w:t>欠费断电管理：支持对表计进行欠费即时、延时及欠费不断等不同管理方案的设置，其中欠费延时断电应支持按日、周、月等设置，根据表计类型支持表计自动断电及系统远程断电等模式；</w:t>
      </w:r>
    </w:p>
    <w:p w14:paraId="19055FC3">
      <w:pPr>
        <w:numPr>
          <w:ilvl w:val="0"/>
          <w:numId w:val="8"/>
        </w:numPr>
        <w:spacing w:line="360" w:lineRule="auto"/>
        <w:rPr>
          <w:sz w:val="24"/>
        </w:rPr>
      </w:pPr>
      <w:r>
        <w:rPr>
          <w:rFonts w:hint="eastAsia"/>
          <w:sz w:val="24"/>
        </w:rPr>
        <w:t>电表开直通不需断电需求，系统可以批量开启或停止，自动记录操作时相关表具读数，批量关直通时候自动记录相关表具读数，报表可直接计算期间使用电量，缴费等各种情况，</w:t>
      </w:r>
    </w:p>
    <w:p w14:paraId="687CDD41">
      <w:pPr>
        <w:numPr>
          <w:ilvl w:val="0"/>
          <w:numId w:val="8"/>
        </w:numPr>
        <w:spacing w:line="360" w:lineRule="auto"/>
        <w:rPr>
          <w:sz w:val="24"/>
        </w:rPr>
      </w:pPr>
      <w:r>
        <w:rPr>
          <w:rFonts w:hint="eastAsia"/>
          <w:sz w:val="24"/>
        </w:rPr>
        <w:t>具备其他电表、网关、其他智能设备等接入测试功能，有测试分析报表等检测结论功能。</w:t>
      </w:r>
    </w:p>
    <w:p w14:paraId="2F242925">
      <w:pPr>
        <w:pStyle w:val="57"/>
        <w:numPr>
          <w:ilvl w:val="0"/>
          <w:numId w:val="7"/>
        </w:numPr>
        <w:spacing w:line="360" w:lineRule="auto"/>
        <w:ind w:left="0" w:firstLine="0" w:firstLineChars="0"/>
        <w:rPr>
          <w:sz w:val="24"/>
        </w:rPr>
      </w:pPr>
      <w:r>
        <w:rPr>
          <w:rFonts w:hint="eastAsia"/>
          <w:sz w:val="24"/>
        </w:rPr>
        <w:t>基础档案管理：包含建筑信息、部门信息、用户类型、线路信息、配表信息及配表检索功能；</w:t>
      </w:r>
    </w:p>
    <w:p w14:paraId="1F2AB9F7">
      <w:pPr>
        <w:numPr>
          <w:ilvl w:val="0"/>
          <w:numId w:val="9"/>
        </w:numPr>
        <w:spacing w:line="360" w:lineRule="auto"/>
        <w:ind w:left="0" w:firstLine="0"/>
        <w:rPr>
          <w:color w:val="000000"/>
          <w:kern w:val="0"/>
          <w:sz w:val="24"/>
          <w:lang w:bidi="ar"/>
        </w:rPr>
      </w:pPr>
      <w:r>
        <w:rPr>
          <w:rFonts w:hint="eastAsia"/>
          <w:color w:val="000000"/>
          <w:kern w:val="0"/>
          <w:sz w:val="24"/>
          <w:lang w:bidi="ar"/>
        </w:rPr>
        <w:t>建筑信息管理：支持创建园区、楼栋、单元、楼层、房间等建筑详细信息，支持批量建立及按指定格式批量导入功能；</w:t>
      </w:r>
    </w:p>
    <w:p w14:paraId="4D2EE022">
      <w:pPr>
        <w:numPr>
          <w:ilvl w:val="0"/>
          <w:numId w:val="9"/>
        </w:numPr>
        <w:spacing w:line="360" w:lineRule="auto"/>
        <w:ind w:left="0" w:firstLine="0"/>
        <w:rPr>
          <w:color w:val="000000"/>
          <w:kern w:val="0"/>
          <w:sz w:val="24"/>
          <w:lang w:bidi="ar"/>
        </w:rPr>
      </w:pPr>
      <w:r>
        <w:rPr>
          <w:rFonts w:hint="eastAsia"/>
          <w:color w:val="000000"/>
          <w:kern w:val="0"/>
          <w:sz w:val="24"/>
          <w:lang w:bidi="ar"/>
        </w:rPr>
        <w:t>部门信息：可创建不同的部门信息，并支持根据不同建筑类型选择不同的管理部门；</w:t>
      </w:r>
    </w:p>
    <w:p w14:paraId="6DAD1511">
      <w:pPr>
        <w:numPr>
          <w:ilvl w:val="0"/>
          <w:numId w:val="9"/>
        </w:numPr>
        <w:spacing w:line="360" w:lineRule="auto"/>
        <w:ind w:left="0" w:firstLine="0"/>
        <w:rPr>
          <w:color w:val="000000"/>
          <w:kern w:val="0"/>
          <w:sz w:val="24"/>
          <w:lang w:bidi="ar"/>
        </w:rPr>
      </w:pPr>
      <w:r>
        <w:rPr>
          <w:rFonts w:hint="eastAsia"/>
          <w:color w:val="000000"/>
          <w:kern w:val="0"/>
          <w:sz w:val="24"/>
          <w:lang w:bidi="ar"/>
        </w:rPr>
        <w:t>线路信息：支持根据建筑信息批量建立对应的线路信息，支持一个房间对应多条线路的配置；</w:t>
      </w:r>
    </w:p>
    <w:p w14:paraId="0BF6A2E9">
      <w:pPr>
        <w:numPr>
          <w:ilvl w:val="0"/>
          <w:numId w:val="9"/>
        </w:numPr>
        <w:spacing w:line="360" w:lineRule="auto"/>
        <w:ind w:left="0" w:firstLine="0"/>
        <w:rPr>
          <w:color w:val="000000"/>
          <w:kern w:val="0"/>
          <w:sz w:val="24"/>
          <w:lang w:bidi="ar"/>
        </w:rPr>
      </w:pPr>
      <w:r>
        <w:rPr>
          <w:rFonts w:hint="eastAsia"/>
          <w:color w:val="000000"/>
          <w:kern w:val="0"/>
          <w:sz w:val="24"/>
          <w:lang w:bidi="ar"/>
        </w:rPr>
        <w:t>线路配表管理：实现房间线路与计量设备的绑定，并确定表计方案配置、用户类型，所属网关、数据采集方案、能源费率信息、分摊参数等信息；支持按指定的格式对线路进行批量配表导入及修改操作。</w:t>
      </w:r>
    </w:p>
    <w:p w14:paraId="6E158655">
      <w:pPr>
        <w:spacing w:line="360" w:lineRule="auto"/>
        <w:ind w:firstLine="482" w:firstLineChars="200"/>
        <w:rPr>
          <w:sz w:val="24"/>
        </w:rPr>
      </w:pPr>
      <w:r>
        <w:rPr>
          <w:b/>
          <w:bCs/>
          <w:sz w:val="24"/>
        </w:rPr>
        <w:t>1</w:t>
      </w:r>
      <w:r>
        <w:rPr>
          <w:rFonts w:hint="eastAsia"/>
          <w:b/>
          <w:bCs/>
          <w:sz w:val="24"/>
        </w:rPr>
        <w:t>.7通讯管理：</w:t>
      </w:r>
      <w:r>
        <w:rPr>
          <w:rFonts w:hint="eastAsia"/>
          <w:sz w:val="24"/>
        </w:rPr>
        <w:t>包含网关设备管理、数据采集方案、实时数据采集管理等功能</w:t>
      </w:r>
    </w:p>
    <w:p w14:paraId="22D5F6BC">
      <w:pPr>
        <w:pStyle w:val="57"/>
        <w:numPr>
          <w:ilvl w:val="0"/>
          <w:numId w:val="10"/>
        </w:numPr>
        <w:spacing w:line="360" w:lineRule="auto"/>
        <w:ind w:left="0" w:firstLine="0" w:firstLineChars="0"/>
        <w:rPr>
          <w:sz w:val="24"/>
        </w:rPr>
      </w:pPr>
      <w:r>
        <w:rPr>
          <w:rFonts w:hint="eastAsia"/>
          <w:sz w:val="24"/>
        </w:rPr>
        <w:t>网关设备管理：支持对网关设备远程重启、更新档案、远程校时、读取网关信息、版本号等远程操作；</w:t>
      </w:r>
    </w:p>
    <w:p w14:paraId="67041D37">
      <w:pPr>
        <w:pStyle w:val="57"/>
        <w:numPr>
          <w:ilvl w:val="0"/>
          <w:numId w:val="10"/>
        </w:numPr>
        <w:spacing w:line="360" w:lineRule="auto"/>
        <w:ind w:left="0" w:firstLine="0" w:firstLineChars="0"/>
        <w:rPr>
          <w:rFonts w:hint="eastAsia"/>
          <w:sz w:val="24"/>
        </w:rPr>
      </w:pPr>
      <w:r>
        <w:rPr>
          <w:rFonts w:hint="eastAsia"/>
          <w:sz w:val="24"/>
        </w:rPr>
        <w:t>数据采集方案：针对不同的设备制定不同的监测方案，并根据所需的数据采集评论定制不同的数据采集任务方案。</w:t>
      </w:r>
    </w:p>
    <w:p w14:paraId="072E2232">
      <w:pPr>
        <w:pStyle w:val="57"/>
        <w:numPr>
          <w:ilvl w:val="0"/>
          <w:numId w:val="10"/>
        </w:numPr>
        <w:spacing w:line="360" w:lineRule="auto"/>
        <w:ind w:left="0" w:firstLine="0" w:firstLineChars="0"/>
        <w:rPr>
          <w:rFonts w:hint="eastAsia"/>
          <w:sz w:val="24"/>
        </w:rPr>
      </w:pPr>
      <w:r>
        <w:rPr>
          <w:rFonts w:hint="eastAsia"/>
          <w:sz w:val="24"/>
        </w:rPr>
        <w:t>实时数据采集管理：实现计量设备配置参数的下发、读取及设备手动远程数据采集、设备校时操作。</w:t>
      </w:r>
    </w:p>
    <w:p w14:paraId="44146ABD">
      <w:pPr>
        <w:spacing w:line="360" w:lineRule="auto"/>
        <w:ind w:firstLine="482" w:firstLineChars="200"/>
        <w:rPr>
          <w:rFonts w:hint="eastAsia"/>
          <w:sz w:val="24"/>
        </w:rPr>
      </w:pPr>
      <w:r>
        <w:rPr>
          <w:b/>
          <w:bCs/>
          <w:sz w:val="24"/>
        </w:rPr>
        <w:t>1</w:t>
      </w:r>
      <w:r>
        <w:rPr>
          <w:rFonts w:hint="eastAsia"/>
          <w:b/>
          <w:bCs/>
          <w:sz w:val="24"/>
        </w:rPr>
        <w:t>.8票据格式设置：</w:t>
      </w:r>
      <w:r>
        <w:rPr>
          <w:rFonts w:hint="eastAsia"/>
          <w:sz w:val="24"/>
        </w:rPr>
        <w:t>系统应支持根据管理方需求设定票据格式，打印类型等信息；</w:t>
      </w:r>
    </w:p>
    <w:p w14:paraId="2E2C7133">
      <w:pPr>
        <w:spacing w:line="360" w:lineRule="auto"/>
        <w:ind w:firstLine="482" w:firstLineChars="200"/>
        <w:rPr>
          <w:sz w:val="24"/>
        </w:rPr>
      </w:pPr>
      <w:r>
        <w:rPr>
          <w:rFonts w:hint="eastAsia"/>
          <w:b/>
          <w:bCs/>
          <w:sz w:val="24"/>
        </w:rPr>
        <w:t>1.9收费功能参数设置：</w:t>
      </w:r>
      <w:r>
        <w:rPr>
          <w:rFonts w:hint="eastAsia"/>
          <w:sz w:val="24"/>
        </w:rPr>
        <w:t>系统支持设置计费模式（表计单独计费、按房间合并计费），支持根据需求设置告警发送时间，格式等。</w:t>
      </w:r>
    </w:p>
    <w:p w14:paraId="5E04DCFA">
      <w:pPr>
        <w:spacing w:line="360" w:lineRule="auto"/>
        <w:ind w:firstLine="482" w:firstLineChars="200"/>
        <w:rPr>
          <w:sz w:val="24"/>
        </w:rPr>
      </w:pPr>
      <w:r>
        <w:rPr>
          <w:b/>
          <w:bCs/>
          <w:sz w:val="24"/>
        </w:rPr>
        <w:t>1</w:t>
      </w:r>
      <w:r>
        <w:rPr>
          <w:rFonts w:hint="eastAsia"/>
          <w:b/>
          <w:bCs/>
          <w:sz w:val="24"/>
        </w:rPr>
        <w:t>.10账户监测：</w:t>
      </w:r>
      <w:r>
        <w:rPr>
          <w:rFonts w:hint="eastAsia"/>
          <w:sz w:val="24"/>
        </w:rPr>
        <w:t>可直观的显示设备的剩余金额、总用电量、运行状态、欠费产生时间、通知提醒记录（包括短信、小程序提醒）等信息，并在界面上可根据余额情况等进行批量筛选导出。</w:t>
      </w:r>
    </w:p>
    <w:p w14:paraId="0E1113E8">
      <w:pPr>
        <w:pStyle w:val="4"/>
        <w:numPr>
          <w:ilvl w:val="2"/>
          <w:numId w:val="0"/>
        </w:numPr>
        <w:spacing w:before="0" w:after="0" w:line="360" w:lineRule="auto"/>
        <w:ind w:firstLine="482" w:firstLineChars="200"/>
        <w:rPr>
          <w:rFonts w:ascii="Times New Roman" w:hAnsi="Times New Roman"/>
          <w:u w:val="single"/>
        </w:rPr>
      </w:pPr>
      <w:bookmarkStart w:id="14" w:name="_Toc203667656"/>
      <w:r>
        <w:rPr>
          <w:rFonts w:ascii="Times New Roman" w:hAnsi="Times New Roman"/>
          <w:sz w:val="24"/>
          <w:szCs w:val="24"/>
          <w:u w:val="single"/>
        </w:rPr>
        <w:t>1</w:t>
      </w:r>
      <w:r>
        <w:rPr>
          <w:rFonts w:hint="eastAsia" w:ascii="Times New Roman" w:hAnsi="Times New Roman"/>
          <w:sz w:val="24"/>
          <w:szCs w:val="24"/>
          <w:u w:val="single"/>
        </w:rPr>
        <w:t>.11</w:t>
      </w:r>
      <w:r>
        <w:rPr>
          <w:rFonts w:hint="eastAsia" w:ascii="宋体" w:hAnsi="宋体" w:cs="宋体"/>
          <w:kern w:val="0"/>
          <w:sz w:val="24"/>
          <w:u w:val="single"/>
        </w:rPr>
        <w:t>▲</w:t>
      </w:r>
      <w:r>
        <w:rPr>
          <w:rFonts w:hint="eastAsia" w:ascii="Times New Roman" w:hAnsi="Times New Roman"/>
          <w:sz w:val="24"/>
          <w:szCs w:val="24"/>
          <w:u w:val="single"/>
        </w:rPr>
        <w:t>充值缴费：</w:t>
      </w:r>
      <w:r>
        <w:rPr>
          <w:sz w:val="24"/>
          <w:u w:val="single"/>
        </w:rPr>
        <w:t>充值缴费界面支持对单个房间或计量表计进行</w:t>
      </w:r>
      <w:r>
        <w:rPr>
          <w:rFonts w:hint="eastAsia"/>
          <w:sz w:val="24"/>
          <w:u w:val="single"/>
        </w:rPr>
        <w:t>实时点抄</w:t>
      </w:r>
      <w:r>
        <w:rPr>
          <w:sz w:val="24"/>
          <w:u w:val="single"/>
        </w:rPr>
        <w:t>、远程充值、赠补、退费清表、充值校正、</w:t>
      </w:r>
      <w:r>
        <w:rPr>
          <w:rFonts w:hint="eastAsia"/>
          <w:sz w:val="24"/>
          <w:u w:val="single"/>
        </w:rPr>
        <w:t>换房</w:t>
      </w:r>
      <w:r>
        <w:rPr>
          <w:sz w:val="24"/>
          <w:u w:val="single"/>
        </w:rPr>
        <w:t>、</w:t>
      </w:r>
      <w:r>
        <w:rPr>
          <w:rFonts w:hint="eastAsia"/>
          <w:sz w:val="24"/>
          <w:u w:val="single"/>
        </w:rPr>
        <w:t>打印余额票据</w:t>
      </w:r>
      <w:r>
        <w:rPr>
          <w:sz w:val="24"/>
          <w:u w:val="single"/>
        </w:rPr>
        <w:t>、充值流水查询、</w:t>
      </w:r>
      <w:r>
        <w:rPr>
          <w:rFonts w:hint="eastAsia"/>
          <w:sz w:val="24"/>
          <w:u w:val="single"/>
        </w:rPr>
        <w:t>补助流水</w:t>
      </w:r>
      <w:r>
        <w:rPr>
          <w:sz w:val="24"/>
          <w:u w:val="single"/>
        </w:rPr>
        <w:t>、用能查询、远程控制及</w:t>
      </w:r>
      <w:r>
        <w:rPr>
          <w:rFonts w:hint="eastAsia"/>
          <w:sz w:val="24"/>
          <w:u w:val="single"/>
        </w:rPr>
        <w:t>查看结算流水，上述功能须具备，并展示用电量状况图，状况图支持折线和柱状，支持最近48小时或者最近一个月或者一年的展示</w:t>
      </w:r>
      <w:r>
        <w:rPr>
          <w:sz w:val="24"/>
          <w:u w:val="single"/>
        </w:rPr>
        <w:t>；</w:t>
      </w:r>
      <w:r>
        <w:rPr>
          <w:rFonts w:hint="eastAsia"/>
          <w:sz w:val="24"/>
          <w:u w:val="single"/>
        </w:rPr>
        <w:t>可以图形</w:t>
      </w:r>
      <w:r>
        <w:rPr>
          <w:rFonts w:hint="eastAsia" w:ascii="Times New Roman" w:hAnsi="Times New Roman"/>
          <w:sz w:val="24"/>
          <w:szCs w:val="24"/>
          <w:u w:val="single"/>
        </w:rPr>
        <w:t>化显示电表的实时信息，包括通讯状态，电表示数，剩余金额。</w:t>
      </w:r>
      <w:bookmarkEnd w:id="14"/>
    </w:p>
    <w:p w14:paraId="67F8F7D0">
      <w:pPr>
        <w:spacing w:line="360" w:lineRule="auto"/>
        <w:ind w:firstLine="482" w:firstLineChars="200"/>
        <w:rPr>
          <w:sz w:val="24"/>
        </w:rPr>
      </w:pPr>
      <w:r>
        <w:rPr>
          <w:b/>
          <w:bCs/>
          <w:sz w:val="24"/>
        </w:rPr>
        <w:t>1</w:t>
      </w:r>
      <w:r>
        <w:rPr>
          <w:rFonts w:hint="eastAsia"/>
          <w:b/>
          <w:bCs/>
          <w:sz w:val="24"/>
        </w:rPr>
        <w:t>.12远程控制：</w:t>
      </w:r>
      <w:r>
        <w:rPr>
          <w:rFonts w:hint="eastAsia"/>
          <w:sz w:val="24"/>
        </w:rPr>
        <w:t>对设备进行远程的控制操作，支持远程跳合闸，远程保电及保电解除操作，支持批量及单独进行操作；</w:t>
      </w:r>
    </w:p>
    <w:p w14:paraId="594DE12A">
      <w:pPr>
        <w:spacing w:line="360" w:lineRule="auto"/>
        <w:ind w:firstLine="482" w:firstLineChars="200"/>
        <w:rPr>
          <w:b/>
          <w:bCs/>
          <w:sz w:val="24"/>
        </w:rPr>
      </w:pPr>
      <w:r>
        <w:rPr>
          <w:b/>
          <w:bCs/>
          <w:sz w:val="24"/>
        </w:rPr>
        <w:t>1</w:t>
      </w:r>
      <w:r>
        <w:rPr>
          <w:rFonts w:hint="eastAsia"/>
          <w:b/>
          <w:bCs/>
          <w:sz w:val="24"/>
        </w:rPr>
        <w:t>.13账目管理：</w:t>
      </w:r>
      <w:r>
        <w:rPr>
          <w:rFonts w:hint="eastAsia"/>
          <w:sz w:val="24"/>
        </w:rPr>
        <w:t>包含账目明细、自助支付信息、财务对账功能模块；</w:t>
      </w:r>
    </w:p>
    <w:p w14:paraId="1D5AD739">
      <w:pPr>
        <w:pStyle w:val="57"/>
        <w:numPr>
          <w:ilvl w:val="0"/>
          <w:numId w:val="11"/>
        </w:numPr>
        <w:spacing w:line="360" w:lineRule="auto"/>
        <w:ind w:left="0" w:firstLine="0" w:firstLineChars="0"/>
        <w:rPr>
          <w:rFonts w:ascii="宋体" w:hAnsi="宋体" w:cs="宋体"/>
          <w:sz w:val="24"/>
        </w:rPr>
      </w:pPr>
      <w:r>
        <w:rPr>
          <w:rFonts w:hint="eastAsia"/>
          <w:sz w:val="24"/>
        </w:rPr>
        <w:t>账目明细：支持按楼栋或房间查询在特定时间段内的账目信息，支持按操作类型、数据类型、能源类型选择操作。</w:t>
      </w:r>
    </w:p>
    <w:p w14:paraId="6C84E425">
      <w:pPr>
        <w:pStyle w:val="57"/>
        <w:numPr>
          <w:ilvl w:val="0"/>
          <w:numId w:val="11"/>
        </w:numPr>
        <w:spacing w:line="360" w:lineRule="auto"/>
        <w:ind w:left="0" w:firstLine="0" w:firstLineChars="0"/>
        <w:rPr>
          <w:rFonts w:hint="eastAsia"/>
          <w:sz w:val="24"/>
        </w:rPr>
      </w:pPr>
      <w:r>
        <w:rPr>
          <w:rFonts w:hint="eastAsia"/>
          <w:sz w:val="24"/>
        </w:rPr>
        <w:t>自助支付信息：支持按日，周，月等模式对自助支付的流水账务信息进行核对，确保每笔自助缴费记录都有详细明细；</w:t>
      </w:r>
    </w:p>
    <w:p w14:paraId="2BDC5C77">
      <w:pPr>
        <w:pStyle w:val="57"/>
        <w:numPr>
          <w:ilvl w:val="0"/>
          <w:numId w:val="11"/>
        </w:numPr>
        <w:spacing w:line="360" w:lineRule="auto"/>
        <w:ind w:left="0" w:firstLine="0" w:firstLineChars="0"/>
        <w:rPr>
          <w:rFonts w:hint="eastAsia"/>
          <w:sz w:val="24"/>
        </w:rPr>
      </w:pPr>
      <w:r>
        <w:rPr>
          <w:rFonts w:hint="eastAsia"/>
          <w:sz w:val="24"/>
        </w:rPr>
        <w:t>财务对账功能：支持按不同层级建筑导出不同时间的缴费信息，根据缴费信息与财务数据核对验证。</w:t>
      </w:r>
    </w:p>
    <w:p w14:paraId="2B391E8E">
      <w:pPr>
        <w:spacing w:line="360" w:lineRule="auto"/>
        <w:ind w:firstLine="482" w:firstLineChars="200"/>
        <w:rPr>
          <w:sz w:val="24"/>
        </w:rPr>
      </w:pPr>
      <w:r>
        <w:rPr>
          <w:b/>
          <w:bCs/>
          <w:sz w:val="24"/>
        </w:rPr>
        <w:t>1</w:t>
      </w:r>
      <w:r>
        <w:rPr>
          <w:rFonts w:hint="eastAsia"/>
          <w:b/>
          <w:bCs/>
          <w:sz w:val="24"/>
        </w:rPr>
        <w:t>.14</w:t>
      </w:r>
      <w:r>
        <w:rPr>
          <w:rFonts w:hint="eastAsia" w:ascii="宋体" w:hAnsi="宋体" w:cs="宋体"/>
          <w:b/>
          <w:bCs/>
          <w:kern w:val="0"/>
          <w:sz w:val="24"/>
          <w:u w:val="single"/>
        </w:rPr>
        <w:t>▲</w:t>
      </w:r>
      <w:r>
        <w:rPr>
          <w:rFonts w:hint="eastAsia"/>
          <w:b/>
          <w:bCs/>
          <w:sz w:val="24"/>
        </w:rPr>
        <w:t>报表管理：</w:t>
      </w:r>
    </w:p>
    <w:p w14:paraId="77FD23F5">
      <w:pPr>
        <w:spacing w:line="360" w:lineRule="auto"/>
        <w:ind w:firstLine="482" w:firstLineChars="200"/>
        <w:rPr>
          <w:rFonts w:hint="eastAsia"/>
          <w:b/>
          <w:bCs/>
          <w:sz w:val="24"/>
          <w:u w:val="single"/>
        </w:rPr>
      </w:pPr>
      <w:r>
        <w:rPr>
          <w:rFonts w:hint="eastAsia"/>
          <w:b/>
          <w:bCs/>
          <w:sz w:val="24"/>
          <w:u w:val="single"/>
        </w:rPr>
        <w:t>系统应具有丰富完整的报表体系，以供相关部门和人员查询、打印，可以转存为</w:t>
      </w:r>
      <w:r>
        <w:rPr>
          <w:b/>
          <w:bCs/>
          <w:sz w:val="24"/>
          <w:u w:val="single"/>
        </w:rPr>
        <w:t>XLS</w:t>
      </w:r>
      <w:r>
        <w:rPr>
          <w:rFonts w:hint="eastAsia"/>
          <w:b/>
          <w:bCs/>
          <w:sz w:val="24"/>
          <w:u w:val="single"/>
        </w:rPr>
        <w:t>等格式的文档。报表体系应具备以下主要报表：补助电发放记录及统计、缴费充值记录及统计、圈存机充值记录及统计、退费记录及统计、用电结算扣费记录及统计、向用户发送通知消息记录及统计、每月用电量统计、阻性负载跳闸记录及统计、超负荷跳闸记录及统计、高电压跳闸记录及统计。以上报表均能按校区、区域、楼栋、楼层、房间分别进行查询，同时支持按照日、月、年进行查询。缴费充值记录应能按操作员、充值站点等形成日报、月报、年报等报表。并可随时根据学校管理部门的需要添加其它不同类别统计报表，以多种图形图标形式进行展示。</w:t>
      </w:r>
    </w:p>
    <w:p w14:paraId="0B991108">
      <w:pPr>
        <w:spacing w:line="360" w:lineRule="auto"/>
        <w:ind w:firstLine="482" w:firstLineChars="200"/>
        <w:rPr>
          <w:sz w:val="24"/>
        </w:rPr>
      </w:pPr>
      <w:r>
        <w:rPr>
          <w:b/>
          <w:bCs/>
          <w:sz w:val="24"/>
        </w:rPr>
        <w:t>1</w:t>
      </w:r>
      <w:r>
        <w:rPr>
          <w:rFonts w:hint="eastAsia"/>
          <w:b/>
          <w:bCs/>
          <w:sz w:val="24"/>
        </w:rPr>
        <w:t>.15用电管理：</w:t>
      </w:r>
      <w:r>
        <w:rPr>
          <w:rFonts w:hint="eastAsia"/>
          <w:sz w:val="24"/>
        </w:rPr>
        <w:t>包含用电查询，分析，抄表记录查询、用电事件管理</w:t>
      </w:r>
    </w:p>
    <w:p w14:paraId="5FC8E22E">
      <w:pPr>
        <w:pStyle w:val="57"/>
        <w:numPr>
          <w:ilvl w:val="0"/>
          <w:numId w:val="12"/>
        </w:numPr>
        <w:spacing w:line="360" w:lineRule="auto"/>
        <w:ind w:left="0" w:firstLine="0" w:firstLineChars="0"/>
        <w:rPr>
          <w:rFonts w:ascii="宋体" w:hAnsi="宋体" w:cs="宋体"/>
          <w:b/>
          <w:bCs/>
          <w:sz w:val="24"/>
          <w:u w:val="single"/>
        </w:rPr>
      </w:pPr>
      <w:r>
        <w:rPr>
          <w:rFonts w:hint="eastAsia" w:ascii="宋体" w:hAnsi="宋体" w:cs="宋体"/>
          <w:b/>
          <w:bCs/>
          <w:kern w:val="0"/>
          <w:sz w:val="24"/>
          <w:u w:val="single"/>
        </w:rPr>
        <w:t>▲</w:t>
      </w:r>
      <w:r>
        <w:rPr>
          <w:rFonts w:hint="eastAsia"/>
          <w:b/>
          <w:bCs/>
          <w:sz w:val="24"/>
          <w:u w:val="single"/>
        </w:rPr>
        <w:t>用电查询：支持按照查询校区，楼栋，楼层，房间进行的小时</w:t>
      </w:r>
      <w:r>
        <w:rPr>
          <w:rFonts w:hint="eastAsia" w:ascii="宋体" w:hAnsi="宋体" w:cs="宋体"/>
          <w:b/>
          <w:bCs/>
          <w:sz w:val="24"/>
          <w:u w:val="single"/>
        </w:rPr>
        <w:t>﹑</w:t>
      </w:r>
      <w:r>
        <w:rPr>
          <w:rFonts w:hint="eastAsia"/>
          <w:b/>
          <w:bCs/>
          <w:sz w:val="24"/>
          <w:u w:val="single"/>
        </w:rPr>
        <w:t>日</w:t>
      </w:r>
      <w:r>
        <w:rPr>
          <w:rFonts w:hint="eastAsia" w:ascii="宋体" w:hAnsi="宋体" w:cs="宋体"/>
          <w:b/>
          <w:bCs/>
          <w:sz w:val="24"/>
          <w:u w:val="single"/>
        </w:rPr>
        <w:t>﹑</w:t>
      </w:r>
      <w:r>
        <w:rPr>
          <w:rFonts w:hint="eastAsia"/>
          <w:b/>
          <w:bCs/>
          <w:sz w:val="24"/>
          <w:u w:val="single"/>
        </w:rPr>
        <w:t>月用电数据并支持导出excel报表，报表内容支持自定义展示列，展示列支持项目不少于支路名</w:t>
      </w:r>
      <w:r>
        <w:rPr>
          <w:rFonts w:hint="eastAsia" w:ascii="宋体" w:hAnsi="宋体" w:cs="宋体"/>
          <w:b/>
          <w:bCs/>
          <w:sz w:val="24"/>
          <w:u w:val="single"/>
        </w:rPr>
        <w:t>﹑</w:t>
      </w:r>
      <w:r>
        <w:rPr>
          <w:rFonts w:hint="eastAsia"/>
          <w:b/>
          <w:bCs/>
          <w:sz w:val="24"/>
          <w:u w:val="single"/>
        </w:rPr>
        <w:t>设备编号</w:t>
      </w:r>
      <w:r>
        <w:rPr>
          <w:rFonts w:hint="eastAsia" w:ascii="宋体" w:hAnsi="宋体" w:cs="宋体"/>
          <w:b/>
          <w:bCs/>
          <w:sz w:val="24"/>
          <w:u w:val="single"/>
        </w:rPr>
        <w:t>﹑</w:t>
      </w:r>
      <w:r>
        <w:rPr>
          <w:rFonts w:hint="eastAsia"/>
          <w:b/>
          <w:bCs/>
          <w:sz w:val="24"/>
          <w:u w:val="single"/>
        </w:rPr>
        <w:t>能耗类型</w:t>
      </w:r>
      <w:r>
        <w:rPr>
          <w:rFonts w:hint="eastAsia" w:ascii="宋体" w:hAnsi="宋体" w:cs="宋体"/>
          <w:b/>
          <w:bCs/>
          <w:sz w:val="24"/>
          <w:u w:val="single"/>
        </w:rPr>
        <w:t>﹑</w:t>
      </w:r>
      <w:r>
        <w:rPr>
          <w:rFonts w:hint="eastAsia"/>
          <w:b/>
          <w:bCs/>
          <w:sz w:val="24"/>
          <w:u w:val="single"/>
        </w:rPr>
        <w:t>期初表底</w:t>
      </w:r>
      <w:r>
        <w:rPr>
          <w:rFonts w:hint="eastAsia" w:ascii="宋体" w:hAnsi="宋体" w:cs="宋体"/>
          <w:b/>
          <w:bCs/>
          <w:sz w:val="24"/>
          <w:u w:val="single"/>
        </w:rPr>
        <w:t>﹑</w:t>
      </w:r>
      <w:r>
        <w:rPr>
          <w:rFonts w:hint="eastAsia"/>
          <w:b/>
          <w:bCs/>
          <w:sz w:val="24"/>
          <w:u w:val="single"/>
        </w:rPr>
        <w:t>期末表底</w:t>
      </w:r>
      <w:r>
        <w:rPr>
          <w:rFonts w:hint="eastAsia" w:ascii="宋体" w:hAnsi="宋体" w:cs="宋体"/>
          <w:b/>
          <w:bCs/>
          <w:sz w:val="24"/>
          <w:u w:val="single"/>
        </w:rPr>
        <w:t>﹑</w:t>
      </w:r>
      <w:r>
        <w:rPr>
          <w:rFonts w:hint="eastAsia"/>
          <w:b/>
          <w:bCs/>
          <w:sz w:val="24"/>
          <w:u w:val="single"/>
        </w:rPr>
        <w:t>倍率</w:t>
      </w:r>
      <w:r>
        <w:rPr>
          <w:rFonts w:hint="eastAsia" w:ascii="宋体" w:hAnsi="宋体" w:cs="宋体"/>
          <w:b/>
          <w:bCs/>
          <w:sz w:val="24"/>
          <w:u w:val="single"/>
        </w:rPr>
        <w:t>﹑</w:t>
      </w:r>
      <w:r>
        <w:rPr>
          <w:rFonts w:hint="eastAsia"/>
          <w:b/>
          <w:bCs/>
          <w:sz w:val="24"/>
          <w:u w:val="single"/>
        </w:rPr>
        <w:t>结算用电量</w:t>
      </w:r>
      <w:r>
        <w:rPr>
          <w:rFonts w:hint="eastAsia" w:ascii="宋体" w:hAnsi="宋体" w:cs="宋体"/>
          <w:b/>
          <w:bCs/>
          <w:sz w:val="24"/>
          <w:u w:val="single"/>
        </w:rPr>
        <w:t>﹑</w:t>
      </w:r>
      <w:r>
        <w:rPr>
          <w:rFonts w:hint="eastAsia"/>
          <w:b/>
          <w:bCs/>
          <w:sz w:val="24"/>
          <w:u w:val="single"/>
        </w:rPr>
        <w:t>期初抄表时间</w:t>
      </w:r>
      <w:r>
        <w:rPr>
          <w:rFonts w:hint="eastAsia" w:ascii="宋体" w:hAnsi="宋体" w:cs="宋体"/>
          <w:b/>
          <w:bCs/>
          <w:sz w:val="24"/>
          <w:u w:val="single"/>
        </w:rPr>
        <w:t>﹑</w:t>
      </w:r>
      <w:r>
        <w:rPr>
          <w:rFonts w:hint="eastAsia"/>
          <w:b/>
          <w:bCs/>
          <w:sz w:val="24"/>
          <w:u w:val="single"/>
        </w:rPr>
        <w:t>期末抄表时间</w:t>
      </w:r>
      <w:r>
        <w:rPr>
          <w:rFonts w:hint="eastAsia" w:ascii="宋体" w:hAnsi="宋体" w:cs="宋体"/>
          <w:b/>
          <w:bCs/>
          <w:sz w:val="24"/>
          <w:u w:val="single"/>
        </w:rPr>
        <w:t>﹑</w:t>
      </w:r>
      <w:r>
        <w:rPr>
          <w:rFonts w:hint="eastAsia"/>
          <w:b/>
          <w:bCs/>
          <w:sz w:val="24"/>
          <w:u w:val="single"/>
        </w:rPr>
        <w:t>数据结算日期</w:t>
      </w:r>
      <w:r>
        <w:rPr>
          <w:rFonts w:hint="eastAsia" w:ascii="宋体" w:hAnsi="宋体" w:cs="宋体"/>
          <w:b/>
          <w:bCs/>
          <w:sz w:val="24"/>
          <w:u w:val="single"/>
        </w:rPr>
        <w:t>﹑</w:t>
      </w:r>
      <w:r>
        <w:rPr>
          <w:rFonts w:hint="eastAsia"/>
          <w:b/>
          <w:bCs/>
          <w:sz w:val="24"/>
          <w:u w:val="single"/>
        </w:rPr>
        <w:t>结算状态</w:t>
      </w:r>
      <w:r>
        <w:rPr>
          <w:rFonts w:hint="eastAsia" w:ascii="宋体" w:hAnsi="宋体" w:cs="宋体"/>
          <w:b/>
          <w:bCs/>
          <w:sz w:val="24"/>
          <w:u w:val="single"/>
        </w:rPr>
        <w:t>﹑</w:t>
      </w:r>
      <w:r>
        <w:rPr>
          <w:rFonts w:hint="eastAsia"/>
          <w:b/>
          <w:bCs/>
          <w:sz w:val="24"/>
          <w:u w:val="single"/>
        </w:rPr>
        <w:t>线路别名等；支持按照用户类型</w:t>
      </w:r>
      <w:r>
        <w:rPr>
          <w:rFonts w:hint="eastAsia" w:ascii="宋体" w:hAnsi="宋体" w:cs="宋体"/>
          <w:b/>
          <w:bCs/>
          <w:sz w:val="24"/>
          <w:u w:val="single"/>
        </w:rPr>
        <w:t>﹑</w:t>
      </w:r>
      <w:r>
        <w:rPr>
          <w:rFonts w:hint="eastAsia" w:cs="宋体"/>
          <w:b/>
          <w:bCs/>
          <w:sz w:val="24"/>
          <w:u w:val="single"/>
        </w:rPr>
        <w:t>能源类型</w:t>
      </w:r>
      <w:r>
        <w:rPr>
          <w:rFonts w:hint="eastAsia" w:ascii="宋体" w:hAnsi="宋体" w:cs="宋体"/>
          <w:b/>
          <w:bCs/>
          <w:sz w:val="24"/>
          <w:u w:val="single"/>
        </w:rPr>
        <w:t>﹑</w:t>
      </w:r>
      <w:r>
        <w:rPr>
          <w:rFonts w:hint="eastAsia" w:cs="宋体"/>
          <w:b/>
          <w:bCs/>
          <w:sz w:val="24"/>
          <w:u w:val="single"/>
        </w:rPr>
        <w:t>付费类型</w:t>
      </w:r>
      <w:r>
        <w:rPr>
          <w:rFonts w:hint="eastAsia" w:ascii="宋体" w:hAnsi="宋体" w:cs="宋体"/>
          <w:b/>
          <w:bCs/>
          <w:sz w:val="24"/>
          <w:u w:val="single"/>
        </w:rPr>
        <w:t>﹑</w:t>
      </w:r>
      <w:r>
        <w:rPr>
          <w:rFonts w:hint="eastAsia" w:cs="宋体"/>
          <w:b/>
          <w:bCs/>
          <w:sz w:val="24"/>
          <w:u w:val="single"/>
        </w:rPr>
        <w:t>已结算/未结算进行</w:t>
      </w:r>
      <w:r>
        <w:rPr>
          <w:rFonts w:hint="eastAsia"/>
          <w:b/>
          <w:bCs/>
          <w:sz w:val="24"/>
          <w:u w:val="single"/>
        </w:rPr>
        <w:t>查询；支持单台电表的某一时间段的详细用电信息以图形显示；</w:t>
      </w:r>
    </w:p>
    <w:p w14:paraId="428B6612">
      <w:pPr>
        <w:pStyle w:val="57"/>
        <w:numPr>
          <w:ilvl w:val="0"/>
          <w:numId w:val="12"/>
        </w:numPr>
        <w:spacing w:line="360" w:lineRule="auto"/>
        <w:ind w:left="0" w:firstLine="0" w:firstLineChars="0"/>
        <w:rPr>
          <w:b/>
          <w:bCs/>
          <w:sz w:val="24"/>
          <w:u w:val="single"/>
        </w:rPr>
      </w:pPr>
      <w:r>
        <w:rPr>
          <w:rFonts w:hint="eastAsia" w:ascii="宋体" w:hAnsi="宋体" w:cs="宋体"/>
          <w:b/>
          <w:bCs/>
          <w:kern w:val="0"/>
          <w:sz w:val="24"/>
          <w:u w:val="single"/>
        </w:rPr>
        <w:t>▲</w:t>
      </w:r>
      <w:r>
        <w:rPr>
          <w:rFonts w:hint="eastAsia"/>
          <w:b/>
          <w:bCs/>
          <w:sz w:val="24"/>
          <w:u w:val="single"/>
        </w:rPr>
        <w:t>抄表记录查询：支持查询历史所有的抄表数据，包含系统自动采集记录及人工数据采集记录的数据，支持按时间</w:t>
      </w:r>
      <w:r>
        <w:rPr>
          <w:rFonts w:hint="eastAsia" w:ascii="宋体" w:hAnsi="宋体" w:cs="宋体"/>
          <w:b/>
          <w:bCs/>
          <w:sz w:val="24"/>
          <w:u w:val="single"/>
        </w:rPr>
        <w:t>﹑</w:t>
      </w:r>
      <w:r>
        <w:rPr>
          <w:rFonts w:hint="eastAsia" w:cs="宋体"/>
          <w:b/>
          <w:bCs/>
          <w:sz w:val="24"/>
          <w:u w:val="single"/>
        </w:rPr>
        <w:t>用户类型，数据类型</w:t>
      </w:r>
      <w:r>
        <w:rPr>
          <w:rFonts w:hint="eastAsia" w:ascii="宋体" w:hAnsi="宋体" w:cs="宋体"/>
          <w:b/>
          <w:bCs/>
          <w:sz w:val="24"/>
          <w:u w:val="single"/>
        </w:rPr>
        <w:t>﹑</w:t>
      </w:r>
      <w:r>
        <w:rPr>
          <w:rFonts w:hint="eastAsia" w:cs="宋体"/>
          <w:b/>
          <w:bCs/>
          <w:sz w:val="24"/>
          <w:u w:val="single"/>
        </w:rPr>
        <w:t>执行结果</w:t>
      </w:r>
      <w:r>
        <w:rPr>
          <w:rFonts w:hint="eastAsia" w:ascii="宋体" w:hAnsi="宋体" w:cs="宋体"/>
          <w:b/>
          <w:bCs/>
          <w:sz w:val="24"/>
          <w:u w:val="single"/>
        </w:rPr>
        <w:t>﹑</w:t>
      </w:r>
      <w:r>
        <w:rPr>
          <w:rFonts w:hint="eastAsia" w:cs="宋体"/>
          <w:b/>
          <w:bCs/>
          <w:sz w:val="24"/>
          <w:u w:val="single"/>
        </w:rPr>
        <w:t>数据项目等进行</w:t>
      </w:r>
      <w:r>
        <w:rPr>
          <w:rFonts w:hint="eastAsia"/>
          <w:b/>
          <w:bCs/>
          <w:sz w:val="24"/>
          <w:u w:val="single"/>
        </w:rPr>
        <w:t>查询及导出报表，报表内容支持自定义展示列，展示内容不得少于支路名</w:t>
      </w:r>
      <w:r>
        <w:rPr>
          <w:rFonts w:hint="eastAsia" w:ascii="宋体" w:hAnsi="宋体" w:cs="宋体"/>
          <w:b/>
          <w:bCs/>
          <w:sz w:val="24"/>
          <w:u w:val="single"/>
        </w:rPr>
        <w:t>﹑</w:t>
      </w:r>
      <w:r>
        <w:rPr>
          <w:rFonts w:hint="eastAsia" w:cs="宋体"/>
          <w:b/>
          <w:bCs/>
          <w:sz w:val="24"/>
          <w:u w:val="single"/>
        </w:rPr>
        <w:t>设备编号</w:t>
      </w:r>
      <w:r>
        <w:rPr>
          <w:rFonts w:hint="eastAsia" w:ascii="宋体" w:hAnsi="宋体" w:cs="宋体"/>
          <w:b/>
          <w:bCs/>
          <w:sz w:val="24"/>
          <w:u w:val="single"/>
        </w:rPr>
        <w:t>﹑</w:t>
      </w:r>
      <w:r>
        <w:rPr>
          <w:rFonts w:hint="eastAsia" w:cs="宋体"/>
          <w:b/>
          <w:bCs/>
          <w:sz w:val="24"/>
          <w:u w:val="single"/>
        </w:rPr>
        <w:t>数据项</w:t>
      </w:r>
      <w:r>
        <w:rPr>
          <w:rFonts w:hint="eastAsia" w:ascii="宋体" w:hAnsi="宋体" w:cs="宋体"/>
          <w:b/>
          <w:bCs/>
          <w:sz w:val="24"/>
          <w:u w:val="single"/>
        </w:rPr>
        <w:t>﹑</w:t>
      </w:r>
      <w:r>
        <w:rPr>
          <w:rFonts w:hint="eastAsia" w:cs="宋体"/>
          <w:b/>
          <w:bCs/>
          <w:sz w:val="24"/>
          <w:u w:val="single"/>
        </w:rPr>
        <w:t>抄表结果</w:t>
      </w:r>
      <w:r>
        <w:rPr>
          <w:rFonts w:hint="eastAsia" w:ascii="宋体" w:hAnsi="宋体" w:cs="宋体"/>
          <w:b/>
          <w:bCs/>
          <w:sz w:val="24"/>
          <w:u w:val="single"/>
        </w:rPr>
        <w:t>﹑</w:t>
      </w:r>
      <w:r>
        <w:rPr>
          <w:rFonts w:hint="eastAsia" w:cs="宋体"/>
          <w:b/>
          <w:bCs/>
          <w:sz w:val="24"/>
          <w:u w:val="single"/>
        </w:rPr>
        <w:t>抄表时间</w:t>
      </w:r>
      <w:r>
        <w:rPr>
          <w:rFonts w:hint="eastAsia" w:ascii="宋体" w:hAnsi="宋体" w:cs="宋体"/>
          <w:b/>
          <w:bCs/>
          <w:sz w:val="24"/>
          <w:u w:val="single"/>
        </w:rPr>
        <w:t>﹑</w:t>
      </w:r>
      <w:r>
        <w:rPr>
          <w:rFonts w:hint="eastAsia" w:cs="宋体"/>
          <w:b/>
          <w:bCs/>
          <w:sz w:val="24"/>
          <w:u w:val="single"/>
        </w:rPr>
        <w:t>线路别名</w:t>
      </w:r>
      <w:r>
        <w:rPr>
          <w:rFonts w:hint="eastAsia"/>
          <w:b/>
          <w:bCs/>
          <w:sz w:val="24"/>
          <w:u w:val="single"/>
        </w:rPr>
        <w:t>。用电分析：支持对表计进行参数趋势分析，对于重点监测的表计，通过自动采集表计参数项，如电流或功率等，能直观分析出表计运行状态；</w:t>
      </w:r>
    </w:p>
    <w:p w14:paraId="5948B346">
      <w:pPr>
        <w:pStyle w:val="57"/>
        <w:numPr>
          <w:ilvl w:val="0"/>
          <w:numId w:val="12"/>
        </w:numPr>
        <w:spacing w:line="360" w:lineRule="auto"/>
        <w:ind w:left="0" w:firstLine="0" w:firstLineChars="0"/>
        <w:rPr>
          <w:sz w:val="24"/>
        </w:rPr>
      </w:pPr>
      <w:r>
        <w:rPr>
          <w:rFonts w:hint="eastAsia" w:ascii="宋体" w:hAnsi="宋体" w:cs="宋体"/>
          <w:b/>
          <w:bCs/>
          <w:kern w:val="0"/>
          <w:sz w:val="24"/>
          <w:u w:val="single"/>
        </w:rPr>
        <w:t>▲</w:t>
      </w:r>
      <w:r>
        <w:rPr>
          <w:rFonts w:hint="eastAsia"/>
          <w:b/>
          <w:bCs/>
          <w:sz w:val="24"/>
          <w:u w:val="single"/>
        </w:rPr>
        <w:t>数据补录功能：持批量导入补录数据功能/人工手工录入数据/系统自动补录数据三种方式；补录的数据项目支持小时，日，月的累计用电量数据；支持快速结算功能。</w:t>
      </w:r>
    </w:p>
    <w:p w14:paraId="514E16A9">
      <w:pPr>
        <w:pStyle w:val="57"/>
        <w:numPr>
          <w:ilvl w:val="0"/>
          <w:numId w:val="12"/>
        </w:numPr>
        <w:spacing w:line="360" w:lineRule="auto"/>
        <w:ind w:left="0" w:firstLine="0" w:firstLineChars="0"/>
        <w:rPr>
          <w:rFonts w:hint="eastAsia"/>
          <w:b/>
          <w:bCs/>
          <w:sz w:val="24"/>
          <w:u w:val="single"/>
        </w:rPr>
      </w:pPr>
      <w:r>
        <w:rPr>
          <w:rFonts w:hint="eastAsia" w:ascii="宋体" w:hAnsi="宋体" w:cs="宋体"/>
          <w:b/>
          <w:bCs/>
          <w:kern w:val="0"/>
          <w:sz w:val="24"/>
          <w:u w:val="single"/>
        </w:rPr>
        <w:t>▲</w:t>
      </w:r>
      <w:r>
        <w:rPr>
          <w:rFonts w:hint="eastAsia"/>
          <w:b/>
          <w:bCs/>
          <w:sz w:val="24"/>
          <w:u w:val="single"/>
        </w:rPr>
        <w:t>用电分析：支持对表计进行参数趋势分析，对于重点监测的表计，通过自动采集表计参数项，如电流或功率等，能直观分析出表计运行状态；</w:t>
      </w:r>
    </w:p>
    <w:p w14:paraId="6DBAF9FD">
      <w:pPr>
        <w:pStyle w:val="57"/>
        <w:numPr>
          <w:ilvl w:val="0"/>
          <w:numId w:val="12"/>
        </w:numPr>
        <w:spacing w:line="360" w:lineRule="auto"/>
        <w:ind w:left="0" w:firstLine="0" w:firstLineChars="0"/>
        <w:rPr>
          <w:b/>
          <w:bCs/>
          <w:sz w:val="24"/>
          <w:u w:val="single"/>
        </w:rPr>
      </w:pPr>
      <w:r>
        <w:rPr>
          <w:rFonts w:hint="eastAsia" w:ascii="宋体" w:hAnsi="宋体" w:cs="宋体"/>
          <w:b/>
          <w:bCs/>
          <w:kern w:val="0"/>
          <w:sz w:val="24"/>
          <w:u w:val="single"/>
        </w:rPr>
        <w:t>▲</w:t>
      </w:r>
      <w:r>
        <w:rPr>
          <w:rFonts w:hint="eastAsia"/>
          <w:b/>
          <w:bCs/>
          <w:sz w:val="24"/>
          <w:u w:val="single"/>
        </w:rPr>
        <w:t>电表事件：主要查询表计的各类事件状况、如表计的充值、告警、断电、欠费不断电、校时、长时间无新增用量等事件通过系统或设备主动上报等方式，对各类表计事件进行统计分析。</w:t>
      </w:r>
    </w:p>
    <w:p w14:paraId="7497DB0B">
      <w:pPr>
        <w:spacing w:line="360" w:lineRule="auto"/>
        <w:ind w:firstLine="482" w:firstLineChars="200"/>
        <w:rPr>
          <w:rFonts w:hint="eastAsia"/>
          <w:b/>
          <w:bCs/>
          <w:sz w:val="24"/>
        </w:rPr>
      </w:pPr>
      <w:r>
        <w:rPr>
          <w:rFonts w:hint="eastAsia"/>
          <w:b/>
          <w:bCs/>
          <w:sz w:val="24"/>
        </w:rPr>
        <w:t>1</w:t>
      </w:r>
      <w:r>
        <w:rPr>
          <w:b/>
          <w:bCs/>
          <w:sz w:val="24"/>
        </w:rPr>
        <w:t>.16.</w:t>
      </w:r>
      <w:r>
        <w:rPr>
          <w:rFonts w:hint="eastAsia"/>
          <w:b/>
          <w:bCs/>
          <w:sz w:val="24"/>
        </w:rPr>
        <w:t>上述部分功能需具有备注及审批流程功能</w:t>
      </w:r>
    </w:p>
    <w:p w14:paraId="5FD0594D">
      <w:pPr>
        <w:spacing w:line="360" w:lineRule="auto"/>
        <w:ind w:firstLine="482" w:firstLineChars="200"/>
        <w:rPr>
          <w:rFonts w:hint="eastAsia"/>
          <w:b/>
          <w:bCs/>
          <w:sz w:val="24"/>
        </w:rPr>
      </w:pPr>
      <w:r>
        <w:rPr>
          <w:b/>
          <w:bCs/>
          <w:sz w:val="24"/>
        </w:rPr>
        <w:t>1</w:t>
      </w:r>
      <w:r>
        <w:rPr>
          <w:rFonts w:hint="eastAsia"/>
          <w:b/>
          <w:bCs/>
          <w:sz w:val="24"/>
        </w:rPr>
        <w:t>.1</w:t>
      </w:r>
      <w:r>
        <w:rPr>
          <w:b/>
          <w:bCs/>
          <w:sz w:val="24"/>
        </w:rPr>
        <w:t>7</w:t>
      </w:r>
      <w:r>
        <w:rPr>
          <w:rFonts w:hint="eastAsia"/>
          <w:b/>
          <w:bCs/>
          <w:sz w:val="24"/>
        </w:rPr>
        <w:t>用水管理（拓展功能）：</w:t>
      </w:r>
    </w:p>
    <w:p w14:paraId="2F9257E8">
      <w:pPr>
        <w:pStyle w:val="57"/>
        <w:numPr>
          <w:ilvl w:val="0"/>
          <w:numId w:val="13"/>
        </w:numPr>
        <w:spacing w:line="360" w:lineRule="auto"/>
        <w:ind w:left="0" w:firstLine="0" w:firstLineChars="0"/>
        <w:rPr>
          <w:rFonts w:ascii="宋体" w:hAnsi="宋体" w:cs="宋体"/>
          <w:sz w:val="24"/>
        </w:rPr>
      </w:pPr>
      <w:r>
        <w:rPr>
          <w:rFonts w:hint="eastAsia"/>
          <w:sz w:val="24"/>
        </w:rPr>
        <w:t>用水查询：支持查询每个表计的月账单并直接打印导出；支持用水数据查询，按时/日 /月的方式查询每台设备某一时间段的详细用水信息，并支持图形显示与数据导出；</w:t>
      </w:r>
    </w:p>
    <w:p w14:paraId="31566C15">
      <w:pPr>
        <w:pStyle w:val="57"/>
        <w:numPr>
          <w:ilvl w:val="0"/>
          <w:numId w:val="13"/>
        </w:numPr>
        <w:spacing w:line="360" w:lineRule="auto"/>
        <w:ind w:left="0" w:firstLine="0" w:firstLineChars="0"/>
        <w:rPr>
          <w:rFonts w:hint="eastAsia"/>
          <w:sz w:val="24"/>
        </w:rPr>
      </w:pPr>
      <w:r>
        <w:rPr>
          <w:rFonts w:hint="eastAsia"/>
          <w:sz w:val="24"/>
        </w:rPr>
        <w:t>抄表记录查询：支持查询历史所有的抄表记录，包含系统自动采集记录及人工数据采集记录的数据，支持按时间及对象查询及数据导出功能。</w:t>
      </w:r>
    </w:p>
    <w:p w14:paraId="45E2870B">
      <w:pPr>
        <w:pStyle w:val="57"/>
        <w:numPr>
          <w:ilvl w:val="0"/>
          <w:numId w:val="13"/>
        </w:numPr>
        <w:spacing w:line="360" w:lineRule="auto"/>
        <w:ind w:left="0" w:firstLine="0" w:firstLineChars="0"/>
        <w:rPr>
          <w:rFonts w:hint="eastAsia"/>
          <w:sz w:val="24"/>
        </w:rPr>
      </w:pPr>
      <w:r>
        <w:rPr>
          <w:rFonts w:hint="eastAsia"/>
          <w:sz w:val="24"/>
        </w:rPr>
        <w:t>用水分析：支持对表计进行参数趋势分析，对于重点监测的表计，通过自动采集表计参数项，如流量或压力等，能直观分析出设备运行状态。</w:t>
      </w:r>
    </w:p>
    <w:p w14:paraId="21F5FFE9">
      <w:pPr>
        <w:pStyle w:val="4"/>
        <w:rPr>
          <w:rFonts w:hint="eastAsia"/>
          <w:lang w:val="sq-AL"/>
        </w:rPr>
      </w:pPr>
      <w:bookmarkStart w:id="15" w:name="_Toc203667657"/>
      <w:r>
        <w:rPr>
          <w:lang w:val="sq-AL"/>
        </w:rPr>
        <w:t>2</w:t>
      </w:r>
      <w:r>
        <w:rPr>
          <w:rFonts w:hint="eastAsia"/>
          <w:lang w:val="sq-AL"/>
        </w:rPr>
        <w:t>、物联网管理平台要求</w:t>
      </w:r>
      <w:bookmarkEnd w:id="15"/>
    </w:p>
    <w:p w14:paraId="603C75D5">
      <w:pPr>
        <w:spacing w:line="360" w:lineRule="auto"/>
        <w:ind w:firstLine="420" w:firstLineChars="200"/>
        <w:rPr>
          <w:b/>
          <w:bCs/>
          <w:sz w:val="24"/>
        </w:rPr>
      </w:pPr>
      <w:r>
        <w:rPr>
          <w:rFonts w:hint="eastAsia" w:hAnsi="Calibri" w:eastAsia="等线"/>
          <w:kern w:val="0"/>
          <w:szCs w:val="21"/>
        </w:rPr>
        <w:t>★</w:t>
      </w:r>
      <w:r>
        <w:rPr>
          <w:b/>
          <w:bCs/>
          <w:sz w:val="24"/>
        </w:rPr>
        <w:t>2</w:t>
      </w:r>
      <w:r>
        <w:rPr>
          <w:rFonts w:hint="eastAsia"/>
          <w:b/>
          <w:bCs/>
          <w:sz w:val="24"/>
        </w:rPr>
        <w:t>.</w:t>
      </w:r>
      <w:r>
        <w:rPr>
          <w:b/>
          <w:bCs/>
          <w:sz w:val="24"/>
        </w:rPr>
        <w:t>1</w:t>
      </w:r>
      <w:r>
        <w:rPr>
          <w:rFonts w:hint="eastAsia"/>
          <w:b/>
          <w:bCs/>
          <w:sz w:val="24"/>
        </w:rPr>
        <w:t xml:space="preserve"> </w:t>
      </w:r>
      <w:r>
        <w:rPr>
          <w:rFonts w:hint="eastAsia"/>
          <w:b/>
          <w:bCs/>
          <w:sz w:val="24"/>
          <w:u w:val="single"/>
        </w:rPr>
        <w:t>其他设备接入管理（必须满足，提供对接方案）</w:t>
      </w:r>
      <w:r>
        <w:rPr>
          <w:b/>
          <w:bCs/>
          <w:sz w:val="24"/>
          <w:u w:val="single"/>
        </w:rPr>
        <w:tab/>
      </w:r>
    </w:p>
    <w:p w14:paraId="1CC77FE4">
      <w:pPr>
        <w:pStyle w:val="57"/>
        <w:numPr>
          <w:ilvl w:val="0"/>
          <w:numId w:val="14"/>
        </w:numPr>
        <w:spacing w:line="360" w:lineRule="auto"/>
        <w:ind w:left="0" w:firstLine="0" w:firstLineChars="0"/>
        <w:rPr>
          <w:rFonts w:ascii="宋体" w:hAnsi="宋体" w:cs="宋体"/>
          <w:b/>
          <w:bCs/>
          <w:sz w:val="24"/>
          <w:u w:val="single"/>
        </w:rPr>
      </w:pPr>
      <w:bookmarkStart w:id="16" w:name="OLE_LINK4"/>
      <w:r>
        <w:rPr>
          <w:rFonts w:hint="eastAsia"/>
          <w:b/>
          <w:bCs/>
          <w:sz w:val="24"/>
          <w:u w:val="single"/>
        </w:rPr>
        <w:t>支持接入符合平台通信协议的智能电表、智能水表、热表，智能硬件等能源监控设备，空气质量监测仪等环境传感器，和数据集中器、智能网关等物联网数据集中采集设备。</w:t>
      </w:r>
    </w:p>
    <w:bookmarkEnd w:id="16"/>
    <w:p w14:paraId="7462EA3C">
      <w:pPr>
        <w:pStyle w:val="57"/>
        <w:numPr>
          <w:ilvl w:val="0"/>
          <w:numId w:val="14"/>
        </w:numPr>
        <w:spacing w:line="360" w:lineRule="auto"/>
        <w:ind w:left="0" w:firstLine="0" w:firstLineChars="0"/>
        <w:rPr>
          <w:rFonts w:hint="eastAsia"/>
          <w:b/>
          <w:bCs/>
          <w:sz w:val="24"/>
          <w:u w:val="single"/>
        </w:rPr>
      </w:pPr>
      <w:r>
        <w:rPr>
          <w:rFonts w:hint="eastAsia"/>
          <w:b/>
          <w:bCs/>
          <w:sz w:val="24"/>
          <w:u w:val="single"/>
        </w:rPr>
        <w:t>能够对接入平台的设备进行全生命周期管理。</w:t>
      </w:r>
    </w:p>
    <w:p w14:paraId="7269CE6B">
      <w:pPr>
        <w:pStyle w:val="57"/>
        <w:numPr>
          <w:ilvl w:val="0"/>
          <w:numId w:val="14"/>
        </w:numPr>
        <w:spacing w:line="360" w:lineRule="auto"/>
        <w:ind w:left="0" w:firstLine="0" w:firstLineChars="0"/>
        <w:rPr>
          <w:rFonts w:hint="eastAsia"/>
          <w:b/>
          <w:bCs/>
          <w:sz w:val="24"/>
          <w:u w:val="single"/>
        </w:rPr>
      </w:pPr>
      <w:r>
        <w:rPr>
          <w:rFonts w:hint="eastAsia"/>
          <w:b/>
          <w:bCs/>
          <w:sz w:val="24"/>
          <w:u w:val="single"/>
        </w:rPr>
        <w:t>平台支持接入的设备数量规模≥10万台。</w:t>
      </w:r>
    </w:p>
    <w:p w14:paraId="22745211">
      <w:pPr>
        <w:spacing w:line="360" w:lineRule="auto"/>
        <w:ind w:firstLine="482" w:firstLineChars="200"/>
        <w:rPr>
          <w:rFonts w:hint="eastAsia"/>
          <w:b/>
          <w:bCs/>
          <w:sz w:val="24"/>
        </w:rPr>
      </w:pPr>
      <w:r>
        <w:rPr>
          <w:b/>
          <w:bCs/>
          <w:sz w:val="24"/>
        </w:rPr>
        <w:t>2</w:t>
      </w:r>
      <w:r>
        <w:rPr>
          <w:rFonts w:hint="eastAsia"/>
          <w:b/>
          <w:bCs/>
          <w:sz w:val="24"/>
        </w:rPr>
        <w:t>.2物联网通信协议管理</w:t>
      </w:r>
    </w:p>
    <w:p w14:paraId="691807AD">
      <w:pPr>
        <w:pStyle w:val="57"/>
        <w:numPr>
          <w:ilvl w:val="0"/>
          <w:numId w:val="15"/>
        </w:numPr>
        <w:spacing w:line="360" w:lineRule="auto"/>
        <w:ind w:left="0" w:firstLine="0" w:firstLineChars="0"/>
        <w:rPr>
          <w:rFonts w:ascii="宋体" w:hAnsi="宋体" w:cs="宋体"/>
          <w:sz w:val="24"/>
        </w:rPr>
      </w:pPr>
      <w:r>
        <w:rPr>
          <w:rFonts w:hint="eastAsia"/>
          <w:sz w:val="24"/>
        </w:rPr>
        <w:t>支持发改委颁布的DL/T 645、建设部颁布的CJ/T 188-2004</w:t>
      </w:r>
    </w:p>
    <w:p w14:paraId="7A8EF510">
      <w:pPr>
        <w:pStyle w:val="57"/>
        <w:numPr>
          <w:ilvl w:val="0"/>
          <w:numId w:val="15"/>
        </w:numPr>
        <w:spacing w:line="360" w:lineRule="auto"/>
        <w:ind w:left="0" w:firstLine="0" w:firstLineChars="0"/>
        <w:rPr>
          <w:rFonts w:hint="eastAsia"/>
          <w:sz w:val="24"/>
        </w:rPr>
      </w:pPr>
      <w:r>
        <w:rPr>
          <w:rFonts w:hint="eastAsia"/>
          <w:sz w:val="24"/>
        </w:rPr>
        <w:t>支持国家电网Q/GDW 1376-2013集中器通信规约；</w:t>
      </w:r>
    </w:p>
    <w:p w14:paraId="14112518">
      <w:pPr>
        <w:pStyle w:val="57"/>
        <w:numPr>
          <w:ilvl w:val="0"/>
          <w:numId w:val="15"/>
        </w:numPr>
        <w:spacing w:line="360" w:lineRule="auto"/>
        <w:ind w:left="0" w:firstLine="0" w:firstLineChars="0"/>
        <w:rPr>
          <w:rFonts w:hint="eastAsia"/>
          <w:sz w:val="24"/>
        </w:rPr>
      </w:pPr>
      <w:r>
        <w:rPr>
          <w:rFonts w:hint="eastAsia"/>
          <w:sz w:val="24"/>
        </w:rPr>
        <w:t>支持可扩展性，根据采购人智能化提升需求添加不同类型计量控制设备的通信规约</w:t>
      </w:r>
    </w:p>
    <w:p w14:paraId="207DDFE4">
      <w:pPr>
        <w:spacing w:line="360" w:lineRule="auto"/>
        <w:ind w:firstLine="482" w:firstLineChars="200"/>
        <w:rPr>
          <w:rFonts w:hint="eastAsia"/>
          <w:b/>
          <w:bCs/>
          <w:sz w:val="24"/>
        </w:rPr>
      </w:pPr>
      <w:r>
        <w:rPr>
          <w:rFonts w:hint="eastAsia"/>
          <w:b/>
          <w:bCs/>
          <w:sz w:val="24"/>
        </w:rPr>
        <w:t>2.3物联网组网通信管理</w:t>
      </w:r>
    </w:p>
    <w:p w14:paraId="2D6F8119">
      <w:pPr>
        <w:pStyle w:val="57"/>
        <w:numPr>
          <w:ilvl w:val="0"/>
          <w:numId w:val="16"/>
        </w:numPr>
        <w:spacing w:line="360" w:lineRule="auto"/>
        <w:ind w:left="0" w:firstLine="0" w:firstLineChars="0"/>
        <w:rPr>
          <w:rFonts w:ascii="宋体" w:hAnsi="宋体" w:cs="宋体"/>
          <w:sz w:val="24"/>
        </w:rPr>
      </w:pPr>
      <w:r>
        <w:rPr>
          <w:rFonts w:hint="eastAsia"/>
          <w:sz w:val="24"/>
        </w:rPr>
        <w:t>物联网管理：管理集中采集设备和计量控制设备构成的物联网，要求支持RS485有线、MBUS有线、470MHz无线、蓝牙mesh混合组网等组网方式。</w:t>
      </w:r>
    </w:p>
    <w:p w14:paraId="0D5047E3">
      <w:pPr>
        <w:pStyle w:val="57"/>
        <w:numPr>
          <w:ilvl w:val="0"/>
          <w:numId w:val="16"/>
        </w:numPr>
        <w:spacing w:line="360" w:lineRule="auto"/>
        <w:ind w:left="0" w:firstLine="0" w:firstLineChars="0"/>
        <w:rPr>
          <w:rFonts w:hint="eastAsia"/>
          <w:sz w:val="24"/>
        </w:rPr>
      </w:pPr>
      <w:r>
        <w:rPr>
          <w:rFonts w:hint="eastAsia"/>
          <w:sz w:val="24"/>
        </w:rPr>
        <w:t>物联网实时通信：支持实时采集计量控制设备数据、实时管理集中采集设备和计量控制设备参数、实时控制智能设备</w:t>
      </w:r>
    </w:p>
    <w:p w14:paraId="52A77B23">
      <w:pPr>
        <w:pStyle w:val="57"/>
        <w:numPr>
          <w:ilvl w:val="0"/>
          <w:numId w:val="16"/>
        </w:numPr>
        <w:spacing w:line="360" w:lineRule="auto"/>
        <w:ind w:left="0" w:firstLine="0" w:firstLineChars="0"/>
        <w:rPr>
          <w:rFonts w:hint="eastAsia"/>
          <w:sz w:val="24"/>
        </w:rPr>
      </w:pPr>
      <w:r>
        <w:rPr>
          <w:rFonts w:hint="eastAsia"/>
          <w:sz w:val="24"/>
        </w:rPr>
        <w:t>任务调度管理：接收多个应用系统的物联网通信任务，对任务进行合理调度，并对不同性质的有线、无线物联网采用不同通信管理策略</w:t>
      </w:r>
    </w:p>
    <w:p w14:paraId="7C1D1BC5">
      <w:pPr>
        <w:spacing w:line="360" w:lineRule="auto"/>
        <w:ind w:firstLine="420" w:firstLineChars="200"/>
        <w:rPr>
          <w:rFonts w:hint="eastAsia"/>
          <w:b/>
          <w:bCs/>
          <w:sz w:val="24"/>
        </w:rPr>
      </w:pPr>
      <w:r>
        <w:rPr>
          <w:rFonts w:hint="eastAsia" w:hAnsi="Calibri" w:eastAsia="等线"/>
          <w:kern w:val="0"/>
          <w:szCs w:val="21"/>
        </w:rPr>
        <w:t>★</w:t>
      </w:r>
      <w:r>
        <w:rPr>
          <w:rFonts w:hint="eastAsia"/>
          <w:b/>
          <w:bCs/>
          <w:sz w:val="24"/>
        </w:rPr>
        <w:t>2.4</w:t>
      </w:r>
      <w:r>
        <w:rPr>
          <w:b/>
          <w:bCs/>
          <w:sz w:val="24"/>
          <w:u w:val="single"/>
        </w:rPr>
        <w:t xml:space="preserve"> API</w:t>
      </w:r>
      <w:r>
        <w:rPr>
          <w:rFonts w:hint="eastAsia"/>
          <w:b/>
          <w:bCs/>
          <w:sz w:val="24"/>
          <w:u w:val="single"/>
        </w:rPr>
        <w:t>接口服务（必须满足，提供开放方案）</w:t>
      </w:r>
    </w:p>
    <w:p w14:paraId="739765AC">
      <w:pPr>
        <w:pStyle w:val="57"/>
        <w:numPr>
          <w:ilvl w:val="0"/>
          <w:numId w:val="17"/>
        </w:numPr>
        <w:spacing w:line="360" w:lineRule="auto"/>
        <w:ind w:left="0" w:firstLine="0" w:firstLineChars="0"/>
        <w:rPr>
          <w:rFonts w:ascii="宋体" w:hAnsi="宋体" w:cs="宋体"/>
          <w:b/>
          <w:bCs/>
          <w:sz w:val="24"/>
          <w:u w:val="single"/>
        </w:rPr>
      </w:pPr>
      <w:r>
        <w:rPr>
          <w:rFonts w:hint="eastAsia"/>
          <w:b/>
          <w:bCs/>
          <w:sz w:val="24"/>
          <w:u w:val="single"/>
        </w:rPr>
        <w:t>即时通信接口：支持上层多个应用系统调用接口实时抄读数据和控制设备</w:t>
      </w:r>
    </w:p>
    <w:p w14:paraId="08EB8AE0">
      <w:pPr>
        <w:pStyle w:val="57"/>
        <w:numPr>
          <w:ilvl w:val="0"/>
          <w:numId w:val="17"/>
        </w:numPr>
        <w:spacing w:line="360" w:lineRule="auto"/>
        <w:ind w:left="0" w:firstLine="0" w:firstLineChars="0"/>
        <w:rPr>
          <w:rFonts w:hint="eastAsia"/>
          <w:b/>
          <w:bCs/>
          <w:sz w:val="24"/>
          <w:u w:val="single"/>
        </w:rPr>
      </w:pPr>
      <w:r>
        <w:rPr>
          <w:rFonts w:hint="eastAsia"/>
          <w:b/>
          <w:bCs/>
          <w:sz w:val="24"/>
          <w:u w:val="single"/>
        </w:rPr>
        <w:t>消息上报接口：支持上层多个应用系统通过接口自动获取平台推送的设备数据</w:t>
      </w:r>
    </w:p>
    <w:p w14:paraId="7505D913">
      <w:pPr>
        <w:spacing w:line="360" w:lineRule="auto"/>
        <w:ind w:firstLine="482" w:firstLineChars="200"/>
        <w:rPr>
          <w:rFonts w:hint="eastAsia"/>
          <w:b/>
          <w:bCs/>
          <w:sz w:val="24"/>
        </w:rPr>
      </w:pPr>
      <w:r>
        <w:rPr>
          <w:rFonts w:hint="eastAsia"/>
          <w:b/>
          <w:bCs/>
          <w:sz w:val="24"/>
        </w:rPr>
        <w:t>2.5档案管理</w:t>
      </w:r>
    </w:p>
    <w:p w14:paraId="571DA512">
      <w:pPr>
        <w:spacing w:line="360" w:lineRule="auto"/>
        <w:ind w:firstLine="480" w:firstLineChars="200"/>
        <w:rPr>
          <w:sz w:val="24"/>
        </w:rPr>
      </w:pPr>
      <w:r>
        <w:rPr>
          <w:rFonts w:hint="eastAsia"/>
          <w:sz w:val="24"/>
        </w:rPr>
        <w:t>设备档案管理功能：包括但不限于各类接入设备的通讯地址、设备型号、产品分类、波特率、协议类型、终端端口、级联关系等信息</w:t>
      </w:r>
    </w:p>
    <w:p w14:paraId="1442989D">
      <w:pPr>
        <w:spacing w:line="360" w:lineRule="auto"/>
        <w:ind w:firstLine="482" w:firstLineChars="200"/>
        <w:rPr>
          <w:b/>
          <w:bCs/>
          <w:sz w:val="24"/>
        </w:rPr>
      </w:pPr>
      <w:r>
        <w:rPr>
          <w:rFonts w:hint="eastAsia"/>
          <w:b/>
          <w:bCs/>
          <w:sz w:val="24"/>
        </w:rPr>
        <w:t>2.6设备调试与运维</w:t>
      </w:r>
    </w:p>
    <w:p w14:paraId="65259D47">
      <w:pPr>
        <w:pStyle w:val="57"/>
        <w:numPr>
          <w:ilvl w:val="0"/>
          <w:numId w:val="18"/>
        </w:numPr>
        <w:spacing w:line="360" w:lineRule="auto"/>
        <w:ind w:left="0" w:firstLine="0" w:firstLineChars="0"/>
        <w:rPr>
          <w:rFonts w:ascii="宋体" w:hAnsi="宋体" w:cs="宋体"/>
          <w:sz w:val="24"/>
        </w:rPr>
      </w:pPr>
      <w:r>
        <w:rPr>
          <w:rFonts w:hint="eastAsia"/>
          <w:sz w:val="24"/>
        </w:rPr>
        <w:t>支持对接入设备进行远程调试，包括点抄、参数设置等，便于项目运维</w:t>
      </w:r>
    </w:p>
    <w:p w14:paraId="0EFD47F6">
      <w:pPr>
        <w:pStyle w:val="57"/>
        <w:numPr>
          <w:ilvl w:val="0"/>
          <w:numId w:val="18"/>
        </w:numPr>
        <w:spacing w:line="360" w:lineRule="auto"/>
        <w:ind w:left="0" w:firstLine="0" w:firstLineChars="0"/>
        <w:rPr>
          <w:rFonts w:hint="eastAsia"/>
          <w:sz w:val="24"/>
        </w:rPr>
      </w:pPr>
      <w:r>
        <w:rPr>
          <w:rFonts w:hint="eastAsia"/>
          <w:sz w:val="24"/>
        </w:rPr>
        <w:t>支持设备的远程升级；</w:t>
      </w:r>
    </w:p>
    <w:p w14:paraId="49009C3B">
      <w:pPr>
        <w:spacing w:line="360" w:lineRule="auto"/>
        <w:ind w:firstLine="482" w:firstLineChars="200"/>
        <w:rPr>
          <w:rFonts w:hint="eastAsia"/>
          <w:b/>
          <w:bCs/>
          <w:sz w:val="24"/>
        </w:rPr>
      </w:pPr>
      <w:r>
        <w:rPr>
          <w:rFonts w:hint="eastAsia"/>
          <w:b/>
          <w:bCs/>
          <w:sz w:val="24"/>
        </w:rPr>
        <w:t>2.7用户权限管理</w:t>
      </w:r>
    </w:p>
    <w:p w14:paraId="7305759E">
      <w:pPr>
        <w:spacing w:line="360" w:lineRule="auto"/>
        <w:ind w:firstLine="480" w:firstLineChars="200"/>
        <w:rPr>
          <w:sz w:val="24"/>
        </w:rPr>
      </w:pPr>
      <w:r>
        <w:rPr>
          <w:rFonts w:hint="eastAsia"/>
          <w:sz w:val="24"/>
        </w:rPr>
        <w:t>支持用户角色管理和用户分级授权管理。</w:t>
      </w:r>
    </w:p>
    <w:p w14:paraId="0FEAD2AC">
      <w:pPr>
        <w:pStyle w:val="4"/>
        <w:rPr>
          <w:lang w:val="sq-AL"/>
        </w:rPr>
      </w:pPr>
      <w:bookmarkStart w:id="17" w:name="_Toc203667658"/>
      <w:r>
        <w:rPr>
          <w:rFonts w:hint="eastAsia"/>
          <w:lang w:val="sq-AL"/>
        </w:rPr>
        <w:t>3、移动端服务功能要求</w:t>
      </w:r>
      <w:bookmarkEnd w:id="17"/>
    </w:p>
    <w:p w14:paraId="2E5FAC26">
      <w:pPr>
        <w:spacing w:line="360" w:lineRule="auto"/>
        <w:ind w:firstLine="482" w:firstLineChars="200"/>
        <w:rPr>
          <w:b/>
          <w:bCs/>
          <w:sz w:val="24"/>
        </w:rPr>
      </w:pPr>
      <w:r>
        <w:rPr>
          <w:rFonts w:hint="eastAsia"/>
          <w:b/>
          <w:bCs/>
          <w:sz w:val="24"/>
        </w:rPr>
        <w:t>3.1绑定房间信息</w:t>
      </w:r>
    </w:p>
    <w:p w14:paraId="19B7B3BB">
      <w:pPr>
        <w:spacing w:line="360" w:lineRule="auto"/>
        <w:ind w:firstLine="480" w:firstLineChars="200"/>
        <w:rPr>
          <w:sz w:val="24"/>
        </w:rPr>
      </w:pPr>
      <w:r>
        <w:rPr>
          <w:rFonts w:hint="eastAsia"/>
          <w:sz w:val="24"/>
        </w:rPr>
        <w:t>根据用户选择的校区、楼宇、单元、楼层及房间信息进行绑定，绑定后下次登录无需重新绑定，支持自主绑定与解绑操作；</w:t>
      </w:r>
    </w:p>
    <w:p w14:paraId="7ED444C8">
      <w:pPr>
        <w:spacing w:line="360" w:lineRule="auto"/>
        <w:ind w:firstLine="482" w:firstLineChars="200"/>
        <w:rPr>
          <w:b/>
          <w:bCs/>
          <w:sz w:val="24"/>
        </w:rPr>
      </w:pPr>
      <w:r>
        <w:rPr>
          <w:rFonts w:hint="eastAsia"/>
          <w:b/>
          <w:bCs/>
          <w:sz w:val="24"/>
        </w:rPr>
        <w:t>3.2关联仪表显示</w:t>
      </w:r>
      <w:r>
        <w:rPr>
          <w:b/>
          <w:bCs/>
          <w:sz w:val="24"/>
        </w:rPr>
        <w:tab/>
      </w:r>
    </w:p>
    <w:p w14:paraId="2C3A4B9D">
      <w:pPr>
        <w:spacing w:line="360" w:lineRule="auto"/>
        <w:ind w:firstLine="480" w:firstLineChars="200"/>
        <w:rPr>
          <w:sz w:val="24"/>
        </w:rPr>
      </w:pPr>
      <w:r>
        <w:rPr>
          <w:rFonts w:hint="eastAsia"/>
          <w:sz w:val="24"/>
        </w:rPr>
        <w:t>实时展示房间对应的电表信息，电表名称、电表编号，显示电量、电费余额、补贴电量等关键信息，让用户快速掌握当前状态。</w:t>
      </w:r>
    </w:p>
    <w:p w14:paraId="6B7BC963">
      <w:pPr>
        <w:spacing w:line="360" w:lineRule="auto"/>
        <w:ind w:firstLine="480" w:firstLineChars="200"/>
        <w:rPr>
          <w:sz w:val="24"/>
        </w:rPr>
      </w:pPr>
      <w:r>
        <w:rPr>
          <w:rFonts w:hint="eastAsia"/>
          <w:sz w:val="24"/>
        </w:rPr>
        <w:t>设备切换：支持设备切换功能，用户可选择并切换至已绑定该房间的其他仪表，如其他电表、水表、气表等。</w:t>
      </w:r>
      <w:r>
        <w:rPr>
          <w:sz w:val="24"/>
        </w:rPr>
        <w:t>"</w:t>
      </w:r>
    </w:p>
    <w:p w14:paraId="405F4030">
      <w:pPr>
        <w:spacing w:line="360" w:lineRule="auto"/>
        <w:ind w:firstLine="482" w:firstLineChars="200"/>
        <w:rPr>
          <w:b/>
          <w:bCs/>
          <w:sz w:val="24"/>
        </w:rPr>
      </w:pPr>
      <w:r>
        <w:rPr>
          <w:rFonts w:hint="eastAsia"/>
          <w:b/>
          <w:bCs/>
          <w:sz w:val="24"/>
        </w:rPr>
        <w:t>3.3缴费充值</w:t>
      </w:r>
    </w:p>
    <w:p w14:paraId="5F40270F">
      <w:pPr>
        <w:pStyle w:val="57"/>
        <w:numPr>
          <w:ilvl w:val="0"/>
          <w:numId w:val="19"/>
        </w:numPr>
        <w:spacing w:line="360" w:lineRule="auto"/>
        <w:ind w:firstLineChars="0"/>
        <w:rPr>
          <w:sz w:val="24"/>
        </w:rPr>
      </w:pPr>
      <w:r>
        <w:rPr>
          <w:rFonts w:hint="eastAsia"/>
          <w:sz w:val="24"/>
        </w:rPr>
        <w:t>房间和电表信息</w:t>
      </w:r>
    </w:p>
    <w:p w14:paraId="1A8DB9C3">
      <w:pPr>
        <w:spacing w:line="360" w:lineRule="auto"/>
        <w:ind w:firstLine="480" w:firstLineChars="200"/>
        <w:rPr>
          <w:sz w:val="24"/>
        </w:rPr>
      </w:pPr>
      <w:r>
        <w:rPr>
          <w:rFonts w:hint="eastAsia"/>
          <w:sz w:val="24"/>
        </w:rPr>
        <w:t>显示用户当前绑定的房间信息（如</w:t>
      </w:r>
      <w:r>
        <w:rPr>
          <w:sz w:val="24"/>
        </w:rPr>
        <w:t>“3</w:t>
      </w:r>
      <w:r>
        <w:rPr>
          <w:rFonts w:hint="eastAsia"/>
          <w:sz w:val="24"/>
        </w:rPr>
        <w:t>栋</w:t>
      </w:r>
      <w:r>
        <w:rPr>
          <w:sz w:val="24"/>
        </w:rPr>
        <w:t>304</w:t>
      </w:r>
      <w:r>
        <w:rPr>
          <w:rFonts w:hint="eastAsia"/>
          <w:sz w:val="24"/>
        </w:rPr>
        <w:t>室</w:t>
      </w:r>
      <w:r>
        <w:rPr>
          <w:sz w:val="24"/>
        </w:rPr>
        <w:t>”</w:t>
      </w:r>
      <w:r>
        <w:rPr>
          <w:rFonts w:hint="eastAsia"/>
          <w:sz w:val="24"/>
        </w:rPr>
        <w:t>）。</w:t>
      </w:r>
    </w:p>
    <w:p w14:paraId="671378C1">
      <w:pPr>
        <w:spacing w:line="360" w:lineRule="auto"/>
        <w:ind w:firstLine="480" w:firstLineChars="200"/>
        <w:rPr>
          <w:sz w:val="24"/>
        </w:rPr>
      </w:pPr>
      <w:r>
        <w:rPr>
          <w:rFonts w:hint="eastAsia"/>
          <w:sz w:val="24"/>
        </w:rPr>
        <w:t>展示当前关联的电表编号（如</w:t>
      </w:r>
      <w:r>
        <w:rPr>
          <w:sz w:val="24"/>
        </w:rPr>
        <w:t>“304</w:t>
      </w:r>
      <w:r>
        <w:rPr>
          <w:rFonts w:hint="eastAsia"/>
          <w:sz w:val="24"/>
        </w:rPr>
        <w:t>总路</w:t>
      </w:r>
      <w:r>
        <w:rPr>
          <w:sz w:val="24"/>
        </w:rPr>
        <w:t>——250308123456”</w:t>
      </w:r>
      <w:r>
        <w:rPr>
          <w:rFonts w:hint="eastAsia"/>
          <w:sz w:val="24"/>
        </w:rPr>
        <w:t>）。</w:t>
      </w:r>
    </w:p>
    <w:p w14:paraId="0FE1979F">
      <w:pPr>
        <w:spacing w:line="360" w:lineRule="auto"/>
        <w:ind w:firstLine="480" w:firstLineChars="200"/>
        <w:rPr>
          <w:sz w:val="24"/>
        </w:rPr>
      </w:pPr>
      <w:r>
        <w:rPr>
          <w:rFonts w:hint="eastAsia"/>
          <w:sz w:val="24"/>
        </w:rPr>
        <w:t>实时显示账户余额（如</w:t>
      </w:r>
      <w:r>
        <w:rPr>
          <w:sz w:val="24"/>
        </w:rPr>
        <w:t>“23.74</w:t>
      </w:r>
      <w:r>
        <w:rPr>
          <w:rFonts w:hint="eastAsia"/>
          <w:sz w:val="24"/>
        </w:rPr>
        <w:t>元</w:t>
      </w:r>
      <w:r>
        <w:rPr>
          <w:sz w:val="24"/>
        </w:rPr>
        <w:t>”</w:t>
      </w:r>
      <w:r>
        <w:rPr>
          <w:rFonts w:hint="eastAsia"/>
          <w:sz w:val="24"/>
        </w:rPr>
        <w:t>），便于用户了解当前电费账户情况。</w:t>
      </w:r>
    </w:p>
    <w:p w14:paraId="4008F3B2">
      <w:pPr>
        <w:pStyle w:val="57"/>
        <w:numPr>
          <w:ilvl w:val="0"/>
          <w:numId w:val="19"/>
        </w:numPr>
        <w:spacing w:line="360" w:lineRule="auto"/>
        <w:ind w:firstLineChars="0"/>
        <w:rPr>
          <w:sz w:val="24"/>
        </w:rPr>
      </w:pPr>
      <w:r>
        <w:rPr>
          <w:rFonts w:hint="eastAsia"/>
          <w:sz w:val="24"/>
        </w:rPr>
        <w:t>充值金额选择</w:t>
      </w:r>
    </w:p>
    <w:p w14:paraId="21A1F9BA">
      <w:pPr>
        <w:spacing w:line="360" w:lineRule="auto"/>
        <w:ind w:firstLine="480" w:firstLineChars="200"/>
        <w:rPr>
          <w:sz w:val="24"/>
        </w:rPr>
      </w:pPr>
      <w:r>
        <w:rPr>
          <w:rFonts w:hint="eastAsia"/>
          <w:sz w:val="24"/>
        </w:rPr>
        <w:t>提供固定金额快捷选择（如</w:t>
      </w:r>
      <w:r>
        <w:rPr>
          <w:sz w:val="24"/>
        </w:rPr>
        <w:t>10</w:t>
      </w:r>
      <w:r>
        <w:rPr>
          <w:rFonts w:hint="eastAsia"/>
          <w:sz w:val="24"/>
        </w:rPr>
        <w:t>元、</w:t>
      </w:r>
      <w:r>
        <w:rPr>
          <w:sz w:val="24"/>
        </w:rPr>
        <w:t>50</w:t>
      </w:r>
      <w:r>
        <w:rPr>
          <w:rFonts w:hint="eastAsia"/>
          <w:sz w:val="24"/>
        </w:rPr>
        <w:t>元、</w:t>
      </w:r>
      <w:r>
        <w:rPr>
          <w:sz w:val="24"/>
        </w:rPr>
        <w:t>100</w:t>
      </w:r>
      <w:r>
        <w:rPr>
          <w:rFonts w:hint="eastAsia"/>
          <w:sz w:val="24"/>
        </w:rPr>
        <w:t>元）。</w:t>
      </w:r>
    </w:p>
    <w:p w14:paraId="787E7D85">
      <w:pPr>
        <w:spacing w:line="360" w:lineRule="auto"/>
        <w:ind w:firstLine="480" w:firstLineChars="200"/>
        <w:rPr>
          <w:sz w:val="24"/>
        </w:rPr>
      </w:pPr>
      <w:r>
        <w:rPr>
          <w:rFonts w:hint="eastAsia"/>
          <w:sz w:val="24"/>
        </w:rPr>
        <w:t>支持用户自定义输入充值金额。</w:t>
      </w:r>
    </w:p>
    <w:p w14:paraId="00CA7173">
      <w:pPr>
        <w:pStyle w:val="57"/>
        <w:numPr>
          <w:ilvl w:val="0"/>
          <w:numId w:val="19"/>
        </w:numPr>
        <w:spacing w:line="360" w:lineRule="auto"/>
        <w:ind w:firstLineChars="0"/>
        <w:rPr>
          <w:sz w:val="24"/>
        </w:rPr>
      </w:pPr>
      <w:r>
        <w:rPr>
          <w:rFonts w:hint="eastAsia"/>
          <w:sz w:val="24"/>
        </w:rPr>
        <w:t>操作信息确认</w:t>
      </w:r>
    </w:p>
    <w:p w14:paraId="615EE398">
      <w:pPr>
        <w:spacing w:line="360" w:lineRule="auto"/>
        <w:ind w:firstLine="480" w:firstLineChars="200"/>
        <w:rPr>
          <w:sz w:val="24"/>
        </w:rPr>
      </w:pPr>
      <w:r>
        <w:rPr>
          <w:rFonts w:hint="eastAsia"/>
          <w:sz w:val="24"/>
        </w:rPr>
        <w:t>显示当前充值操作的目标电表和充值金额，帮助用户核对信息。</w:t>
      </w:r>
    </w:p>
    <w:p w14:paraId="1614A577">
      <w:pPr>
        <w:pStyle w:val="57"/>
        <w:numPr>
          <w:ilvl w:val="0"/>
          <w:numId w:val="19"/>
        </w:numPr>
        <w:spacing w:line="360" w:lineRule="auto"/>
        <w:ind w:firstLineChars="0"/>
        <w:rPr>
          <w:sz w:val="24"/>
        </w:rPr>
      </w:pPr>
      <w:r>
        <w:rPr>
          <w:rFonts w:hint="eastAsia"/>
          <w:sz w:val="24"/>
        </w:rPr>
        <w:t>支付方式选择</w:t>
      </w:r>
    </w:p>
    <w:p w14:paraId="13A796F8">
      <w:pPr>
        <w:spacing w:line="360" w:lineRule="auto"/>
        <w:ind w:firstLine="480" w:firstLineChars="200"/>
        <w:rPr>
          <w:sz w:val="24"/>
        </w:rPr>
      </w:pPr>
      <w:r>
        <w:rPr>
          <w:rFonts w:hint="eastAsia"/>
          <w:sz w:val="24"/>
        </w:rPr>
        <w:t>提供多种支付方式可选，默认微信支付。</w:t>
      </w:r>
    </w:p>
    <w:p w14:paraId="65FDC1A7">
      <w:pPr>
        <w:pStyle w:val="57"/>
        <w:numPr>
          <w:ilvl w:val="0"/>
          <w:numId w:val="19"/>
        </w:numPr>
        <w:spacing w:line="360" w:lineRule="auto"/>
        <w:ind w:firstLineChars="0"/>
        <w:rPr>
          <w:sz w:val="24"/>
        </w:rPr>
      </w:pPr>
      <w:r>
        <w:rPr>
          <w:rFonts w:hint="eastAsia"/>
          <w:sz w:val="24"/>
        </w:rPr>
        <w:t>充值确认</w:t>
      </w:r>
    </w:p>
    <w:p w14:paraId="77C0373B">
      <w:pPr>
        <w:spacing w:line="360" w:lineRule="auto"/>
        <w:ind w:firstLine="480" w:firstLineChars="200"/>
        <w:rPr>
          <w:sz w:val="24"/>
        </w:rPr>
      </w:pPr>
      <w:r>
        <w:rPr>
          <w:rFonts w:hint="eastAsia"/>
          <w:sz w:val="24"/>
        </w:rPr>
        <w:t>用户点击</w:t>
      </w:r>
      <w:r>
        <w:rPr>
          <w:sz w:val="24"/>
        </w:rPr>
        <w:t>“</w:t>
      </w:r>
      <w:r>
        <w:rPr>
          <w:rFonts w:hint="eastAsia"/>
          <w:sz w:val="24"/>
        </w:rPr>
        <w:t>确认支付</w:t>
      </w:r>
      <w:r>
        <w:rPr>
          <w:sz w:val="24"/>
        </w:rPr>
        <w:t>”</w:t>
      </w:r>
      <w:r>
        <w:rPr>
          <w:rFonts w:hint="eastAsia"/>
          <w:sz w:val="24"/>
        </w:rPr>
        <w:t>按钮，提交充值操作。</w:t>
      </w:r>
      <w:r>
        <w:rPr>
          <w:sz w:val="24"/>
        </w:rPr>
        <w:t>"</w:t>
      </w:r>
    </w:p>
    <w:p w14:paraId="2361CAD7">
      <w:pPr>
        <w:spacing w:line="360" w:lineRule="auto"/>
        <w:ind w:firstLine="480" w:firstLineChars="200"/>
        <w:rPr>
          <w:sz w:val="24"/>
        </w:rPr>
      </w:pPr>
      <w:r>
        <w:rPr>
          <w:rFonts w:hint="eastAsia"/>
          <w:sz w:val="24"/>
        </w:rPr>
        <w:t>有充值注意事项提醒：例如房间情况，金额情况，设备检查情况提醒，</w:t>
      </w:r>
    </w:p>
    <w:p w14:paraId="00EC3B80">
      <w:pPr>
        <w:spacing w:line="360" w:lineRule="auto"/>
        <w:ind w:firstLine="482" w:firstLineChars="200"/>
        <w:rPr>
          <w:b/>
          <w:bCs/>
          <w:sz w:val="24"/>
        </w:rPr>
      </w:pPr>
      <w:r>
        <w:rPr>
          <w:rFonts w:hint="eastAsia"/>
          <w:b/>
          <w:bCs/>
          <w:sz w:val="24"/>
        </w:rPr>
        <w:t>3.4缴费记录查询</w:t>
      </w:r>
    </w:p>
    <w:p w14:paraId="4F88C09A">
      <w:pPr>
        <w:spacing w:line="360" w:lineRule="auto"/>
        <w:ind w:firstLine="480" w:firstLineChars="200"/>
        <w:rPr>
          <w:sz w:val="24"/>
        </w:rPr>
      </w:pPr>
      <w:r>
        <w:rPr>
          <w:rFonts w:hint="eastAsia"/>
          <w:sz w:val="24"/>
        </w:rPr>
        <w:t>提供用户充值电费的详细记录，包括：充值方式：如柜台充值、微信支付等，充值金额，余额变化：显示每笔充值后的账户余额（如</w:t>
      </w:r>
      <w:r>
        <w:rPr>
          <w:sz w:val="24"/>
        </w:rPr>
        <w:t>“</w:t>
      </w:r>
      <w:r>
        <w:rPr>
          <w:rFonts w:hint="eastAsia"/>
          <w:sz w:val="24"/>
        </w:rPr>
        <w:t>余额</w:t>
      </w:r>
      <w:r>
        <w:rPr>
          <w:sz w:val="24"/>
        </w:rPr>
        <w:t xml:space="preserve"> 36.23</w:t>
      </w:r>
      <w:r>
        <w:rPr>
          <w:rFonts w:hint="eastAsia"/>
          <w:sz w:val="24"/>
        </w:rPr>
        <w:t>元</w:t>
      </w:r>
      <w:r>
        <w:rPr>
          <w:sz w:val="24"/>
        </w:rPr>
        <w:t>”</w:t>
      </w:r>
      <w:r>
        <w:rPr>
          <w:rFonts w:hint="eastAsia"/>
          <w:sz w:val="24"/>
        </w:rPr>
        <w:t>），充值时间：显示每笔充值的日期（如</w:t>
      </w:r>
      <w:r>
        <w:rPr>
          <w:sz w:val="24"/>
        </w:rPr>
        <w:t>“2024-07-01”</w:t>
      </w:r>
      <w:r>
        <w:rPr>
          <w:rFonts w:hint="eastAsia"/>
          <w:sz w:val="24"/>
        </w:rPr>
        <w:t>）。</w:t>
      </w:r>
    </w:p>
    <w:p w14:paraId="168EC877">
      <w:pPr>
        <w:spacing w:line="360" w:lineRule="auto"/>
        <w:ind w:firstLine="482" w:firstLineChars="200"/>
        <w:rPr>
          <w:b/>
          <w:bCs/>
          <w:sz w:val="24"/>
        </w:rPr>
      </w:pPr>
      <w:r>
        <w:rPr>
          <w:rFonts w:hint="eastAsia"/>
          <w:b/>
          <w:bCs/>
          <w:sz w:val="24"/>
        </w:rPr>
        <w:t>3.5退款记录查询</w:t>
      </w:r>
    </w:p>
    <w:p w14:paraId="1E4D08FE">
      <w:pPr>
        <w:spacing w:line="360" w:lineRule="auto"/>
        <w:ind w:firstLine="480" w:firstLineChars="200"/>
        <w:rPr>
          <w:sz w:val="24"/>
        </w:rPr>
      </w:pPr>
      <w:r>
        <w:rPr>
          <w:rFonts w:hint="eastAsia"/>
          <w:sz w:val="24"/>
        </w:rPr>
        <w:t>显示用户的退款记录，包括：退款方式：如柜台退款。退款金额：以橙色等特殊颜色负值标记（如</w:t>
      </w:r>
      <w:r>
        <w:rPr>
          <w:sz w:val="24"/>
        </w:rPr>
        <w:t>“-34.42</w:t>
      </w:r>
      <w:r>
        <w:rPr>
          <w:rFonts w:hint="eastAsia"/>
          <w:sz w:val="24"/>
        </w:rPr>
        <w:t>元</w:t>
      </w:r>
      <w:r>
        <w:rPr>
          <w:sz w:val="24"/>
        </w:rPr>
        <w:t>”</w:t>
      </w:r>
      <w:r>
        <w:rPr>
          <w:rFonts w:hint="eastAsia"/>
          <w:sz w:val="24"/>
        </w:rPr>
        <w:t>）。余额变化：显示每笔退款后的账户余额。退款时间：明确退款发生的具体日期。</w:t>
      </w:r>
    </w:p>
    <w:p w14:paraId="725CC8A9">
      <w:pPr>
        <w:spacing w:line="360" w:lineRule="auto"/>
        <w:ind w:firstLine="482" w:firstLineChars="200"/>
        <w:rPr>
          <w:b/>
          <w:bCs/>
          <w:sz w:val="24"/>
        </w:rPr>
      </w:pPr>
      <w:r>
        <w:rPr>
          <w:rFonts w:hint="eastAsia"/>
          <w:b/>
          <w:bCs/>
          <w:sz w:val="24"/>
        </w:rPr>
        <w:t>3.6异常提示信息：</w:t>
      </w:r>
    </w:p>
    <w:p w14:paraId="15996C36">
      <w:pPr>
        <w:spacing w:line="360" w:lineRule="auto"/>
        <w:ind w:firstLine="480" w:firstLineChars="200"/>
        <w:rPr>
          <w:sz w:val="24"/>
        </w:rPr>
      </w:pPr>
      <w:r>
        <w:rPr>
          <w:rFonts w:hint="eastAsia"/>
          <w:sz w:val="24"/>
        </w:rPr>
        <w:t>提供充值异常提示信息（如“若未及时到账，请联系管理员”），方便用户快速解决问题。</w:t>
      </w:r>
    </w:p>
    <w:p w14:paraId="76BB43A2">
      <w:pPr>
        <w:spacing w:line="360" w:lineRule="auto"/>
        <w:ind w:firstLine="482" w:firstLineChars="200"/>
        <w:rPr>
          <w:b/>
          <w:bCs/>
          <w:sz w:val="24"/>
        </w:rPr>
      </w:pPr>
      <w:r>
        <w:rPr>
          <w:rFonts w:hint="eastAsia"/>
          <w:b/>
          <w:bCs/>
          <w:sz w:val="24"/>
        </w:rPr>
        <w:t>3.7用能明细</w:t>
      </w:r>
    </w:p>
    <w:p w14:paraId="25E72C49">
      <w:pPr>
        <w:spacing w:line="360" w:lineRule="auto"/>
        <w:ind w:firstLine="480" w:firstLineChars="200"/>
        <w:rPr>
          <w:rFonts w:hint="eastAsia"/>
          <w:sz w:val="24"/>
        </w:rPr>
      </w:pPr>
      <w:r>
        <w:rPr>
          <w:rFonts w:hint="eastAsia"/>
          <w:sz w:val="24"/>
        </w:rPr>
        <w:t>显示用户当前绑定的房间信息，支持选择用电或用水作为监测对象，切换后页面展示对应的数据，提供按按日、按月三种统计维度，用户可根据需求选择查看用能数据的粒度，支持用户选择查询的时间范围，根据选择的数据类型显示相应的时间段。</w:t>
      </w:r>
    </w:p>
    <w:bookmarkEnd w:id="13"/>
    <w:p w14:paraId="0985E9C1">
      <w:pPr>
        <w:pStyle w:val="3"/>
        <w:rPr>
          <w:rFonts w:hint="eastAsia"/>
        </w:rPr>
      </w:pPr>
      <w:bookmarkStart w:id="18" w:name="_Toc203667659"/>
      <w:r>
        <w:rPr>
          <w:rFonts w:hint="eastAsia"/>
          <w:lang w:eastAsia="zh-CN"/>
        </w:rPr>
        <w:t>三</w:t>
      </w:r>
      <w:r>
        <w:rPr>
          <w:rFonts w:hint="eastAsia"/>
        </w:rPr>
        <w:t>、项目技术要求</w:t>
      </w:r>
      <w:bookmarkEnd w:id="7"/>
      <w:bookmarkEnd w:id="8"/>
      <w:bookmarkEnd w:id="18"/>
    </w:p>
    <w:p w14:paraId="589727BB">
      <w:pPr>
        <w:pStyle w:val="4"/>
        <w:rPr>
          <w:rFonts w:hint="eastAsia"/>
          <w:lang w:val="sq-AL"/>
        </w:rPr>
      </w:pPr>
      <w:bookmarkStart w:id="19" w:name="_Toc203667660"/>
      <w:r>
        <w:rPr>
          <w:rFonts w:hint="eastAsia"/>
          <w:lang w:val="sq-AL"/>
        </w:rPr>
        <w:t>1、总体要求</w:t>
      </w:r>
      <w:bookmarkEnd w:id="19"/>
    </w:p>
    <w:p w14:paraId="315E9027">
      <w:pPr>
        <w:spacing w:line="360" w:lineRule="auto"/>
        <w:ind w:firstLine="482" w:firstLineChars="200"/>
        <w:rPr>
          <w:b/>
          <w:bCs/>
          <w:sz w:val="24"/>
        </w:rPr>
      </w:pPr>
      <w:r>
        <w:rPr>
          <w:rFonts w:hint="eastAsia"/>
          <w:b/>
          <w:bCs/>
          <w:sz w:val="24"/>
        </w:rPr>
        <w:t>（</w:t>
      </w:r>
      <w:r>
        <w:rPr>
          <w:b/>
          <w:bCs/>
          <w:sz w:val="24"/>
        </w:rPr>
        <w:t>1</w:t>
      </w:r>
      <w:r>
        <w:rPr>
          <w:rFonts w:hint="eastAsia"/>
          <w:b/>
          <w:bCs/>
          <w:sz w:val="24"/>
        </w:rPr>
        <w:t>）统一设备管理的要求</w:t>
      </w:r>
    </w:p>
    <w:p w14:paraId="5E81C32B">
      <w:pPr>
        <w:spacing w:line="360" w:lineRule="auto"/>
        <w:ind w:firstLine="480" w:firstLineChars="200"/>
        <w:rPr>
          <w:sz w:val="24"/>
        </w:rPr>
      </w:pPr>
      <w:r>
        <w:rPr>
          <w:rFonts w:hint="eastAsia"/>
          <w:sz w:val="24"/>
        </w:rPr>
        <w:t>拟接入的各类智能电表设备品牌型号多样，通过制定及对接表具的开放协议，实现设备兼容与接入，确保管理统一规范，降低整合复杂性。</w:t>
      </w:r>
    </w:p>
    <w:p w14:paraId="6E97887B">
      <w:pPr>
        <w:spacing w:line="360" w:lineRule="auto"/>
        <w:ind w:firstLine="482" w:firstLineChars="200"/>
        <w:rPr>
          <w:b/>
          <w:bCs/>
          <w:sz w:val="24"/>
        </w:rPr>
      </w:pPr>
      <w:r>
        <w:rPr>
          <w:rFonts w:hint="eastAsia"/>
          <w:b/>
          <w:bCs/>
          <w:sz w:val="24"/>
        </w:rPr>
        <w:t>（</w:t>
      </w:r>
      <w:r>
        <w:rPr>
          <w:b/>
          <w:bCs/>
          <w:sz w:val="24"/>
        </w:rPr>
        <w:t>2</w:t>
      </w:r>
      <w:r>
        <w:rPr>
          <w:rFonts w:hint="eastAsia"/>
          <w:b/>
          <w:bCs/>
          <w:sz w:val="24"/>
        </w:rPr>
        <w:t>）精准计量与缴费的要求</w:t>
      </w:r>
    </w:p>
    <w:p w14:paraId="381E4020">
      <w:pPr>
        <w:spacing w:line="360" w:lineRule="auto"/>
        <w:ind w:firstLine="480" w:firstLineChars="200"/>
        <w:rPr>
          <w:sz w:val="24"/>
        </w:rPr>
      </w:pPr>
      <w:r>
        <w:rPr>
          <w:rFonts w:hint="eastAsia"/>
          <w:sz w:val="24"/>
        </w:rPr>
        <w:t>综合管理平台实现智能电表数据采集与处理，实时监测与精确计算用电量，提升收费透明度与公平性，减少管理纠纷。</w:t>
      </w:r>
    </w:p>
    <w:p w14:paraId="19A54A11">
      <w:pPr>
        <w:spacing w:line="360" w:lineRule="auto"/>
        <w:ind w:firstLine="482" w:firstLineChars="200"/>
        <w:rPr>
          <w:b/>
          <w:bCs/>
          <w:sz w:val="24"/>
        </w:rPr>
      </w:pPr>
      <w:r>
        <w:rPr>
          <w:rFonts w:hint="eastAsia"/>
          <w:b/>
          <w:bCs/>
          <w:sz w:val="24"/>
        </w:rPr>
        <w:t>（</w:t>
      </w:r>
      <w:r>
        <w:rPr>
          <w:b/>
          <w:bCs/>
          <w:sz w:val="24"/>
        </w:rPr>
        <w:t>3</w:t>
      </w:r>
      <w:r>
        <w:rPr>
          <w:rFonts w:hint="eastAsia"/>
          <w:b/>
          <w:bCs/>
          <w:sz w:val="24"/>
        </w:rPr>
        <w:t>）精细能耗分析的要求</w:t>
      </w:r>
    </w:p>
    <w:p w14:paraId="5D6BBDC6">
      <w:pPr>
        <w:spacing w:line="360" w:lineRule="auto"/>
        <w:ind w:firstLine="480" w:firstLineChars="200"/>
        <w:rPr>
          <w:sz w:val="24"/>
        </w:rPr>
      </w:pPr>
      <w:r>
        <w:rPr>
          <w:rFonts w:hint="eastAsia"/>
          <w:sz w:val="24"/>
        </w:rPr>
        <w:t>平台对科研、商户、办公等场景能耗数据精细化分析，识别高耗能环节，优化用电策略，为节能措施提供科学依据。</w:t>
      </w:r>
    </w:p>
    <w:p w14:paraId="16F7E2CB">
      <w:pPr>
        <w:spacing w:line="360" w:lineRule="auto"/>
        <w:ind w:firstLine="482" w:firstLineChars="200"/>
        <w:rPr>
          <w:b/>
          <w:bCs/>
          <w:sz w:val="24"/>
        </w:rPr>
      </w:pPr>
      <w:r>
        <w:rPr>
          <w:rFonts w:hint="eastAsia"/>
          <w:b/>
          <w:bCs/>
          <w:sz w:val="24"/>
        </w:rPr>
        <w:t>（</w:t>
      </w:r>
      <w:r>
        <w:rPr>
          <w:b/>
          <w:bCs/>
          <w:sz w:val="24"/>
        </w:rPr>
        <w:t>4</w:t>
      </w:r>
      <w:r>
        <w:rPr>
          <w:rFonts w:hint="eastAsia"/>
          <w:b/>
          <w:bCs/>
          <w:sz w:val="24"/>
        </w:rPr>
        <w:t>）开放生态建设的要求</w:t>
      </w:r>
    </w:p>
    <w:p w14:paraId="67E2EAEA">
      <w:pPr>
        <w:spacing w:line="360" w:lineRule="auto"/>
        <w:ind w:firstLine="480" w:firstLineChars="200"/>
        <w:rPr>
          <w:sz w:val="24"/>
        </w:rPr>
      </w:pPr>
      <w:r>
        <w:rPr>
          <w:rFonts w:hint="eastAsia"/>
          <w:sz w:val="24"/>
        </w:rPr>
        <w:t>平台开放式设计适配当前及未来新增设备与技术，确保可扩展性与前瞻性，引入第三方服务提升综合管理能力。</w:t>
      </w:r>
    </w:p>
    <w:p w14:paraId="04491341">
      <w:pPr>
        <w:spacing w:line="360" w:lineRule="auto"/>
        <w:ind w:firstLine="482" w:firstLineChars="200"/>
        <w:rPr>
          <w:b/>
          <w:bCs/>
          <w:sz w:val="24"/>
        </w:rPr>
      </w:pPr>
      <w:r>
        <w:rPr>
          <w:rFonts w:hint="eastAsia"/>
          <w:b/>
          <w:bCs/>
          <w:sz w:val="24"/>
        </w:rPr>
        <w:t>（</w:t>
      </w:r>
      <w:r>
        <w:rPr>
          <w:b/>
          <w:bCs/>
          <w:sz w:val="24"/>
        </w:rPr>
        <w:t>5</w:t>
      </w:r>
      <w:r>
        <w:rPr>
          <w:rFonts w:hint="eastAsia"/>
          <w:b/>
          <w:bCs/>
          <w:sz w:val="24"/>
        </w:rPr>
        <w:t>）其他要求</w:t>
      </w:r>
    </w:p>
    <w:p w14:paraId="54B821E3">
      <w:pPr>
        <w:spacing w:line="360" w:lineRule="auto"/>
        <w:ind w:firstLine="480" w:firstLineChars="200"/>
        <w:rPr>
          <w:sz w:val="24"/>
        </w:rPr>
      </w:pPr>
      <w:r>
        <w:rPr>
          <w:rFonts w:hint="eastAsia"/>
          <w:sz w:val="24"/>
        </w:rPr>
        <w:t>先进性：系统必须具备数字化、网络化、智能化的典型特征，须采用代表行业发展趋势国际或国内通行的先进技术。</w:t>
      </w:r>
      <w:r>
        <w:rPr>
          <w:sz w:val="24"/>
        </w:rPr>
        <w:t xml:space="preserve"> </w:t>
      </w:r>
    </w:p>
    <w:p w14:paraId="23BE135C">
      <w:pPr>
        <w:spacing w:line="360" w:lineRule="auto"/>
        <w:ind w:firstLine="480" w:firstLineChars="200"/>
        <w:rPr>
          <w:sz w:val="24"/>
        </w:rPr>
      </w:pPr>
      <w:r>
        <w:rPr>
          <w:rFonts w:hint="eastAsia"/>
          <w:sz w:val="24"/>
        </w:rPr>
        <w:t>成熟性：系统必须以实用为原则，采用成熟的并且经过实际检验的先进技术和产品。</w:t>
      </w:r>
      <w:r>
        <w:rPr>
          <w:sz w:val="24"/>
        </w:rPr>
        <w:t xml:space="preserve"> </w:t>
      </w:r>
    </w:p>
    <w:p w14:paraId="74E0AE93">
      <w:pPr>
        <w:spacing w:line="360" w:lineRule="auto"/>
        <w:ind w:firstLine="480" w:firstLineChars="200"/>
        <w:rPr>
          <w:sz w:val="24"/>
        </w:rPr>
      </w:pPr>
      <w:r>
        <w:rPr>
          <w:rFonts w:hint="eastAsia"/>
          <w:sz w:val="24"/>
        </w:rPr>
        <w:t>开放性：系统必须采用开放的技术标准和国际标准的通信协议，避免在系统互联时产生障碍。</w:t>
      </w:r>
      <w:r>
        <w:rPr>
          <w:sz w:val="24"/>
        </w:rPr>
        <w:t xml:space="preserve"> </w:t>
      </w:r>
    </w:p>
    <w:p w14:paraId="14786947">
      <w:pPr>
        <w:spacing w:line="360" w:lineRule="auto"/>
        <w:ind w:firstLine="480" w:firstLineChars="200"/>
        <w:rPr>
          <w:sz w:val="24"/>
        </w:rPr>
      </w:pPr>
      <w:r>
        <w:rPr>
          <w:rFonts w:hint="eastAsia"/>
          <w:sz w:val="24"/>
        </w:rPr>
        <w:t>标准化：系统的系统设计、系统性能标准等须符合中国的有关标准化的要求。</w:t>
      </w:r>
      <w:r>
        <w:rPr>
          <w:sz w:val="24"/>
        </w:rPr>
        <w:t xml:space="preserve"> </w:t>
      </w:r>
    </w:p>
    <w:p w14:paraId="278C459B">
      <w:pPr>
        <w:spacing w:line="360" w:lineRule="auto"/>
        <w:ind w:firstLine="480" w:firstLineChars="200"/>
        <w:rPr>
          <w:sz w:val="24"/>
        </w:rPr>
      </w:pPr>
      <w:r>
        <w:rPr>
          <w:rFonts w:hint="eastAsia"/>
          <w:sz w:val="24"/>
        </w:rPr>
        <w:t>可靠性：系统的产品选择必须稳定可靠，主要系统设备必须提供可靠性指标。</w:t>
      </w:r>
      <w:r>
        <w:rPr>
          <w:sz w:val="24"/>
        </w:rPr>
        <w:t xml:space="preserve"> </w:t>
      </w:r>
    </w:p>
    <w:p w14:paraId="0E26F1ED">
      <w:pPr>
        <w:spacing w:line="360" w:lineRule="auto"/>
        <w:ind w:firstLine="480" w:firstLineChars="200"/>
        <w:rPr>
          <w:sz w:val="24"/>
        </w:rPr>
      </w:pPr>
      <w:r>
        <w:rPr>
          <w:rFonts w:hint="eastAsia"/>
          <w:sz w:val="24"/>
        </w:rPr>
        <w:t>安全性：系统须充分考虑系统安全、人身安全以及信息传递安全等安全性要求。</w:t>
      </w:r>
      <w:r>
        <w:rPr>
          <w:sz w:val="24"/>
        </w:rPr>
        <w:t xml:space="preserve"> </w:t>
      </w:r>
    </w:p>
    <w:p w14:paraId="06D93B95">
      <w:pPr>
        <w:spacing w:line="360" w:lineRule="auto"/>
        <w:ind w:firstLine="480" w:firstLineChars="200"/>
        <w:rPr>
          <w:sz w:val="24"/>
          <w:lang w:val="sq-AL"/>
        </w:rPr>
      </w:pPr>
      <w:r>
        <w:rPr>
          <w:rFonts w:hint="eastAsia"/>
          <w:sz w:val="24"/>
        </w:rPr>
        <w:t>集成性：须根据功能要求、管理和信息共享的要求对系统分层次、分阶段进行集成对各系统进行综合管理。</w:t>
      </w:r>
      <w:r>
        <w:rPr>
          <w:sz w:val="24"/>
        </w:rPr>
        <w:t xml:space="preserve"> </w:t>
      </w:r>
    </w:p>
    <w:p w14:paraId="64E9F5E2">
      <w:pPr>
        <w:spacing w:line="360" w:lineRule="auto"/>
        <w:ind w:firstLine="482" w:firstLineChars="200"/>
        <w:rPr>
          <w:b/>
          <w:bCs/>
          <w:sz w:val="24"/>
        </w:rPr>
      </w:pPr>
      <w:r>
        <w:rPr>
          <w:rFonts w:hint="eastAsia"/>
          <w:b/>
          <w:bCs/>
          <w:sz w:val="24"/>
        </w:rPr>
        <w:t>（</w:t>
      </w:r>
      <w:r>
        <w:rPr>
          <w:b/>
          <w:bCs/>
          <w:sz w:val="24"/>
        </w:rPr>
        <w:t>6</w:t>
      </w:r>
      <w:r>
        <w:rPr>
          <w:rFonts w:hint="eastAsia"/>
          <w:b/>
          <w:bCs/>
          <w:sz w:val="24"/>
        </w:rPr>
        <w:t>）设计规范</w:t>
      </w:r>
      <w:r>
        <w:rPr>
          <w:b/>
          <w:bCs/>
          <w:sz w:val="24"/>
        </w:rPr>
        <w:t xml:space="preserve"> </w:t>
      </w:r>
    </w:p>
    <w:p w14:paraId="5E58C67E">
      <w:pPr>
        <w:spacing w:line="360" w:lineRule="auto"/>
        <w:ind w:firstLine="480" w:firstLineChars="200"/>
        <w:rPr>
          <w:sz w:val="24"/>
        </w:rPr>
      </w:pPr>
      <w:r>
        <w:rPr>
          <w:rFonts w:hint="eastAsia"/>
          <w:sz w:val="24"/>
        </w:rPr>
        <w:t>本系统所涉及的技术、产品及验收标准和规范必须符合但不限于下列有关标准和规范：</w:t>
      </w:r>
      <w:r>
        <w:rPr>
          <w:sz w:val="24"/>
        </w:rPr>
        <w:t xml:space="preserve"> </w:t>
      </w:r>
    </w:p>
    <w:p w14:paraId="171B1522">
      <w:pPr>
        <w:spacing w:line="360" w:lineRule="auto"/>
        <w:ind w:firstLine="480" w:firstLineChars="200"/>
        <w:rPr>
          <w:sz w:val="24"/>
        </w:rPr>
      </w:pPr>
      <w:r>
        <w:rPr>
          <w:rFonts w:hint="eastAsia"/>
          <w:sz w:val="24"/>
        </w:rPr>
        <w:t>《智能建筑设计标准》</w:t>
      </w:r>
      <w:r>
        <w:rPr>
          <w:sz w:val="24"/>
        </w:rPr>
        <w:t xml:space="preserve"> (GB/T 50314-2015) </w:t>
      </w:r>
    </w:p>
    <w:p w14:paraId="5F401CBA">
      <w:pPr>
        <w:spacing w:line="360" w:lineRule="auto"/>
        <w:ind w:firstLine="480" w:firstLineChars="200"/>
        <w:rPr>
          <w:sz w:val="24"/>
        </w:rPr>
      </w:pPr>
      <w:r>
        <w:rPr>
          <w:rFonts w:hint="eastAsia"/>
          <w:sz w:val="24"/>
        </w:rPr>
        <w:t>《建筑设计防火规范》</w:t>
      </w:r>
      <w:r>
        <w:rPr>
          <w:sz w:val="24"/>
        </w:rPr>
        <w:t>[GB 50016-2014</w:t>
      </w:r>
      <w:r>
        <w:rPr>
          <w:rFonts w:hint="eastAsia"/>
          <w:sz w:val="24"/>
        </w:rPr>
        <w:t>（</w:t>
      </w:r>
      <w:r>
        <w:rPr>
          <w:sz w:val="24"/>
        </w:rPr>
        <w:t xml:space="preserve">2018 </w:t>
      </w:r>
      <w:r>
        <w:rPr>
          <w:rFonts w:hint="eastAsia"/>
          <w:sz w:val="24"/>
        </w:rPr>
        <w:t>修订版）</w:t>
      </w:r>
      <w:r>
        <w:rPr>
          <w:sz w:val="24"/>
        </w:rPr>
        <w:t xml:space="preserve">] </w:t>
      </w:r>
    </w:p>
    <w:p w14:paraId="79EB033D">
      <w:pPr>
        <w:spacing w:line="360" w:lineRule="auto"/>
        <w:ind w:firstLine="480" w:firstLineChars="200"/>
        <w:rPr>
          <w:sz w:val="24"/>
        </w:rPr>
      </w:pPr>
      <w:r>
        <w:rPr>
          <w:rFonts w:hint="eastAsia"/>
          <w:sz w:val="24"/>
        </w:rPr>
        <w:t>《火灾自动报警系统设计规范》（</w:t>
      </w:r>
      <w:r>
        <w:rPr>
          <w:sz w:val="24"/>
        </w:rPr>
        <w:t>GB 50116-2013</w:t>
      </w:r>
      <w:r>
        <w:rPr>
          <w:rFonts w:hint="eastAsia"/>
          <w:sz w:val="24"/>
        </w:rPr>
        <w:t>）</w:t>
      </w:r>
      <w:r>
        <w:rPr>
          <w:sz w:val="24"/>
        </w:rPr>
        <w:t xml:space="preserve"> </w:t>
      </w:r>
    </w:p>
    <w:p w14:paraId="433796B6">
      <w:pPr>
        <w:spacing w:line="360" w:lineRule="auto"/>
        <w:ind w:firstLine="480" w:firstLineChars="200"/>
        <w:rPr>
          <w:sz w:val="24"/>
        </w:rPr>
      </w:pPr>
      <w:r>
        <w:rPr>
          <w:rFonts w:hint="eastAsia"/>
          <w:sz w:val="24"/>
        </w:rPr>
        <w:t>《计算机软件开发规范》</w:t>
      </w:r>
      <w:r>
        <w:rPr>
          <w:sz w:val="24"/>
        </w:rPr>
        <w:t xml:space="preserve"> </w:t>
      </w:r>
      <w:r>
        <w:rPr>
          <w:rFonts w:hint="eastAsia"/>
          <w:sz w:val="24"/>
        </w:rPr>
        <w:t>（</w:t>
      </w:r>
      <w:r>
        <w:rPr>
          <w:sz w:val="24"/>
        </w:rPr>
        <w:t>GB/T 8566-2007</w:t>
      </w:r>
      <w:r>
        <w:rPr>
          <w:rFonts w:hint="eastAsia"/>
          <w:sz w:val="24"/>
        </w:rPr>
        <w:t>）</w:t>
      </w:r>
      <w:r>
        <w:rPr>
          <w:sz w:val="24"/>
        </w:rPr>
        <w:t xml:space="preserve"> </w:t>
      </w:r>
    </w:p>
    <w:p w14:paraId="674063DE">
      <w:pPr>
        <w:spacing w:line="360" w:lineRule="auto"/>
        <w:ind w:firstLine="480" w:firstLineChars="200"/>
        <w:rPr>
          <w:sz w:val="24"/>
        </w:rPr>
      </w:pPr>
      <w:r>
        <w:rPr>
          <w:rFonts w:hint="eastAsia"/>
          <w:sz w:val="24"/>
        </w:rPr>
        <w:t>《电气装置安装工程</w:t>
      </w:r>
      <w:r>
        <w:rPr>
          <w:sz w:val="24"/>
        </w:rPr>
        <w:t xml:space="preserve"> </w:t>
      </w:r>
      <w:r>
        <w:rPr>
          <w:rFonts w:hint="eastAsia"/>
          <w:sz w:val="24"/>
        </w:rPr>
        <w:t>盘、柜及二次回路接线施工及验收规程》（</w:t>
      </w:r>
      <w:r>
        <w:rPr>
          <w:sz w:val="24"/>
        </w:rPr>
        <w:t>GB 50171-2012</w:t>
      </w:r>
      <w:r>
        <w:rPr>
          <w:rFonts w:hint="eastAsia"/>
          <w:sz w:val="24"/>
        </w:rPr>
        <w:t>）</w:t>
      </w:r>
      <w:r>
        <w:rPr>
          <w:sz w:val="24"/>
        </w:rPr>
        <w:t xml:space="preserve"> </w:t>
      </w:r>
    </w:p>
    <w:p w14:paraId="6AD30ABB">
      <w:pPr>
        <w:spacing w:line="360" w:lineRule="auto"/>
        <w:ind w:firstLine="480" w:firstLineChars="200"/>
        <w:rPr>
          <w:sz w:val="24"/>
        </w:rPr>
      </w:pPr>
      <w:r>
        <w:rPr>
          <w:rFonts w:hint="eastAsia"/>
          <w:sz w:val="24"/>
        </w:rPr>
        <w:t>《电能质量三相电压允许不平衡度》（</w:t>
      </w:r>
      <w:r>
        <w:rPr>
          <w:sz w:val="24"/>
        </w:rPr>
        <w:t>GB/T 15543-2008</w:t>
      </w:r>
      <w:r>
        <w:rPr>
          <w:rFonts w:hint="eastAsia"/>
          <w:sz w:val="24"/>
        </w:rPr>
        <w:t>）</w:t>
      </w:r>
      <w:r>
        <w:rPr>
          <w:sz w:val="24"/>
        </w:rPr>
        <w:t xml:space="preserve"> </w:t>
      </w:r>
    </w:p>
    <w:p w14:paraId="3892F9B7">
      <w:pPr>
        <w:spacing w:line="360" w:lineRule="auto"/>
        <w:ind w:firstLine="480" w:firstLineChars="200"/>
        <w:rPr>
          <w:sz w:val="24"/>
        </w:rPr>
      </w:pPr>
      <w:r>
        <w:rPr>
          <w:rFonts w:hint="eastAsia"/>
          <w:sz w:val="24"/>
        </w:rPr>
        <w:t>《电测量及电能计量装置设计技术规程》（</w:t>
      </w:r>
      <w:r>
        <w:rPr>
          <w:sz w:val="24"/>
        </w:rPr>
        <w:t>DL/T 5137-2001</w:t>
      </w:r>
      <w:r>
        <w:rPr>
          <w:rFonts w:hint="eastAsia"/>
          <w:sz w:val="24"/>
        </w:rPr>
        <w:t>）</w:t>
      </w:r>
      <w:r>
        <w:rPr>
          <w:sz w:val="24"/>
        </w:rPr>
        <w:t xml:space="preserve"> </w:t>
      </w:r>
    </w:p>
    <w:p w14:paraId="2C0DC8C6">
      <w:pPr>
        <w:spacing w:line="360" w:lineRule="auto"/>
        <w:ind w:firstLine="480" w:firstLineChars="200"/>
        <w:rPr>
          <w:sz w:val="24"/>
        </w:rPr>
      </w:pPr>
      <w:r>
        <w:rPr>
          <w:rFonts w:hint="eastAsia"/>
          <w:sz w:val="24"/>
        </w:rPr>
        <w:t>《继电保护和自动装置技术规程》（</w:t>
      </w:r>
      <w:r>
        <w:rPr>
          <w:sz w:val="24"/>
        </w:rPr>
        <w:t>GB/T 14285-2006</w:t>
      </w:r>
      <w:r>
        <w:rPr>
          <w:rFonts w:hint="eastAsia"/>
          <w:sz w:val="24"/>
        </w:rPr>
        <w:t>）</w:t>
      </w:r>
      <w:r>
        <w:rPr>
          <w:sz w:val="24"/>
        </w:rPr>
        <w:t xml:space="preserve"> </w:t>
      </w:r>
    </w:p>
    <w:p w14:paraId="318500D6">
      <w:pPr>
        <w:spacing w:line="360" w:lineRule="auto"/>
        <w:ind w:firstLine="480" w:firstLineChars="200"/>
        <w:rPr>
          <w:sz w:val="24"/>
        </w:rPr>
      </w:pPr>
      <w:r>
        <w:rPr>
          <w:rFonts w:hint="eastAsia"/>
          <w:sz w:val="24"/>
        </w:rPr>
        <w:t>《电力装置的继电保护和自动装置设计规范》（</w:t>
      </w:r>
      <w:r>
        <w:rPr>
          <w:sz w:val="24"/>
        </w:rPr>
        <w:t>GB/T 50062-2008</w:t>
      </w:r>
      <w:r>
        <w:rPr>
          <w:rFonts w:hint="eastAsia"/>
          <w:sz w:val="24"/>
        </w:rPr>
        <w:t>）</w:t>
      </w:r>
      <w:r>
        <w:rPr>
          <w:sz w:val="24"/>
        </w:rPr>
        <w:t xml:space="preserve"> </w:t>
      </w:r>
    </w:p>
    <w:p w14:paraId="3294FBC7">
      <w:pPr>
        <w:spacing w:line="360" w:lineRule="auto"/>
        <w:ind w:firstLine="480" w:firstLineChars="200"/>
        <w:rPr>
          <w:sz w:val="24"/>
        </w:rPr>
      </w:pPr>
      <w:r>
        <w:rPr>
          <w:rFonts w:hint="eastAsia"/>
          <w:sz w:val="24"/>
        </w:rPr>
        <w:t>《电力装置的电测量仪表装置设计规范》（</w:t>
      </w:r>
      <w:r>
        <w:rPr>
          <w:sz w:val="24"/>
        </w:rPr>
        <w:t>GBT/ 50063-2017</w:t>
      </w:r>
      <w:r>
        <w:rPr>
          <w:rFonts w:hint="eastAsia"/>
          <w:sz w:val="24"/>
        </w:rPr>
        <w:t>）</w:t>
      </w:r>
      <w:r>
        <w:rPr>
          <w:sz w:val="24"/>
        </w:rPr>
        <w:t xml:space="preserve"> </w:t>
      </w:r>
    </w:p>
    <w:p w14:paraId="29B0FC3D">
      <w:pPr>
        <w:spacing w:line="360" w:lineRule="auto"/>
        <w:ind w:firstLine="480" w:firstLineChars="200"/>
        <w:rPr>
          <w:rFonts w:hint="eastAsia"/>
          <w:sz w:val="24"/>
        </w:rPr>
      </w:pPr>
      <w:r>
        <w:rPr>
          <w:rFonts w:hint="eastAsia"/>
          <w:sz w:val="24"/>
        </w:rPr>
        <w:t>《民用建筑电气设计标准》（</w:t>
      </w:r>
      <w:r>
        <w:rPr>
          <w:sz w:val="24"/>
        </w:rPr>
        <w:t>GB 51348-2019</w:t>
      </w:r>
      <w:r>
        <w:rPr>
          <w:rFonts w:hint="eastAsia"/>
          <w:sz w:val="24"/>
        </w:rPr>
        <w:t>）</w:t>
      </w:r>
    </w:p>
    <w:p w14:paraId="577CE39D">
      <w:pPr>
        <w:pStyle w:val="4"/>
        <w:rPr>
          <w:highlight w:val="none"/>
          <w:lang w:val="sq-AL"/>
        </w:rPr>
      </w:pPr>
      <w:bookmarkStart w:id="20" w:name="_Toc203667661"/>
      <w:r>
        <w:rPr>
          <w:rFonts w:hint="eastAsia"/>
          <w:lang w:val="sq-AL"/>
        </w:rPr>
        <w:t>2、</w:t>
      </w:r>
      <w:r>
        <w:rPr>
          <w:rFonts w:hint="eastAsia"/>
          <w:highlight w:val="none"/>
          <w:lang w:val="sq-AL"/>
        </w:rPr>
        <w:t>关键技术指标</w:t>
      </w:r>
      <w:bookmarkEnd w:id="20"/>
    </w:p>
    <w:p w14:paraId="227E94C4">
      <w:pPr>
        <w:spacing w:line="360" w:lineRule="auto"/>
        <w:ind w:firstLine="480" w:firstLineChars="200"/>
        <w:rPr>
          <w:sz w:val="24"/>
          <w:highlight w:val="none"/>
        </w:rPr>
      </w:pPr>
      <w:bookmarkStart w:id="21" w:name="OLE_LINK8"/>
      <w:r>
        <w:rPr>
          <w:rFonts w:hint="eastAsia"/>
          <w:sz w:val="24"/>
          <w:highlight w:val="none"/>
        </w:rPr>
        <w:t>软件技术指标：</w:t>
      </w:r>
      <w:r>
        <w:rPr>
          <w:rFonts w:hint="eastAsia" w:ascii="宋体" w:hAnsi="宋体" w:cs="宋体"/>
          <w:kern w:val="0"/>
          <w:sz w:val="24"/>
          <w:highlight w:val="none"/>
          <w:lang w:bidi="ar"/>
        </w:rPr>
        <w:t>系统连续运行。</w:t>
      </w:r>
    </w:p>
    <w:p w14:paraId="65164B72">
      <w:pPr>
        <w:spacing w:line="360" w:lineRule="auto"/>
        <w:ind w:firstLine="480" w:firstLineChars="200"/>
        <w:rPr>
          <w:b/>
          <w:bCs/>
          <w:sz w:val="24"/>
          <w:highlight w:val="none"/>
        </w:rPr>
      </w:pPr>
      <w:r>
        <w:rPr>
          <w:rFonts w:hint="eastAsia"/>
          <w:sz w:val="24"/>
          <w:highlight w:val="none"/>
        </w:rPr>
        <w:t>系统承载的用户数不少于10万人、同时支持</w:t>
      </w:r>
      <w:r>
        <w:rPr>
          <w:sz w:val="24"/>
          <w:highlight w:val="none"/>
        </w:rPr>
        <w:t>2000</w:t>
      </w:r>
      <w:r>
        <w:rPr>
          <w:rFonts w:hint="eastAsia"/>
          <w:sz w:val="24"/>
          <w:highlight w:val="none"/>
        </w:rPr>
        <w:t>人以上进行访问，同一功能支持每秒并发不小于200</w:t>
      </w:r>
      <w:r>
        <w:rPr>
          <w:sz w:val="24"/>
          <w:highlight w:val="none"/>
        </w:rPr>
        <w:t>0</w:t>
      </w:r>
      <w:r>
        <w:rPr>
          <w:rFonts w:hint="eastAsia"/>
          <w:sz w:val="24"/>
          <w:highlight w:val="none"/>
        </w:rPr>
        <w:t>次，系统页面、功能平均响应时间不高于1000ms</w:t>
      </w:r>
      <w:bookmarkEnd w:id="21"/>
      <w:r>
        <w:rPr>
          <w:rFonts w:hint="eastAsia"/>
          <w:sz w:val="24"/>
          <w:highlight w:val="none"/>
        </w:rPr>
        <w:t>，</w:t>
      </w:r>
      <w:r>
        <w:rPr>
          <w:rFonts w:hint="eastAsia" w:ascii="宋体" w:hAnsi="宋体" w:cs="宋体"/>
          <w:kern w:val="0"/>
          <w:sz w:val="24"/>
          <w:highlight w:val="none"/>
          <w:lang w:bidi="ar"/>
        </w:rPr>
        <w:t>系统数据采集入库存储周期不高于 6 小时，外部条件允许下，系统无故障连续运行时间不低于10万小时，支持按甲方需求进行各类数据的统计、汇总报表等。</w:t>
      </w:r>
    </w:p>
    <w:p w14:paraId="248FE9B9">
      <w:pPr>
        <w:pStyle w:val="4"/>
        <w:rPr>
          <w:rFonts w:hint="eastAsia"/>
          <w:lang w:val="sq-AL"/>
        </w:rPr>
      </w:pPr>
      <w:bookmarkStart w:id="22" w:name="_Toc203667662"/>
      <w:r>
        <w:rPr>
          <w:rFonts w:hint="eastAsia"/>
          <w:lang w:val="sq-AL"/>
        </w:rPr>
        <w:t>3、对项目技术架构和技术实现途径的要求</w:t>
      </w:r>
      <w:bookmarkEnd w:id="22"/>
    </w:p>
    <w:p w14:paraId="17D826F9">
      <w:pPr>
        <w:spacing w:line="360" w:lineRule="auto"/>
        <w:ind w:firstLine="480" w:firstLineChars="200"/>
        <w:rPr>
          <w:rFonts w:hint="eastAsia"/>
          <w:sz w:val="24"/>
        </w:rPr>
      </w:pPr>
      <w:r>
        <w:rPr>
          <w:rFonts w:hint="eastAsia"/>
          <w:sz w:val="24"/>
        </w:rPr>
        <w:t>项目申请人可根据项目自身特点，明确对项目技术架构和技术实现途径的相关要求，可包括以下要求：</w:t>
      </w:r>
    </w:p>
    <w:p w14:paraId="2D569D8E">
      <w:pPr>
        <w:spacing w:line="360" w:lineRule="auto"/>
        <w:ind w:firstLine="480" w:firstLineChars="200"/>
        <w:rPr>
          <w:rFonts w:hint="eastAsia"/>
          <w:sz w:val="24"/>
        </w:rPr>
      </w:pPr>
      <w:r>
        <w:rPr>
          <w:rFonts w:hint="eastAsia"/>
          <w:sz w:val="24"/>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14:paraId="178B6E20">
      <w:pPr>
        <w:spacing w:line="360" w:lineRule="auto"/>
        <w:ind w:firstLine="480" w:firstLineChars="200"/>
        <w:rPr>
          <w:rFonts w:hint="eastAsia"/>
          <w:sz w:val="24"/>
        </w:rPr>
      </w:pPr>
      <w:r>
        <w:rPr>
          <w:rFonts w:hint="eastAsia"/>
          <w:sz w:val="24"/>
        </w:rPr>
        <w:t>（2）编程语言需要按J2EE 1.7以上规格，采用Java编程语言和服务器端Java技术开发。系统采用面向对象组件化设计，并基于跨平台业界标准，包括Java、JSP、XML等，完全独立于硬件和操作系统的开发环境。</w:t>
      </w:r>
    </w:p>
    <w:p w14:paraId="365BF530">
      <w:pPr>
        <w:spacing w:line="360" w:lineRule="auto"/>
        <w:ind w:firstLine="480" w:firstLineChars="200"/>
        <w:rPr>
          <w:rFonts w:hint="eastAsia"/>
          <w:sz w:val="24"/>
        </w:rPr>
      </w:pPr>
      <w:r>
        <w:rPr>
          <w:rFonts w:hint="eastAsia"/>
          <w:sz w:val="24"/>
        </w:rPr>
        <w:t>（3）要求至少支持的操作系统为Windows、Unix、Linux操作系统。</w:t>
      </w:r>
    </w:p>
    <w:p w14:paraId="60CB0FB9">
      <w:pPr>
        <w:spacing w:line="360" w:lineRule="auto"/>
        <w:ind w:firstLine="480" w:firstLineChars="200"/>
        <w:rPr>
          <w:rFonts w:hint="eastAsia"/>
          <w:sz w:val="24"/>
        </w:rPr>
      </w:pPr>
      <w:r>
        <w:rPr>
          <w:rFonts w:hint="eastAsia"/>
          <w:sz w:val="24"/>
        </w:rPr>
        <w:t>（4）支持完备的日志管理功能，包括系统安全日志、系统操作日志和系统运行日志，支持日志查询，支持日志文件导出。</w:t>
      </w:r>
    </w:p>
    <w:p w14:paraId="5481BEF3">
      <w:pPr>
        <w:pStyle w:val="4"/>
        <w:rPr>
          <w:rFonts w:hint="eastAsia"/>
          <w:color w:val="auto"/>
          <w:highlight w:val="none"/>
        </w:rPr>
      </w:pPr>
      <w:bookmarkStart w:id="23" w:name="_Toc203667663"/>
      <w:r>
        <w:rPr>
          <w:rFonts w:hint="eastAsia"/>
        </w:rPr>
        <w:t>4</w:t>
      </w:r>
      <w:r>
        <w:rPr>
          <w:rFonts w:hint="eastAsia"/>
          <w:color w:val="auto"/>
          <w:highlight w:val="none"/>
        </w:rPr>
        <w:t>、项目验收及质保期</w:t>
      </w:r>
      <w:bookmarkEnd w:id="23"/>
    </w:p>
    <w:p w14:paraId="2358B042">
      <w:pPr>
        <w:spacing w:line="360" w:lineRule="auto"/>
        <w:ind w:firstLine="482" w:firstLineChars="200"/>
        <w:rPr>
          <w:color w:val="auto"/>
          <w:sz w:val="24"/>
          <w:highlight w:val="none"/>
        </w:rPr>
      </w:pPr>
      <w:bookmarkStart w:id="24" w:name="_Hlk203663046"/>
      <w:bookmarkStart w:id="25" w:name="_Hlk203662174"/>
      <w:r>
        <w:rPr>
          <w:rFonts w:hint="eastAsia"/>
          <w:b/>
          <w:bCs/>
          <w:color w:val="auto"/>
          <w:sz w:val="24"/>
          <w:highlight w:val="none"/>
          <w:u w:val="single"/>
        </w:rPr>
        <w:t>合同签订后</w:t>
      </w:r>
      <w:r>
        <w:rPr>
          <w:b/>
          <w:bCs/>
          <w:color w:val="auto"/>
          <w:sz w:val="24"/>
          <w:highlight w:val="none"/>
          <w:u w:val="single"/>
        </w:rPr>
        <w:t>60</w:t>
      </w:r>
      <w:r>
        <w:rPr>
          <w:rFonts w:hint="eastAsia"/>
          <w:b/>
          <w:bCs/>
          <w:color w:val="auto"/>
          <w:sz w:val="24"/>
          <w:highlight w:val="none"/>
          <w:u w:val="single"/>
        </w:rPr>
        <w:t>个工作日内系统上线稳定运行，完成所有招标文件约定内容后交付并且通过验收（验收前提为甲方提供的虚拟资源及物联网通讯正常运行）</w:t>
      </w:r>
      <w:bookmarkEnd w:id="24"/>
      <w:r>
        <w:rPr>
          <w:rFonts w:hint="eastAsia"/>
          <w:b/>
          <w:bCs/>
          <w:color w:val="auto"/>
          <w:sz w:val="24"/>
          <w:highlight w:val="none"/>
          <w:u w:val="single"/>
        </w:rPr>
        <w:t>。</w:t>
      </w:r>
      <w:bookmarkEnd w:id="25"/>
      <w:bookmarkStart w:id="26" w:name="_Hlk203665830"/>
      <w:r>
        <w:rPr>
          <w:rFonts w:hint="eastAsia"/>
          <w:b/>
          <w:bCs/>
          <w:color w:val="auto"/>
          <w:sz w:val="24"/>
          <w:highlight w:val="none"/>
          <w:u w:val="single"/>
        </w:rPr>
        <w:t>项目验收须达到如下要求：</w:t>
      </w:r>
    </w:p>
    <w:p w14:paraId="0FA793FA">
      <w:pPr>
        <w:numPr>
          <w:ilvl w:val="0"/>
          <w:numId w:val="20"/>
        </w:numPr>
        <w:spacing w:line="360" w:lineRule="auto"/>
        <w:ind w:firstLine="480" w:firstLineChars="200"/>
        <w:rPr>
          <w:rFonts w:ascii="宋体" w:hAnsi="宋体" w:cs="宋体"/>
          <w:color w:val="auto"/>
          <w:sz w:val="24"/>
          <w:highlight w:val="none"/>
        </w:rPr>
      </w:pPr>
      <w:bookmarkStart w:id="27" w:name="_Hlk203665473"/>
      <w:r>
        <w:rPr>
          <w:rFonts w:hint="eastAsia" w:ascii="宋体" w:hAnsi="宋体" w:cs="宋体"/>
          <w:color w:val="auto"/>
          <w:sz w:val="24"/>
          <w:highlight w:val="none"/>
        </w:rPr>
        <w:t>功能验收：项目功能符合招标文件要求，核心功能（充值缴费、远程控制、报表生成）通过率99.99%，非核心功能≥99.9</w:t>
      </w:r>
      <w:r>
        <w:rPr>
          <w:rFonts w:ascii="宋体" w:hAnsi="宋体" w:cs="宋体"/>
          <w:color w:val="auto"/>
          <w:sz w:val="24"/>
          <w:highlight w:val="none"/>
        </w:rPr>
        <w:t>9</w:t>
      </w:r>
      <w:r>
        <w:rPr>
          <w:rFonts w:hint="eastAsia" w:ascii="宋体" w:hAnsi="宋体" w:cs="宋体"/>
          <w:color w:val="auto"/>
          <w:sz w:val="24"/>
          <w:highlight w:val="none"/>
        </w:rPr>
        <w:t>%</w:t>
      </w:r>
    </w:p>
    <w:p w14:paraId="38328A12">
      <w:pPr>
        <w:numPr>
          <w:ilvl w:val="0"/>
          <w:numId w:val="2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性能验收：并发1000用户时响应时间≤5000ms，数据准确率≥99.99%；</w:t>
      </w:r>
    </w:p>
    <w:p w14:paraId="61C8C1AF">
      <w:pPr>
        <w:numPr>
          <w:ilvl w:val="0"/>
          <w:numId w:val="2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数据验收：历史电表数据迁移完整率≥99.5%，误差率≤0.01%</w:t>
      </w:r>
    </w:p>
    <w:p w14:paraId="78D15CF5">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甲方根据验收文件要求及验收流程签署验收合格文件起计算，免费质保周期为3年。</w:t>
      </w:r>
      <w:bookmarkEnd w:id="27"/>
    </w:p>
    <w:p w14:paraId="526B1CFF">
      <w:pPr>
        <w:numPr>
          <w:ilvl w:val="0"/>
          <w:numId w:val="2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免费质保</w:t>
      </w:r>
      <w:r>
        <w:rPr>
          <w:rFonts w:ascii="宋体" w:hAnsi="宋体" w:cs="宋体"/>
          <w:color w:val="auto"/>
          <w:sz w:val="24"/>
          <w:highlight w:val="none"/>
        </w:rPr>
        <w:t>/</w:t>
      </w:r>
      <w:r>
        <w:rPr>
          <w:rFonts w:hint="eastAsia" w:ascii="宋体" w:hAnsi="宋体" w:cs="宋体"/>
          <w:color w:val="auto"/>
          <w:sz w:val="24"/>
          <w:highlight w:val="none"/>
        </w:rPr>
        <w:t>维保周期后，年度维护、维保、升级等常规服务费（非二次开发）最高限额不超过合同额的</w:t>
      </w:r>
      <w:r>
        <w:rPr>
          <w:rFonts w:ascii="宋体" w:hAnsi="宋体" w:cs="宋体"/>
          <w:color w:val="auto"/>
          <w:sz w:val="24"/>
          <w:highlight w:val="none"/>
        </w:rPr>
        <w:t>8%</w:t>
      </w:r>
      <w:r>
        <w:rPr>
          <w:rFonts w:hint="eastAsia" w:ascii="宋体" w:hAnsi="宋体" w:cs="宋体"/>
          <w:color w:val="auto"/>
          <w:sz w:val="24"/>
          <w:highlight w:val="none"/>
        </w:rPr>
        <w:t>。</w:t>
      </w:r>
    </w:p>
    <w:bookmarkEnd w:id="26"/>
    <w:p w14:paraId="25F6606E">
      <w:pPr>
        <w:pStyle w:val="4"/>
        <w:rPr>
          <w:rFonts w:hint="eastAsia"/>
          <w:color w:val="auto"/>
          <w:highlight w:val="none"/>
        </w:rPr>
      </w:pPr>
      <w:bookmarkStart w:id="28" w:name="_Toc203667664"/>
      <w:r>
        <w:rPr>
          <w:rFonts w:hint="eastAsia"/>
          <w:color w:val="auto"/>
          <w:highlight w:val="none"/>
        </w:rPr>
        <w:t>5、付款方法和条件</w:t>
      </w:r>
      <w:bookmarkEnd w:id="28"/>
    </w:p>
    <w:p w14:paraId="2B804CD6">
      <w:pPr>
        <w:spacing w:line="360" w:lineRule="auto"/>
        <w:ind w:firstLine="480" w:firstLineChars="200"/>
        <w:rPr>
          <w:color w:val="auto"/>
          <w:sz w:val="24"/>
        </w:rPr>
      </w:pPr>
      <w:r>
        <w:rPr>
          <w:rFonts w:hint="eastAsia"/>
          <w:color w:val="auto"/>
          <w:sz w:val="24"/>
        </w:rPr>
        <w:t>5</w:t>
      </w:r>
      <w:r>
        <w:rPr>
          <w:color w:val="auto"/>
          <w:sz w:val="24"/>
        </w:rPr>
        <w:t>.1</w:t>
      </w:r>
      <w:r>
        <w:rPr>
          <w:rFonts w:hint="eastAsia"/>
          <w:color w:val="auto"/>
          <w:sz w:val="24"/>
        </w:rPr>
        <w:t>签订正式合同后，按照如下节点，支付合同金额，具体要求为：</w:t>
      </w:r>
    </w:p>
    <w:p w14:paraId="35B238E9">
      <w:pPr>
        <w:spacing w:line="360" w:lineRule="auto"/>
        <w:ind w:firstLine="480" w:firstLineChars="200"/>
        <w:rPr>
          <w:rFonts w:hint="eastAsia"/>
          <w:sz w:val="24"/>
        </w:rPr>
      </w:pPr>
      <w:r>
        <w:rPr>
          <w:rFonts w:hint="eastAsia"/>
          <w:color w:val="auto"/>
          <w:sz w:val="24"/>
        </w:rPr>
        <w:t>（1）双方签订合同前，供应商支付合同额的5%作为履约保证金</w:t>
      </w:r>
      <w:r>
        <w:rPr>
          <w:rFonts w:hint="eastAsia"/>
          <w:sz w:val="24"/>
        </w:rPr>
        <w:t>，履约完成后退回。</w:t>
      </w:r>
    </w:p>
    <w:p w14:paraId="5D0A3260">
      <w:pPr>
        <w:spacing w:line="360" w:lineRule="auto"/>
        <w:ind w:firstLine="480" w:firstLineChars="200"/>
        <w:rPr>
          <w:rFonts w:hint="eastAsia"/>
          <w:sz w:val="24"/>
        </w:rPr>
      </w:pPr>
      <w:r>
        <w:rPr>
          <w:rFonts w:hint="eastAsia"/>
          <w:sz w:val="24"/>
        </w:rPr>
        <w:t>（2）双方签订合同后，14个工作日内，支付到合同款的30%。</w:t>
      </w:r>
    </w:p>
    <w:p w14:paraId="3DB9F918">
      <w:pPr>
        <w:spacing w:line="360" w:lineRule="auto"/>
        <w:ind w:firstLine="480" w:firstLineChars="200"/>
        <w:rPr>
          <w:rFonts w:hint="eastAsia"/>
          <w:sz w:val="24"/>
        </w:rPr>
      </w:pPr>
      <w:r>
        <w:rPr>
          <w:rFonts w:hint="eastAsia"/>
          <w:sz w:val="24"/>
        </w:rPr>
        <w:t>（3）项目验收合格后双方签署验收单后，14个工作日内，并由采购方签字确认后，采购方支付到合同款的100%</w:t>
      </w:r>
    </w:p>
    <w:p w14:paraId="03626582">
      <w:pPr>
        <w:spacing w:line="360" w:lineRule="auto"/>
        <w:ind w:firstLine="480" w:firstLineChars="200"/>
        <w:rPr>
          <w:rFonts w:hint="eastAsia"/>
          <w:sz w:val="24"/>
        </w:rPr>
      </w:pPr>
      <w:r>
        <w:rPr>
          <w:rFonts w:hint="eastAsia"/>
          <w:sz w:val="24"/>
        </w:rPr>
        <w:t>（4）以上每笔付款前，供应商均需提供与合同相符的增值税发票，经采购方查验后付款。</w:t>
      </w:r>
    </w:p>
    <w:p w14:paraId="3F1098D1">
      <w:pPr>
        <w:spacing w:line="360" w:lineRule="auto"/>
        <w:ind w:firstLine="480" w:firstLineChars="200"/>
        <w:rPr>
          <w:sz w:val="24"/>
        </w:rPr>
      </w:pPr>
      <w:r>
        <w:rPr>
          <w:rFonts w:hint="eastAsia"/>
          <w:sz w:val="24"/>
        </w:rPr>
        <w:t>（5）上述付款时间节点必须在国家拨款到账后才能进行支付，如因此问题付款逾期不属于合同违约。</w:t>
      </w:r>
    </w:p>
    <w:p w14:paraId="11810F26">
      <w:pPr>
        <w:pStyle w:val="4"/>
        <w:rPr>
          <w:rFonts w:hint="eastAsia"/>
        </w:rPr>
      </w:pPr>
      <w:bookmarkStart w:id="29" w:name="_Toc203667665"/>
      <w:r>
        <w:rPr>
          <w:rFonts w:hint="eastAsia"/>
        </w:rPr>
        <w:t>6、售后维护要求</w:t>
      </w:r>
      <w:bookmarkEnd w:id="29"/>
    </w:p>
    <w:p w14:paraId="5456376D">
      <w:pPr>
        <w:spacing w:line="360" w:lineRule="auto"/>
        <w:ind w:firstLine="480" w:firstLineChars="200"/>
        <w:rPr>
          <w:sz w:val="24"/>
        </w:rPr>
      </w:pPr>
      <w:r>
        <w:rPr>
          <w:rFonts w:hint="eastAsia"/>
          <w:sz w:val="24"/>
        </w:rPr>
        <w:t>所有投标人须承诺在项目合同规定的服务期内对系统进行免费维护，包括但不限于系统故障修复、系统升级、数据迁移、补丁包安装、安全漏洞修复、系统间数据共享、系统间业务对接和系统问题咨询等。</w:t>
      </w:r>
    </w:p>
    <w:p w14:paraId="62EDBF1D">
      <w:pPr>
        <w:spacing w:line="360" w:lineRule="auto"/>
        <w:ind w:firstLine="480" w:firstLineChars="200"/>
        <w:rPr>
          <w:sz w:val="24"/>
        </w:rPr>
      </w:pPr>
      <w:r>
        <w:rPr>
          <w:rFonts w:hint="eastAsia"/>
          <w:sz w:val="24"/>
        </w:rPr>
        <w:t>（</w:t>
      </w:r>
      <w:r>
        <w:rPr>
          <w:sz w:val="24"/>
        </w:rPr>
        <w:t>1</w:t>
      </w:r>
      <w:r>
        <w:rPr>
          <w:rFonts w:hint="eastAsia"/>
          <w:sz w:val="24"/>
        </w:rPr>
        <w:t>）对项目使用培训的要求</w:t>
      </w:r>
    </w:p>
    <w:p w14:paraId="2AF9653E">
      <w:pPr>
        <w:spacing w:line="360" w:lineRule="auto"/>
        <w:ind w:firstLine="480" w:firstLineChars="200"/>
        <w:rPr>
          <w:sz w:val="24"/>
        </w:rPr>
      </w:pPr>
      <w:r>
        <w:rPr>
          <w:rFonts w:hint="eastAsia"/>
          <w:sz w:val="24"/>
        </w:rPr>
        <w:t>投标方需根据用户需求不断改进系统功能和性能，并提供有效的二次开发培训。</w:t>
      </w:r>
    </w:p>
    <w:p w14:paraId="397DAE80">
      <w:pPr>
        <w:spacing w:line="360" w:lineRule="auto"/>
        <w:ind w:firstLine="480" w:firstLineChars="200"/>
        <w:rPr>
          <w:sz w:val="24"/>
        </w:rPr>
      </w:pPr>
      <w:r>
        <w:rPr>
          <w:rFonts w:hint="eastAsia"/>
          <w:sz w:val="24"/>
        </w:rPr>
        <w:t>应针对本项目的最终用户和系统运行维护用户提供分层次培训。需提供灵活多样的培训方式，包括最终用户的操作培训、对运行维护人员的技术培训等。</w:t>
      </w:r>
    </w:p>
    <w:p w14:paraId="6028768F">
      <w:pPr>
        <w:spacing w:line="360" w:lineRule="auto"/>
        <w:ind w:firstLine="480" w:firstLineChars="200"/>
        <w:rPr>
          <w:sz w:val="24"/>
        </w:rPr>
      </w:pPr>
      <w:r>
        <w:rPr>
          <w:rFonts w:hint="eastAsia"/>
          <w:sz w:val="24"/>
        </w:rPr>
        <w:t>应制定详细的人员培训方案，培训方案应包括培训目的、培训时间安排、人员层次、人数、次数、培训课程（包括课程介绍）主要内容（列出培训基本内容）培训组织方式等。</w:t>
      </w:r>
    </w:p>
    <w:p w14:paraId="36ACA1BF">
      <w:pPr>
        <w:spacing w:line="360" w:lineRule="auto"/>
        <w:ind w:firstLine="480" w:firstLineChars="200"/>
        <w:rPr>
          <w:sz w:val="24"/>
        </w:rPr>
      </w:pPr>
      <w:r>
        <w:rPr>
          <w:rFonts w:hint="eastAsia"/>
          <w:sz w:val="24"/>
        </w:rPr>
        <w:t>对于提供的所有培训，必须保证师资力量，主要培训教员应是产品的主要设计和开发者。</w:t>
      </w:r>
    </w:p>
    <w:p w14:paraId="02391249">
      <w:pPr>
        <w:spacing w:line="360" w:lineRule="auto"/>
        <w:ind w:firstLine="480" w:firstLineChars="200"/>
        <w:rPr>
          <w:sz w:val="24"/>
        </w:rPr>
      </w:pPr>
      <w:r>
        <w:rPr>
          <w:rFonts w:hint="eastAsia"/>
          <w:sz w:val="24"/>
        </w:rPr>
        <w:t>培训的内容及方案应由双方协商制定。供应商前来进行技术培训的人员的费用包括在合同总价中。</w:t>
      </w:r>
    </w:p>
    <w:p w14:paraId="6A4C27A3">
      <w:pPr>
        <w:spacing w:line="360" w:lineRule="auto"/>
        <w:ind w:firstLine="480" w:firstLineChars="200"/>
        <w:rPr>
          <w:sz w:val="24"/>
        </w:rPr>
      </w:pPr>
      <w:r>
        <w:rPr>
          <w:rFonts w:hint="eastAsia"/>
          <w:sz w:val="24"/>
        </w:rPr>
        <w:t>（</w:t>
      </w:r>
      <w:r>
        <w:rPr>
          <w:sz w:val="24"/>
        </w:rPr>
        <w:t>2</w:t>
      </w:r>
      <w:r>
        <w:rPr>
          <w:rFonts w:hint="eastAsia"/>
          <w:sz w:val="24"/>
        </w:rPr>
        <w:t>）对项目维保售后服务的要求</w:t>
      </w:r>
    </w:p>
    <w:p w14:paraId="55996AAB">
      <w:pPr>
        <w:spacing w:line="360" w:lineRule="auto"/>
        <w:ind w:firstLine="480" w:firstLineChars="200"/>
        <w:rPr>
          <w:sz w:val="24"/>
        </w:rPr>
      </w:pPr>
      <w:r>
        <w:rPr>
          <w:rFonts w:hint="eastAsia"/>
          <w:sz w:val="24"/>
          <w:lang w:val="en-US" w:eastAsia="zh-CN"/>
        </w:rPr>
        <w:t>1</w:t>
      </w:r>
      <w:r>
        <w:rPr>
          <w:sz w:val="24"/>
        </w:rPr>
        <w:t xml:space="preserve">) </w:t>
      </w:r>
      <w:r>
        <w:rPr>
          <w:rFonts w:hint="eastAsia"/>
          <w:sz w:val="24"/>
        </w:rPr>
        <w:t>在服务期内，应始终通过现场服务、电话服务、远程服务等方式提供快速、高效的维护服务。</w:t>
      </w:r>
    </w:p>
    <w:p w14:paraId="654B479B">
      <w:pPr>
        <w:spacing w:line="360" w:lineRule="auto"/>
        <w:ind w:firstLine="480" w:firstLineChars="200"/>
        <w:rPr>
          <w:sz w:val="24"/>
        </w:rPr>
      </w:pPr>
      <w:r>
        <w:rPr>
          <w:rFonts w:hint="eastAsia"/>
          <w:sz w:val="24"/>
          <w:lang w:val="en-US" w:eastAsia="zh-CN"/>
        </w:rPr>
        <w:t>2</w:t>
      </w:r>
      <w:r>
        <w:rPr>
          <w:sz w:val="24"/>
        </w:rPr>
        <w:t xml:space="preserve">) </w:t>
      </w:r>
      <w:r>
        <w:rPr>
          <w:rFonts w:hint="eastAsia"/>
          <w:sz w:val="24"/>
        </w:rPr>
        <w:t>服务期内须提供所供软件系统的系统</w:t>
      </w:r>
      <w:r>
        <w:rPr>
          <w:sz w:val="24"/>
        </w:rPr>
        <w:t>BUG</w:t>
      </w:r>
      <w:r>
        <w:rPr>
          <w:rFonts w:hint="eastAsia"/>
          <w:sz w:val="24"/>
        </w:rPr>
        <w:t>修复、系统性能优化等服务。</w:t>
      </w:r>
    </w:p>
    <w:p w14:paraId="3816EFFF">
      <w:pPr>
        <w:spacing w:line="360" w:lineRule="auto"/>
        <w:ind w:firstLine="480" w:firstLineChars="200"/>
        <w:rPr>
          <w:sz w:val="24"/>
        </w:rPr>
      </w:pPr>
      <w:r>
        <w:rPr>
          <w:rFonts w:hint="eastAsia"/>
          <w:sz w:val="24"/>
          <w:lang w:val="en-US" w:eastAsia="zh-CN"/>
        </w:rPr>
        <w:t>3</w:t>
      </w:r>
      <w:r>
        <w:rPr>
          <w:sz w:val="24"/>
        </w:rPr>
        <w:t xml:space="preserve">) </w:t>
      </w:r>
      <w:r>
        <w:rPr>
          <w:rFonts w:hint="eastAsia"/>
          <w:sz w:val="24"/>
        </w:rPr>
        <w:t>协助提供系统数据备份服务，并定期检验数据备份的有效性。</w:t>
      </w:r>
    </w:p>
    <w:p w14:paraId="6168898F">
      <w:pPr>
        <w:spacing w:line="360" w:lineRule="auto"/>
        <w:ind w:firstLine="480" w:firstLineChars="200"/>
        <w:rPr>
          <w:sz w:val="24"/>
        </w:rPr>
      </w:pPr>
      <w:r>
        <w:rPr>
          <w:rFonts w:hint="eastAsia"/>
          <w:sz w:val="24"/>
          <w:lang w:val="en-US" w:eastAsia="zh-CN"/>
        </w:rPr>
        <w:t>4</w:t>
      </w:r>
      <w:r>
        <w:rPr>
          <w:sz w:val="24"/>
        </w:rPr>
        <w:t xml:space="preserve">) </w:t>
      </w:r>
      <w:r>
        <w:rPr>
          <w:rFonts w:hint="eastAsia"/>
          <w:sz w:val="24"/>
        </w:rPr>
        <w:t>协助采购人对产品运行环境（包括操作系统、数据库、中间件以及其它相关软件）及时进行打补丁、查病毒服务。</w:t>
      </w:r>
    </w:p>
    <w:p w14:paraId="62EFC5D6">
      <w:pPr>
        <w:spacing w:line="360" w:lineRule="auto"/>
        <w:ind w:firstLine="480" w:firstLineChars="200"/>
        <w:rPr>
          <w:sz w:val="24"/>
        </w:rPr>
      </w:pPr>
      <w:r>
        <w:rPr>
          <w:rFonts w:hint="eastAsia"/>
          <w:sz w:val="24"/>
          <w:lang w:val="en-US" w:eastAsia="zh-CN"/>
        </w:rPr>
        <w:t>5</w:t>
      </w:r>
      <w:r>
        <w:rPr>
          <w:sz w:val="24"/>
        </w:rPr>
        <w:t xml:space="preserve">) </w:t>
      </w:r>
      <w:r>
        <w:rPr>
          <w:rFonts w:hint="eastAsia"/>
          <w:sz w:val="24"/>
        </w:rPr>
        <w:t>投标人在投标时须提出软件系统及运行环境的定期维护计划，对采购人要求的不定期维护提出响应措施。</w:t>
      </w:r>
    </w:p>
    <w:p w14:paraId="579FBB7D">
      <w:pPr>
        <w:spacing w:line="360" w:lineRule="auto"/>
        <w:ind w:firstLine="480" w:firstLineChars="200"/>
        <w:rPr>
          <w:sz w:val="24"/>
        </w:rPr>
      </w:pPr>
      <w:r>
        <w:rPr>
          <w:rFonts w:hint="eastAsia"/>
          <w:sz w:val="24"/>
          <w:lang w:val="en-US" w:eastAsia="zh-CN"/>
        </w:rPr>
        <w:t>6</w:t>
      </w:r>
      <w:r>
        <w:rPr>
          <w:sz w:val="24"/>
        </w:rPr>
        <w:t xml:space="preserve">) </w:t>
      </w:r>
      <w:r>
        <w:rPr>
          <w:rFonts w:hint="eastAsia"/>
          <w:sz w:val="24"/>
        </w:rPr>
        <w:t>实施系统维护或修改设计后，应在</w:t>
      </w:r>
      <w:r>
        <w:rPr>
          <w:sz w:val="24"/>
        </w:rPr>
        <w:t>1</w:t>
      </w:r>
      <w:r>
        <w:rPr>
          <w:rFonts w:hint="eastAsia"/>
          <w:sz w:val="24"/>
        </w:rPr>
        <w:t>周内更新有关技术文档并提交采购人。</w:t>
      </w:r>
    </w:p>
    <w:p w14:paraId="07807D8F">
      <w:pPr>
        <w:spacing w:line="360" w:lineRule="auto"/>
        <w:ind w:firstLine="480" w:firstLineChars="200"/>
        <w:rPr>
          <w:color w:val="auto"/>
          <w:sz w:val="24"/>
          <w:highlight w:val="none"/>
        </w:rPr>
      </w:pPr>
      <w:r>
        <w:rPr>
          <w:rFonts w:hint="eastAsia"/>
          <w:sz w:val="24"/>
          <w:lang w:val="en-US" w:eastAsia="zh-CN"/>
        </w:rPr>
        <w:t>7</w:t>
      </w:r>
      <w:r>
        <w:rPr>
          <w:sz w:val="24"/>
        </w:rPr>
        <w:t xml:space="preserve">) </w:t>
      </w:r>
      <w:r>
        <w:rPr>
          <w:rFonts w:hint="eastAsia"/>
          <w:sz w:val="24"/>
        </w:rPr>
        <w:t>技术支持方面，提供</w:t>
      </w:r>
      <w:r>
        <w:rPr>
          <w:sz w:val="24"/>
        </w:rPr>
        <w:t>7×24</w:t>
      </w:r>
      <w:r>
        <w:rPr>
          <w:rFonts w:hint="eastAsia"/>
          <w:sz w:val="24"/>
        </w:rPr>
        <w:t>小时的技术咨询服务，每年提供至少</w:t>
      </w:r>
      <w:r>
        <w:rPr>
          <w:sz w:val="24"/>
        </w:rPr>
        <w:t>2</w:t>
      </w:r>
      <w:r>
        <w:rPr>
          <w:rFonts w:hint="eastAsia"/>
          <w:sz w:val="24"/>
        </w:rPr>
        <w:t>次对系统运行状况</w:t>
      </w:r>
      <w:r>
        <w:rPr>
          <w:rFonts w:hint="eastAsia"/>
          <w:color w:val="auto"/>
          <w:sz w:val="24"/>
        </w:rPr>
        <w:t>的评估服务，提供每月</w:t>
      </w:r>
      <w:r>
        <w:rPr>
          <w:color w:val="auto"/>
          <w:sz w:val="24"/>
          <w:highlight w:val="none"/>
        </w:rPr>
        <w:t>1</w:t>
      </w:r>
      <w:r>
        <w:rPr>
          <w:rFonts w:hint="eastAsia"/>
          <w:color w:val="auto"/>
          <w:sz w:val="24"/>
          <w:highlight w:val="none"/>
        </w:rPr>
        <w:t>次巡视服务</w:t>
      </w:r>
      <w:r>
        <w:rPr>
          <w:rFonts w:hint="eastAsia" w:ascii="宋体" w:hAnsi="宋体" w:cs="宋体"/>
          <w:color w:val="auto"/>
          <w:kern w:val="0"/>
          <w:sz w:val="24"/>
          <w:highlight w:val="none"/>
          <w:lang w:bidi="ar"/>
        </w:rPr>
        <w:t>（包含系统日志检查，异常情况记录跟进与处理、性能监控、安全漏洞扫描和修复）</w:t>
      </w:r>
      <w:r>
        <w:rPr>
          <w:rFonts w:hint="eastAsia"/>
          <w:color w:val="auto"/>
          <w:sz w:val="24"/>
          <w:highlight w:val="none"/>
        </w:rPr>
        <w:t>，检测软件系统及运行环境的运行情况。</w:t>
      </w:r>
    </w:p>
    <w:p w14:paraId="4907848D">
      <w:pPr>
        <w:spacing w:line="360" w:lineRule="auto"/>
        <w:ind w:firstLine="480" w:firstLineChars="200"/>
        <w:rPr>
          <w:rFonts w:hint="eastAsia"/>
          <w:color w:val="auto"/>
          <w:sz w:val="24"/>
        </w:rPr>
      </w:pPr>
      <w:r>
        <w:rPr>
          <w:rFonts w:hint="eastAsia"/>
          <w:color w:val="auto"/>
          <w:sz w:val="24"/>
          <w:lang w:val="en-US" w:eastAsia="zh-CN"/>
        </w:rPr>
        <w:t>★8)  故障响应方面（需提供承诺书），提供7×24小时的故障服务受理；对重大故障提供7×24小时的现场支援，接到故障通知后，技术人员需一小时内到达现场；一般故障提供5×8小时支援；故障服务的响应时间小于1小时；恢复时间不能超过1小时</w:t>
      </w:r>
      <w:r>
        <w:rPr>
          <w:rFonts w:hint="eastAsia"/>
          <w:color w:val="auto"/>
          <w:sz w:val="24"/>
        </w:rPr>
        <w:t>。</w:t>
      </w:r>
    </w:p>
    <w:p w14:paraId="2674DA2D">
      <w:pPr>
        <w:pStyle w:val="3"/>
        <w:rPr>
          <w:rFonts w:hint="eastAsia"/>
          <w:color w:val="auto"/>
          <w:lang w:eastAsia="zh-CN"/>
        </w:rPr>
      </w:pPr>
      <w:bookmarkStart w:id="30" w:name="_Toc203667666"/>
      <w:r>
        <w:rPr>
          <w:rFonts w:hint="eastAsia"/>
          <w:color w:val="auto"/>
        </w:rPr>
        <w:t>四、项目与学校信息化总体框架兼容的要求</w:t>
      </w:r>
      <w:bookmarkEnd w:id="30"/>
    </w:p>
    <w:p w14:paraId="28D55F18">
      <w:pPr>
        <w:pStyle w:val="4"/>
        <w:rPr>
          <w:rFonts w:hint="eastAsia"/>
          <w:color w:val="auto"/>
        </w:rPr>
      </w:pPr>
      <w:bookmarkStart w:id="31" w:name="_Toc203667667"/>
      <w:r>
        <w:rPr>
          <w:rFonts w:hint="eastAsia"/>
          <w:color w:val="auto"/>
        </w:rPr>
        <w:t>1、系统对接要求</w:t>
      </w:r>
      <w:bookmarkEnd w:id="31"/>
    </w:p>
    <w:p w14:paraId="235A8801">
      <w:pPr>
        <w:spacing w:line="360" w:lineRule="auto"/>
        <w:ind w:firstLine="480" w:firstLineChars="200"/>
        <w:rPr>
          <w:rFonts w:hint="eastAsia"/>
          <w:color w:val="auto"/>
          <w:sz w:val="24"/>
        </w:rPr>
      </w:pPr>
      <w:r>
        <w:rPr>
          <w:rFonts w:hint="eastAsia"/>
          <w:color w:val="auto"/>
          <w:sz w:val="24"/>
        </w:rPr>
        <w:t>（1）统一身份认证接入要求</w:t>
      </w:r>
    </w:p>
    <w:p w14:paraId="7001CB6E">
      <w:pPr>
        <w:spacing w:line="360" w:lineRule="auto"/>
        <w:ind w:firstLine="480" w:firstLineChars="200"/>
        <w:rPr>
          <w:rFonts w:hint="eastAsia"/>
          <w:sz w:val="24"/>
        </w:rPr>
      </w:pPr>
      <w:r>
        <w:rPr>
          <w:rFonts w:hint="eastAsia"/>
          <w:color w:val="auto"/>
          <w:sz w:val="24"/>
        </w:rPr>
        <w:t>统一身份认证服务通过统一管理用户的认证过程和认证信</w:t>
      </w:r>
      <w:r>
        <w:rPr>
          <w:rFonts w:hint="eastAsia"/>
          <w:sz w:val="24"/>
        </w:rPr>
        <w:t>息，使登录后的用户在应用之间可以不需再次登录，为用户带来</w:t>
      </w:r>
      <w:r>
        <w:rPr>
          <w:sz w:val="24"/>
        </w:rPr>
        <w:t xml:space="preserve"> </w:t>
      </w:r>
      <w:r>
        <w:rPr>
          <w:rFonts w:hint="eastAsia"/>
          <w:sz w:val="24"/>
        </w:rPr>
        <w:t>“单点登录，多点漫游”的便利。校园用户提供与校园其他系统数据</w:t>
      </w:r>
      <w:r>
        <w:rPr>
          <w:sz w:val="24"/>
        </w:rPr>
        <w:t>/</w:t>
      </w:r>
      <w:r>
        <w:rPr>
          <w:rFonts w:hint="eastAsia"/>
          <w:sz w:val="24"/>
        </w:rPr>
        <w:t>功能对接的唯一标识，因此在系统登录与用户身份需与校园统一身份认证服务进行对接。</w:t>
      </w:r>
      <w:r>
        <w:rPr>
          <w:sz w:val="24"/>
        </w:rPr>
        <w:t xml:space="preserve"> </w:t>
      </w:r>
    </w:p>
    <w:p w14:paraId="16F23C7A">
      <w:pPr>
        <w:spacing w:line="360" w:lineRule="auto"/>
        <w:ind w:firstLine="480" w:firstLineChars="200"/>
        <w:rPr>
          <w:rFonts w:hint="eastAsia"/>
          <w:sz w:val="24"/>
        </w:rPr>
      </w:pPr>
      <w:r>
        <w:rPr>
          <w:rFonts w:hint="eastAsia"/>
          <w:sz w:val="24"/>
        </w:rPr>
        <w:t>（2）共享数据中心数据对接要求</w:t>
      </w:r>
    </w:p>
    <w:p w14:paraId="11F91EF8">
      <w:pPr>
        <w:spacing w:line="360" w:lineRule="auto"/>
        <w:ind w:firstLine="480" w:firstLineChars="200"/>
        <w:rPr>
          <w:rFonts w:hint="eastAsia"/>
          <w:sz w:val="24"/>
        </w:rPr>
      </w:pPr>
      <w:r>
        <w:rPr>
          <w:rFonts w:hint="eastAsia"/>
          <w:sz w:val="24"/>
        </w:rPr>
        <w:t>按学校相关的数据标准，以只读视图的方式授权和开放系统数据，这些数据将会被同步至共享数据中心，供其他业务系统使用。</w:t>
      </w:r>
    </w:p>
    <w:p w14:paraId="404473C9">
      <w:pPr>
        <w:spacing w:line="360" w:lineRule="auto"/>
        <w:ind w:firstLine="480" w:firstLineChars="200"/>
        <w:rPr>
          <w:rFonts w:hint="eastAsia"/>
          <w:sz w:val="24"/>
        </w:rPr>
      </w:pPr>
      <w:r>
        <w:rPr>
          <w:rFonts w:hint="eastAsia"/>
          <w:sz w:val="24"/>
        </w:rPr>
        <w:t>面向其他应用系统需提供数据访问接⼝的服务，根据数据访问的要求对元数据进行封装，以</w:t>
      </w:r>
      <w:r>
        <w:rPr>
          <w:sz w:val="24"/>
        </w:rPr>
        <w:t xml:space="preserve"> API </w:t>
      </w:r>
      <w:r>
        <w:rPr>
          <w:rFonts w:hint="eastAsia"/>
          <w:sz w:val="24"/>
        </w:rPr>
        <w:t>接口的形式对外发布。（</w:t>
      </w:r>
      <w:r>
        <w:rPr>
          <w:rFonts w:hint="eastAsia"/>
          <w:b/>
          <w:bCs/>
          <w:sz w:val="24"/>
        </w:rPr>
        <w:t>提供针对此项的承诺函以及对接的协议文件</w:t>
      </w:r>
      <w:r>
        <w:rPr>
          <w:rFonts w:hint="eastAsia"/>
          <w:sz w:val="24"/>
        </w:rPr>
        <w:t>）</w:t>
      </w:r>
    </w:p>
    <w:p w14:paraId="18D37074">
      <w:pPr>
        <w:spacing w:line="360" w:lineRule="auto"/>
        <w:ind w:firstLine="480" w:firstLineChars="200"/>
        <w:rPr>
          <w:rFonts w:hint="eastAsia"/>
          <w:sz w:val="24"/>
        </w:rPr>
      </w:pPr>
      <w:r>
        <w:rPr>
          <w:rFonts w:hint="eastAsia"/>
          <w:sz w:val="24"/>
        </w:rPr>
        <w:t>（3）统一通信平台对接要求</w:t>
      </w:r>
    </w:p>
    <w:p w14:paraId="1312847C">
      <w:pPr>
        <w:spacing w:line="360" w:lineRule="auto"/>
        <w:ind w:firstLine="480" w:firstLineChars="200"/>
        <w:rPr>
          <w:rFonts w:hint="eastAsia"/>
          <w:sz w:val="24"/>
        </w:rPr>
      </w:pPr>
      <w:r>
        <w:rPr>
          <w:rFonts w:hint="eastAsia"/>
          <w:sz w:val="24"/>
        </w:rPr>
        <w:t>基于校园各类应用系统信息统一收发要求，除系统内通知消息外，所有业务系统通过短信、微信、邮件等通道发送的消息均须对接校园统一通信平台，由统一通信平台负责发送，包括回执消息的接收。</w:t>
      </w:r>
    </w:p>
    <w:p w14:paraId="14E1DD70">
      <w:pPr>
        <w:spacing w:line="360" w:lineRule="auto"/>
        <w:ind w:firstLine="480" w:firstLineChars="200"/>
        <w:rPr>
          <w:rFonts w:hint="eastAsia"/>
          <w:sz w:val="24"/>
        </w:rPr>
      </w:pPr>
      <w:r>
        <w:rPr>
          <w:rFonts w:hint="eastAsia"/>
          <w:sz w:val="24"/>
        </w:rPr>
        <w:t>信息发送须严格遵守各通信运营商对信息安全管理和企业用户授权的相关要求，包括但不限于信息审计、黑白名单设置和信息模板管理等要求。</w:t>
      </w:r>
    </w:p>
    <w:p w14:paraId="032FB989">
      <w:pPr>
        <w:spacing w:line="360" w:lineRule="auto"/>
        <w:ind w:firstLine="480" w:firstLineChars="200"/>
        <w:rPr>
          <w:rFonts w:hint="eastAsia"/>
          <w:sz w:val="24"/>
        </w:rPr>
      </w:pPr>
      <w:r>
        <w:rPr>
          <w:rFonts w:hint="eastAsia"/>
          <w:sz w:val="24"/>
        </w:rPr>
        <w:t>（4）校园门户集成要求</w:t>
      </w:r>
    </w:p>
    <w:p w14:paraId="13D3AA98">
      <w:pPr>
        <w:spacing w:line="360" w:lineRule="auto"/>
        <w:ind w:firstLine="480" w:firstLineChars="200"/>
        <w:rPr>
          <w:rFonts w:hint="eastAsia"/>
          <w:sz w:val="24"/>
        </w:rPr>
      </w:pPr>
      <w:r>
        <w:rPr>
          <w:rFonts w:hint="eastAsia"/>
          <w:sz w:val="24"/>
        </w:rPr>
        <w:t>包括四个方面的集成内容：</w:t>
      </w:r>
    </w:p>
    <w:p w14:paraId="21114289">
      <w:pPr>
        <w:spacing w:line="360" w:lineRule="auto"/>
        <w:ind w:firstLine="480" w:firstLineChars="200"/>
        <w:rPr>
          <w:rFonts w:hint="eastAsia"/>
          <w:sz w:val="24"/>
        </w:rPr>
      </w:pPr>
      <w:r>
        <w:rPr>
          <w:rFonts w:hint="eastAsia"/>
          <w:sz w:val="24"/>
        </w:rPr>
        <w:t>1）资讯对接：为系统的资讯类内容提供</w:t>
      </w:r>
      <w:r>
        <w:rPr>
          <w:sz w:val="24"/>
        </w:rPr>
        <w:t>RSS</w:t>
      </w:r>
      <w:r>
        <w:rPr>
          <w:rFonts w:hint="eastAsia"/>
          <w:sz w:val="24"/>
        </w:rPr>
        <w:t>或</w:t>
      </w:r>
      <w:r>
        <w:rPr>
          <w:sz w:val="24"/>
        </w:rPr>
        <w:t>API</w:t>
      </w:r>
      <w:r>
        <w:rPr>
          <w:rFonts w:hint="eastAsia"/>
          <w:sz w:val="24"/>
        </w:rPr>
        <w:t>订阅接口，以供第三方系统的统一调用。</w:t>
      </w:r>
      <w:r>
        <w:rPr>
          <w:sz w:val="24"/>
        </w:rPr>
        <w:t xml:space="preserve"> </w:t>
      </w:r>
    </w:p>
    <w:p w14:paraId="0C168E86">
      <w:pPr>
        <w:spacing w:line="360" w:lineRule="auto"/>
        <w:ind w:firstLine="480" w:firstLineChars="200"/>
        <w:rPr>
          <w:rFonts w:hint="eastAsia"/>
          <w:sz w:val="24"/>
        </w:rPr>
      </w:pPr>
      <w:r>
        <w:rPr>
          <w:rFonts w:hint="eastAsia"/>
          <w:sz w:val="24"/>
        </w:rPr>
        <w:t>2）待办</w:t>
      </w:r>
      <w:r>
        <w:rPr>
          <w:sz w:val="24"/>
        </w:rPr>
        <w:t>/</w:t>
      </w:r>
      <w:r>
        <w:rPr>
          <w:rFonts w:hint="eastAsia"/>
          <w:sz w:val="24"/>
        </w:rPr>
        <w:t>已办接口对接：包括系统产生的流程类状态信息等。此类数据需由系统提供相应的</w:t>
      </w:r>
      <w:r>
        <w:rPr>
          <w:sz w:val="24"/>
        </w:rPr>
        <w:t>API</w:t>
      </w:r>
      <w:r>
        <w:rPr>
          <w:rFonts w:hint="eastAsia"/>
          <w:sz w:val="24"/>
        </w:rPr>
        <w:t>接⼝，供门户系统待办</w:t>
      </w:r>
      <w:r>
        <w:rPr>
          <w:sz w:val="24"/>
        </w:rPr>
        <w:t>/</w:t>
      </w:r>
      <w:r>
        <w:rPr>
          <w:rFonts w:hint="eastAsia"/>
          <w:sz w:val="24"/>
        </w:rPr>
        <w:t>已办功能调用。</w:t>
      </w:r>
      <w:r>
        <w:rPr>
          <w:sz w:val="24"/>
        </w:rPr>
        <w:t xml:space="preserve"> </w:t>
      </w:r>
    </w:p>
    <w:p w14:paraId="69B5C2A8">
      <w:pPr>
        <w:spacing w:line="360" w:lineRule="auto"/>
        <w:ind w:firstLine="480" w:firstLineChars="200"/>
        <w:rPr>
          <w:rFonts w:hint="eastAsia"/>
          <w:sz w:val="24"/>
        </w:rPr>
      </w:pPr>
      <w:r>
        <w:rPr>
          <w:rFonts w:hint="eastAsia"/>
          <w:sz w:val="24"/>
        </w:rPr>
        <w:t>3）服务对接：校园门户内提供校园办事服务功能，涉及到师生服务的申请、办事类应用需与办事服务进行对接。</w:t>
      </w:r>
    </w:p>
    <w:p w14:paraId="401BBB3A">
      <w:pPr>
        <w:spacing w:line="360" w:lineRule="auto"/>
        <w:ind w:firstLine="480" w:firstLineChars="200"/>
        <w:rPr>
          <w:rFonts w:hint="eastAsia"/>
          <w:sz w:val="24"/>
        </w:rPr>
      </w:pPr>
      <w:r>
        <w:rPr>
          <w:rFonts w:hint="eastAsia"/>
          <w:sz w:val="24"/>
        </w:rPr>
        <w:t>4）应用对接：校园门户提供开发者服务功能，支持门户内应用的开发与集成，对于能够为师生提供的简单应用，应在门户平台中遵循相应的接口与界面规范建立对应的应用（第（5）条要求的移动应用集成同理）。</w:t>
      </w:r>
      <w:r>
        <w:rPr>
          <w:sz w:val="24"/>
        </w:rPr>
        <w:t xml:space="preserve"> </w:t>
      </w:r>
    </w:p>
    <w:p w14:paraId="22EF19A3">
      <w:pPr>
        <w:spacing w:line="360" w:lineRule="auto"/>
        <w:ind w:firstLine="480" w:firstLineChars="200"/>
        <w:rPr>
          <w:sz w:val="24"/>
        </w:rPr>
      </w:pPr>
      <w:r>
        <w:rPr>
          <w:rFonts w:hint="eastAsia"/>
          <w:sz w:val="24"/>
        </w:rPr>
        <w:t>5）应用或服务与门户的对接可能涉及到直接跳转、数据集成、界面集成等多种方式，每个应用或服务具体的对接策略待之后双方视具体情况共同商议决定。</w:t>
      </w:r>
    </w:p>
    <w:p w14:paraId="6A43058D">
      <w:pPr>
        <w:spacing w:line="360" w:lineRule="auto"/>
        <w:ind w:firstLine="480" w:firstLineChars="200"/>
        <w:rPr>
          <w:rFonts w:hint="eastAsia"/>
          <w:sz w:val="24"/>
        </w:rPr>
      </w:pPr>
      <w:r>
        <w:rPr>
          <w:rFonts w:hint="eastAsia"/>
          <w:sz w:val="24"/>
        </w:rPr>
        <w:t>（5）校园移动应用集成要求</w:t>
      </w:r>
    </w:p>
    <w:p w14:paraId="40309020">
      <w:pPr>
        <w:spacing w:line="360" w:lineRule="auto"/>
        <w:ind w:firstLine="480" w:firstLineChars="200"/>
        <w:rPr>
          <w:rFonts w:hint="eastAsia"/>
          <w:sz w:val="24"/>
        </w:rPr>
      </w:pPr>
      <w:r>
        <w:rPr>
          <w:rFonts w:hint="eastAsia"/>
          <w:sz w:val="24"/>
        </w:rPr>
        <w:t>包括移动数字校园</w:t>
      </w:r>
      <w:r>
        <w:rPr>
          <w:sz w:val="24"/>
        </w:rPr>
        <w:t>APP</w:t>
      </w:r>
      <w:r>
        <w:rPr>
          <w:rFonts w:hint="eastAsia"/>
          <w:sz w:val="24"/>
        </w:rPr>
        <w:t>与校园微信公众服务号</w:t>
      </w:r>
      <w:r>
        <w:rPr>
          <w:sz w:val="24"/>
        </w:rPr>
        <w:t>/</w:t>
      </w:r>
      <w:r>
        <w:rPr>
          <w:rFonts w:hint="eastAsia"/>
          <w:sz w:val="24"/>
        </w:rPr>
        <w:t>企业号，内置的应用商店等。功能支持</w:t>
      </w:r>
      <w:r>
        <w:rPr>
          <w:sz w:val="24"/>
        </w:rPr>
        <w:t>HTML</w:t>
      </w:r>
      <w:r>
        <w:rPr>
          <w:rFonts w:hint="eastAsia"/>
          <w:sz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14:paraId="0625AFE0">
      <w:pPr>
        <w:spacing w:line="360" w:lineRule="auto"/>
        <w:ind w:firstLine="480" w:firstLineChars="200"/>
        <w:rPr>
          <w:rFonts w:hint="eastAsia"/>
          <w:sz w:val="24"/>
        </w:rPr>
      </w:pPr>
      <w:r>
        <w:rPr>
          <w:rFonts w:hint="eastAsia"/>
          <w:sz w:val="24"/>
        </w:rPr>
        <w:t>（6）</w:t>
      </w:r>
      <w:r>
        <w:rPr>
          <w:rFonts w:hint="eastAsia" w:hAnsi="Calibri" w:eastAsia="等线"/>
          <w:kern w:val="0"/>
          <w:szCs w:val="21"/>
        </w:rPr>
        <w:t>★</w:t>
      </w:r>
      <w:r>
        <w:rPr>
          <w:rFonts w:hint="eastAsia"/>
          <w:b/>
          <w:bCs/>
          <w:sz w:val="24"/>
          <w:u w:val="single"/>
        </w:rPr>
        <w:t>校园统一支付缴费平台的集成要求（提供承诺函）</w:t>
      </w:r>
    </w:p>
    <w:p w14:paraId="3C678CDC">
      <w:pPr>
        <w:spacing w:line="360" w:lineRule="auto"/>
        <w:ind w:firstLine="482" w:firstLineChars="200"/>
        <w:rPr>
          <w:rFonts w:hint="eastAsia"/>
          <w:b/>
          <w:bCs/>
          <w:sz w:val="24"/>
          <w:u w:val="single"/>
        </w:rPr>
      </w:pPr>
      <w:r>
        <w:rPr>
          <w:rFonts w:hint="eastAsia"/>
          <w:b/>
          <w:bCs/>
          <w:sz w:val="24"/>
          <w:u w:val="single"/>
        </w:rPr>
        <w:t>如果项目中存在支付缴费类业务，应具备与学校统一支付缴费平台集成的能力：</w:t>
      </w:r>
    </w:p>
    <w:p w14:paraId="4C42E78C">
      <w:pPr>
        <w:spacing w:line="360" w:lineRule="auto"/>
        <w:ind w:firstLine="482" w:firstLineChars="200"/>
        <w:rPr>
          <w:rFonts w:hint="eastAsia"/>
          <w:b/>
          <w:bCs/>
          <w:sz w:val="24"/>
          <w:u w:val="single"/>
        </w:rPr>
      </w:pPr>
      <w:r>
        <w:rPr>
          <w:rFonts w:hint="eastAsia"/>
          <w:b/>
          <w:bCs/>
          <w:sz w:val="24"/>
          <w:u w:val="single"/>
        </w:rPr>
        <w:t>1）能根据统一支付缴费平台提供的标准化开发接口实现支付缴费业务的定制与开发。</w:t>
      </w:r>
    </w:p>
    <w:p w14:paraId="0C6BD91C">
      <w:pPr>
        <w:spacing w:line="360" w:lineRule="auto"/>
        <w:ind w:firstLine="482" w:firstLineChars="200"/>
        <w:rPr>
          <w:rFonts w:hint="eastAsia"/>
          <w:b/>
          <w:bCs/>
          <w:sz w:val="24"/>
          <w:u w:val="single"/>
        </w:rPr>
      </w:pPr>
      <w:r>
        <w:rPr>
          <w:rFonts w:hint="eastAsia"/>
          <w:b/>
          <w:bCs/>
          <w:sz w:val="24"/>
          <w:u w:val="single"/>
        </w:rPr>
        <w:t>2）能提供标准开放式接口，用于统一支付缴费平台获取相关数据。</w:t>
      </w:r>
    </w:p>
    <w:p w14:paraId="5A646594">
      <w:pPr>
        <w:spacing w:line="360" w:lineRule="auto"/>
        <w:ind w:firstLine="482" w:firstLineChars="200"/>
        <w:rPr>
          <w:rFonts w:hint="eastAsia"/>
          <w:b/>
          <w:bCs/>
          <w:sz w:val="24"/>
          <w:u w:val="single"/>
        </w:rPr>
      </w:pPr>
      <w:r>
        <w:rPr>
          <w:rFonts w:hint="eastAsia"/>
          <w:b/>
          <w:bCs/>
          <w:sz w:val="24"/>
          <w:u w:val="single"/>
        </w:rPr>
        <w:t>技术实施方案可由本项目实施单位和财务系统平台实施单位在项目实施过程无条件协商确定，在对接基础之上，平台满足不限于在线缴费、退费、调费等功能。</w:t>
      </w:r>
    </w:p>
    <w:p w14:paraId="4C291F8C">
      <w:pPr>
        <w:spacing w:line="360" w:lineRule="auto"/>
        <w:ind w:firstLine="480" w:firstLineChars="200"/>
        <w:rPr>
          <w:rFonts w:hint="eastAsia"/>
          <w:sz w:val="24"/>
        </w:rPr>
      </w:pPr>
      <w:r>
        <w:rPr>
          <w:rFonts w:hint="eastAsia"/>
          <w:sz w:val="24"/>
        </w:rPr>
        <w:t>（7）校园一卡通系统集成要求</w:t>
      </w:r>
    </w:p>
    <w:p w14:paraId="2229E233">
      <w:pPr>
        <w:spacing w:line="360" w:lineRule="auto"/>
        <w:ind w:firstLine="480" w:firstLineChars="200"/>
        <w:rPr>
          <w:rFonts w:hint="eastAsia"/>
          <w:sz w:val="24"/>
        </w:rPr>
      </w:pPr>
      <w:r>
        <w:rPr>
          <w:rFonts w:hint="eastAsia"/>
          <w:sz w:val="24"/>
        </w:rPr>
        <w:t>如果项目中存在与一卡通系统相关业务，应具备与校园一卡通系统对接集成的能力：</w:t>
      </w:r>
    </w:p>
    <w:p w14:paraId="719AA007">
      <w:pPr>
        <w:spacing w:line="360" w:lineRule="auto"/>
        <w:ind w:firstLine="480" w:firstLineChars="200"/>
        <w:rPr>
          <w:rFonts w:hint="eastAsia"/>
          <w:sz w:val="24"/>
        </w:rPr>
      </w:pPr>
      <w:r>
        <w:rPr>
          <w:rFonts w:hint="eastAsia"/>
          <w:sz w:val="24"/>
        </w:rPr>
        <w:t>1）能根据一卡通系统提供的标准化开发接口实现与一卡通系统的集成开发。</w:t>
      </w:r>
    </w:p>
    <w:p w14:paraId="2262C953">
      <w:pPr>
        <w:spacing w:line="360" w:lineRule="auto"/>
        <w:ind w:firstLine="480" w:firstLineChars="200"/>
        <w:rPr>
          <w:rFonts w:hint="eastAsia"/>
          <w:sz w:val="24"/>
        </w:rPr>
      </w:pPr>
      <w:r>
        <w:rPr>
          <w:rFonts w:hint="eastAsia"/>
          <w:sz w:val="24"/>
        </w:rPr>
        <w:t>2）能提供标准化开放式接口，用于一卡通系统获取相关数据。</w:t>
      </w:r>
    </w:p>
    <w:p w14:paraId="10307FD4">
      <w:pPr>
        <w:spacing w:line="360" w:lineRule="auto"/>
        <w:ind w:firstLine="480" w:firstLineChars="200"/>
        <w:rPr>
          <w:sz w:val="24"/>
        </w:rPr>
      </w:pPr>
      <w:r>
        <w:rPr>
          <w:rFonts w:hint="eastAsia"/>
          <w:sz w:val="24"/>
        </w:rPr>
        <w:t>具体的技术实施方案可由本项目施工单位和一卡通系统施工单位协商确定。</w:t>
      </w:r>
    </w:p>
    <w:p w14:paraId="0596B825">
      <w:pPr>
        <w:spacing w:line="360" w:lineRule="auto"/>
        <w:ind w:firstLine="420" w:firstLineChars="200"/>
        <w:rPr>
          <w:sz w:val="24"/>
        </w:rPr>
      </w:pPr>
      <w:bookmarkStart w:id="32" w:name="OLE_LINK5"/>
      <w:bookmarkStart w:id="33" w:name="OLE_LINK32"/>
      <w:r>
        <w:rPr>
          <w:rFonts w:hint="eastAsia" w:hAnsi="Calibri" w:eastAsia="等线"/>
          <w:kern w:val="0"/>
          <w:szCs w:val="21"/>
        </w:rPr>
        <w:t>★</w:t>
      </w:r>
      <w:bookmarkEnd w:id="32"/>
      <w:r>
        <w:rPr>
          <w:sz w:val="24"/>
        </w:rPr>
        <w:t>（8）</w:t>
      </w:r>
      <w:r>
        <w:rPr>
          <w:b/>
          <w:bCs/>
          <w:sz w:val="24"/>
        </w:rPr>
        <w:t>现有设备接入要求</w:t>
      </w:r>
      <w:bookmarkEnd w:id="33"/>
      <w:bookmarkStart w:id="34" w:name="OLE_LINK1"/>
      <w:r>
        <w:rPr>
          <w:rFonts w:hint="eastAsia"/>
          <w:b/>
          <w:bCs/>
          <w:sz w:val="24"/>
        </w:rPr>
        <w:t>（提供详细的对接方案，并提供承诺函）</w:t>
      </w:r>
      <w:bookmarkEnd w:id="34"/>
    </w:p>
    <w:p w14:paraId="118C6C32">
      <w:pPr>
        <w:spacing w:line="360" w:lineRule="auto"/>
        <w:ind w:firstLine="482" w:firstLineChars="200"/>
        <w:rPr>
          <w:b/>
          <w:bCs/>
          <w:sz w:val="24"/>
          <w:u w:val="single"/>
        </w:rPr>
      </w:pPr>
      <w:r>
        <w:rPr>
          <w:b/>
          <w:bCs/>
          <w:sz w:val="24"/>
          <w:u w:val="single"/>
        </w:rPr>
        <w:t>1）接入现有公寓电表系统共计约13000块，</w:t>
      </w:r>
      <w:r>
        <w:rPr>
          <w:rFonts w:hint="eastAsia"/>
          <w:b/>
          <w:bCs/>
          <w:sz w:val="24"/>
          <w:u w:val="single"/>
        </w:rPr>
        <w:t>独立平台系统</w:t>
      </w:r>
      <w:r>
        <w:rPr>
          <w:b/>
          <w:bCs/>
          <w:sz w:val="24"/>
          <w:u w:val="single"/>
        </w:rPr>
        <w:t>，</w:t>
      </w:r>
      <w:r>
        <w:rPr>
          <w:rFonts w:hint="eastAsia"/>
          <w:b/>
          <w:bCs/>
          <w:sz w:val="24"/>
          <w:u w:val="single"/>
        </w:rPr>
        <w:t>为同一品牌，链接哈工大绿色校园公众账号。需对接其平台</w:t>
      </w:r>
      <w:r>
        <w:rPr>
          <w:b/>
          <w:bCs/>
          <w:sz w:val="24"/>
          <w:u w:val="single"/>
        </w:rPr>
        <w:t>系统开放API接口，实现统一管理和控制。</w:t>
      </w:r>
      <w:r>
        <w:rPr>
          <w:rFonts w:hint="eastAsia"/>
          <w:b/>
          <w:bCs/>
          <w:sz w:val="24"/>
          <w:u w:val="single"/>
        </w:rPr>
        <w:t>产生接口开放对接费用由中标厂家承担。</w:t>
      </w:r>
    </w:p>
    <w:p w14:paraId="60E88CE2">
      <w:pPr>
        <w:spacing w:line="360" w:lineRule="auto"/>
        <w:ind w:firstLine="482" w:firstLineChars="200"/>
        <w:rPr>
          <w:b/>
          <w:bCs/>
          <w:sz w:val="24"/>
          <w:u w:val="single"/>
        </w:rPr>
      </w:pPr>
      <w:r>
        <w:rPr>
          <w:b/>
          <w:bCs/>
          <w:sz w:val="24"/>
          <w:u w:val="single"/>
        </w:rPr>
        <w:t>2）科研电表共计约5000块，品牌为深圳中电、杭州百富，分布在一校区、科学园、二校区各个楼宇内，需要梳理排查电表数据并全部接入。</w:t>
      </w:r>
      <w:r>
        <w:rPr>
          <w:rFonts w:hint="eastAsia"/>
          <w:b/>
          <w:bCs/>
          <w:sz w:val="24"/>
          <w:u w:val="single"/>
        </w:rPr>
        <w:t>接入时可通过原有网关、集中器传输校对，也可调整、增补相关设备进行读取、传输、控制等功能，最终要求全部接入本电计量管理平台系统中。</w:t>
      </w:r>
    </w:p>
    <w:p w14:paraId="43862F3F">
      <w:pPr>
        <w:spacing w:line="360" w:lineRule="auto"/>
        <w:ind w:firstLine="482" w:firstLineChars="200"/>
        <w:rPr>
          <w:b/>
          <w:bCs/>
          <w:sz w:val="24"/>
          <w:u w:val="single"/>
        </w:rPr>
      </w:pPr>
      <w:r>
        <w:rPr>
          <w:b/>
          <w:bCs/>
          <w:sz w:val="24"/>
          <w:u w:val="single"/>
        </w:rPr>
        <w:t>3）楼宇级计量表具共计550块</w:t>
      </w:r>
      <w:r>
        <w:rPr>
          <w:rFonts w:hint="eastAsia"/>
          <w:b/>
          <w:bCs/>
          <w:sz w:val="24"/>
          <w:u w:val="single"/>
        </w:rPr>
        <w:t>，分散于校区3</w:t>
      </w:r>
      <w:r>
        <w:rPr>
          <w:b/>
          <w:bCs/>
          <w:sz w:val="24"/>
          <w:u w:val="single"/>
        </w:rPr>
        <w:t>8</w:t>
      </w:r>
      <w:r>
        <w:rPr>
          <w:rFonts w:hint="eastAsia"/>
          <w:b/>
          <w:bCs/>
          <w:sz w:val="24"/>
          <w:u w:val="single"/>
        </w:rPr>
        <w:t>个变电所内，根据实际情况进行接入，统一管理。</w:t>
      </w:r>
    </w:p>
    <w:p w14:paraId="0FD35616">
      <w:pPr>
        <w:spacing w:line="360" w:lineRule="auto"/>
        <w:ind w:firstLine="482" w:firstLineChars="200"/>
        <w:rPr>
          <w:rFonts w:hint="eastAsia"/>
          <w:b/>
          <w:bCs/>
          <w:sz w:val="24"/>
          <w:u w:val="single"/>
        </w:rPr>
      </w:pPr>
      <w:r>
        <w:rPr>
          <w:rFonts w:hint="eastAsia"/>
          <w:b/>
          <w:bCs/>
          <w:sz w:val="24"/>
          <w:u w:val="single"/>
        </w:rPr>
        <w:t>4）商户、食堂档口等所使用电表暂不支持数据通讯功能，系统需具备以上数据录入功能，未来通过有线/无线物联网接入的能力。</w:t>
      </w:r>
    </w:p>
    <w:p w14:paraId="5EC4B90B">
      <w:pPr>
        <w:pStyle w:val="4"/>
        <w:rPr>
          <w:rFonts w:hint="eastAsia"/>
        </w:rPr>
      </w:pPr>
      <w:bookmarkStart w:id="35" w:name="_Toc203667668"/>
      <w:r>
        <w:rPr>
          <w:rFonts w:hint="eastAsia"/>
        </w:rPr>
        <w:t>2、对系统扩展性的要求</w:t>
      </w:r>
      <w:bookmarkEnd w:id="35"/>
    </w:p>
    <w:p w14:paraId="4578A546">
      <w:pPr>
        <w:spacing w:line="360" w:lineRule="auto"/>
        <w:ind w:firstLine="480" w:firstLineChars="200"/>
        <w:rPr>
          <w:rFonts w:hint="eastAsia"/>
          <w:sz w:val="24"/>
        </w:rPr>
      </w:pPr>
      <w:r>
        <w:rPr>
          <w:rFonts w:hint="eastAsia"/>
          <w:sz w:val="24"/>
        </w:rPr>
        <w:t>具备良好的应用集成能力，提供标准的数据接口，支持二次开发。</w:t>
      </w:r>
    </w:p>
    <w:p w14:paraId="05992A33">
      <w:pPr>
        <w:spacing w:line="360" w:lineRule="auto"/>
        <w:ind w:firstLine="480" w:firstLineChars="200"/>
        <w:rPr>
          <w:sz w:val="24"/>
        </w:rPr>
      </w:pPr>
      <w:r>
        <w:rPr>
          <w:rFonts w:hint="eastAsia"/>
          <w:sz w:val="24"/>
        </w:rPr>
        <w:t>扩展能力是由系统的技术架构和技术的先进性所决定的。系统的扩展性是系统的生命力之所在，良好的扩展性和二次开发能力，能确保系统具有适应性，降低系统的实施和开发成本。</w:t>
      </w:r>
    </w:p>
    <w:p w14:paraId="39F6134B">
      <w:pPr>
        <w:spacing w:line="360" w:lineRule="auto"/>
        <w:ind w:firstLine="480" w:firstLineChars="200"/>
        <w:rPr>
          <w:rFonts w:hint="eastAsia"/>
          <w:sz w:val="24"/>
        </w:rPr>
      </w:pPr>
      <w:r>
        <w:rPr>
          <w:rFonts w:hint="eastAsia"/>
          <w:sz w:val="24"/>
        </w:rPr>
        <w:t>系统须具备良好的扩展性，具有较长的生命周期，在后期的应用过程中能够基于平台进行业务扩展。</w:t>
      </w:r>
    </w:p>
    <w:p w14:paraId="3A2FA0BC">
      <w:pPr>
        <w:pStyle w:val="4"/>
        <w:rPr>
          <w:rFonts w:hint="eastAsia"/>
        </w:rPr>
      </w:pPr>
      <w:bookmarkStart w:id="36" w:name="_Toc203667669"/>
      <w:r>
        <w:rPr>
          <w:rFonts w:hint="eastAsia"/>
        </w:rPr>
        <w:t>3、对系统安全性的要求</w:t>
      </w:r>
      <w:bookmarkEnd w:id="36"/>
    </w:p>
    <w:p w14:paraId="07BE9C8F">
      <w:pPr>
        <w:spacing w:line="360" w:lineRule="auto"/>
        <w:ind w:firstLine="482" w:firstLineChars="200"/>
        <w:rPr>
          <w:rFonts w:hint="eastAsia"/>
          <w:b/>
          <w:sz w:val="24"/>
        </w:rPr>
      </w:pPr>
      <w:r>
        <w:rPr>
          <w:rFonts w:hint="eastAsia"/>
          <w:b/>
          <w:sz w:val="24"/>
        </w:rPr>
        <w:t>（1）总体要求</w:t>
      </w:r>
    </w:p>
    <w:p w14:paraId="44CCA5F3">
      <w:pPr>
        <w:spacing w:line="360" w:lineRule="auto"/>
        <w:ind w:firstLine="480" w:firstLineChars="200"/>
        <w:rPr>
          <w:rFonts w:hint="eastAsia"/>
          <w:sz w:val="24"/>
        </w:rPr>
      </w:pPr>
      <w:r>
        <w:rPr>
          <w:rFonts w:hint="eastAsia"/>
          <w:sz w:val="24"/>
        </w:rPr>
        <w:t>1）系统提供商对于因为程序代码、框架技术以及使用的中间件而产生的应用系统漏洞或</w:t>
      </w:r>
      <w:r>
        <w:rPr>
          <w:rFonts w:hint="eastAsia"/>
          <w:b/>
          <w:bCs/>
          <w:i/>
          <w:iCs/>
          <w:sz w:val="24"/>
        </w:rPr>
        <w:t>bug</w:t>
      </w:r>
      <w:r>
        <w:rPr>
          <w:rFonts w:hint="eastAsia"/>
          <w:sz w:val="24"/>
        </w:rPr>
        <w:t>等程序错误终身负责维护升级；</w:t>
      </w:r>
    </w:p>
    <w:p w14:paraId="786584A2">
      <w:pPr>
        <w:spacing w:line="360" w:lineRule="auto"/>
        <w:ind w:firstLine="480" w:firstLineChars="200"/>
        <w:rPr>
          <w:rFonts w:hint="eastAsia"/>
          <w:sz w:val="24"/>
        </w:rPr>
      </w:pPr>
      <w:r>
        <w:rPr>
          <w:rFonts w:hint="eastAsia"/>
          <w:sz w:val="24"/>
        </w:rPr>
        <w:t>2）系统上线前须经学校的安全准入检测，不合格的系统不能上线并验收；</w:t>
      </w:r>
    </w:p>
    <w:p w14:paraId="20F15B05">
      <w:pPr>
        <w:spacing w:line="360" w:lineRule="auto"/>
        <w:ind w:firstLine="480" w:firstLineChars="200"/>
        <w:rPr>
          <w:sz w:val="24"/>
        </w:rPr>
      </w:pPr>
      <w:r>
        <w:rPr>
          <w:rFonts w:hint="eastAsia"/>
          <w:sz w:val="24"/>
        </w:rPr>
        <w:t>3）系统运行过程中定期或不定期接受相关部门的安全评测，接到系统安全评测或渗透报告后须提供详实可行的整改报告，经复测验证合格后方可再次上线运行。</w:t>
      </w:r>
    </w:p>
    <w:p w14:paraId="3340EF55">
      <w:pPr>
        <w:spacing w:line="360" w:lineRule="auto"/>
        <w:ind w:firstLine="482" w:firstLineChars="200"/>
        <w:rPr>
          <w:rFonts w:hint="eastAsia"/>
          <w:b/>
          <w:sz w:val="24"/>
        </w:rPr>
      </w:pPr>
      <w:r>
        <w:rPr>
          <w:rFonts w:hint="eastAsia"/>
          <w:b/>
          <w:sz w:val="24"/>
        </w:rPr>
        <w:t>（2）系统配置要求</w:t>
      </w:r>
    </w:p>
    <w:p w14:paraId="56F2E8DD">
      <w:pPr>
        <w:spacing w:line="360" w:lineRule="auto"/>
        <w:ind w:firstLine="480" w:firstLineChars="200"/>
        <w:rPr>
          <w:sz w:val="24"/>
        </w:rPr>
      </w:pPr>
      <w:r>
        <w:rPr>
          <w:rFonts w:hint="eastAsia"/>
          <w:sz w:val="24"/>
        </w:rPr>
        <w:t>1）</w:t>
      </w:r>
      <w:r>
        <w:rPr>
          <w:sz w:val="24"/>
        </w:rPr>
        <w:t>系统必须保证为正常上线系统，须更新为最新。禁止采用失去技术升级的系统（如：</w:t>
      </w:r>
      <w:r>
        <w:rPr>
          <w:b/>
          <w:bCs/>
          <w:i/>
          <w:iCs/>
          <w:sz w:val="24"/>
        </w:rPr>
        <w:t>windows 2003</w:t>
      </w:r>
      <w:r>
        <w:rPr>
          <w:sz w:val="24"/>
        </w:rPr>
        <w:t>等）；禁止采用含有已知漏洞的组件、应用程序、框架（如：</w:t>
      </w:r>
      <w:r>
        <w:rPr>
          <w:b/>
          <w:bCs/>
          <w:i/>
          <w:iCs/>
          <w:sz w:val="24"/>
        </w:rPr>
        <w:t>Struts 2.5 - Struts 2.5.10</w:t>
      </w:r>
      <w:r>
        <w:rPr>
          <w:sz w:val="24"/>
        </w:rPr>
        <w:t>）、应用程序服务器、</w:t>
      </w:r>
      <w:r>
        <w:rPr>
          <w:b/>
          <w:bCs/>
          <w:i/>
          <w:iCs/>
          <w:sz w:val="24"/>
        </w:rPr>
        <w:t>web</w:t>
      </w:r>
      <w:r>
        <w:rPr>
          <w:sz w:val="24"/>
        </w:rPr>
        <w:t>服务器、数据库服务器和平台定义，以上系统必须执行安全配置，禁止默认安装。所有的软件应该保持及时更新</w:t>
      </w:r>
      <w:r>
        <w:rPr>
          <w:rFonts w:hint="eastAsia"/>
          <w:sz w:val="24"/>
        </w:rPr>
        <w:t>，采用</w:t>
      </w:r>
      <w:r>
        <w:rPr>
          <w:rFonts w:hint="eastAsia"/>
          <w:b/>
          <w:i/>
          <w:sz w:val="24"/>
        </w:rPr>
        <w:t>struts2</w:t>
      </w:r>
      <w:r>
        <w:rPr>
          <w:rFonts w:hint="eastAsia"/>
          <w:sz w:val="24"/>
        </w:rPr>
        <w:t>的系统原则上不允许对校外提供服务；</w:t>
      </w:r>
    </w:p>
    <w:p w14:paraId="5669DC3F">
      <w:pPr>
        <w:spacing w:line="360" w:lineRule="auto"/>
        <w:ind w:firstLine="480" w:firstLineChars="200"/>
        <w:rPr>
          <w:sz w:val="24"/>
        </w:rPr>
      </w:pPr>
      <w:r>
        <w:rPr>
          <w:rFonts w:hint="eastAsia"/>
          <w:sz w:val="24"/>
        </w:rPr>
        <w:t>2）</w:t>
      </w:r>
      <w:r>
        <w:rPr>
          <w:sz w:val="24"/>
        </w:rPr>
        <w:t>保证系统服务正常</w:t>
      </w:r>
      <w:r>
        <w:rPr>
          <w:rFonts w:hint="eastAsia"/>
          <w:sz w:val="24"/>
        </w:rPr>
        <w:t>并</w:t>
      </w:r>
      <w:r>
        <w:rPr>
          <w:sz w:val="24"/>
        </w:rPr>
        <w:t>与上线系统</w:t>
      </w:r>
      <w:r>
        <w:rPr>
          <w:rFonts w:hint="eastAsia"/>
          <w:sz w:val="24"/>
        </w:rPr>
        <w:t>保持</w:t>
      </w:r>
      <w:r>
        <w:rPr>
          <w:sz w:val="24"/>
        </w:rPr>
        <w:t>一致，无调试</w:t>
      </w:r>
      <w:r>
        <w:rPr>
          <w:rFonts w:hint="eastAsia"/>
          <w:sz w:val="24"/>
        </w:rPr>
        <w:t>和</w:t>
      </w:r>
      <w:r>
        <w:rPr>
          <w:sz w:val="24"/>
        </w:rPr>
        <w:t>报错信息（如：断点</w:t>
      </w:r>
      <w:r>
        <w:rPr>
          <w:rFonts w:hint="eastAsia"/>
          <w:sz w:val="24"/>
        </w:rPr>
        <w:t>、</w:t>
      </w:r>
      <w:r>
        <w:rPr>
          <w:b/>
          <w:bCs/>
          <w:i/>
          <w:iCs/>
          <w:sz w:val="24"/>
        </w:rPr>
        <w:t>printf</w:t>
      </w:r>
      <w:r>
        <w:rPr>
          <w:sz w:val="24"/>
        </w:rPr>
        <w:t>等调试信息）</w:t>
      </w:r>
      <w:r>
        <w:rPr>
          <w:rFonts w:hint="eastAsia"/>
          <w:sz w:val="24"/>
        </w:rPr>
        <w:t>，无</w:t>
      </w:r>
      <w:r>
        <w:rPr>
          <w:sz w:val="24"/>
        </w:rPr>
        <w:t>注释信息，删除系统默认安装的各种例程、文档及管理程序；</w:t>
      </w:r>
    </w:p>
    <w:p w14:paraId="0A2C64FD">
      <w:pPr>
        <w:spacing w:line="360" w:lineRule="auto"/>
        <w:ind w:firstLine="480" w:firstLineChars="200"/>
        <w:rPr>
          <w:rFonts w:hint="eastAsia"/>
          <w:sz w:val="24"/>
        </w:rPr>
      </w:pPr>
      <w:r>
        <w:rPr>
          <w:rFonts w:hint="eastAsia"/>
          <w:sz w:val="24"/>
        </w:rPr>
        <w:t>3）</w:t>
      </w:r>
      <w:r>
        <w:rPr>
          <w:sz w:val="24"/>
        </w:rPr>
        <w:t>系统中禁止暴露配置信息（如数据库连接信息）</w:t>
      </w:r>
      <w:r>
        <w:rPr>
          <w:rFonts w:hint="eastAsia"/>
          <w:sz w:val="24"/>
        </w:rPr>
        <w:t>、</w:t>
      </w:r>
      <w:r>
        <w:rPr>
          <w:sz w:val="24"/>
        </w:rPr>
        <w:t>源码备份文件</w:t>
      </w:r>
      <w:r>
        <w:rPr>
          <w:rFonts w:hint="eastAsia"/>
          <w:sz w:val="24"/>
        </w:rPr>
        <w:t>、</w:t>
      </w:r>
      <w:r>
        <w:rPr>
          <w:sz w:val="24"/>
        </w:rPr>
        <w:t>.git,.svn仓库等</w:t>
      </w:r>
      <w:r>
        <w:rPr>
          <w:rFonts w:hint="eastAsia"/>
          <w:sz w:val="24"/>
        </w:rPr>
        <w:t>，严禁在</w:t>
      </w:r>
      <w:r>
        <w:rPr>
          <w:rFonts w:hint="eastAsia"/>
          <w:b/>
          <w:bCs/>
          <w:i/>
          <w:iCs/>
          <w:sz w:val="24"/>
        </w:rPr>
        <w:t>github</w:t>
      </w:r>
      <w:r>
        <w:rPr>
          <w:rFonts w:hint="eastAsia"/>
          <w:sz w:val="24"/>
        </w:rPr>
        <w:t>等平台公布代码。</w:t>
      </w:r>
    </w:p>
    <w:p w14:paraId="584D9280">
      <w:pPr>
        <w:spacing w:line="360" w:lineRule="auto"/>
        <w:ind w:firstLine="482" w:firstLineChars="200"/>
        <w:rPr>
          <w:b/>
          <w:sz w:val="24"/>
        </w:rPr>
      </w:pPr>
      <w:r>
        <w:rPr>
          <w:rFonts w:hint="eastAsia"/>
          <w:b/>
          <w:sz w:val="24"/>
        </w:rPr>
        <w:t>（3）服务要求</w:t>
      </w:r>
    </w:p>
    <w:p w14:paraId="2AF91F54">
      <w:pPr>
        <w:spacing w:line="360" w:lineRule="auto"/>
        <w:ind w:firstLine="480" w:firstLineChars="200"/>
        <w:rPr>
          <w:sz w:val="24"/>
        </w:rPr>
      </w:pPr>
      <w:r>
        <w:rPr>
          <w:sz w:val="24"/>
        </w:rPr>
        <w:t>1）从本机关闭不需要的端口（如：关闭</w:t>
      </w:r>
      <w:r>
        <w:rPr>
          <w:b/>
          <w:bCs/>
          <w:i/>
          <w:iCs/>
          <w:sz w:val="24"/>
        </w:rPr>
        <w:t>windows netbios</w:t>
      </w:r>
      <w:r>
        <w:rPr>
          <w:sz w:val="24"/>
        </w:rPr>
        <w:t>等服务），设置本机防火墙</w:t>
      </w:r>
      <w:r>
        <w:rPr>
          <w:rFonts w:hint="eastAsia"/>
          <w:sz w:val="24"/>
        </w:rPr>
        <w:t>（</w:t>
      </w:r>
      <w:r>
        <w:rPr>
          <w:sz w:val="24"/>
        </w:rPr>
        <w:t>如</w:t>
      </w:r>
      <w:r>
        <w:rPr>
          <w:b/>
          <w:bCs/>
          <w:i/>
          <w:iCs/>
          <w:sz w:val="24"/>
        </w:rPr>
        <w:t>iptable</w:t>
      </w:r>
      <w:r>
        <w:rPr>
          <w:rFonts w:hint="eastAsia"/>
          <w:sz w:val="24"/>
        </w:rPr>
        <w:t>）</w:t>
      </w:r>
      <w:r>
        <w:rPr>
          <w:sz w:val="24"/>
        </w:rPr>
        <w:t>对访问的源地址进行限制，相关服务设置类似</w:t>
      </w:r>
      <w:r>
        <w:rPr>
          <w:b/>
          <w:bCs/>
          <w:i/>
          <w:iCs/>
          <w:sz w:val="24"/>
        </w:rPr>
        <w:t>host.allow</w:t>
      </w:r>
      <w:r>
        <w:rPr>
          <w:rFonts w:hint="eastAsia"/>
          <w:sz w:val="24"/>
        </w:rPr>
        <w:t>和</w:t>
      </w:r>
      <w:r>
        <w:rPr>
          <w:b/>
          <w:bCs/>
          <w:i/>
          <w:iCs/>
          <w:sz w:val="24"/>
        </w:rPr>
        <w:t>host.deny</w:t>
      </w:r>
      <w:r>
        <w:rPr>
          <w:sz w:val="24"/>
        </w:rPr>
        <w:t>等策略；</w:t>
      </w:r>
    </w:p>
    <w:p w14:paraId="0E445787">
      <w:pPr>
        <w:spacing w:line="360" w:lineRule="auto"/>
        <w:ind w:firstLine="480" w:firstLineChars="200"/>
        <w:rPr>
          <w:rFonts w:hint="eastAsia"/>
          <w:sz w:val="24"/>
        </w:rPr>
      </w:pPr>
      <w:r>
        <w:rPr>
          <w:sz w:val="24"/>
        </w:rPr>
        <w:t>2）</w:t>
      </w:r>
      <w:r>
        <w:rPr>
          <w:rFonts w:hint="eastAsia"/>
          <w:sz w:val="24"/>
        </w:rPr>
        <w:t>须按照标准端口配置</w:t>
      </w:r>
      <w:r>
        <w:rPr>
          <w:rFonts w:hint="eastAsia"/>
          <w:b/>
          <w:bCs/>
          <w:i/>
          <w:iCs/>
          <w:sz w:val="24"/>
        </w:rPr>
        <w:t>http</w:t>
      </w:r>
      <w:r>
        <w:rPr>
          <w:rFonts w:hint="eastAsia"/>
          <w:sz w:val="24"/>
        </w:rPr>
        <w:t>或</w:t>
      </w:r>
      <w:r>
        <w:rPr>
          <w:rFonts w:hint="eastAsia"/>
          <w:b/>
          <w:bCs/>
          <w:i/>
          <w:iCs/>
          <w:sz w:val="24"/>
        </w:rPr>
        <w:t>https</w:t>
      </w:r>
      <w:r>
        <w:rPr>
          <w:rFonts w:hint="eastAsia"/>
          <w:sz w:val="24"/>
        </w:rPr>
        <w:t>服务，严禁自行设置服务端口不报告。</w:t>
      </w:r>
    </w:p>
    <w:p w14:paraId="5EA3B73E">
      <w:pPr>
        <w:spacing w:line="360" w:lineRule="auto"/>
        <w:ind w:firstLine="482" w:firstLineChars="200"/>
        <w:rPr>
          <w:b/>
          <w:sz w:val="24"/>
        </w:rPr>
      </w:pPr>
      <w:r>
        <w:rPr>
          <w:rFonts w:hint="eastAsia"/>
          <w:b/>
          <w:sz w:val="24"/>
        </w:rPr>
        <w:t>（4）数据库配置要求</w:t>
      </w:r>
    </w:p>
    <w:p w14:paraId="5952C190">
      <w:pPr>
        <w:spacing w:line="360" w:lineRule="auto"/>
        <w:ind w:firstLine="480" w:firstLineChars="200"/>
        <w:rPr>
          <w:sz w:val="24"/>
        </w:rPr>
      </w:pPr>
      <w:r>
        <w:rPr>
          <w:rFonts w:hint="eastAsia"/>
          <w:sz w:val="24"/>
        </w:rPr>
        <w:t>1）数据库和应用系统如在同一台服务器，须采用本机回路进行访问，如前端及数据库分为不同服务器，须设置本机防火墙访问规则，禁止非前端服务器访问数据库网络端口；</w:t>
      </w:r>
    </w:p>
    <w:p w14:paraId="16F40171">
      <w:pPr>
        <w:spacing w:line="360" w:lineRule="auto"/>
        <w:ind w:firstLine="480" w:firstLineChars="200"/>
        <w:rPr>
          <w:rFonts w:hint="eastAsia"/>
          <w:sz w:val="24"/>
        </w:rPr>
      </w:pPr>
      <w:r>
        <w:rPr>
          <w:rFonts w:hint="eastAsia"/>
          <w:sz w:val="24"/>
        </w:rPr>
        <w:t>2）</w:t>
      </w:r>
      <w:r>
        <w:rPr>
          <w:sz w:val="24"/>
        </w:rPr>
        <w:t>使用最低权限的数据库用户作为</w:t>
      </w:r>
      <w:r>
        <w:rPr>
          <w:b/>
          <w:bCs/>
          <w:i/>
          <w:iCs/>
          <w:sz w:val="24"/>
        </w:rPr>
        <w:t>web</w:t>
      </w:r>
      <w:r>
        <w:rPr>
          <w:sz w:val="24"/>
        </w:rPr>
        <w:t>应用所需，禁止具有不必要的额外权限</w:t>
      </w:r>
      <w:r>
        <w:rPr>
          <w:rFonts w:hint="eastAsia"/>
          <w:sz w:val="24"/>
        </w:rPr>
        <w:t>。</w:t>
      </w:r>
    </w:p>
    <w:p w14:paraId="1A5C8EF9">
      <w:pPr>
        <w:spacing w:line="360" w:lineRule="auto"/>
        <w:ind w:firstLine="482" w:firstLineChars="200"/>
        <w:rPr>
          <w:b/>
          <w:sz w:val="24"/>
        </w:rPr>
      </w:pPr>
      <w:r>
        <w:rPr>
          <w:rFonts w:hint="eastAsia"/>
          <w:b/>
          <w:sz w:val="24"/>
        </w:rPr>
        <w:t>（5）开发要求</w:t>
      </w:r>
    </w:p>
    <w:p w14:paraId="4EEF5E59">
      <w:pPr>
        <w:spacing w:line="360" w:lineRule="auto"/>
        <w:ind w:firstLine="480" w:firstLineChars="200"/>
        <w:rPr>
          <w:sz w:val="24"/>
        </w:rPr>
      </w:pPr>
      <w:r>
        <w:rPr>
          <w:rFonts w:hint="eastAsia"/>
          <w:sz w:val="24"/>
        </w:rPr>
        <w:t>1）</w:t>
      </w:r>
      <w:r>
        <w:rPr>
          <w:sz w:val="24"/>
        </w:rPr>
        <w:t>对用户输入进行严格有效过滤</w:t>
      </w:r>
      <w:r>
        <w:rPr>
          <w:rFonts w:hint="eastAsia"/>
          <w:sz w:val="24"/>
        </w:rPr>
        <w:t>，</w:t>
      </w:r>
      <w:r>
        <w:rPr>
          <w:sz w:val="24"/>
        </w:rPr>
        <w:t>防止</w:t>
      </w:r>
      <w:r>
        <w:rPr>
          <w:b/>
          <w:bCs/>
          <w:i/>
          <w:iCs/>
          <w:sz w:val="24"/>
        </w:rPr>
        <w:t>sql</w:t>
      </w:r>
      <w:r>
        <w:rPr>
          <w:sz w:val="24"/>
        </w:rPr>
        <w:t>注入</w:t>
      </w:r>
      <w:r>
        <w:rPr>
          <w:rFonts w:hint="eastAsia"/>
          <w:sz w:val="24"/>
        </w:rPr>
        <w:t>、</w:t>
      </w:r>
      <w:r>
        <w:rPr>
          <w:b/>
          <w:bCs/>
          <w:i/>
          <w:iCs/>
          <w:sz w:val="24"/>
        </w:rPr>
        <w:t>xss</w:t>
      </w:r>
      <w:r>
        <w:rPr>
          <w:sz w:val="24"/>
        </w:rPr>
        <w:t>跨站脚本</w:t>
      </w:r>
      <w:r>
        <w:rPr>
          <w:rFonts w:hint="eastAsia"/>
          <w:sz w:val="24"/>
        </w:rPr>
        <w:t>、</w:t>
      </w:r>
      <w:r>
        <w:rPr>
          <w:sz w:val="24"/>
        </w:rPr>
        <w:t>命令执行，</w:t>
      </w:r>
      <w:r>
        <w:rPr>
          <w:b/>
          <w:bCs/>
          <w:i/>
          <w:iCs/>
          <w:sz w:val="24"/>
        </w:rPr>
        <w:t>crsf</w:t>
      </w:r>
      <w:r>
        <w:rPr>
          <w:sz w:val="24"/>
        </w:rPr>
        <w:t>跨站请求伪造等，建议采用白名单过滤策略</w:t>
      </w:r>
      <w:r>
        <w:rPr>
          <w:rFonts w:hint="eastAsia"/>
          <w:sz w:val="24"/>
        </w:rPr>
        <w:t>；</w:t>
      </w:r>
    </w:p>
    <w:p w14:paraId="065F402B">
      <w:pPr>
        <w:spacing w:line="360" w:lineRule="auto"/>
        <w:ind w:firstLine="480" w:firstLineChars="200"/>
        <w:rPr>
          <w:sz w:val="24"/>
        </w:rPr>
      </w:pPr>
      <w:r>
        <w:rPr>
          <w:rFonts w:hint="eastAsia"/>
          <w:sz w:val="24"/>
        </w:rPr>
        <w:t>2）</w:t>
      </w:r>
      <w:r>
        <w:rPr>
          <w:sz w:val="24"/>
        </w:rPr>
        <w:t>禁止在</w:t>
      </w:r>
      <w:r>
        <w:rPr>
          <w:b/>
          <w:bCs/>
          <w:i/>
          <w:iCs/>
          <w:sz w:val="24"/>
        </w:rPr>
        <w:t>HTTP</w:t>
      </w:r>
      <w:r>
        <w:rPr>
          <w:sz w:val="24"/>
        </w:rPr>
        <w:t>请求中以明文或可逆编码（如</w:t>
      </w:r>
      <w:r>
        <w:rPr>
          <w:b/>
          <w:bCs/>
          <w:i/>
          <w:iCs/>
          <w:sz w:val="24"/>
        </w:rPr>
        <w:t>base64、url</w:t>
      </w:r>
      <w:r>
        <w:rPr>
          <w:sz w:val="24"/>
        </w:rPr>
        <w:t>编码等）的形式传递</w:t>
      </w:r>
      <w:r>
        <w:rPr>
          <w:b/>
          <w:bCs/>
          <w:i/>
          <w:iCs/>
          <w:sz w:val="24"/>
        </w:rPr>
        <w:t>SQL</w:t>
      </w:r>
      <w:r>
        <w:rPr>
          <w:sz w:val="24"/>
        </w:rPr>
        <w:t>语句到后端程序代入执行，禁止由</w:t>
      </w:r>
      <w:r>
        <w:rPr>
          <w:b/>
          <w:bCs/>
          <w:i/>
          <w:iCs/>
          <w:sz w:val="24"/>
        </w:rPr>
        <w:t>Web</w:t>
      </w:r>
      <w:r>
        <w:rPr>
          <w:sz w:val="24"/>
        </w:rPr>
        <w:t>前端直接生成和传递</w:t>
      </w:r>
      <w:r>
        <w:rPr>
          <w:b/>
          <w:bCs/>
          <w:i/>
          <w:iCs/>
          <w:sz w:val="24"/>
        </w:rPr>
        <w:t>SQL</w:t>
      </w:r>
      <w:r>
        <w:rPr>
          <w:sz w:val="24"/>
        </w:rPr>
        <w:t>语句到数据库进行执行，数据库查询必须采用预编译和参数结构化查询。如果程序确实需要将</w:t>
      </w:r>
      <w:r>
        <w:rPr>
          <w:b/>
          <w:bCs/>
          <w:i/>
          <w:iCs/>
          <w:sz w:val="24"/>
        </w:rPr>
        <w:t>SQL</w:t>
      </w:r>
      <w:r>
        <w:rPr>
          <w:sz w:val="24"/>
        </w:rPr>
        <w:t>语句作为内容（非可执行代码的形式，如学生毕业设计、代码样例等）到后台，请在项目上线交付前书面说明相应的功能代码及位置</w:t>
      </w:r>
      <w:r>
        <w:rPr>
          <w:rFonts w:hint="eastAsia"/>
          <w:sz w:val="24"/>
        </w:rPr>
        <w:t>；</w:t>
      </w:r>
    </w:p>
    <w:p w14:paraId="3DD7BFC0">
      <w:pPr>
        <w:spacing w:line="360" w:lineRule="auto"/>
        <w:ind w:firstLine="480" w:firstLineChars="200"/>
        <w:rPr>
          <w:sz w:val="24"/>
        </w:rPr>
      </w:pPr>
      <w:r>
        <w:rPr>
          <w:rFonts w:hint="eastAsia"/>
          <w:sz w:val="24"/>
        </w:rPr>
        <w:t>3）</w:t>
      </w:r>
      <w:r>
        <w:rPr>
          <w:sz w:val="24"/>
        </w:rPr>
        <w:t>控制上传点，对于上传文件类型进行严格控制（禁止用</w:t>
      </w:r>
      <w:r>
        <w:rPr>
          <w:b/>
          <w:bCs/>
          <w:i/>
          <w:iCs/>
          <w:sz w:val="24"/>
        </w:rPr>
        <w:t>js</w:t>
      </w:r>
      <w:r>
        <w:rPr>
          <w:sz w:val="24"/>
        </w:rPr>
        <w:t>进行控制），上传目录不能有执行权限，原则上不允许有未经</w:t>
      </w:r>
      <w:r>
        <w:rPr>
          <w:rFonts w:hint="eastAsia"/>
          <w:sz w:val="24"/>
        </w:rPr>
        <w:t>登录</w:t>
      </w:r>
      <w:r>
        <w:rPr>
          <w:sz w:val="24"/>
        </w:rPr>
        <w:t>验证的上传点</w:t>
      </w:r>
      <w:r>
        <w:rPr>
          <w:rFonts w:hint="eastAsia"/>
          <w:sz w:val="24"/>
        </w:rPr>
        <w:t>；</w:t>
      </w:r>
    </w:p>
    <w:p w14:paraId="7C79F246">
      <w:pPr>
        <w:spacing w:line="360" w:lineRule="auto"/>
        <w:ind w:firstLine="480" w:firstLineChars="200"/>
        <w:rPr>
          <w:sz w:val="24"/>
        </w:rPr>
      </w:pPr>
      <w:r>
        <w:rPr>
          <w:rFonts w:hint="eastAsia"/>
          <w:sz w:val="24"/>
        </w:rPr>
        <w:t>4）</w:t>
      </w:r>
      <w:r>
        <w:rPr>
          <w:sz w:val="24"/>
        </w:rPr>
        <w:t>设置有效的身份认证、会话管理及访问控制机制，防止越权、平行权限及提权等（禁止利用</w:t>
      </w:r>
      <w:r>
        <w:rPr>
          <w:b/>
          <w:bCs/>
          <w:i/>
          <w:iCs/>
          <w:sz w:val="24"/>
        </w:rPr>
        <w:t>js</w:t>
      </w:r>
      <w:r>
        <w:rPr>
          <w:sz w:val="24"/>
        </w:rPr>
        <w:t>进行控制及验证）。</w:t>
      </w:r>
    </w:p>
    <w:p w14:paraId="717ECC23">
      <w:pPr>
        <w:spacing w:line="360" w:lineRule="auto"/>
        <w:ind w:firstLine="482" w:firstLineChars="200"/>
        <w:rPr>
          <w:b/>
          <w:sz w:val="24"/>
        </w:rPr>
      </w:pPr>
      <w:r>
        <w:rPr>
          <w:rFonts w:hint="eastAsia"/>
          <w:b/>
          <w:sz w:val="24"/>
        </w:rPr>
        <w:t>（6）</w:t>
      </w:r>
      <w:r>
        <w:rPr>
          <w:b/>
          <w:sz w:val="24"/>
        </w:rPr>
        <w:t>密码复杂度要求</w:t>
      </w:r>
    </w:p>
    <w:p w14:paraId="330D0FF1">
      <w:pPr>
        <w:spacing w:line="360" w:lineRule="auto"/>
        <w:ind w:firstLine="480" w:firstLineChars="200"/>
        <w:rPr>
          <w:sz w:val="24"/>
        </w:rPr>
      </w:pPr>
      <w:r>
        <w:rPr>
          <w:sz w:val="24"/>
        </w:rPr>
        <w:t>系统必须有密码复杂度检查模块，设置有效的验证码或者滑动等手段防止暴力破解，</w:t>
      </w:r>
      <w:r>
        <w:rPr>
          <w:rFonts w:hint="eastAsia"/>
          <w:sz w:val="24"/>
        </w:rPr>
        <w:t>密码使用“字母</w:t>
      </w:r>
      <w:r>
        <w:rPr>
          <w:sz w:val="24"/>
        </w:rPr>
        <w:t>+数字+特殊符号，大小写区分，长度不少于8个字符”形式高强度密码；密码不要与个人用户名、邮箱用户名、手机号码相同，密码中不要有类似</w:t>
      </w:r>
      <w:r>
        <w:rPr>
          <w:b/>
          <w:bCs/>
          <w:i/>
          <w:iCs/>
          <w:sz w:val="24"/>
        </w:rPr>
        <w:t>abcd1234</w:t>
      </w:r>
      <w:r>
        <w:rPr>
          <w:sz w:val="24"/>
        </w:rPr>
        <w:t>、</w:t>
      </w:r>
      <w:r>
        <w:rPr>
          <w:b/>
          <w:bCs/>
          <w:i/>
          <w:iCs/>
          <w:sz w:val="24"/>
        </w:rPr>
        <w:t>11223344</w:t>
      </w:r>
      <w:r>
        <w:rPr>
          <w:sz w:val="24"/>
        </w:rPr>
        <w:t>、</w:t>
      </w:r>
      <w:r>
        <w:rPr>
          <w:b/>
          <w:bCs/>
          <w:i/>
          <w:iCs/>
          <w:sz w:val="24"/>
        </w:rPr>
        <w:t>helloname</w:t>
      </w:r>
      <w:r>
        <w:rPr>
          <w:sz w:val="24"/>
        </w:rPr>
        <w:t>、</w:t>
      </w:r>
      <w:r>
        <w:rPr>
          <w:b/>
          <w:bCs/>
          <w:i/>
          <w:iCs/>
          <w:sz w:val="24"/>
        </w:rPr>
        <w:t>1q2w3e4r</w:t>
      </w:r>
      <w:r>
        <w:rPr>
          <w:sz w:val="24"/>
        </w:rPr>
        <w:t>等常见键盘、英文单词、简单拼音组合密码</w:t>
      </w:r>
      <w:r>
        <w:rPr>
          <w:rFonts w:hint="eastAsia"/>
          <w:sz w:val="24"/>
        </w:rPr>
        <w:t>。禁止在数据库中明文存放用户密码，需进行带</w:t>
      </w:r>
      <w:r>
        <w:rPr>
          <w:rFonts w:hint="eastAsia"/>
          <w:b/>
          <w:bCs/>
          <w:i/>
          <w:iCs/>
          <w:sz w:val="24"/>
        </w:rPr>
        <w:t>salt</w:t>
      </w:r>
      <w:r>
        <w:rPr>
          <w:rFonts w:hint="eastAsia"/>
          <w:sz w:val="24"/>
        </w:rPr>
        <w:t>的哈希之后入库。</w:t>
      </w:r>
      <w:r>
        <w:rPr>
          <w:sz w:val="24"/>
        </w:rPr>
        <w:t>对于多次错误</w:t>
      </w:r>
      <w:r>
        <w:rPr>
          <w:rFonts w:hint="eastAsia"/>
          <w:sz w:val="24"/>
        </w:rPr>
        <w:t>登录</w:t>
      </w:r>
      <w:r>
        <w:rPr>
          <w:sz w:val="24"/>
        </w:rPr>
        <w:t>进行封堵。如果长期不</w:t>
      </w:r>
      <w:r>
        <w:rPr>
          <w:rFonts w:hint="eastAsia"/>
          <w:sz w:val="24"/>
        </w:rPr>
        <w:t>登录</w:t>
      </w:r>
      <w:r>
        <w:rPr>
          <w:sz w:val="24"/>
        </w:rPr>
        <w:t>默认账号应停用处理</w:t>
      </w:r>
      <w:r>
        <w:rPr>
          <w:rFonts w:hint="eastAsia"/>
          <w:sz w:val="24"/>
        </w:rPr>
        <w:t>。</w:t>
      </w:r>
    </w:p>
    <w:p w14:paraId="5F594AC1">
      <w:pPr>
        <w:spacing w:line="360" w:lineRule="auto"/>
        <w:ind w:firstLine="482" w:firstLineChars="200"/>
        <w:rPr>
          <w:b/>
          <w:sz w:val="24"/>
        </w:rPr>
      </w:pPr>
      <w:r>
        <w:rPr>
          <w:rFonts w:hint="eastAsia"/>
          <w:b/>
          <w:sz w:val="24"/>
        </w:rPr>
        <w:t>（7）数据保护要求</w:t>
      </w:r>
    </w:p>
    <w:p w14:paraId="711FB5E5">
      <w:pPr>
        <w:spacing w:line="360" w:lineRule="auto"/>
        <w:ind w:firstLine="480" w:firstLineChars="200"/>
        <w:rPr>
          <w:sz w:val="24"/>
        </w:rPr>
      </w:pPr>
      <w:r>
        <w:rPr>
          <w:sz w:val="24"/>
        </w:rPr>
        <w:t>对于身份信息、单位职务、财务信息、健康信息、通讯信息等敏感信息禁止在数据库中明文存放</w:t>
      </w:r>
      <w:r>
        <w:rPr>
          <w:rFonts w:hint="eastAsia"/>
          <w:sz w:val="24"/>
        </w:rPr>
        <w:t>。</w:t>
      </w:r>
    </w:p>
    <w:p w14:paraId="56CF1F4E">
      <w:pPr>
        <w:spacing w:line="360" w:lineRule="auto"/>
        <w:ind w:firstLine="482" w:firstLineChars="200"/>
        <w:rPr>
          <w:rFonts w:hint="eastAsia"/>
          <w:b/>
          <w:sz w:val="24"/>
        </w:rPr>
      </w:pPr>
      <w:r>
        <w:rPr>
          <w:rFonts w:hint="eastAsia"/>
          <w:b/>
          <w:sz w:val="24"/>
        </w:rPr>
        <w:t>（8）系统安全评测和等保评测要求</w:t>
      </w:r>
    </w:p>
    <w:p w14:paraId="2F98F3B4">
      <w:pPr>
        <w:spacing w:line="360" w:lineRule="auto"/>
        <w:ind w:firstLine="480" w:firstLineChars="200"/>
        <w:rPr>
          <w:rFonts w:hint="eastAsia"/>
          <w:sz w:val="24"/>
        </w:rPr>
      </w:pPr>
      <w:r>
        <w:rPr>
          <w:rFonts w:hint="eastAsia"/>
          <w:sz w:val="24"/>
        </w:rPr>
        <w:t>为配合系统安全评测及等级保护定级和评测的相关要求，须提供如下系统信息：</w:t>
      </w:r>
    </w:p>
    <w:p w14:paraId="03F15918">
      <w:pPr>
        <w:spacing w:line="360" w:lineRule="auto"/>
        <w:ind w:firstLine="480" w:firstLineChars="200"/>
        <w:rPr>
          <w:sz w:val="24"/>
        </w:rPr>
      </w:pPr>
      <w:r>
        <w:rPr>
          <w:rFonts w:hint="eastAsia"/>
          <w:sz w:val="24"/>
        </w:rPr>
        <w:t>1）操作系统版本、补丁情况；</w:t>
      </w:r>
    </w:p>
    <w:p w14:paraId="2FBF7BAB">
      <w:pPr>
        <w:spacing w:line="360" w:lineRule="auto"/>
        <w:ind w:firstLine="480" w:firstLineChars="200"/>
        <w:rPr>
          <w:sz w:val="24"/>
        </w:rPr>
      </w:pPr>
      <w:r>
        <w:rPr>
          <w:rFonts w:hint="eastAsia"/>
          <w:sz w:val="24"/>
        </w:rPr>
        <w:t>2）开放的网络端口及用途；</w:t>
      </w:r>
    </w:p>
    <w:p w14:paraId="2F5DCC4B">
      <w:pPr>
        <w:spacing w:line="360" w:lineRule="auto"/>
        <w:ind w:firstLine="480" w:firstLineChars="200"/>
        <w:rPr>
          <w:sz w:val="24"/>
        </w:rPr>
      </w:pPr>
      <w:r>
        <w:rPr>
          <w:rFonts w:hint="eastAsia"/>
          <w:sz w:val="24"/>
        </w:rPr>
        <w:t>3）建立软件物料清单，提供所有第三方的中间件、开发包、数据库、服务版本及管理地址,密码（必须为复杂密码评测后更改）；</w:t>
      </w:r>
    </w:p>
    <w:p w14:paraId="1D78EA58">
      <w:pPr>
        <w:spacing w:line="360" w:lineRule="auto"/>
        <w:ind w:firstLine="480" w:firstLineChars="200"/>
        <w:rPr>
          <w:sz w:val="24"/>
        </w:rPr>
      </w:pPr>
      <w:r>
        <w:rPr>
          <w:rFonts w:hint="eastAsia"/>
          <w:sz w:val="24"/>
        </w:rPr>
        <w:t>4）系统密码的设置策略（是否满足（6）关于密码复杂度的要求）；</w:t>
      </w:r>
    </w:p>
    <w:p w14:paraId="29C1D644">
      <w:pPr>
        <w:spacing w:line="360" w:lineRule="auto"/>
        <w:ind w:firstLine="480" w:firstLineChars="200"/>
        <w:rPr>
          <w:rFonts w:hint="eastAsia"/>
          <w:sz w:val="24"/>
        </w:rPr>
      </w:pPr>
      <w:r>
        <w:rPr>
          <w:rFonts w:hint="eastAsia"/>
          <w:sz w:val="24"/>
        </w:rPr>
        <w:t>5）提供代码仓库服务器、项目管理服务器的物理位置与</w:t>
      </w:r>
      <w:r>
        <w:rPr>
          <w:rFonts w:hint="eastAsia"/>
          <w:b/>
          <w:bCs/>
          <w:i/>
          <w:iCs/>
          <w:sz w:val="24"/>
        </w:rPr>
        <w:t>IP</w:t>
      </w:r>
      <w:r>
        <w:rPr>
          <w:rFonts w:hint="eastAsia"/>
          <w:sz w:val="24"/>
        </w:rPr>
        <w:t>地址等。（不限于项目管理、</w:t>
      </w:r>
      <w:r>
        <w:rPr>
          <w:rFonts w:hint="eastAsia"/>
          <w:b/>
          <w:bCs/>
          <w:i/>
          <w:iCs/>
          <w:sz w:val="24"/>
        </w:rPr>
        <w:t>git</w:t>
      </w:r>
      <w:r>
        <w:rPr>
          <w:rFonts w:hint="eastAsia"/>
          <w:sz w:val="24"/>
        </w:rPr>
        <w:t>，</w:t>
      </w:r>
      <w:r>
        <w:rPr>
          <w:rFonts w:hint="eastAsia"/>
          <w:b/>
          <w:bCs/>
          <w:i/>
          <w:iCs/>
          <w:sz w:val="24"/>
        </w:rPr>
        <w:t>svn</w:t>
      </w:r>
      <w:r>
        <w:rPr>
          <w:rFonts w:hint="eastAsia"/>
          <w:sz w:val="24"/>
        </w:rPr>
        <w:t>等）；</w:t>
      </w:r>
    </w:p>
    <w:p w14:paraId="14898EDD">
      <w:pPr>
        <w:spacing w:line="360" w:lineRule="auto"/>
        <w:ind w:firstLine="480" w:firstLineChars="200"/>
        <w:rPr>
          <w:sz w:val="24"/>
        </w:rPr>
      </w:pPr>
      <w:r>
        <w:rPr>
          <w:sz w:val="24"/>
        </w:rPr>
        <w:t>6</w:t>
      </w:r>
      <w:r>
        <w:rPr>
          <w:rFonts w:hint="eastAsia"/>
          <w:sz w:val="24"/>
        </w:rPr>
        <w:t>）系统访问路径、系统的用户登录路径和系统管理端路径；</w:t>
      </w:r>
    </w:p>
    <w:p w14:paraId="570977D9">
      <w:pPr>
        <w:spacing w:line="360" w:lineRule="auto"/>
        <w:ind w:firstLine="480" w:firstLineChars="200"/>
        <w:rPr>
          <w:rFonts w:hint="eastAsia"/>
          <w:sz w:val="24"/>
        </w:rPr>
      </w:pPr>
      <w:r>
        <w:rPr>
          <w:rFonts w:hint="eastAsia"/>
          <w:sz w:val="24"/>
        </w:rPr>
        <w:t>7）提供系统的培训、帮助等文档视频的位置。</w:t>
      </w:r>
    </w:p>
    <w:p w14:paraId="623F3C4F">
      <w:pPr>
        <w:spacing w:line="360" w:lineRule="auto"/>
        <w:ind w:firstLine="482" w:firstLineChars="200"/>
        <w:rPr>
          <w:rFonts w:hint="eastAsia"/>
          <w:b/>
          <w:sz w:val="24"/>
        </w:rPr>
      </w:pPr>
      <w:r>
        <w:rPr>
          <w:rFonts w:hint="eastAsia"/>
          <w:b/>
          <w:sz w:val="24"/>
        </w:rPr>
        <w:t>（</w:t>
      </w:r>
      <w:r>
        <w:rPr>
          <w:b/>
          <w:sz w:val="24"/>
        </w:rPr>
        <w:t>9</w:t>
      </w:r>
      <w:r>
        <w:rPr>
          <w:rFonts w:hint="eastAsia"/>
          <w:b/>
          <w:sz w:val="24"/>
        </w:rPr>
        <w:t>）其它安全要求</w:t>
      </w:r>
    </w:p>
    <w:p w14:paraId="4CDFA11F">
      <w:pPr>
        <w:spacing w:line="360" w:lineRule="auto"/>
        <w:ind w:firstLine="480" w:firstLineChars="200"/>
        <w:rPr>
          <w:sz w:val="24"/>
        </w:rPr>
      </w:pPr>
      <w:r>
        <w:rPr>
          <w:rFonts w:hint="eastAsia"/>
          <w:sz w:val="24"/>
        </w:rPr>
        <w:t>1）系统前端不能存放各种配置信息，</w:t>
      </w:r>
      <w:r>
        <w:rPr>
          <w:rFonts w:hint="eastAsia"/>
          <w:b/>
          <w:bCs/>
          <w:i/>
          <w:iCs/>
          <w:sz w:val="24"/>
        </w:rPr>
        <w:t>vue</w:t>
      </w:r>
      <w:r>
        <w:rPr>
          <w:rFonts w:hint="eastAsia"/>
          <w:sz w:val="24"/>
        </w:rPr>
        <w:t>等</w:t>
      </w:r>
      <w:r>
        <w:rPr>
          <w:rFonts w:hint="eastAsia"/>
          <w:b/>
          <w:bCs/>
          <w:i/>
          <w:iCs/>
          <w:sz w:val="24"/>
        </w:rPr>
        <w:t>webpack</w:t>
      </w:r>
      <w:r>
        <w:rPr>
          <w:rFonts w:hint="eastAsia"/>
          <w:sz w:val="24"/>
        </w:rPr>
        <w:t>须进行访问控制；</w:t>
      </w:r>
    </w:p>
    <w:p w14:paraId="3743B14D">
      <w:pPr>
        <w:spacing w:line="360" w:lineRule="auto"/>
        <w:ind w:firstLine="480" w:firstLineChars="200"/>
        <w:rPr>
          <w:sz w:val="24"/>
        </w:rPr>
      </w:pPr>
      <w:r>
        <w:rPr>
          <w:rFonts w:hint="eastAsia"/>
          <w:sz w:val="24"/>
        </w:rPr>
        <w:t>2）系统的代码仓库服务器、项目管理服务器等（包括不限于</w:t>
      </w:r>
      <w:r>
        <w:rPr>
          <w:rFonts w:hint="eastAsia"/>
          <w:b/>
          <w:bCs/>
          <w:i/>
          <w:iCs/>
          <w:sz w:val="24"/>
        </w:rPr>
        <w:t>git</w:t>
      </w:r>
      <w:r>
        <w:rPr>
          <w:rFonts w:hint="eastAsia"/>
          <w:sz w:val="24"/>
        </w:rPr>
        <w:t>，</w:t>
      </w:r>
      <w:r>
        <w:rPr>
          <w:rFonts w:hint="eastAsia"/>
          <w:b/>
          <w:bCs/>
          <w:i/>
          <w:iCs/>
          <w:sz w:val="24"/>
        </w:rPr>
        <w:t>svn</w:t>
      </w:r>
      <w:r>
        <w:rPr>
          <w:rFonts w:hint="eastAsia"/>
          <w:sz w:val="24"/>
        </w:rPr>
        <w:t>及项目管理等）不能互联网访问；</w:t>
      </w:r>
    </w:p>
    <w:p w14:paraId="434AC9E7">
      <w:pPr>
        <w:spacing w:line="360" w:lineRule="auto"/>
        <w:ind w:firstLine="480" w:firstLineChars="200"/>
        <w:rPr>
          <w:sz w:val="24"/>
        </w:rPr>
      </w:pPr>
      <w:r>
        <w:rPr>
          <w:rFonts w:hint="eastAsia"/>
          <w:sz w:val="24"/>
        </w:rPr>
        <w:t>3）严禁未经用户确认在云端、开发运维公司等对系统进行监控，或回传数据；</w:t>
      </w:r>
    </w:p>
    <w:p w14:paraId="7EF36F4F">
      <w:pPr>
        <w:spacing w:line="360" w:lineRule="auto"/>
        <w:ind w:firstLine="480" w:firstLineChars="200"/>
        <w:rPr>
          <w:sz w:val="24"/>
        </w:rPr>
      </w:pPr>
      <w:r>
        <w:rPr>
          <w:rFonts w:hint="eastAsia"/>
          <w:sz w:val="24"/>
        </w:rPr>
        <w:t>4）系统的培训、帮助等文档视频不能有用户密码等信息；</w:t>
      </w:r>
    </w:p>
    <w:p w14:paraId="3786AD2E">
      <w:pPr>
        <w:spacing w:line="360" w:lineRule="auto"/>
        <w:ind w:firstLine="480" w:firstLineChars="200"/>
        <w:rPr>
          <w:sz w:val="24"/>
        </w:rPr>
      </w:pPr>
      <w:r>
        <w:rPr>
          <w:rFonts w:hint="eastAsia"/>
          <w:sz w:val="24"/>
        </w:rPr>
        <w:t>5）严禁在云端建立测试、开发等系统，严禁使用用户信息、</w:t>
      </w:r>
      <w:r>
        <w:rPr>
          <w:rFonts w:hint="eastAsia"/>
          <w:b/>
          <w:bCs/>
          <w:i/>
          <w:iCs/>
          <w:sz w:val="24"/>
        </w:rPr>
        <w:t>logo</w:t>
      </w:r>
      <w:r>
        <w:rPr>
          <w:rFonts w:hint="eastAsia"/>
          <w:sz w:val="24"/>
        </w:rPr>
        <w:t>及数据等。系统未上线前严禁使用用户生产数据、真实数据；</w:t>
      </w:r>
    </w:p>
    <w:p w14:paraId="02146E88">
      <w:pPr>
        <w:spacing w:line="360" w:lineRule="auto"/>
        <w:ind w:firstLine="480" w:firstLineChars="200"/>
        <w:rPr>
          <w:rFonts w:hint="eastAsia"/>
          <w:sz w:val="24"/>
        </w:rPr>
      </w:pPr>
      <w:r>
        <w:rPr>
          <w:rFonts w:hint="eastAsia"/>
          <w:sz w:val="24"/>
        </w:rPr>
        <w:t>6）系统的开发商和应用系统的个人开发者，对于因为程序代码、框架技术以及使用的中间件而产生的应用系统漏洞或</w:t>
      </w:r>
      <w:r>
        <w:rPr>
          <w:b/>
          <w:bCs/>
          <w:i/>
          <w:iCs/>
          <w:sz w:val="24"/>
        </w:rPr>
        <w:t>bug</w:t>
      </w:r>
      <w:r>
        <w:rPr>
          <w:sz w:val="24"/>
        </w:rPr>
        <w:t>等程序错误终身负责维护</w:t>
      </w:r>
      <w:r>
        <w:rPr>
          <w:rFonts w:hint="eastAsia"/>
          <w:sz w:val="24"/>
        </w:rPr>
        <w:t>；</w:t>
      </w:r>
    </w:p>
    <w:p w14:paraId="2CD0839C">
      <w:pPr>
        <w:spacing w:line="360" w:lineRule="auto"/>
        <w:ind w:firstLine="480" w:firstLineChars="200"/>
        <w:rPr>
          <w:sz w:val="24"/>
        </w:rPr>
      </w:pPr>
      <w:r>
        <w:rPr>
          <w:rFonts w:hint="eastAsia"/>
          <w:sz w:val="24"/>
        </w:rPr>
        <w:t>7）接到系统安全评测或渗透报告后须提供详实可行的整改报告，经复测验证合格后方可上线。</w:t>
      </w:r>
    </w:p>
    <w:p w14:paraId="0DD1EF96">
      <w:pPr>
        <w:pStyle w:val="4"/>
        <w:rPr>
          <w:rFonts w:hint="eastAsia"/>
        </w:rPr>
      </w:pPr>
      <w:bookmarkStart w:id="37" w:name="_Toc203667670"/>
      <w:r>
        <w:rPr>
          <w:rFonts w:hint="eastAsia"/>
        </w:rPr>
        <w:t>4、对系统部署方式的要求</w:t>
      </w:r>
      <w:bookmarkEnd w:id="37"/>
    </w:p>
    <w:p w14:paraId="27F1B481">
      <w:pPr>
        <w:spacing w:line="360" w:lineRule="auto"/>
        <w:ind w:firstLine="480" w:firstLineChars="200"/>
        <w:rPr>
          <w:sz w:val="24"/>
        </w:rPr>
      </w:pPr>
      <w:r>
        <w:rPr>
          <w:rFonts w:hint="eastAsia"/>
          <w:sz w:val="24"/>
        </w:rPr>
        <w:t>系统部署应充分考虑到哈尔滨工业大学现有信息化总体框架以及对未来发展的适应性，要求系统支持单机部署、双机部署、集群部署以及云平台部署的相关要求，并支持负载均衡。</w:t>
      </w:r>
    </w:p>
    <w:p w14:paraId="2B979B72">
      <w:pPr>
        <w:spacing w:line="360" w:lineRule="auto"/>
        <w:ind w:firstLine="480" w:firstLineChars="200"/>
        <w:rPr>
          <w:rFonts w:hint="eastAsia"/>
          <w:sz w:val="24"/>
        </w:rPr>
      </w:pPr>
      <w:r>
        <w:rPr>
          <w:rFonts w:hint="eastAsia"/>
          <w:sz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14:paraId="16CE0F9B">
      <w:pPr>
        <w:pStyle w:val="4"/>
        <w:rPr>
          <w:rFonts w:hint="eastAsia"/>
        </w:rPr>
      </w:pPr>
      <w:bookmarkStart w:id="38" w:name="_Toc203667671"/>
      <w:r>
        <w:rPr>
          <w:rFonts w:hint="eastAsia"/>
        </w:rPr>
        <w:t>5、对相关文档和交付物的要求</w:t>
      </w:r>
      <w:bookmarkEnd w:id="38"/>
    </w:p>
    <w:p w14:paraId="7FF8A7B0">
      <w:pPr>
        <w:spacing w:line="360" w:lineRule="auto"/>
        <w:ind w:firstLine="480" w:firstLineChars="200"/>
        <w:rPr>
          <w:sz w:val="24"/>
        </w:rPr>
      </w:pPr>
      <w:r>
        <w:rPr>
          <w:rFonts w:hint="eastAsia"/>
          <w:sz w:val="24"/>
        </w:rPr>
        <w:t>乙方在项目验收通过后向甲方提供该项目形成的成果和相关文档。乙方向甲方提供的成果和文档资料不得人为设置技术障碍影响甲方的维护和二次开发。</w:t>
      </w:r>
    </w:p>
    <w:p w14:paraId="3DFD9552">
      <w:pPr>
        <w:spacing w:line="360" w:lineRule="auto"/>
        <w:ind w:firstLine="480" w:firstLineChars="200"/>
        <w:rPr>
          <w:rFonts w:hint="eastAsia"/>
          <w:sz w:val="24"/>
        </w:rPr>
      </w:pPr>
      <w:r>
        <w:rPr>
          <w:rFonts w:hint="eastAsia"/>
          <w:sz w:val="24"/>
        </w:rPr>
        <w:t>本项目交付成果（参见项目建设内容）。</w:t>
      </w:r>
    </w:p>
    <w:p w14:paraId="740F7BE3">
      <w:pPr>
        <w:spacing w:line="360" w:lineRule="auto"/>
        <w:ind w:firstLine="480" w:firstLineChars="200"/>
        <w:rPr>
          <w:rFonts w:hint="eastAsia"/>
          <w:sz w:val="24"/>
        </w:rPr>
      </w:pPr>
      <w:r>
        <w:rPr>
          <w:rFonts w:hint="eastAsia"/>
          <w:sz w:val="24"/>
        </w:rPr>
        <w:t>提供的文档资料包括：</w:t>
      </w:r>
    </w:p>
    <w:p w14:paraId="50A52F94">
      <w:pPr>
        <w:spacing w:line="360" w:lineRule="auto"/>
        <w:ind w:firstLine="480" w:firstLineChars="200"/>
        <w:rPr>
          <w:rFonts w:hint="eastAsia"/>
          <w:sz w:val="24"/>
        </w:rPr>
      </w:pPr>
      <w:r>
        <w:rPr>
          <w:rFonts w:hint="eastAsia"/>
          <w:sz w:val="24"/>
        </w:rPr>
        <w:t>（1）《项目实施计划》</w:t>
      </w:r>
    </w:p>
    <w:p w14:paraId="2E2F2A23">
      <w:pPr>
        <w:spacing w:line="360" w:lineRule="auto"/>
        <w:ind w:firstLine="480" w:firstLineChars="200"/>
        <w:rPr>
          <w:rFonts w:hint="eastAsia"/>
          <w:sz w:val="24"/>
        </w:rPr>
      </w:pPr>
      <w:r>
        <w:rPr>
          <w:rFonts w:hint="eastAsia"/>
          <w:sz w:val="24"/>
        </w:rPr>
        <w:t>（2）《项目实施计划变更协议》（如果有变更）</w:t>
      </w:r>
    </w:p>
    <w:p w14:paraId="66493DCD">
      <w:pPr>
        <w:spacing w:line="360" w:lineRule="auto"/>
        <w:ind w:firstLine="480" w:firstLineChars="200"/>
        <w:rPr>
          <w:rFonts w:hint="eastAsia"/>
          <w:sz w:val="24"/>
        </w:rPr>
      </w:pPr>
      <w:r>
        <w:rPr>
          <w:rFonts w:hint="eastAsia"/>
          <w:sz w:val="24"/>
        </w:rPr>
        <w:t>（3）《需求说明书》</w:t>
      </w:r>
    </w:p>
    <w:p w14:paraId="1285C9EE">
      <w:pPr>
        <w:spacing w:line="360" w:lineRule="auto"/>
        <w:ind w:firstLine="480" w:firstLineChars="200"/>
        <w:rPr>
          <w:rFonts w:hint="eastAsia"/>
          <w:sz w:val="24"/>
        </w:rPr>
      </w:pPr>
      <w:r>
        <w:rPr>
          <w:rFonts w:hint="eastAsia"/>
          <w:sz w:val="24"/>
        </w:rPr>
        <w:t>（4）《需求变更协议》（如果有变更）</w:t>
      </w:r>
    </w:p>
    <w:p w14:paraId="7A0C818F">
      <w:pPr>
        <w:spacing w:line="360" w:lineRule="auto"/>
        <w:ind w:firstLine="480" w:firstLineChars="200"/>
        <w:rPr>
          <w:sz w:val="24"/>
        </w:rPr>
      </w:pPr>
      <w:r>
        <w:rPr>
          <w:rFonts w:hint="eastAsia"/>
          <w:sz w:val="24"/>
        </w:rPr>
        <w:t>（5）《上线试运行确认单》</w:t>
      </w:r>
    </w:p>
    <w:p w14:paraId="4DED331B">
      <w:pPr>
        <w:spacing w:line="360" w:lineRule="auto"/>
        <w:ind w:firstLine="480" w:firstLineChars="200"/>
        <w:rPr>
          <w:rFonts w:hint="eastAsia"/>
          <w:sz w:val="24"/>
        </w:rPr>
      </w:pPr>
      <w:r>
        <w:rPr>
          <w:rFonts w:hint="eastAsia"/>
          <w:sz w:val="24"/>
        </w:rPr>
        <w:t>（6）《系统技术文档》</w:t>
      </w:r>
    </w:p>
    <w:p w14:paraId="7429B5AF">
      <w:pPr>
        <w:spacing w:line="360" w:lineRule="auto"/>
        <w:ind w:firstLine="480" w:firstLineChars="200"/>
        <w:rPr>
          <w:rFonts w:hint="eastAsia"/>
          <w:sz w:val="24"/>
        </w:rPr>
      </w:pPr>
      <w:r>
        <w:rPr>
          <w:rFonts w:hint="eastAsia"/>
          <w:sz w:val="24"/>
        </w:rPr>
        <w:t>（7）《系统管理员手册》</w:t>
      </w:r>
    </w:p>
    <w:p w14:paraId="59F9E24F">
      <w:pPr>
        <w:spacing w:line="360" w:lineRule="auto"/>
        <w:ind w:firstLine="480" w:firstLineChars="200"/>
        <w:rPr>
          <w:rFonts w:hint="eastAsia"/>
          <w:sz w:val="24"/>
        </w:rPr>
      </w:pPr>
      <w:r>
        <w:rPr>
          <w:rFonts w:hint="eastAsia"/>
          <w:sz w:val="24"/>
        </w:rPr>
        <w:t>（8）《用户手册》</w:t>
      </w:r>
    </w:p>
    <w:p w14:paraId="0A646679">
      <w:pPr>
        <w:spacing w:line="360" w:lineRule="auto"/>
        <w:ind w:firstLine="480" w:firstLineChars="200"/>
        <w:rPr>
          <w:sz w:val="24"/>
        </w:rPr>
      </w:pPr>
      <w:r>
        <w:rPr>
          <w:rFonts w:hint="eastAsia"/>
          <w:sz w:val="24"/>
        </w:rPr>
        <w:t>乙方按哈尔滨工业大学档案馆归档要求，完成项目归档工作。</w:t>
      </w:r>
    </w:p>
    <w:p w14:paraId="652C60FF">
      <w:pPr>
        <w:pStyle w:val="4"/>
        <w:rPr>
          <w:highlight w:val="none"/>
        </w:rPr>
      </w:pPr>
      <w:bookmarkStart w:id="39" w:name="_Toc203667672"/>
      <w:r>
        <w:rPr>
          <w:rFonts w:hint="eastAsia"/>
          <w:highlight w:val="none"/>
        </w:rPr>
        <w:t>6、系统知识产权归属要求</w:t>
      </w:r>
      <w:bookmarkEnd w:id="39"/>
    </w:p>
    <w:p w14:paraId="352DFBA2">
      <w:pPr>
        <w:spacing w:line="360" w:lineRule="auto"/>
        <w:ind w:firstLine="480" w:firstLineChars="200"/>
        <w:rPr>
          <w:rFonts w:hint="eastAsia"/>
          <w:sz w:val="24"/>
          <w:highlight w:val="none"/>
        </w:rPr>
      </w:pPr>
      <w:r>
        <w:rPr>
          <w:sz w:val="24"/>
          <w:highlight w:val="none"/>
        </w:rPr>
        <w:t>系统及二次开发成果知识产权归采购人所有</w:t>
      </w:r>
      <w:r>
        <w:rPr>
          <w:rFonts w:hint="eastAsia"/>
          <w:sz w:val="24"/>
          <w:highlight w:val="none"/>
        </w:rPr>
        <w:t>，</w:t>
      </w:r>
      <w:r>
        <w:rPr>
          <w:sz w:val="24"/>
          <w:highlight w:val="none"/>
        </w:rPr>
        <w:t>供应商仅保留使用权</w:t>
      </w:r>
      <w:r>
        <w:rPr>
          <w:rFonts w:hint="eastAsia"/>
          <w:sz w:val="24"/>
          <w:highlight w:val="none"/>
        </w:rPr>
        <w:t>，涉及任何非供应商开发而调用的不限于代码、组件等功能的知识产权，侵权责任由供货方承担。</w:t>
      </w:r>
    </w:p>
    <w:p w14:paraId="3590D60C">
      <w:pPr>
        <w:pStyle w:val="3"/>
        <w:numPr>
          <w:ilvl w:val="0"/>
          <w:numId w:val="0"/>
        </w:numPr>
      </w:pPr>
      <w:bookmarkStart w:id="40" w:name="_Toc203667673"/>
      <w:r>
        <w:rPr>
          <w:rFonts w:hint="eastAsia" w:hAnsi="Calibri" w:eastAsia="等线"/>
          <w:kern w:val="0"/>
          <w:sz w:val="21"/>
          <w:szCs w:val="21"/>
        </w:rPr>
        <w:t>★</w:t>
      </w:r>
      <w:r>
        <w:rPr>
          <w:rFonts w:hint="eastAsia"/>
          <w:lang w:eastAsia="zh-CN"/>
        </w:rPr>
        <w:t>五</w:t>
      </w:r>
      <w:r>
        <w:rPr>
          <w:rFonts w:hint="eastAsia"/>
        </w:rPr>
        <w:t>、技术情报和资料的保密要求（涉及项目实施过程中完整的保密措施方案）</w:t>
      </w:r>
      <w:bookmarkEnd w:id="40"/>
    </w:p>
    <w:p w14:paraId="5B52D20B">
      <w:pPr>
        <w:spacing w:line="360" w:lineRule="auto"/>
        <w:ind w:firstLine="480" w:firstLineChars="200"/>
        <w:rPr>
          <w:rFonts w:hint="eastAsia"/>
          <w:sz w:val="24"/>
        </w:rPr>
      </w:pPr>
      <w:r>
        <w:rPr>
          <w:rFonts w:hint="eastAsia"/>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14:paraId="232B7409">
      <w:pPr>
        <w:spacing w:line="360" w:lineRule="auto"/>
        <w:ind w:firstLine="480" w:firstLineChars="200"/>
        <w:rPr>
          <w:sz w:val="24"/>
        </w:rPr>
      </w:pPr>
      <w:r>
        <w:rPr>
          <w:rFonts w:hint="eastAsia"/>
          <w:sz w:val="24"/>
        </w:rPr>
        <w:t>不论本合同是否变更、解除、终止，本条款长期有效。</w:t>
      </w:r>
    </w:p>
    <w:p w14:paraId="5C49C481">
      <w:pPr>
        <w:pStyle w:val="3"/>
      </w:pPr>
      <w:bookmarkStart w:id="41" w:name="_Toc203667674"/>
      <w:r>
        <w:rPr>
          <w:rFonts w:hint="eastAsia" w:hAnsi="Calibri" w:eastAsia="等线"/>
          <w:kern w:val="0"/>
          <w:sz w:val="21"/>
          <w:szCs w:val="21"/>
        </w:rPr>
        <w:t>★</w:t>
      </w:r>
      <w:r>
        <w:rPr>
          <w:rFonts w:hint="eastAsia"/>
          <w:lang w:eastAsia="zh-CN"/>
        </w:rPr>
        <w:t>六</w:t>
      </w:r>
      <w:r>
        <w:rPr>
          <w:rFonts w:hint="eastAsia"/>
        </w:rPr>
        <w:t>、等保测评要求（投标人提供承诺函）</w:t>
      </w:r>
      <w:bookmarkEnd w:id="41"/>
    </w:p>
    <w:p w14:paraId="059F9944">
      <w:pPr>
        <w:spacing w:line="360" w:lineRule="auto"/>
        <w:ind w:firstLine="482" w:firstLineChars="200"/>
        <w:rPr>
          <w:b/>
          <w:bCs/>
          <w:sz w:val="24"/>
          <w:u w:val="single"/>
        </w:rPr>
      </w:pPr>
      <w:r>
        <w:rPr>
          <w:rFonts w:hint="eastAsia"/>
          <w:b/>
          <w:bCs/>
          <w:sz w:val="24"/>
          <w:u w:val="single"/>
        </w:rPr>
        <w:t>投标方须全面配合学校网信办完成相关等保测评等一切要求后，系统方可以上线，不限于按要求增设相关网络安全设备等。</w:t>
      </w:r>
    </w:p>
    <w:p w14:paraId="32FEA0C4">
      <w:pPr>
        <w:spacing w:line="360" w:lineRule="auto"/>
        <w:ind w:firstLine="482" w:firstLineChars="200"/>
        <w:rPr>
          <w:rFonts w:hint="eastAsia"/>
          <w:b/>
          <w:bCs/>
          <w:sz w:val="24"/>
          <w:u w:val="single"/>
        </w:rPr>
      </w:pPr>
      <w:r>
        <w:rPr>
          <w:rFonts w:hint="eastAsia"/>
          <w:b/>
          <w:bCs/>
          <w:sz w:val="24"/>
          <w:u w:val="single"/>
        </w:rPr>
        <w:t>电计量管理系统平台应能达到国家信息系统网路安全等级保护二级及以上标准要求，投标供应商须按国家信息系统网络安全等级保护要求完成软件系统的定级备案</w:t>
      </w:r>
      <w:r>
        <w:rPr>
          <w:rFonts w:hint="eastAsia" w:ascii="宋体" w:hAnsi="宋体" w:cs="宋体"/>
          <w:b/>
          <w:bCs/>
          <w:sz w:val="24"/>
          <w:u w:val="single"/>
        </w:rPr>
        <w:t>﹑</w:t>
      </w:r>
      <w:r>
        <w:rPr>
          <w:rFonts w:hint="eastAsia" w:cs="宋体"/>
          <w:b/>
          <w:bCs/>
          <w:sz w:val="24"/>
          <w:u w:val="single"/>
        </w:rPr>
        <w:t>安全测评与整改相关工作，系统正式验收前必须取得网络安全等级保护测试报告，本项相关费用由中标供应商承担。</w:t>
      </w:r>
    </w:p>
    <w:p w14:paraId="72DF5D0F">
      <w:pPr>
        <w:spacing w:line="360" w:lineRule="auto"/>
        <w:ind w:firstLine="480" w:firstLineChars="200"/>
        <w:rPr>
          <w:rFonts w:hint="eastAsia"/>
          <w:sz w:val="24"/>
        </w:rPr>
      </w:pPr>
    </w:p>
    <w:p w14:paraId="005CB48D">
      <w:pPr>
        <w:pStyle w:val="57"/>
        <w:numPr>
          <w:ilvl w:val="0"/>
          <w:numId w:val="0"/>
        </w:numPr>
        <w:spacing w:line="360" w:lineRule="auto"/>
        <w:ind w:leftChars="0" w:firstLine="400" w:firstLineChars="200"/>
        <w:jc w:val="left"/>
        <w:rPr>
          <w:rFonts w:hint="default" w:ascii="宋体" w:hAnsi="宋体"/>
          <w:color w:val="auto"/>
          <w:sz w:val="20"/>
          <w:szCs w:val="21"/>
          <w:lang w:val="en-US" w:eastAsia="zh-CN"/>
        </w:rPr>
      </w:pPr>
    </w:p>
    <w:p w14:paraId="28C66A98">
      <w:pPr>
        <w:ind w:firstLine="480" w:firstLineChars="200"/>
        <w:jc w:val="left"/>
        <w:rPr>
          <w:rFonts w:hint="eastAsia" w:ascii="方正书宋简体" w:hAnsi="宋体" w:eastAsia="方正书宋简体" w:cs="Times New Roman"/>
          <w:b w:val="0"/>
          <w:bCs/>
          <w:color w:val="auto"/>
          <w:sz w:val="24"/>
          <w:szCs w:val="24"/>
          <w:highlight w:val="none"/>
        </w:rPr>
      </w:pPr>
      <w:bookmarkStart w:id="42" w:name="_GoBack"/>
      <w:bookmarkEnd w:id="42"/>
    </w:p>
    <w:p w14:paraId="6C29B24E">
      <w:pPr>
        <w:ind w:left="420"/>
        <w:jc w:val="left"/>
        <w:rPr>
          <w:rFonts w:hint="eastAsia" w:ascii="方正书宋简体" w:hAnsi="宋体" w:eastAsia="方正书宋简体" w:cs="Times New Roman"/>
          <w:b/>
          <w:color w:val="auto"/>
          <w:sz w:val="24"/>
          <w:szCs w:val="24"/>
          <w:highlight w:val="none"/>
        </w:rPr>
      </w:pPr>
    </w:p>
    <w:p w14:paraId="5AA9E034">
      <w:pPr>
        <w:pStyle w:val="3"/>
        <w:outlineLvl w:val="9"/>
        <w:rPr>
          <w:rFonts w:hint="eastAsia"/>
          <w:color w:val="auto"/>
          <w:highlight w:val="none"/>
        </w:rPr>
      </w:pPr>
    </w:p>
    <w:p w14:paraId="0B3F26B9">
      <w:pPr>
        <w:jc w:val="left"/>
        <w:rPr>
          <w:color w:val="auto"/>
          <w:highlight w:val="none"/>
        </w:rPr>
      </w:pPr>
    </w:p>
    <w:sectPr>
      <w:headerReference r:id="rId3" w:type="default"/>
      <w:footerReference r:id="rId4" w:type="default"/>
      <w:pgSz w:w="11906" w:h="16838"/>
      <w:pgMar w:top="1361" w:right="1247" w:bottom="1361" w:left="1247"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67F0">
    <w:pPr>
      <w:pStyle w:val="14"/>
      <w:tabs>
        <w:tab w:val="center" w:pos="4153"/>
        <w:tab w:val="right" w:pos="8306"/>
      </w:tabs>
      <w:jc w:val="center"/>
    </w:pPr>
    <w:r>
      <w:fldChar w:fldCharType="begin"/>
    </w:r>
    <w:r>
      <w:instrText xml:space="preserve"> PAGE Page \* MERGEFORMAT </w:instrText>
    </w:r>
    <w:r>
      <w:fldChar w:fldCharType="separate"/>
    </w:r>
    <w:r>
      <w:t>41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04A1">
    <w:pPr>
      <w:pStyle w:val="15"/>
      <w:jc w:val="left"/>
    </w:pPr>
    <w:r>
      <w:rPr>
        <w:rFonts w:hint="eastAsia"/>
        <w:lang w:val="en-US" w:eastAsia="zh-CN"/>
      </w:rPr>
      <w:t xml:space="preserve">电计量管理系统平台              </w:t>
    </w: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9791C"/>
    <w:multiLevelType w:val="singleLevel"/>
    <w:tmpl w:val="DE89791C"/>
    <w:lvl w:ilvl="0" w:tentative="0">
      <w:start w:val="1"/>
      <w:numFmt w:val="decimal"/>
      <w:lvlText w:val="%1."/>
      <w:lvlJc w:val="left"/>
      <w:pPr>
        <w:ind w:left="425" w:hanging="425"/>
      </w:pPr>
    </w:lvl>
  </w:abstractNum>
  <w:abstractNum w:abstractNumId="1">
    <w:nsid w:val="0643CBD6"/>
    <w:multiLevelType w:val="singleLevel"/>
    <w:tmpl w:val="0643CBD6"/>
    <w:lvl w:ilvl="0" w:tentative="0">
      <w:start w:val="1"/>
      <w:numFmt w:val="bullet"/>
      <w:pStyle w:val="8"/>
      <w:lvlText w:val=""/>
      <w:lvlJc w:val="left"/>
      <w:pPr>
        <w:tabs>
          <w:tab w:val="left" w:pos="1200"/>
        </w:tabs>
        <w:ind w:left="1200" w:hanging="360"/>
      </w:pPr>
      <w:rPr>
        <w:rFonts w:hint="default" w:ascii="Wingdings" w:hAnsi="Wingdings"/>
      </w:rPr>
    </w:lvl>
  </w:abstractNum>
  <w:abstractNum w:abstractNumId="2">
    <w:nsid w:val="08BE0E6D"/>
    <w:multiLevelType w:val="multilevel"/>
    <w:tmpl w:val="08BE0E6D"/>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611CDE"/>
    <w:multiLevelType w:val="multilevel"/>
    <w:tmpl w:val="10611CDE"/>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4828B2"/>
    <w:multiLevelType w:val="multilevel"/>
    <w:tmpl w:val="184828B2"/>
    <w:lvl w:ilvl="0" w:tentative="0">
      <w:start w:val="1"/>
      <w:numFmt w:val="decimal"/>
      <w:lvlText w:val="（%1）"/>
      <w:lvlJc w:val="left"/>
      <w:pPr>
        <w:ind w:left="1003"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247903"/>
    <w:multiLevelType w:val="multilevel"/>
    <w:tmpl w:val="1B247903"/>
    <w:lvl w:ilvl="0" w:tentative="0">
      <w:start w:val="1"/>
      <w:numFmt w:val="decimal"/>
      <w:pStyle w:val="60"/>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571D81"/>
    <w:multiLevelType w:val="multilevel"/>
    <w:tmpl w:val="29571D81"/>
    <w:lvl w:ilvl="0" w:tentative="0">
      <w:start w:val="1"/>
      <w:numFmt w:val="decimal"/>
      <w:lvlText w:val="（%1）"/>
      <w:lvlJc w:val="left"/>
      <w:pPr>
        <w:ind w:left="1003"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9651CF"/>
    <w:multiLevelType w:val="multilevel"/>
    <w:tmpl w:val="2B9651CF"/>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41265D"/>
    <w:multiLevelType w:val="multilevel"/>
    <w:tmpl w:val="3641265D"/>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9644E1"/>
    <w:multiLevelType w:val="multilevel"/>
    <w:tmpl w:val="379644E1"/>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476DFB"/>
    <w:multiLevelType w:val="multilevel"/>
    <w:tmpl w:val="3A476DFB"/>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B77B7E4"/>
    <w:multiLevelType w:val="singleLevel"/>
    <w:tmpl w:val="4B77B7E4"/>
    <w:lvl w:ilvl="0" w:tentative="0">
      <w:start w:val="1"/>
      <w:numFmt w:val="decimal"/>
      <w:lvlText w:val="%1."/>
      <w:lvlJc w:val="left"/>
      <w:pPr>
        <w:ind w:left="425" w:hanging="425"/>
      </w:pPr>
    </w:lvl>
  </w:abstractNum>
  <w:abstractNum w:abstractNumId="12">
    <w:nsid w:val="4C3C4D24"/>
    <w:multiLevelType w:val="multilevel"/>
    <w:tmpl w:val="4C3C4D24"/>
    <w:lvl w:ilvl="0" w:tentative="0">
      <w:start w:val="1"/>
      <w:numFmt w:val="decimal"/>
      <w:pStyle w:val="63"/>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38139E2"/>
    <w:multiLevelType w:val="multilevel"/>
    <w:tmpl w:val="538139E2"/>
    <w:lvl w:ilvl="0" w:tentative="0">
      <w:start w:val="1"/>
      <w:numFmt w:val="decimal"/>
      <w:lvlText w:val="（%1）"/>
      <w:lvlJc w:val="left"/>
      <w:pPr>
        <w:ind w:left="1003"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3DA1B15"/>
    <w:multiLevelType w:val="multilevel"/>
    <w:tmpl w:val="53DA1B15"/>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7F3F1C"/>
    <w:multiLevelType w:val="multilevel"/>
    <w:tmpl w:val="5C7F3F1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D33DE7"/>
    <w:multiLevelType w:val="multilevel"/>
    <w:tmpl w:val="5DD33DE7"/>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27C3C94"/>
    <w:multiLevelType w:val="multilevel"/>
    <w:tmpl w:val="727C3C94"/>
    <w:lvl w:ilvl="0" w:tentative="0">
      <w:start w:val="1"/>
      <w:numFmt w:val="chineseCountingThousand"/>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E5274A2"/>
    <w:multiLevelType w:val="singleLevel"/>
    <w:tmpl w:val="7E5274A2"/>
    <w:lvl w:ilvl="0" w:tentative="0">
      <w:start w:val="1"/>
      <w:numFmt w:val="decimal"/>
      <w:suff w:val="nothing"/>
      <w:lvlText w:val="（%1）"/>
      <w:lvlJc w:val="left"/>
    </w:lvl>
  </w:abstractNum>
  <w:abstractNum w:abstractNumId="19">
    <w:nsid w:val="7EE312C4"/>
    <w:multiLevelType w:val="multilevel"/>
    <w:tmpl w:val="7EE312C4"/>
    <w:lvl w:ilvl="0" w:tentative="0">
      <w:start w:val="1"/>
      <w:numFmt w:val="decimal"/>
      <w:lvlText w:val="（%1）"/>
      <w:lvlJc w:val="left"/>
      <w:pPr>
        <w:ind w:left="1003"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7"/>
  </w:num>
  <w:num w:numId="3">
    <w:abstractNumId w:val="5"/>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0"/>
    <w:lvlOverride w:ilvl="0">
      <w:startOverride w:val="1"/>
    </w:lvlOverride>
  </w:num>
  <w:num w:numId="9">
    <w:abstractNumId w:val="11"/>
    <w:lvlOverride w:ilvl="0">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ZDhmMGQxNmJjODQ4MTMxOTJjYWJhZGUyOGU0MmYifQ=="/>
  </w:docVars>
  <w:rsids>
    <w:rsidRoot w:val="00CE453F"/>
    <w:rsid w:val="00077BA9"/>
    <w:rsid w:val="000A2DA5"/>
    <w:rsid w:val="000C42A4"/>
    <w:rsid w:val="00153949"/>
    <w:rsid w:val="00224233"/>
    <w:rsid w:val="002A133F"/>
    <w:rsid w:val="002D1676"/>
    <w:rsid w:val="002D68FB"/>
    <w:rsid w:val="00305CCD"/>
    <w:rsid w:val="003D1219"/>
    <w:rsid w:val="00486CFD"/>
    <w:rsid w:val="004F58FD"/>
    <w:rsid w:val="00686AB9"/>
    <w:rsid w:val="006A4FCE"/>
    <w:rsid w:val="006A6D4C"/>
    <w:rsid w:val="00744549"/>
    <w:rsid w:val="007D0D5D"/>
    <w:rsid w:val="008639C6"/>
    <w:rsid w:val="008F54BE"/>
    <w:rsid w:val="00983AA9"/>
    <w:rsid w:val="00986828"/>
    <w:rsid w:val="00A80DA0"/>
    <w:rsid w:val="00AB13DA"/>
    <w:rsid w:val="00C57E15"/>
    <w:rsid w:val="00C61A6A"/>
    <w:rsid w:val="00CD0059"/>
    <w:rsid w:val="00CE453F"/>
    <w:rsid w:val="00D10D2C"/>
    <w:rsid w:val="00D247FB"/>
    <w:rsid w:val="00DB4151"/>
    <w:rsid w:val="00E00FD8"/>
    <w:rsid w:val="00F33B9B"/>
    <w:rsid w:val="014B0011"/>
    <w:rsid w:val="01822F79"/>
    <w:rsid w:val="02553975"/>
    <w:rsid w:val="02BA4939"/>
    <w:rsid w:val="02C76642"/>
    <w:rsid w:val="02D9770E"/>
    <w:rsid w:val="03295EF3"/>
    <w:rsid w:val="032B4DAC"/>
    <w:rsid w:val="035E2821"/>
    <w:rsid w:val="037504C8"/>
    <w:rsid w:val="03BA7079"/>
    <w:rsid w:val="03D472D2"/>
    <w:rsid w:val="03E42ED9"/>
    <w:rsid w:val="040635D2"/>
    <w:rsid w:val="043B4647"/>
    <w:rsid w:val="0447097E"/>
    <w:rsid w:val="046C7D0F"/>
    <w:rsid w:val="04947376"/>
    <w:rsid w:val="04A62FF4"/>
    <w:rsid w:val="055461DB"/>
    <w:rsid w:val="058160B2"/>
    <w:rsid w:val="05B96765"/>
    <w:rsid w:val="05C143E1"/>
    <w:rsid w:val="05D30223"/>
    <w:rsid w:val="064502FA"/>
    <w:rsid w:val="067915A0"/>
    <w:rsid w:val="069B0042"/>
    <w:rsid w:val="06F3181D"/>
    <w:rsid w:val="07276A85"/>
    <w:rsid w:val="073671D2"/>
    <w:rsid w:val="074D3BCF"/>
    <w:rsid w:val="075E0676"/>
    <w:rsid w:val="07946ACC"/>
    <w:rsid w:val="079C2C86"/>
    <w:rsid w:val="07A11279"/>
    <w:rsid w:val="07B94A01"/>
    <w:rsid w:val="07CD6507"/>
    <w:rsid w:val="083537B6"/>
    <w:rsid w:val="08504022"/>
    <w:rsid w:val="085F0331"/>
    <w:rsid w:val="08F567C1"/>
    <w:rsid w:val="0903243F"/>
    <w:rsid w:val="090435DC"/>
    <w:rsid w:val="090A2CBA"/>
    <w:rsid w:val="092A532D"/>
    <w:rsid w:val="0A045C9B"/>
    <w:rsid w:val="0A5800DD"/>
    <w:rsid w:val="0A664939"/>
    <w:rsid w:val="0A882AA2"/>
    <w:rsid w:val="0B005CD1"/>
    <w:rsid w:val="0B1B3922"/>
    <w:rsid w:val="0B844293"/>
    <w:rsid w:val="0B8E17D0"/>
    <w:rsid w:val="0B9637EC"/>
    <w:rsid w:val="0BFC73C5"/>
    <w:rsid w:val="0C014919"/>
    <w:rsid w:val="0C3219AF"/>
    <w:rsid w:val="0C6B0B5A"/>
    <w:rsid w:val="0CA70207"/>
    <w:rsid w:val="0CA9190D"/>
    <w:rsid w:val="0CE30FDE"/>
    <w:rsid w:val="0D0A53FA"/>
    <w:rsid w:val="0D5D5DBD"/>
    <w:rsid w:val="0D6B5F8D"/>
    <w:rsid w:val="0DBD5DC5"/>
    <w:rsid w:val="0DC01E4A"/>
    <w:rsid w:val="0DF953A4"/>
    <w:rsid w:val="0E322DF7"/>
    <w:rsid w:val="0E9A14B7"/>
    <w:rsid w:val="0EDB09FE"/>
    <w:rsid w:val="0F414D07"/>
    <w:rsid w:val="0F440E37"/>
    <w:rsid w:val="0F9B38BE"/>
    <w:rsid w:val="0FE439FC"/>
    <w:rsid w:val="101125C9"/>
    <w:rsid w:val="10450D0B"/>
    <w:rsid w:val="105F022E"/>
    <w:rsid w:val="10657DD4"/>
    <w:rsid w:val="1073377C"/>
    <w:rsid w:val="108D61F8"/>
    <w:rsid w:val="109914AF"/>
    <w:rsid w:val="112B22DA"/>
    <w:rsid w:val="11502C1B"/>
    <w:rsid w:val="115D26B4"/>
    <w:rsid w:val="11665A0D"/>
    <w:rsid w:val="11AB5540"/>
    <w:rsid w:val="11B76268"/>
    <w:rsid w:val="11D010D8"/>
    <w:rsid w:val="11D13D42"/>
    <w:rsid w:val="11E46358"/>
    <w:rsid w:val="1204603E"/>
    <w:rsid w:val="12141AB0"/>
    <w:rsid w:val="121B6A22"/>
    <w:rsid w:val="124268B1"/>
    <w:rsid w:val="124676DE"/>
    <w:rsid w:val="129A79EE"/>
    <w:rsid w:val="12AB6CD6"/>
    <w:rsid w:val="13156136"/>
    <w:rsid w:val="13CB6773"/>
    <w:rsid w:val="145F18FF"/>
    <w:rsid w:val="14651E91"/>
    <w:rsid w:val="14EF1875"/>
    <w:rsid w:val="151B36F4"/>
    <w:rsid w:val="15511FFD"/>
    <w:rsid w:val="1588716B"/>
    <w:rsid w:val="159A752B"/>
    <w:rsid w:val="15BE3EC1"/>
    <w:rsid w:val="15FE1D18"/>
    <w:rsid w:val="162636A2"/>
    <w:rsid w:val="1695558B"/>
    <w:rsid w:val="16A55BCA"/>
    <w:rsid w:val="16B0241C"/>
    <w:rsid w:val="17671B52"/>
    <w:rsid w:val="17887567"/>
    <w:rsid w:val="178C2FCF"/>
    <w:rsid w:val="17934218"/>
    <w:rsid w:val="179D236B"/>
    <w:rsid w:val="17EC706D"/>
    <w:rsid w:val="181017CD"/>
    <w:rsid w:val="18475A48"/>
    <w:rsid w:val="18480EF2"/>
    <w:rsid w:val="18593F17"/>
    <w:rsid w:val="18F07B90"/>
    <w:rsid w:val="190C3911"/>
    <w:rsid w:val="19150B7B"/>
    <w:rsid w:val="19201E56"/>
    <w:rsid w:val="19372CEA"/>
    <w:rsid w:val="194D3D32"/>
    <w:rsid w:val="19977206"/>
    <w:rsid w:val="19F4570A"/>
    <w:rsid w:val="19F71AC9"/>
    <w:rsid w:val="1A6E5932"/>
    <w:rsid w:val="1AB53832"/>
    <w:rsid w:val="1AE6704A"/>
    <w:rsid w:val="1AEC3E7E"/>
    <w:rsid w:val="1B1559A4"/>
    <w:rsid w:val="1B181F77"/>
    <w:rsid w:val="1B340602"/>
    <w:rsid w:val="1B566F09"/>
    <w:rsid w:val="1B9C027D"/>
    <w:rsid w:val="1BA50EC4"/>
    <w:rsid w:val="1BBD0470"/>
    <w:rsid w:val="1BC853BF"/>
    <w:rsid w:val="1BDB3E60"/>
    <w:rsid w:val="1BE32709"/>
    <w:rsid w:val="1C215253"/>
    <w:rsid w:val="1C801187"/>
    <w:rsid w:val="1D3B4C7D"/>
    <w:rsid w:val="1D7871CD"/>
    <w:rsid w:val="1DC27C2B"/>
    <w:rsid w:val="1DE268CC"/>
    <w:rsid w:val="1DE552CF"/>
    <w:rsid w:val="1DF75C3F"/>
    <w:rsid w:val="1E3B33D6"/>
    <w:rsid w:val="1E3F1A97"/>
    <w:rsid w:val="1E59322F"/>
    <w:rsid w:val="1E8D1017"/>
    <w:rsid w:val="1E911BEF"/>
    <w:rsid w:val="1E9C0C0D"/>
    <w:rsid w:val="1F367939"/>
    <w:rsid w:val="1F9103B2"/>
    <w:rsid w:val="1FC4796A"/>
    <w:rsid w:val="1FC64398"/>
    <w:rsid w:val="1FCC2E21"/>
    <w:rsid w:val="20017DD8"/>
    <w:rsid w:val="200D3625"/>
    <w:rsid w:val="20144ED7"/>
    <w:rsid w:val="205831F6"/>
    <w:rsid w:val="207F137B"/>
    <w:rsid w:val="209D1349"/>
    <w:rsid w:val="20EE1B4A"/>
    <w:rsid w:val="210D2BA1"/>
    <w:rsid w:val="217E6FD4"/>
    <w:rsid w:val="21812609"/>
    <w:rsid w:val="21824263"/>
    <w:rsid w:val="21A577BF"/>
    <w:rsid w:val="21A83DD1"/>
    <w:rsid w:val="21AE794E"/>
    <w:rsid w:val="21FB431B"/>
    <w:rsid w:val="220640BD"/>
    <w:rsid w:val="220E7D5D"/>
    <w:rsid w:val="22166F81"/>
    <w:rsid w:val="22652499"/>
    <w:rsid w:val="22BC549B"/>
    <w:rsid w:val="22D5180A"/>
    <w:rsid w:val="22E53971"/>
    <w:rsid w:val="22E7411A"/>
    <w:rsid w:val="2313574C"/>
    <w:rsid w:val="233E66F7"/>
    <w:rsid w:val="243521F0"/>
    <w:rsid w:val="244B0A92"/>
    <w:rsid w:val="24846855"/>
    <w:rsid w:val="24E20D41"/>
    <w:rsid w:val="250B4DBC"/>
    <w:rsid w:val="25184186"/>
    <w:rsid w:val="25457372"/>
    <w:rsid w:val="25464BE5"/>
    <w:rsid w:val="258F2670"/>
    <w:rsid w:val="25CB03C7"/>
    <w:rsid w:val="25DF6240"/>
    <w:rsid w:val="262325D7"/>
    <w:rsid w:val="26287693"/>
    <w:rsid w:val="262B0B7B"/>
    <w:rsid w:val="26624664"/>
    <w:rsid w:val="26887197"/>
    <w:rsid w:val="26991245"/>
    <w:rsid w:val="27D52B4D"/>
    <w:rsid w:val="281273DC"/>
    <w:rsid w:val="281E09AE"/>
    <w:rsid w:val="2838731E"/>
    <w:rsid w:val="28864E6C"/>
    <w:rsid w:val="28A527F3"/>
    <w:rsid w:val="28BC52FE"/>
    <w:rsid w:val="28F415BA"/>
    <w:rsid w:val="292708E8"/>
    <w:rsid w:val="29363ABF"/>
    <w:rsid w:val="29583DD9"/>
    <w:rsid w:val="2976545F"/>
    <w:rsid w:val="298402E2"/>
    <w:rsid w:val="29E14467"/>
    <w:rsid w:val="29E61811"/>
    <w:rsid w:val="2A0062AF"/>
    <w:rsid w:val="2A096E8D"/>
    <w:rsid w:val="2A156304"/>
    <w:rsid w:val="2A490417"/>
    <w:rsid w:val="2A802E6D"/>
    <w:rsid w:val="2AD33D78"/>
    <w:rsid w:val="2AF250A3"/>
    <w:rsid w:val="2AF4663D"/>
    <w:rsid w:val="2B4B4A03"/>
    <w:rsid w:val="2B83179A"/>
    <w:rsid w:val="2BCB2208"/>
    <w:rsid w:val="2C102997"/>
    <w:rsid w:val="2C3178C9"/>
    <w:rsid w:val="2C4B579E"/>
    <w:rsid w:val="2C8C7EAB"/>
    <w:rsid w:val="2D58342B"/>
    <w:rsid w:val="2D7A334B"/>
    <w:rsid w:val="2D7D7235"/>
    <w:rsid w:val="2E1034F8"/>
    <w:rsid w:val="2E5E705D"/>
    <w:rsid w:val="2E6A3594"/>
    <w:rsid w:val="2ED14522"/>
    <w:rsid w:val="2F0E31AF"/>
    <w:rsid w:val="2F34284F"/>
    <w:rsid w:val="2F4F7A03"/>
    <w:rsid w:val="2F5725D9"/>
    <w:rsid w:val="2F6942E7"/>
    <w:rsid w:val="2F9604FD"/>
    <w:rsid w:val="2FBC36D6"/>
    <w:rsid w:val="306670E0"/>
    <w:rsid w:val="306F68FD"/>
    <w:rsid w:val="3154153C"/>
    <w:rsid w:val="31620DD8"/>
    <w:rsid w:val="318731F4"/>
    <w:rsid w:val="31A82578"/>
    <w:rsid w:val="31B23EFF"/>
    <w:rsid w:val="31BF3236"/>
    <w:rsid w:val="31D1586E"/>
    <w:rsid w:val="31E36159"/>
    <w:rsid w:val="31FF2454"/>
    <w:rsid w:val="320D0BF2"/>
    <w:rsid w:val="321B35BB"/>
    <w:rsid w:val="32621C2F"/>
    <w:rsid w:val="32B81591"/>
    <w:rsid w:val="32C45824"/>
    <w:rsid w:val="33577D55"/>
    <w:rsid w:val="337801B9"/>
    <w:rsid w:val="339B4AD0"/>
    <w:rsid w:val="33BB50AA"/>
    <w:rsid w:val="33D9103C"/>
    <w:rsid w:val="34302B4A"/>
    <w:rsid w:val="34350B55"/>
    <w:rsid w:val="343C666D"/>
    <w:rsid w:val="34411E26"/>
    <w:rsid w:val="344E2670"/>
    <w:rsid w:val="34554048"/>
    <w:rsid w:val="347B3312"/>
    <w:rsid w:val="347E72AA"/>
    <w:rsid w:val="34AD27BB"/>
    <w:rsid w:val="34FD7B87"/>
    <w:rsid w:val="350B6347"/>
    <w:rsid w:val="352C1682"/>
    <w:rsid w:val="35367F65"/>
    <w:rsid w:val="354070EE"/>
    <w:rsid w:val="35842826"/>
    <w:rsid w:val="35AA663F"/>
    <w:rsid w:val="35B06B1B"/>
    <w:rsid w:val="35B11C97"/>
    <w:rsid w:val="35CF7208"/>
    <w:rsid w:val="35D6027A"/>
    <w:rsid w:val="35F33256"/>
    <w:rsid w:val="361A6815"/>
    <w:rsid w:val="36383A59"/>
    <w:rsid w:val="363B7ECE"/>
    <w:rsid w:val="36536868"/>
    <w:rsid w:val="366104B4"/>
    <w:rsid w:val="36794FEB"/>
    <w:rsid w:val="367C5A22"/>
    <w:rsid w:val="36E0506A"/>
    <w:rsid w:val="373012F4"/>
    <w:rsid w:val="379972EB"/>
    <w:rsid w:val="37BC7885"/>
    <w:rsid w:val="37E62B54"/>
    <w:rsid w:val="37F72840"/>
    <w:rsid w:val="382637DF"/>
    <w:rsid w:val="388347F8"/>
    <w:rsid w:val="38A55CAD"/>
    <w:rsid w:val="38CE1072"/>
    <w:rsid w:val="39036B16"/>
    <w:rsid w:val="39176ED1"/>
    <w:rsid w:val="392B163F"/>
    <w:rsid w:val="39316B6F"/>
    <w:rsid w:val="393D67A4"/>
    <w:rsid w:val="393D7402"/>
    <w:rsid w:val="39A43EC8"/>
    <w:rsid w:val="3A2B56DB"/>
    <w:rsid w:val="3A9458F0"/>
    <w:rsid w:val="3AE20C45"/>
    <w:rsid w:val="3B4C4F53"/>
    <w:rsid w:val="3B590526"/>
    <w:rsid w:val="3B88196D"/>
    <w:rsid w:val="3C3F6D1B"/>
    <w:rsid w:val="3C6B72FC"/>
    <w:rsid w:val="3CAA4EBE"/>
    <w:rsid w:val="3CC571DC"/>
    <w:rsid w:val="3CD6463A"/>
    <w:rsid w:val="3D2A6DD5"/>
    <w:rsid w:val="3DDA347E"/>
    <w:rsid w:val="3E060A86"/>
    <w:rsid w:val="3E13630D"/>
    <w:rsid w:val="3E246184"/>
    <w:rsid w:val="3E3B4090"/>
    <w:rsid w:val="3E4D3754"/>
    <w:rsid w:val="3E627F7F"/>
    <w:rsid w:val="3E794309"/>
    <w:rsid w:val="3E834C59"/>
    <w:rsid w:val="3E955D8C"/>
    <w:rsid w:val="3EAA321F"/>
    <w:rsid w:val="3EBE5B70"/>
    <w:rsid w:val="3EDD6ADB"/>
    <w:rsid w:val="3EE95E30"/>
    <w:rsid w:val="3EFA9A93"/>
    <w:rsid w:val="3F17658B"/>
    <w:rsid w:val="3F3F2FD1"/>
    <w:rsid w:val="3F4A4765"/>
    <w:rsid w:val="3FA3241C"/>
    <w:rsid w:val="3FA774CD"/>
    <w:rsid w:val="3FC11D6C"/>
    <w:rsid w:val="3FE43E3F"/>
    <w:rsid w:val="40443970"/>
    <w:rsid w:val="405F1D40"/>
    <w:rsid w:val="4091466E"/>
    <w:rsid w:val="40AD7FCD"/>
    <w:rsid w:val="40BF3481"/>
    <w:rsid w:val="40E51A50"/>
    <w:rsid w:val="411426F1"/>
    <w:rsid w:val="41612C21"/>
    <w:rsid w:val="416C7AA5"/>
    <w:rsid w:val="42176292"/>
    <w:rsid w:val="42316FE8"/>
    <w:rsid w:val="42740124"/>
    <w:rsid w:val="42843878"/>
    <w:rsid w:val="42C523E6"/>
    <w:rsid w:val="42DD4D85"/>
    <w:rsid w:val="42F27732"/>
    <w:rsid w:val="430415FD"/>
    <w:rsid w:val="431D7A9B"/>
    <w:rsid w:val="43284934"/>
    <w:rsid w:val="43454E3E"/>
    <w:rsid w:val="43FC4805"/>
    <w:rsid w:val="443430FD"/>
    <w:rsid w:val="44522D64"/>
    <w:rsid w:val="447273CC"/>
    <w:rsid w:val="44B007EA"/>
    <w:rsid w:val="44DD3026"/>
    <w:rsid w:val="44DE689D"/>
    <w:rsid w:val="44EE4DF6"/>
    <w:rsid w:val="454F096A"/>
    <w:rsid w:val="45642C39"/>
    <w:rsid w:val="45966540"/>
    <w:rsid w:val="45CB6E55"/>
    <w:rsid w:val="46030265"/>
    <w:rsid w:val="460E7B9A"/>
    <w:rsid w:val="465519D4"/>
    <w:rsid w:val="467C6D46"/>
    <w:rsid w:val="468F0C5F"/>
    <w:rsid w:val="46900F0B"/>
    <w:rsid w:val="46E67555"/>
    <w:rsid w:val="46F3617F"/>
    <w:rsid w:val="47154FA2"/>
    <w:rsid w:val="475F0BFC"/>
    <w:rsid w:val="479E7761"/>
    <w:rsid w:val="47BE4580"/>
    <w:rsid w:val="47F10D59"/>
    <w:rsid w:val="48914416"/>
    <w:rsid w:val="48971043"/>
    <w:rsid w:val="48982BC2"/>
    <w:rsid w:val="48DC7D87"/>
    <w:rsid w:val="48E65DFC"/>
    <w:rsid w:val="494C045D"/>
    <w:rsid w:val="49546C07"/>
    <w:rsid w:val="497A5F83"/>
    <w:rsid w:val="49B45E75"/>
    <w:rsid w:val="49FA3D98"/>
    <w:rsid w:val="4A78359F"/>
    <w:rsid w:val="4AD934B2"/>
    <w:rsid w:val="4ADF590D"/>
    <w:rsid w:val="4B355B98"/>
    <w:rsid w:val="4B421B77"/>
    <w:rsid w:val="4B4604C8"/>
    <w:rsid w:val="4B543C4A"/>
    <w:rsid w:val="4B875FC2"/>
    <w:rsid w:val="4BFE6155"/>
    <w:rsid w:val="4C257DA9"/>
    <w:rsid w:val="4C405C93"/>
    <w:rsid w:val="4CC17F19"/>
    <w:rsid w:val="4D2803EE"/>
    <w:rsid w:val="4D3D4B6D"/>
    <w:rsid w:val="4D957D55"/>
    <w:rsid w:val="4DC325AC"/>
    <w:rsid w:val="4DDD22F1"/>
    <w:rsid w:val="4E254DC0"/>
    <w:rsid w:val="4E5E40E2"/>
    <w:rsid w:val="4E6638D1"/>
    <w:rsid w:val="4E695814"/>
    <w:rsid w:val="4EE45B5B"/>
    <w:rsid w:val="4EF504A0"/>
    <w:rsid w:val="4F035B32"/>
    <w:rsid w:val="4F091533"/>
    <w:rsid w:val="4F837118"/>
    <w:rsid w:val="4F8859D5"/>
    <w:rsid w:val="4FD572DE"/>
    <w:rsid w:val="50726341"/>
    <w:rsid w:val="509E480D"/>
    <w:rsid w:val="511873D5"/>
    <w:rsid w:val="512B1201"/>
    <w:rsid w:val="512F1BA1"/>
    <w:rsid w:val="513311A3"/>
    <w:rsid w:val="51672890"/>
    <w:rsid w:val="516C4BBB"/>
    <w:rsid w:val="51801697"/>
    <w:rsid w:val="519F0FB2"/>
    <w:rsid w:val="51CA0B90"/>
    <w:rsid w:val="51CC03B6"/>
    <w:rsid w:val="51CF2128"/>
    <w:rsid w:val="51D1244E"/>
    <w:rsid w:val="522A4BBC"/>
    <w:rsid w:val="52484BE4"/>
    <w:rsid w:val="52A61D58"/>
    <w:rsid w:val="52DB10B0"/>
    <w:rsid w:val="52DF7297"/>
    <w:rsid w:val="52EA530A"/>
    <w:rsid w:val="53067E4B"/>
    <w:rsid w:val="531E6FCF"/>
    <w:rsid w:val="532C190B"/>
    <w:rsid w:val="533E36C1"/>
    <w:rsid w:val="534C36A2"/>
    <w:rsid w:val="53675C3D"/>
    <w:rsid w:val="536F17F8"/>
    <w:rsid w:val="539737F5"/>
    <w:rsid w:val="539E0537"/>
    <w:rsid w:val="53B91C32"/>
    <w:rsid w:val="53BC11CD"/>
    <w:rsid w:val="53C11ADB"/>
    <w:rsid w:val="53F45E2E"/>
    <w:rsid w:val="54444A33"/>
    <w:rsid w:val="54497F8E"/>
    <w:rsid w:val="54800846"/>
    <w:rsid w:val="54C335B4"/>
    <w:rsid w:val="55003BA7"/>
    <w:rsid w:val="556F0EEE"/>
    <w:rsid w:val="558838C4"/>
    <w:rsid w:val="55D63109"/>
    <w:rsid w:val="55E06D1E"/>
    <w:rsid w:val="55FC7EDC"/>
    <w:rsid w:val="56377622"/>
    <w:rsid w:val="566903DB"/>
    <w:rsid w:val="5704228B"/>
    <w:rsid w:val="57417F16"/>
    <w:rsid w:val="576E3D96"/>
    <w:rsid w:val="57C94A15"/>
    <w:rsid w:val="57E841FF"/>
    <w:rsid w:val="5814510D"/>
    <w:rsid w:val="58194BF0"/>
    <w:rsid w:val="5830478B"/>
    <w:rsid w:val="5878353D"/>
    <w:rsid w:val="58CB55AB"/>
    <w:rsid w:val="59394AC9"/>
    <w:rsid w:val="593C3F3B"/>
    <w:rsid w:val="593D7B80"/>
    <w:rsid w:val="593E0534"/>
    <w:rsid w:val="59726015"/>
    <w:rsid w:val="597311E0"/>
    <w:rsid w:val="59961463"/>
    <w:rsid w:val="59B045EA"/>
    <w:rsid w:val="59CD39CF"/>
    <w:rsid w:val="59D85600"/>
    <w:rsid w:val="5A28579B"/>
    <w:rsid w:val="5A2B62DC"/>
    <w:rsid w:val="5A664F0B"/>
    <w:rsid w:val="5A9E6F81"/>
    <w:rsid w:val="5AFC3066"/>
    <w:rsid w:val="5B147698"/>
    <w:rsid w:val="5B2D0D05"/>
    <w:rsid w:val="5C114E21"/>
    <w:rsid w:val="5C314C0A"/>
    <w:rsid w:val="5C935E5D"/>
    <w:rsid w:val="5C965019"/>
    <w:rsid w:val="5C9E72B8"/>
    <w:rsid w:val="5CAF4BB6"/>
    <w:rsid w:val="5CB60F9C"/>
    <w:rsid w:val="5D19142A"/>
    <w:rsid w:val="5D5F7CAB"/>
    <w:rsid w:val="5D853926"/>
    <w:rsid w:val="5DCA244C"/>
    <w:rsid w:val="5EC63E18"/>
    <w:rsid w:val="5ED864A3"/>
    <w:rsid w:val="5F2745D2"/>
    <w:rsid w:val="5F2B0CC9"/>
    <w:rsid w:val="5F4B6ABF"/>
    <w:rsid w:val="5F4D7B94"/>
    <w:rsid w:val="5F551EA0"/>
    <w:rsid w:val="5F642B2D"/>
    <w:rsid w:val="5F6A6981"/>
    <w:rsid w:val="5F7562F6"/>
    <w:rsid w:val="5FFE6779"/>
    <w:rsid w:val="60341DFF"/>
    <w:rsid w:val="60DC2E30"/>
    <w:rsid w:val="60ED7CB0"/>
    <w:rsid w:val="61085B07"/>
    <w:rsid w:val="611524D8"/>
    <w:rsid w:val="611A0A36"/>
    <w:rsid w:val="611C2257"/>
    <w:rsid w:val="61433CEC"/>
    <w:rsid w:val="619316F2"/>
    <w:rsid w:val="61A46B11"/>
    <w:rsid w:val="61C15914"/>
    <w:rsid w:val="61CE1AA8"/>
    <w:rsid w:val="620B5695"/>
    <w:rsid w:val="62791C1D"/>
    <w:rsid w:val="628F213C"/>
    <w:rsid w:val="62AA27E5"/>
    <w:rsid w:val="62AA700A"/>
    <w:rsid w:val="62AF447A"/>
    <w:rsid w:val="62C2339A"/>
    <w:rsid w:val="631A6C44"/>
    <w:rsid w:val="635D2DFC"/>
    <w:rsid w:val="6372143D"/>
    <w:rsid w:val="63B71C1F"/>
    <w:rsid w:val="64246BA0"/>
    <w:rsid w:val="64DC1DD8"/>
    <w:rsid w:val="64EB1013"/>
    <w:rsid w:val="65040CEE"/>
    <w:rsid w:val="652913B7"/>
    <w:rsid w:val="657A018C"/>
    <w:rsid w:val="657A2756"/>
    <w:rsid w:val="658D4186"/>
    <w:rsid w:val="66055541"/>
    <w:rsid w:val="66284277"/>
    <w:rsid w:val="663B79ED"/>
    <w:rsid w:val="66756CCD"/>
    <w:rsid w:val="669623E8"/>
    <w:rsid w:val="66CF7260"/>
    <w:rsid w:val="670C6614"/>
    <w:rsid w:val="674C0958"/>
    <w:rsid w:val="67DF4B4A"/>
    <w:rsid w:val="68021316"/>
    <w:rsid w:val="693B7D5A"/>
    <w:rsid w:val="69DB5440"/>
    <w:rsid w:val="69EA1F07"/>
    <w:rsid w:val="6A1716CD"/>
    <w:rsid w:val="6A361720"/>
    <w:rsid w:val="6A7F7728"/>
    <w:rsid w:val="6A8B746B"/>
    <w:rsid w:val="6A930286"/>
    <w:rsid w:val="6AA96689"/>
    <w:rsid w:val="6AE2113D"/>
    <w:rsid w:val="6AE621F8"/>
    <w:rsid w:val="6B255559"/>
    <w:rsid w:val="6B290387"/>
    <w:rsid w:val="6B3F6587"/>
    <w:rsid w:val="6B3F7A43"/>
    <w:rsid w:val="6B6853BF"/>
    <w:rsid w:val="6B724E0D"/>
    <w:rsid w:val="6B7A6F9D"/>
    <w:rsid w:val="6B9A2BA7"/>
    <w:rsid w:val="6BB41F90"/>
    <w:rsid w:val="6BCC7FEC"/>
    <w:rsid w:val="6BD526E8"/>
    <w:rsid w:val="6CB74E0E"/>
    <w:rsid w:val="6D101A97"/>
    <w:rsid w:val="6D120988"/>
    <w:rsid w:val="6D3A2529"/>
    <w:rsid w:val="6D7279A6"/>
    <w:rsid w:val="6DBC0A07"/>
    <w:rsid w:val="6DFA599B"/>
    <w:rsid w:val="6E0B4764"/>
    <w:rsid w:val="6E4F0551"/>
    <w:rsid w:val="6E5F3786"/>
    <w:rsid w:val="6E6109AC"/>
    <w:rsid w:val="6E88561C"/>
    <w:rsid w:val="6E8E6DE1"/>
    <w:rsid w:val="6EAD396F"/>
    <w:rsid w:val="6ECF23E7"/>
    <w:rsid w:val="6F0531EF"/>
    <w:rsid w:val="6F533D5E"/>
    <w:rsid w:val="6F5A061A"/>
    <w:rsid w:val="6F8F2A4C"/>
    <w:rsid w:val="6FB141B8"/>
    <w:rsid w:val="6FB4606F"/>
    <w:rsid w:val="6FD47923"/>
    <w:rsid w:val="6FF12609"/>
    <w:rsid w:val="70B25EC5"/>
    <w:rsid w:val="70FA11BF"/>
    <w:rsid w:val="71104A7D"/>
    <w:rsid w:val="718F1ADB"/>
    <w:rsid w:val="719B0FB7"/>
    <w:rsid w:val="71A60683"/>
    <w:rsid w:val="720C1380"/>
    <w:rsid w:val="72771168"/>
    <w:rsid w:val="72B669F7"/>
    <w:rsid w:val="732504B0"/>
    <w:rsid w:val="73263829"/>
    <w:rsid w:val="736E0C36"/>
    <w:rsid w:val="74017180"/>
    <w:rsid w:val="74500089"/>
    <w:rsid w:val="74840DBB"/>
    <w:rsid w:val="74A64283"/>
    <w:rsid w:val="74B2579B"/>
    <w:rsid w:val="759639E9"/>
    <w:rsid w:val="75C0301A"/>
    <w:rsid w:val="75C54CF1"/>
    <w:rsid w:val="75F536B5"/>
    <w:rsid w:val="75F808EC"/>
    <w:rsid w:val="76041D9C"/>
    <w:rsid w:val="76562973"/>
    <w:rsid w:val="76726029"/>
    <w:rsid w:val="76873B30"/>
    <w:rsid w:val="76BF00FD"/>
    <w:rsid w:val="76E33B3A"/>
    <w:rsid w:val="76EB6BE0"/>
    <w:rsid w:val="772464AD"/>
    <w:rsid w:val="775816F4"/>
    <w:rsid w:val="775E4D94"/>
    <w:rsid w:val="777C610E"/>
    <w:rsid w:val="77CA5003"/>
    <w:rsid w:val="77CD3635"/>
    <w:rsid w:val="77F85EF4"/>
    <w:rsid w:val="7849685A"/>
    <w:rsid w:val="786104F7"/>
    <w:rsid w:val="7864486B"/>
    <w:rsid w:val="78820DD5"/>
    <w:rsid w:val="78CC70F6"/>
    <w:rsid w:val="78F85F27"/>
    <w:rsid w:val="79215F6E"/>
    <w:rsid w:val="7952062B"/>
    <w:rsid w:val="7990254D"/>
    <w:rsid w:val="79DA536E"/>
    <w:rsid w:val="7A286032"/>
    <w:rsid w:val="7A56441B"/>
    <w:rsid w:val="7A6C44B9"/>
    <w:rsid w:val="7A8A0B42"/>
    <w:rsid w:val="7AE03764"/>
    <w:rsid w:val="7AE50C34"/>
    <w:rsid w:val="7AEA54F7"/>
    <w:rsid w:val="7B084945"/>
    <w:rsid w:val="7B116FB3"/>
    <w:rsid w:val="7B3D1BDC"/>
    <w:rsid w:val="7BD607D9"/>
    <w:rsid w:val="7C271368"/>
    <w:rsid w:val="7C63789C"/>
    <w:rsid w:val="7C741233"/>
    <w:rsid w:val="7C7C06AC"/>
    <w:rsid w:val="7C7F6A63"/>
    <w:rsid w:val="7CAE2663"/>
    <w:rsid w:val="7CB77449"/>
    <w:rsid w:val="7CDC17EB"/>
    <w:rsid w:val="7D803980"/>
    <w:rsid w:val="7DAF4191"/>
    <w:rsid w:val="7DB33914"/>
    <w:rsid w:val="7DC2092F"/>
    <w:rsid w:val="7DDA6B48"/>
    <w:rsid w:val="7DE96304"/>
    <w:rsid w:val="7DEE219C"/>
    <w:rsid w:val="7E0125AA"/>
    <w:rsid w:val="7E5C6C62"/>
    <w:rsid w:val="7E7B66F0"/>
    <w:rsid w:val="7EC21628"/>
    <w:rsid w:val="7EE17AB0"/>
    <w:rsid w:val="7F1717BA"/>
    <w:rsid w:val="7F431079"/>
    <w:rsid w:val="7F4C44DC"/>
    <w:rsid w:val="7F5830CF"/>
    <w:rsid w:val="7F5C54C3"/>
    <w:rsid w:val="7F6D0B47"/>
    <w:rsid w:val="7F817C06"/>
    <w:rsid w:val="7F8C2C66"/>
    <w:rsid w:val="7FF33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3">
    <w:name w:val="heading 2"/>
    <w:basedOn w:val="1"/>
    <w:next w:val="1"/>
    <w:qFormat/>
    <w:uiPriority w:val="9"/>
    <w:pPr>
      <w:keepNext/>
      <w:keepLines/>
      <w:outlineLvl w:val="1"/>
    </w:pPr>
    <w:rPr>
      <w:rFonts w:ascii="Arial" w:hAnsi="Arial" w:eastAsia="黑体"/>
      <w:sz w:val="28"/>
      <w:szCs w:val="32"/>
    </w:rPr>
  </w:style>
  <w:style w:type="paragraph" w:styleId="4">
    <w:name w:val="heading 3"/>
    <w:basedOn w:val="1"/>
    <w:next w:val="1"/>
    <w:unhideWhenUsed/>
    <w:qFormat/>
    <w:uiPriority w:val="0"/>
    <w:pPr>
      <w:keepNext/>
      <w:keepLines/>
      <w:spacing w:before="200" w:after="200" w:line="360" w:lineRule="auto"/>
      <w:jc w:val="left"/>
      <w:outlineLvl w:val="2"/>
    </w:pPr>
    <w:rPr>
      <w:b/>
      <w:bCs/>
      <w:color w:val="000000"/>
      <w:sz w:val="32"/>
      <w:szCs w:val="32"/>
    </w:rPr>
  </w:style>
  <w:style w:type="paragraph" w:styleId="5">
    <w:name w:val="heading 4"/>
    <w:basedOn w:val="1"/>
    <w:next w:val="1"/>
    <w:unhideWhenUsed/>
    <w:qFormat/>
    <w:uiPriority w:val="9"/>
    <w:pPr>
      <w:keepNext/>
      <w:keepLines/>
      <w:spacing w:before="200" w:after="200" w:line="360" w:lineRule="auto"/>
      <w:jc w:val="left"/>
      <w:outlineLvl w:val="3"/>
    </w:pPr>
    <w:rPr>
      <w:rFonts w:asciiTheme="majorHAnsi" w:hAnsiTheme="majorHAnsi" w:eastAsiaTheme="majorEastAsia" w:cstheme="majorBidi"/>
      <w:b/>
      <w:bCs/>
      <w:color w:val="00000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360" w:lineRule="auto"/>
    </w:pPr>
  </w:style>
  <w:style w:type="paragraph" w:styleId="7">
    <w:name w:val="annotation text"/>
    <w:basedOn w:val="1"/>
    <w:link w:val="55"/>
    <w:qFormat/>
    <w:uiPriority w:val="0"/>
    <w:pPr>
      <w:jc w:val="left"/>
    </w:pPr>
  </w:style>
  <w:style w:type="paragraph" w:styleId="8">
    <w:name w:val="List Bullet 3"/>
    <w:basedOn w:val="1"/>
    <w:qFormat/>
    <w:uiPriority w:val="0"/>
    <w:pPr>
      <w:numPr>
        <w:ilvl w:val="0"/>
        <w:numId w:val="1"/>
      </w:numPr>
    </w:pPr>
  </w:style>
  <w:style w:type="paragraph" w:styleId="9">
    <w:name w:val="Body Text"/>
    <w:basedOn w:val="1"/>
    <w:next w:val="10"/>
    <w:qFormat/>
    <w:uiPriority w:val="0"/>
    <w:pPr>
      <w:widowControl/>
      <w:jc w:val="left"/>
    </w:pPr>
    <w:rPr>
      <w:rFonts w:ascii="宋体" w:hAnsi="宋体"/>
      <w:b/>
      <w:bCs/>
      <w:sz w:val="24"/>
    </w:rPr>
  </w:style>
  <w:style w:type="paragraph" w:styleId="10">
    <w:name w:val="Date"/>
    <w:basedOn w:val="1"/>
    <w:next w:val="1"/>
    <w:qFormat/>
    <w:uiPriority w:val="99"/>
    <w:pPr>
      <w:ind w:left="100" w:leftChars="2500"/>
    </w:pPr>
    <w:rPr>
      <w:kern w:val="0"/>
      <w:sz w:val="24"/>
      <w:szCs w:val="24"/>
    </w:rPr>
  </w:style>
  <w:style w:type="paragraph" w:styleId="11">
    <w:name w:val="Plain Text"/>
    <w:basedOn w:val="1"/>
    <w:link w:val="70"/>
    <w:qFormat/>
    <w:uiPriority w:val="0"/>
    <w:rPr>
      <w:rFonts w:ascii="宋体" w:hAnsi="Courier New"/>
    </w:r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32"/>
    <w:qFormat/>
    <w:uiPriority w:val="0"/>
    <w:rPr>
      <w:sz w:val="18"/>
      <w:szCs w:val="18"/>
    </w:rPr>
  </w:style>
  <w:style w:type="paragraph" w:styleId="14">
    <w:name w:val="footer"/>
    <w:basedOn w:val="1"/>
    <w:next w:val="1"/>
    <w:qFormat/>
    <w:uiPriority w:val="0"/>
    <w:rPr>
      <w:sz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2"/>
    <w:basedOn w:val="1"/>
    <w:qFormat/>
    <w:uiPriority w:val="0"/>
    <w:pPr>
      <w:spacing w:after="120" w:line="480" w:lineRule="auto"/>
    </w:pPr>
  </w:style>
  <w:style w:type="paragraph" w:styleId="18">
    <w:name w:val="Normal (Web)"/>
    <w:basedOn w:val="1"/>
    <w:qFormat/>
    <w:uiPriority w:val="0"/>
    <w:rPr>
      <w:sz w:val="24"/>
    </w:rPr>
  </w:style>
  <w:style w:type="paragraph" w:styleId="19">
    <w:name w:val="annotation subject"/>
    <w:basedOn w:val="7"/>
    <w:next w:val="7"/>
    <w:link w:val="56"/>
    <w:qFormat/>
    <w:uiPriority w:val="0"/>
    <w:rPr>
      <w:b/>
      <w:bCs/>
    </w:rPr>
  </w:style>
  <w:style w:type="paragraph" w:styleId="20">
    <w:name w:val="Body Text First Indent"/>
    <w:basedOn w:val="9"/>
    <w:qFormat/>
    <w:uiPriority w:val="0"/>
    <w:pPr>
      <w:spacing w:line="312" w:lineRule="auto"/>
      <w:ind w:firstLine="420"/>
    </w:pPr>
    <w:rPr>
      <w:rFonts w:ascii="Times New Roman" w:hAnsi="Times New Roman"/>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page number"/>
    <w:basedOn w:val="23"/>
    <w:qFormat/>
    <w:uiPriority w:val="0"/>
  </w:style>
  <w:style w:type="character" w:styleId="26">
    <w:name w:val="Hyperlink"/>
    <w:basedOn w:val="23"/>
    <w:unhideWhenUsed/>
    <w:qFormat/>
    <w:uiPriority w:val="99"/>
    <w:rPr>
      <w:color w:val="0000FF"/>
      <w:u w:val="single"/>
    </w:rPr>
  </w:style>
  <w:style w:type="character" w:styleId="27">
    <w:name w:val="annotation reference"/>
    <w:autoRedefine/>
    <w:qFormat/>
    <w:uiPriority w:val="0"/>
    <w:rPr>
      <w:sz w:val="21"/>
      <w:szCs w:val="21"/>
    </w:rPr>
  </w:style>
  <w:style w:type="paragraph" w:customStyle="1" w:styleId="28">
    <w:name w:val="列出段落1"/>
    <w:basedOn w:val="1"/>
    <w:qFormat/>
    <w:uiPriority w:val="0"/>
    <w:pPr>
      <w:ind w:firstLine="420" w:firstLineChars="200"/>
    </w:pPr>
  </w:style>
  <w:style w:type="paragraph" w:customStyle="1" w:styleId="2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Other|1"/>
    <w:basedOn w:val="1"/>
    <w:qFormat/>
    <w:uiPriority w:val="0"/>
    <w:pPr>
      <w:spacing w:line="451" w:lineRule="exact"/>
    </w:pPr>
    <w:rPr>
      <w:rFonts w:ascii="MingLiU" w:hAnsi="MingLiU" w:eastAsia="MingLiU" w:cs="MingLiU"/>
      <w:kern w:val="2"/>
      <w:sz w:val="22"/>
      <w:szCs w:val="22"/>
      <w:lang w:val="zh-TW" w:eastAsia="zh-TW" w:bidi="zh-TW"/>
    </w:rPr>
  </w:style>
  <w:style w:type="character" w:customStyle="1" w:styleId="31">
    <w:name w:val="页眉 字符"/>
    <w:basedOn w:val="23"/>
    <w:link w:val="15"/>
    <w:qFormat/>
    <w:uiPriority w:val="0"/>
    <w:rPr>
      <w:sz w:val="18"/>
      <w:szCs w:val="18"/>
    </w:rPr>
  </w:style>
  <w:style w:type="character" w:customStyle="1" w:styleId="32">
    <w:name w:val="批注框文本 字符"/>
    <w:basedOn w:val="23"/>
    <w:link w:val="13"/>
    <w:qFormat/>
    <w:uiPriority w:val="0"/>
    <w:rPr>
      <w:sz w:val="18"/>
      <w:szCs w:val="18"/>
    </w:rPr>
  </w:style>
  <w:style w:type="paragraph" w:customStyle="1" w:styleId="33">
    <w:name w:val="列出段落2"/>
    <w:basedOn w:val="1"/>
    <w:unhideWhenUsed/>
    <w:qFormat/>
    <w:uiPriority w:val="99"/>
    <w:pPr>
      <w:ind w:firstLine="420" w:firstLineChars="200"/>
    </w:pPr>
  </w:style>
  <w:style w:type="character" w:customStyle="1" w:styleId="34">
    <w:name w:val="font21"/>
    <w:basedOn w:val="23"/>
    <w:qFormat/>
    <w:uiPriority w:val="0"/>
    <w:rPr>
      <w:rFonts w:hint="eastAsia" w:ascii="宋体" w:hAnsi="宋体" w:eastAsia="宋体" w:cs="宋体"/>
      <w:color w:val="000000"/>
      <w:sz w:val="24"/>
      <w:szCs w:val="24"/>
      <w:u w:val="none"/>
    </w:rPr>
  </w:style>
  <w:style w:type="character" w:customStyle="1" w:styleId="35">
    <w:name w:val="font11"/>
    <w:basedOn w:val="23"/>
    <w:qFormat/>
    <w:uiPriority w:val="0"/>
    <w:rPr>
      <w:rFonts w:hint="eastAsia" w:ascii="宋体" w:hAnsi="宋体" w:eastAsia="宋体" w:cs="宋体"/>
      <w:color w:val="000000"/>
      <w:sz w:val="24"/>
      <w:szCs w:val="24"/>
      <w:u w:val="none"/>
      <w:vertAlign w:val="subscript"/>
    </w:rPr>
  </w:style>
  <w:style w:type="paragraph" w:customStyle="1" w:styleId="36">
    <w:name w:val="列出段落3"/>
    <w:basedOn w:val="1"/>
    <w:qFormat/>
    <w:uiPriority w:val="34"/>
    <w:pPr>
      <w:ind w:firstLine="420" w:firstLineChars="200"/>
    </w:pPr>
    <w:rPr>
      <w:rFonts w:ascii="Calibri" w:hAnsi="Calibri"/>
      <w:szCs w:val="22"/>
    </w:rPr>
  </w:style>
  <w:style w:type="paragraph" w:customStyle="1" w:styleId="3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91"/>
    <w:basedOn w:val="23"/>
    <w:qFormat/>
    <w:uiPriority w:val="0"/>
    <w:rPr>
      <w:rFonts w:hint="eastAsia" w:ascii="宋体" w:hAnsi="宋体" w:eastAsia="宋体" w:cs="宋体"/>
      <w:color w:val="000000"/>
      <w:sz w:val="20"/>
      <w:szCs w:val="20"/>
      <w:u w:val="none"/>
    </w:rPr>
  </w:style>
  <w:style w:type="character" w:customStyle="1" w:styleId="39">
    <w:name w:val="font222"/>
    <w:basedOn w:val="23"/>
    <w:qFormat/>
    <w:uiPriority w:val="0"/>
    <w:rPr>
      <w:rFonts w:hint="eastAsia" w:ascii="宋体" w:hAnsi="宋体" w:eastAsia="宋体" w:cs="宋体"/>
      <w:color w:val="000000"/>
      <w:sz w:val="20"/>
      <w:szCs w:val="20"/>
      <w:u w:val="none"/>
      <w:vertAlign w:val="superscript"/>
    </w:rPr>
  </w:style>
  <w:style w:type="character" w:customStyle="1" w:styleId="40">
    <w:name w:val="font101"/>
    <w:basedOn w:val="23"/>
    <w:qFormat/>
    <w:uiPriority w:val="0"/>
    <w:rPr>
      <w:rFonts w:hint="eastAsia" w:ascii="宋体" w:hAnsi="宋体" w:eastAsia="宋体" w:cs="宋体"/>
      <w:color w:val="000000"/>
      <w:sz w:val="20"/>
      <w:szCs w:val="20"/>
      <w:u w:val="none"/>
    </w:rPr>
  </w:style>
  <w:style w:type="character" w:customStyle="1" w:styleId="41">
    <w:name w:val="font151"/>
    <w:basedOn w:val="23"/>
    <w:qFormat/>
    <w:uiPriority w:val="0"/>
    <w:rPr>
      <w:rFonts w:hint="default" w:ascii="Times New Roman" w:hAnsi="Times New Roman" w:cs="Times New Roman"/>
      <w:color w:val="000000"/>
      <w:sz w:val="20"/>
      <w:szCs w:val="20"/>
      <w:u w:val="none"/>
    </w:rPr>
  </w:style>
  <w:style w:type="character" w:customStyle="1" w:styleId="42">
    <w:name w:val="font141"/>
    <w:basedOn w:val="23"/>
    <w:qFormat/>
    <w:uiPriority w:val="0"/>
    <w:rPr>
      <w:rFonts w:hint="eastAsia" w:ascii="宋体" w:hAnsi="宋体" w:eastAsia="宋体" w:cs="宋体"/>
      <w:color w:val="000000"/>
      <w:sz w:val="20"/>
      <w:szCs w:val="20"/>
      <w:u w:val="none"/>
    </w:rPr>
  </w:style>
  <w:style w:type="character" w:customStyle="1" w:styleId="43">
    <w:name w:val="font161"/>
    <w:basedOn w:val="23"/>
    <w:qFormat/>
    <w:uiPriority w:val="0"/>
    <w:rPr>
      <w:rFonts w:hint="eastAsia" w:ascii="宋体" w:hAnsi="宋体" w:eastAsia="宋体" w:cs="宋体"/>
      <w:color w:val="000000"/>
      <w:sz w:val="22"/>
      <w:szCs w:val="22"/>
      <w:u w:val="none"/>
    </w:rPr>
  </w:style>
  <w:style w:type="character" w:customStyle="1" w:styleId="44">
    <w:name w:val="font221"/>
    <w:basedOn w:val="23"/>
    <w:qFormat/>
    <w:uiPriority w:val="0"/>
    <w:rPr>
      <w:rFonts w:hint="eastAsia" w:ascii="宋体" w:hAnsi="宋体" w:eastAsia="宋体" w:cs="宋体"/>
      <w:color w:val="000000"/>
      <w:sz w:val="20"/>
      <w:szCs w:val="20"/>
      <w:u w:val="none"/>
      <w:vertAlign w:val="superscript"/>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71"/>
    <w:basedOn w:val="23"/>
    <w:qFormat/>
    <w:uiPriority w:val="0"/>
    <w:rPr>
      <w:rFonts w:hint="eastAsia" w:ascii="宋体" w:hAnsi="宋体" w:eastAsia="宋体" w:cs="宋体"/>
      <w:color w:val="000000"/>
      <w:sz w:val="20"/>
      <w:szCs w:val="20"/>
      <w:u w:val="none"/>
      <w:vertAlign w:val="superscript"/>
    </w:rPr>
  </w:style>
  <w:style w:type="character" w:customStyle="1" w:styleId="48">
    <w:name w:val="font181"/>
    <w:basedOn w:val="23"/>
    <w:qFormat/>
    <w:uiPriority w:val="0"/>
    <w:rPr>
      <w:rFonts w:hint="default" w:ascii="Times New Roman" w:hAnsi="Times New Roman" w:cs="Times New Roman"/>
      <w:color w:val="000000"/>
      <w:sz w:val="20"/>
      <w:szCs w:val="20"/>
      <w:u w:val="none"/>
    </w:rPr>
  </w:style>
  <w:style w:type="character" w:customStyle="1" w:styleId="49">
    <w:name w:val="font112"/>
    <w:basedOn w:val="23"/>
    <w:qFormat/>
    <w:uiPriority w:val="0"/>
    <w:rPr>
      <w:rFonts w:hint="eastAsia" w:ascii="宋体" w:hAnsi="宋体" w:eastAsia="宋体" w:cs="宋体"/>
      <w:color w:val="000000"/>
      <w:sz w:val="20"/>
      <w:szCs w:val="20"/>
      <w:u w:val="none"/>
    </w:rPr>
  </w:style>
  <w:style w:type="character" w:customStyle="1" w:styleId="50">
    <w:name w:val="font191"/>
    <w:basedOn w:val="23"/>
    <w:qFormat/>
    <w:uiPriority w:val="0"/>
    <w:rPr>
      <w:rFonts w:hint="eastAsia" w:ascii="宋体" w:hAnsi="宋体" w:eastAsia="宋体" w:cs="宋体"/>
      <w:color w:val="000000"/>
      <w:sz w:val="20"/>
      <w:szCs w:val="20"/>
      <w:u w:val="none"/>
      <w:vertAlign w:val="superscript"/>
    </w:rPr>
  </w:style>
  <w:style w:type="paragraph" w:customStyle="1" w:styleId="51">
    <w:name w:val="列表段落1"/>
    <w:basedOn w:val="1"/>
    <w:qFormat/>
    <w:uiPriority w:val="99"/>
    <w:pPr>
      <w:autoSpaceDE w:val="0"/>
      <w:autoSpaceDN w:val="0"/>
      <w:spacing w:before="1"/>
      <w:ind w:left="1468" w:firstLine="480"/>
      <w:jc w:val="left"/>
    </w:pPr>
    <w:rPr>
      <w:rFonts w:ascii="宋体" w:hAnsi="宋体" w:cs="宋体"/>
      <w:sz w:val="22"/>
      <w:szCs w:val="22"/>
      <w:lang w:val="zh-CN" w:bidi="zh-CN"/>
    </w:rPr>
  </w:style>
  <w:style w:type="paragraph" w:customStyle="1" w:styleId="52">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53">
    <w:name w:val="p1pkss0x"/>
    <w:basedOn w:val="1"/>
    <w:qFormat/>
    <w:uiPriority w:val="0"/>
    <w:pPr>
      <w:widowControl/>
      <w:spacing w:before="100" w:beforeAutospacing="1" w:after="100" w:afterAutospacing="1"/>
      <w:jc w:val="left"/>
    </w:pPr>
    <w:rPr>
      <w:rFonts w:ascii="宋体" w:hAnsi="宋体" w:cs="宋体"/>
      <w:sz w:val="24"/>
    </w:rPr>
  </w:style>
  <w:style w:type="paragraph" w:customStyle="1" w:styleId="54">
    <w:name w:val="列表段落2"/>
    <w:basedOn w:val="1"/>
    <w:qFormat/>
    <w:uiPriority w:val="34"/>
    <w:pPr>
      <w:ind w:firstLine="420" w:firstLineChars="200"/>
    </w:pPr>
  </w:style>
  <w:style w:type="character" w:customStyle="1" w:styleId="55">
    <w:name w:val="批注文字 字符"/>
    <w:basedOn w:val="23"/>
    <w:link w:val="7"/>
    <w:qFormat/>
    <w:uiPriority w:val="0"/>
    <w:rPr>
      <w:sz w:val="21"/>
    </w:rPr>
  </w:style>
  <w:style w:type="character" w:customStyle="1" w:styleId="56">
    <w:name w:val="批注主题 字符"/>
    <w:basedOn w:val="55"/>
    <w:link w:val="19"/>
    <w:qFormat/>
    <w:uiPriority w:val="0"/>
    <w:rPr>
      <w:b/>
      <w:bCs/>
      <w:sz w:val="21"/>
    </w:rPr>
  </w:style>
  <w:style w:type="paragraph" w:styleId="57">
    <w:name w:val="List Paragraph"/>
    <w:basedOn w:val="1"/>
    <w:qFormat/>
    <w:uiPriority w:val="34"/>
    <w:pPr>
      <w:ind w:firstLine="420" w:firstLineChars="200"/>
    </w:pPr>
  </w:style>
  <w:style w:type="paragraph" w:customStyle="1" w:styleId="58">
    <w:name w:val="00标题"/>
    <w:basedOn w:val="1"/>
    <w:qFormat/>
    <w:uiPriority w:val="0"/>
    <w:pPr>
      <w:numPr>
        <w:ilvl w:val="0"/>
        <w:numId w:val="2"/>
      </w:numPr>
      <w:spacing w:line="440" w:lineRule="exact"/>
    </w:pPr>
    <w:rPr>
      <w:rFonts w:ascii="黑体" w:hAnsi="华文细黑" w:eastAsia="黑体"/>
      <w:sz w:val="24"/>
      <w:szCs w:val="24"/>
    </w:rPr>
  </w:style>
  <w:style w:type="paragraph" w:customStyle="1" w:styleId="59">
    <w:name w:val="00文本"/>
    <w:basedOn w:val="1"/>
    <w:qFormat/>
    <w:uiPriority w:val="0"/>
    <w:pPr>
      <w:spacing w:line="440" w:lineRule="exact"/>
      <w:ind w:firstLine="480"/>
    </w:pPr>
    <w:rPr>
      <w:rFonts w:ascii="宋体" w:hAnsi="华文细黑"/>
      <w:sz w:val="24"/>
      <w:szCs w:val="24"/>
    </w:rPr>
  </w:style>
  <w:style w:type="paragraph" w:customStyle="1" w:styleId="60">
    <w:name w:val="00yckg"/>
    <w:basedOn w:val="59"/>
    <w:qFormat/>
    <w:uiPriority w:val="0"/>
    <w:pPr>
      <w:numPr>
        <w:ilvl w:val="0"/>
        <w:numId w:val="3"/>
      </w:numPr>
      <w:ind w:left="709" w:hanging="425"/>
    </w:pPr>
  </w:style>
  <w:style w:type="paragraph" w:customStyle="1" w:styleId="61">
    <w:name w:val="00  Q1"/>
    <w:basedOn w:val="59"/>
    <w:link w:val="62"/>
    <w:qFormat/>
    <w:uiPriority w:val="0"/>
    <w:pPr>
      <w:ind w:left="1276" w:hanging="283"/>
    </w:pPr>
  </w:style>
  <w:style w:type="character" w:customStyle="1" w:styleId="62">
    <w:name w:val="00  Q1 字符"/>
    <w:link w:val="61"/>
    <w:qFormat/>
    <w:uiPriority w:val="0"/>
  </w:style>
  <w:style w:type="paragraph" w:customStyle="1" w:styleId="63">
    <w:name w:val="00(1)"/>
    <w:basedOn w:val="60"/>
    <w:qFormat/>
    <w:uiPriority w:val="0"/>
    <w:pPr>
      <w:numPr>
        <w:ilvl w:val="0"/>
        <w:numId w:val="4"/>
      </w:numPr>
      <w:ind w:left="1134" w:hanging="567"/>
    </w:p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5">
    <w:name w:val="font51"/>
    <w:basedOn w:val="23"/>
    <w:qFormat/>
    <w:uiPriority w:val="0"/>
    <w:rPr>
      <w:rFonts w:hint="eastAsia" w:ascii="宋体" w:hAnsi="宋体" w:eastAsia="宋体" w:cs="宋体"/>
      <w:b/>
      <w:bCs/>
      <w:color w:val="000000"/>
      <w:sz w:val="20"/>
      <w:szCs w:val="20"/>
      <w:u w:val="none"/>
    </w:rPr>
  </w:style>
  <w:style w:type="paragraph" w:customStyle="1" w:styleId="66">
    <w:name w:val="_Style 67"/>
    <w:basedOn w:val="1"/>
    <w:next w:val="1"/>
    <w:qFormat/>
    <w:uiPriority w:val="0"/>
    <w:pPr>
      <w:ind w:left="840" w:leftChars="400"/>
    </w:p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正文文本样式"/>
    <w:basedOn w:val="1"/>
    <w:qFormat/>
    <w:uiPriority w:val="0"/>
    <w:pPr>
      <w:spacing w:line="360" w:lineRule="auto"/>
      <w:ind w:firstLine="482"/>
    </w:pPr>
    <w:rPr>
      <w:rFonts w:cs="宋体"/>
      <w:sz w:val="24"/>
    </w:rPr>
  </w:style>
  <w:style w:type="paragraph" w:customStyle="1" w:styleId="69">
    <w:name w:val="p0"/>
    <w:basedOn w:val="1"/>
    <w:qFormat/>
    <w:uiPriority w:val="0"/>
    <w:pPr>
      <w:widowControl/>
    </w:pPr>
    <w:rPr>
      <w:szCs w:val="21"/>
    </w:rPr>
  </w:style>
  <w:style w:type="character" w:customStyle="1" w:styleId="70">
    <w:name w:val="纯文本 字符"/>
    <w:link w:val="11"/>
    <w:qFormat/>
    <w:uiPriority w:val="99"/>
    <w:rPr>
      <w:rFonts w:ascii="宋体" w:hAnsi="Courier New"/>
    </w:rPr>
  </w:style>
  <w:style w:type="character" w:customStyle="1" w:styleId="71">
    <w:name w:val="font31"/>
    <w:basedOn w:val="23"/>
    <w:qFormat/>
    <w:uiPriority w:val="0"/>
    <w:rPr>
      <w:rFonts w:hint="default" w:ascii="Times New Roman" w:hAnsi="Times New Roman" w:cs="Times New Roman"/>
      <w:color w:val="000000"/>
      <w:sz w:val="28"/>
      <w:szCs w:val="28"/>
      <w:u w:val="none"/>
      <w:vertAlign w:val="subscript"/>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paragraph" w:customStyle="1" w:styleId="73">
    <w:name w:val="样式 标题 3 + (中文) 黑体 小四 非加粗 段前: 7.8 磅 段后: 0 磅 行距: 固定值 20 磅"/>
    <w:basedOn w:val="4"/>
    <w:qFormat/>
    <w:uiPriority w:val="0"/>
    <w:pPr>
      <w:tabs>
        <w:tab w:val="left" w:pos="851"/>
      </w:tabs>
      <w:spacing w:before="0" w:after="0" w:line="400" w:lineRule="exact"/>
    </w:pPr>
    <w:rPr>
      <w:rFonts w:eastAsia="黑体"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18</Pages>
  <Words>10436</Words>
  <Characters>11361</Characters>
  <Lines>143</Lines>
  <Paragraphs>40</Paragraphs>
  <TotalTime>31</TotalTime>
  <ScaleCrop>false</ScaleCrop>
  <LinksUpToDate>false</LinksUpToDate>
  <CharactersWithSpaces>11627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2023-05-30T02:19:00Z</dcterms:created>
  <dc:creator>Administrator.PC-20151222GRIG</dc:creator>
  <cp:lastModifiedBy>Miss.D</cp:lastModifiedBy>
  <cp:lastPrinted>2023-09-20T09:02:00Z</cp:lastPrinted>
  <dcterms:modified xsi:type="dcterms:W3CDTF">2025-08-05T13:15:05Z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EA0EC552738B4F0DB725B1BF8C1A331E_13</vt:lpwstr>
  </property>
  <property fmtid="{D5CDD505-2E9C-101B-9397-08002B2CF9AE}" pid="4" name="KSOTemplateDocerSaveRecord">
    <vt:lpwstr>eyJoZGlkIjoiYWQ3MTUwMjVkODQ4YzU3NDBkYTI5MmZiZGMzYTY5NWUiLCJ1c2VySWQiOiIzNzI4MTQ4MDAifQ==</vt:lpwstr>
  </property>
</Properties>
</file>