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DB4BB">
      <w:pPr>
        <w:adjustRightInd w:val="0"/>
        <w:snapToGrid w:val="0"/>
        <w:ind w:firstLine="22" w:firstLineChars="4"/>
        <w:jc w:val="center"/>
        <w:rPr>
          <w:rFonts w:hint="eastAsia" w:ascii="宋体" w:hAnsi="宋体" w:eastAsia="宋体" w:cs="宋体"/>
          <w:b/>
          <w:bCs/>
          <w:sz w:val="56"/>
          <w:szCs w:val="56"/>
          <w:lang w:val="en-US" w:eastAsia="zh-CN"/>
        </w:rPr>
      </w:pPr>
    </w:p>
    <w:p w14:paraId="07555CA0">
      <w:pPr>
        <w:pStyle w:val="86"/>
        <w:rPr>
          <w:rFonts w:hint="eastAsia" w:ascii="宋体" w:hAnsi="宋体" w:eastAsia="宋体" w:cs="宋体"/>
          <w:b/>
          <w:bCs/>
          <w:sz w:val="56"/>
          <w:szCs w:val="56"/>
          <w:lang w:val="en-US" w:eastAsia="zh-CN"/>
        </w:rPr>
      </w:pPr>
    </w:p>
    <w:p w14:paraId="01FD3708">
      <w:pPr>
        <w:pStyle w:val="86"/>
        <w:rPr>
          <w:rFonts w:hint="eastAsia" w:ascii="宋体" w:hAnsi="宋体" w:eastAsia="宋体" w:cs="宋体"/>
          <w:b/>
          <w:bCs/>
          <w:sz w:val="56"/>
          <w:szCs w:val="56"/>
          <w:lang w:val="en-US" w:eastAsia="zh-CN"/>
        </w:rPr>
      </w:pPr>
    </w:p>
    <w:p w14:paraId="49D36C7D">
      <w:pPr>
        <w:pStyle w:val="86"/>
        <w:ind w:left="0" w:leftChars="0" w:firstLine="0" w:firstLineChars="0"/>
        <w:rPr>
          <w:rFonts w:hint="eastAsia" w:ascii="宋体" w:hAnsi="宋体" w:eastAsia="宋体" w:cs="宋体"/>
          <w:b/>
          <w:bCs/>
          <w:sz w:val="56"/>
          <w:szCs w:val="56"/>
          <w:lang w:val="en-US" w:eastAsia="zh-CN"/>
        </w:rPr>
      </w:pPr>
    </w:p>
    <w:p w14:paraId="75760B49">
      <w:pPr>
        <w:pStyle w:val="86"/>
        <w:ind w:left="0" w:leftChars="0" w:firstLine="0" w:firstLineChars="0"/>
        <w:rPr>
          <w:rFonts w:hint="eastAsia" w:ascii="宋体" w:hAnsi="宋体" w:eastAsia="宋体" w:cs="宋体"/>
          <w:b/>
          <w:bCs/>
          <w:sz w:val="44"/>
          <w:szCs w:val="44"/>
          <w:lang w:val="en-US" w:eastAsia="zh-CN"/>
        </w:rPr>
      </w:pPr>
    </w:p>
    <w:p w14:paraId="7153E791">
      <w:pPr>
        <w:widowControl w:val="0"/>
        <w:bidi w:val="0"/>
        <w:adjustRightInd/>
        <w:snapToGrid/>
        <w:spacing w:before="100" w:beforeAutospacing="1" w:after="100" w:afterAutospacing="1" w:line="360" w:lineRule="auto"/>
        <w:ind w:firstLine="0" w:firstLineChars="0"/>
        <w:jc w:val="center"/>
        <w:textAlignment w:val="auto"/>
        <w:rPr>
          <w:rFonts w:hint="eastAsia" w:cs="宋体"/>
          <w:b/>
          <w:bCs/>
          <w:color w:val="080F17"/>
          <w:kern w:val="2"/>
          <w:sz w:val="40"/>
          <w:szCs w:val="40"/>
          <w:lang w:val="en-US" w:eastAsia="zh-CN"/>
        </w:rPr>
      </w:pPr>
      <w:r>
        <w:rPr>
          <w:rFonts w:hint="eastAsia" w:ascii="宋体" w:hAnsi="宋体" w:eastAsia="宋体" w:cs="宋体"/>
          <w:b/>
          <w:bCs/>
          <w:color w:val="080F17"/>
          <w:kern w:val="2"/>
          <w:sz w:val="40"/>
          <w:szCs w:val="40"/>
          <w:lang w:val="en-US" w:eastAsia="zh-CN"/>
        </w:rPr>
        <w:t>AI智培慧练产品支撑服务项目</w:t>
      </w:r>
    </w:p>
    <w:p w14:paraId="13A7323C">
      <w:pPr>
        <w:widowControl w:val="0"/>
        <w:bidi w:val="0"/>
        <w:adjustRightInd/>
        <w:snapToGrid/>
        <w:spacing w:before="100" w:beforeAutospacing="1" w:after="100" w:afterAutospacing="1" w:line="360" w:lineRule="auto"/>
        <w:ind w:firstLine="0" w:firstLineChars="0"/>
        <w:jc w:val="center"/>
        <w:textAlignment w:val="auto"/>
        <w:rPr>
          <w:rFonts w:hint="eastAsia" w:ascii="宋体" w:hAnsi="宋体" w:eastAsia="宋体" w:cs="宋体"/>
          <w:b/>
          <w:bCs/>
          <w:color w:val="080F17"/>
          <w:kern w:val="2"/>
          <w:sz w:val="40"/>
          <w:szCs w:val="40"/>
          <w:lang w:val="en-US" w:eastAsia="zh-CN"/>
        </w:rPr>
      </w:pPr>
      <w:r>
        <w:rPr>
          <w:rFonts w:hint="eastAsia" w:ascii="宋体" w:hAnsi="宋体" w:eastAsia="宋体" w:cs="宋体"/>
          <w:b/>
          <w:bCs/>
          <w:color w:val="080F17"/>
          <w:kern w:val="2"/>
          <w:sz w:val="40"/>
          <w:szCs w:val="40"/>
          <w:lang w:val="en-US" w:eastAsia="zh-CN"/>
        </w:rPr>
        <w:t>技术规范书</w:t>
      </w:r>
    </w:p>
    <w:p w14:paraId="08FC9FDB">
      <w:pPr>
        <w:rPr>
          <w:rFonts w:hint="eastAsia" w:ascii="宋体" w:hAnsi="宋体" w:eastAsia="宋体" w:cs="宋体"/>
          <w:b/>
          <w:bCs/>
          <w:sz w:val="52"/>
          <w:szCs w:val="52"/>
          <w:lang w:val="en-US" w:eastAsia="zh-CN"/>
        </w:rPr>
      </w:pPr>
    </w:p>
    <w:p w14:paraId="1AE11CF4">
      <w:pPr>
        <w:rPr>
          <w:rFonts w:hint="eastAsia" w:ascii="宋体" w:hAnsi="宋体" w:eastAsia="宋体" w:cs="宋体"/>
        </w:rPr>
      </w:pPr>
      <w:r>
        <w:rPr>
          <w:rFonts w:hint="eastAsia" w:ascii="宋体" w:hAnsi="宋体" w:eastAsia="宋体" w:cs="宋体"/>
        </w:rPr>
        <w:br w:type="page"/>
      </w:r>
    </w:p>
    <w:p w14:paraId="56EAEA6F">
      <w:pPr>
        <w:pStyle w:val="2"/>
        <w:bidi w:val="0"/>
        <w:ind w:left="0" w:leftChars="0" w:firstLine="0" w:firstLineChars="0"/>
        <w:rPr>
          <w:rFonts w:hint="eastAsia" w:ascii="宋体" w:hAnsi="宋体" w:eastAsia="宋体" w:cs="宋体"/>
        </w:rPr>
      </w:pPr>
      <w:bookmarkStart w:id="0" w:name="_Toc19612"/>
      <w:bookmarkStart w:id="1" w:name="_Toc20621"/>
      <w:r>
        <w:rPr>
          <w:rFonts w:hint="eastAsia" w:ascii="宋体" w:hAnsi="宋体" w:eastAsia="宋体" w:cs="宋体"/>
          <w:lang w:val="en-US" w:eastAsia="zh-CN"/>
        </w:rPr>
        <w:t>概述</w:t>
      </w:r>
      <w:bookmarkEnd w:id="0"/>
      <w:bookmarkEnd w:id="1"/>
    </w:p>
    <w:p w14:paraId="26C10C07">
      <w:pPr>
        <w:pStyle w:val="4"/>
        <w:bidi w:val="0"/>
        <w:ind w:left="575" w:leftChars="0" w:hanging="575" w:firstLineChars="0"/>
        <w:rPr>
          <w:rFonts w:hint="eastAsia" w:ascii="宋体" w:hAnsi="宋体" w:eastAsia="宋体" w:cs="宋体"/>
          <w:lang w:val="en-US" w:eastAsia="zh-CN"/>
        </w:rPr>
      </w:pPr>
      <w:r>
        <w:rPr>
          <w:rFonts w:hint="eastAsia" w:ascii="宋体" w:hAnsi="宋体" w:eastAsia="宋体" w:cs="宋体"/>
          <w:lang w:val="en-US" w:eastAsia="zh-CN"/>
        </w:rPr>
        <w:t>定义</w:t>
      </w:r>
    </w:p>
    <w:p w14:paraId="41757707">
      <w:pPr>
        <w:pStyle w:val="105"/>
        <w:rPr>
          <w:rFonts w:hint="eastAsia" w:ascii="宋体" w:hAnsi="宋体" w:eastAsia="宋体" w:cs="宋体"/>
          <w:lang w:val="en-US" w:eastAsia="zh-CN"/>
        </w:rPr>
      </w:pPr>
      <w:r>
        <w:rPr>
          <w:rFonts w:hint="eastAsia" w:ascii="宋体" w:hAnsi="宋体" w:eastAsia="宋体" w:cs="宋体"/>
          <w:lang w:val="en-US" w:eastAsia="zh-CN"/>
        </w:rPr>
        <w:t>本文件为江苏移动信息系统集成有限公司（以下简称需求方）针对</w:t>
      </w:r>
      <w:r>
        <w:rPr>
          <w:rFonts w:hint="eastAsia" w:ascii="宋体" w:hAnsi="宋体" w:eastAsia="宋体" w:cs="宋体"/>
        </w:rPr>
        <w:t>服务提供商（以下简称</w:t>
      </w:r>
      <w:r>
        <w:rPr>
          <w:rFonts w:hint="eastAsia" w:ascii="宋体" w:hAnsi="宋体" w:eastAsia="宋体" w:cs="宋体"/>
          <w:lang w:eastAsia="zh-CN"/>
        </w:rPr>
        <w:t>应答方）</w:t>
      </w:r>
      <w:r>
        <w:rPr>
          <w:rFonts w:hint="eastAsia" w:ascii="宋体" w:hAnsi="宋体" w:eastAsia="宋体" w:cs="宋体"/>
          <w:lang w:val="en-US" w:eastAsia="zh-CN"/>
        </w:rPr>
        <w:t>所提供的AI智培慧练产品支撑服务制定的服务标准。其目的在于有效规范应答方所提供的服务的内容及质量，</w:t>
      </w:r>
      <w:r>
        <w:rPr>
          <w:rFonts w:hint="eastAsia" w:ascii="宋体" w:hAnsi="宋体" w:eastAsia="宋体" w:cs="宋体"/>
        </w:rPr>
        <w:t>供</w:t>
      </w:r>
      <w:r>
        <w:rPr>
          <w:rFonts w:hint="eastAsia" w:ascii="宋体" w:hAnsi="宋体" w:eastAsia="宋体" w:cs="宋体"/>
          <w:lang w:eastAsia="zh-CN"/>
        </w:rPr>
        <w:t>应答方</w:t>
      </w:r>
      <w:r>
        <w:rPr>
          <w:rFonts w:hint="eastAsia" w:ascii="宋体" w:hAnsi="宋体" w:eastAsia="宋体" w:cs="宋体"/>
        </w:rPr>
        <w:t>编写建议书和</w:t>
      </w:r>
      <w:r>
        <w:rPr>
          <w:rFonts w:hint="eastAsia" w:cs="宋体"/>
          <w:color w:val="auto"/>
        </w:rPr>
        <w:t>应答</w:t>
      </w:r>
      <w:r>
        <w:rPr>
          <w:rFonts w:hint="eastAsia" w:ascii="宋体" w:hAnsi="宋体" w:eastAsia="宋体" w:cs="宋体"/>
          <w:lang w:val="en-US" w:eastAsia="zh-CN"/>
        </w:rPr>
        <w:t>入围</w:t>
      </w:r>
      <w:r>
        <w:rPr>
          <w:rFonts w:hint="eastAsia" w:ascii="宋体" w:hAnsi="宋体" w:eastAsia="宋体" w:cs="宋体"/>
        </w:rPr>
        <w:t>之用</w:t>
      </w:r>
      <w:r>
        <w:rPr>
          <w:rFonts w:hint="eastAsia" w:ascii="宋体" w:hAnsi="宋体" w:eastAsia="宋体" w:cs="宋体"/>
          <w:lang w:eastAsia="zh-CN"/>
        </w:rPr>
        <w:t>，</w:t>
      </w:r>
      <w:r>
        <w:rPr>
          <w:rFonts w:hint="eastAsia" w:ascii="宋体" w:hAnsi="宋体" w:eastAsia="宋体" w:cs="宋体"/>
          <w:lang w:val="en-US" w:eastAsia="zh-CN"/>
        </w:rPr>
        <w:t>并作为需求方评价应答方所提供支撑服务的依据，保证需求方更为合理的选择和使用相关服务。</w:t>
      </w:r>
    </w:p>
    <w:p w14:paraId="46AA5C04">
      <w:pPr>
        <w:pStyle w:val="105"/>
        <w:rPr>
          <w:rFonts w:hint="eastAsia" w:ascii="宋体" w:hAnsi="宋体" w:eastAsia="宋体" w:cs="宋体"/>
        </w:rPr>
      </w:pPr>
      <w:r>
        <w:rPr>
          <w:rFonts w:hint="eastAsia" w:ascii="宋体" w:hAnsi="宋体" w:eastAsia="宋体" w:cs="宋体"/>
        </w:rPr>
        <w:t>本规范书与相关规范一起将作为本项目服务的技术文件。根据此文件，</w:t>
      </w:r>
      <w:r>
        <w:rPr>
          <w:rFonts w:hint="eastAsia" w:ascii="宋体" w:hAnsi="宋体" w:eastAsia="宋体" w:cs="宋体"/>
          <w:lang w:eastAsia="zh-CN"/>
        </w:rPr>
        <w:t>应答方</w:t>
      </w:r>
      <w:r>
        <w:rPr>
          <w:rFonts w:hint="eastAsia" w:ascii="宋体" w:hAnsi="宋体" w:eastAsia="宋体" w:cs="宋体"/>
        </w:rPr>
        <w:t>应提出具体的技术应答和</w:t>
      </w:r>
      <w:r>
        <w:rPr>
          <w:rFonts w:hint="eastAsia" w:ascii="宋体" w:hAnsi="宋体" w:eastAsia="宋体" w:cs="宋体"/>
          <w:lang w:val="en-US" w:eastAsia="zh-CN"/>
        </w:rPr>
        <w:t>入围方案</w:t>
      </w:r>
      <w:r>
        <w:rPr>
          <w:rFonts w:hint="eastAsia" w:ascii="宋体" w:hAnsi="宋体" w:eastAsia="宋体" w:cs="宋体"/>
        </w:rPr>
        <w:t>。</w:t>
      </w:r>
    </w:p>
    <w:p w14:paraId="26C18537">
      <w:pPr>
        <w:pStyle w:val="105"/>
        <w:rPr>
          <w:rFonts w:hint="eastAsia" w:ascii="宋体" w:hAnsi="宋体" w:eastAsia="宋体" w:cs="宋体"/>
        </w:rPr>
      </w:pPr>
      <w:r>
        <w:rPr>
          <w:rFonts w:hint="eastAsia" w:ascii="宋体" w:hAnsi="宋体" w:eastAsia="宋体" w:cs="宋体"/>
          <w:lang w:eastAsia="zh-CN"/>
        </w:rPr>
        <w:t>应答方</w:t>
      </w:r>
      <w:r>
        <w:rPr>
          <w:rFonts w:hint="eastAsia" w:ascii="宋体" w:hAnsi="宋体" w:eastAsia="宋体" w:cs="宋体"/>
        </w:rPr>
        <w:t>应按照本文件的要求提供详细的系统建设</w:t>
      </w:r>
      <w:r>
        <w:rPr>
          <w:rFonts w:hint="eastAsia" w:ascii="宋体" w:hAnsi="宋体" w:eastAsia="宋体" w:cs="宋体"/>
          <w:lang w:val="en-US" w:eastAsia="zh-CN"/>
        </w:rPr>
        <w:t>和</w:t>
      </w:r>
      <w:r>
        <w:rPr>
          <w:rFonts w:hint="eastAsia" w:ascii="宋体" w:hAnsi="宋体" w:eastAsia="宋体" w:cs="宋体"/>
        </w:rPr>
        <w:t>实施方案。</w:t>
      </w:r>
      <w:r>
        <w:rPr>
          <w:rFonts w:hint="eastAsia" w:ascii="宋体" w:hAnsi="宋体" w:eastAsia="宋体" w:cs="宋体"/>
          <w:lang w:eastAsia="zh-CN"/>
        </w:rPr>
        <w:t>应答方</w:t>
      </w:r>
      <w:r>
        <w:rPr>
          <w:rFonts w:hint="eastAsia" w:ascii="宋体" w:hAnsi="宋体" w:eastAsia="宋体" w:cs="宋体"/>
        </w:rPr>
        <w:t>提供或推荐的各项产品及系统的功能、性能应完全满足</w:t>
      </w:r>
      <w:r>
        <w:rPr>
          <w:rFonts w:hint="eastAsia" w:ascii="宋体" w:hAnsi="宋体" w:eastAsia="宋体" w:cs="宋体"/>
          <w:lang w:eastAsia="zh-CN"/>
        </w:rPr>
        <w:t>需求方</w:t>
      </w:r>
      <w:r>
        <w:rPr>
          <w:rFonts w:hint="eastAsia" w:ascii="宋体" w:hAnsi="宋体" w:eastAsia="宋体" w:cs="宋体"/>
        </w:rPr>
        <w:t>的需求。</w:t>
      </w:r>
    </w:p>
    <w:p w14:paraId="6D40743E">
      <w:pPr>
        <w:pStyle w:val="105"/>
        <w:rPr>
          <w:rFonts w:hint="eastAsia" w:ascii="宋体" w:hAnsi="宋体" w:eastAsia="宋体" w:cs="宋体"/>
        </w:rPr>
      </w:pPr>
      <w:r>
        <w:rPr>
          <w:rFonts w:hint="eastAsia" w:ascii="宋体" w:hAnsi="宋体" w:eastAsia="宋体" w:cs="宋体"/>
          <w:lang w:eastAsia="zh-CN"/>
        </w:rPr>
        <w:t>应答方</w:t>
      </w:r>
      <w:r>
        <w:rPr>
          <w:rFonts w:hint="eastAsia" w:ascii="宋体" w:hAnsi="宋体" w:eastAsia="宋体" w:cs="宋体"/>
        </w:rPr>
        <w:t>应按照本文件的内容进行点对点应答，</w:t>
      </w:r>
      <w:r>
        <w:rPr>
          <w:rFonts w:hint="eastAsia" w:ascii="宋体" w:hAnsi="宋体" w:eastAsia="宋体" w:cs="宋体"/>
          <w:lang w:eastAsia="zh-CN"/>
        </w:rPr>
        <w:t>应答方</w:t>
      </w:r>
      <w:r>
        <w:rPr>
          <w:rFonts w:hint="eastAsia" w:ascii="宋体" w:hAnsi="宋体" w:eastAsia="宋体" w:cs="宋体"/>
        </w:rPr>
        <w:t>不得简单应答满足或直接复制</w:t>
      </w:r>
      <w:r>
        <w:rPr>
          <w:rFonts w:hint="eastAsia" w:ascii="宋体" w:hAnsi="宋体" w:eastAsia="宋体" w:cs="宋体"/>
          <w:lang w:eastAsia="zh-CN"/>
        </w:rPr>
        <w:t>需求方</w:t>
      </w:r>
      <w:r>
        <w:rPr>
          <w:rFonts w:hint="eastAsia" w:ascii="宋体" w:hAnsi="宋体" w:eastAsia="宋体" w:cs="宋体"/>
        </w:rPr>
        <w:t>技术要求，应详细说明在</w:t>
      </w:r>
      <w:r>
        <w:rPr>
          <w:rFonts w:hint="eastAsia" w:ascii="宋体" w:hAnsi="宋体" w:eastAsia="宋体" w:cs="宋体"/>
          <w:lang w:eastAsia="zh-CN"/>
        </w:rPr>
        <w:t>应答方</w:t>
      </w:r>
      <w:r>
        <w:rPr>
          <w:rFonts w:hint="eastAsia" w:ascii="宋体" w:hAnsi="宋体" w:eastAsia="宋体" w:cs="宋体"/>
        </w:rPr>
        <w:t>系统中实现</w:t>
      </w:r>
      <w:r>
        <w:rPr>
          <w:rFonts w:hint="eastAsia" w:ascii="宋体" w:hAnsi="宋体" w:eastAsia="宋体" w:cs="宋体"/>
          <w:lang w:eastAsia="zh-CN"/>
        </w:rPr>
        <w:t>需求方</w:t>
      </w:r>
      <w:r>
        <w:rPr>
          <w:rFonts w:hint="eastAsia" w:ascii="宋体" w:hAnsi="宋体" w:eastAsia="宋体" w:cs="宋体"/>
        </w:rPr>
        <w:t>要求的技术方案、具体功能模块等。</w:t>
      </w:r>
    </w:p>
    <w:p w14:paraId="0BB1D7E7">
      <w:pPr>
        <w:pStyle w:val="4"/>
        <w:bidi w:val="0"/>
        <w:ind w:left="575" w:leftChars="0" w:hanging="575" w:firstLineChars="0"/>
        <w:rPr>
          <w:rFonts w:hint="eastAsia" w:ascii="宋体" w:hAnsi="宋体" w:eastAsia="宋体" w:cs="宋体"/>
        </w:rPr>
      </w:pPr>
      <w:bookmarkStart w:id="2" w:name="_Toc26337"/>
      <w:r>
        <w:rPr>
          <w:rFonts w:hint="eastAsia" w:ascii="宋体" w:hAnsi="宋体" w:eastAsia="宋体" w:cs="宋体"/>
          <w:lang w:val="en-US" w:eastAsia="zh-CN"/>
        </w:rPr>
        <w:t>总体要求</w:t>
      </w:r>
      <w:bookmarkEnd w:id="2"/>
    </w:p>
    <w:p w14:paraId="09C71723">
      <w:pPr>
        <w:pStyle w:val="105"/>
        <w:rPr>
          <w:rFonts w:hint="eastAsia" w:ascii="宋体" w:hAnsi="宋体" w:eastAsia="宋体" w:cs="宋体"/>
          <w:lang w:val="en-US" w:eastAsia="zh-CN"/>
        </w:rPr>
      </w:pPr>
      <w:r>
        <w:rPr>
          <w:rFonts w:hint="eastAsia" w:ascii="宋体" w:hAnsi="宋体" w:eastAsia="宋体" w:cs="宋体"/>
          <w:lang w:val="en-US" w:eastAsia="zh-CN"/>
        </w:rPr>
        <w:t>1、本技术规范书是依据AI</w:t>
      </w:r>
      <w:r>
        <w:rPr>
          <w:rFonts w:hint="eastAsia" w:ascii="宋体" w:hAnsi="宋体" w:eastAsia="宋体" w:cs="宋体"/>
          <w:highlight w:val="none"/>
          <w:lang w:val="en-US" w:eastAsia="zh-CN"/>
        </w:rPr>
        <w:t>智培慧练</w:t>
      </w:r>
      <w:r>
        <w:rPr>
          <w:rFonts w:hint="eastAsia" w:ascii="宋体" w:hAnsi="宋体" w:eastAsia="宋体" w:cs="宋体"/>
          <w:lang w:val="en-US" w:eastAsia="zh-CN"/>
        </w:rPr>
        <w:t>产品支撑服务项目需求编写而成，是智算产品服务的基本技术要求，供应答方编写技术建议书和</w:t>
      </w:r>
      <w:r>
        <w:rPr>
          <w:rFonts w:hint="eastAsia" w:cs="宋体"/>
          <w:color w:val="auto"/>
        </w:rPr>
        <w:t>应答</w:t>
      </w:r>
      <w:r>
        <w:rPr>
          <w:rFonts w:hint="eastAsia" w:ascii="宋体" w:hAnsi="宋体" w:eastAsia="宋体" w:cs="宋体"/>
          <w:lang w:val="en-US" w:eastAsia="zh-CN"/>
        </w:rPr>
        <w:t>入围之用。应答方应认真阅读、理解每一项内的每一点。应答方负责准确计算及列出所需各类资源（人员数量、资质，产品数量、技术指标等）及相应指标，以满足本规范书所列出的各项要求。如果在合同签署后，被发现各类资源配置和技术方案不能达到本技术规范书要求，则应答方负全责重新配置资源、修订方案、重新返工直至达到要求为止。由此而产生一切费用和支出全部由应答方无条件负责承担。由此造成本项目延误，按合同有关条款处罚。</w:t>
      </w:r>
    </w:p>
    <w:p w14:paraId="4AF19B2D">
      <w:pPr>
        <w:pStyle w:val="105"/>
        <w:rPr>
          <w:rFonts w:hint="eastAsia" w:ascii="宋体" w:hAnsi="宋体" w:eastAsia="宋体" w:cs="宋体"/>
          <w:lang w:val="en-US" w:eastAsia="zh-CN"/>
        </w:rPr>
      </w:pPr>
      <w:r>
        <w:rPr>
          <w:rFonts w:hint="eastAsia" w:ascii="宋体" w:hAnsi="宋体" w:eastAsia="宋体" w:cs="宋体"/>
          <w:lang w:val="en-US" w:eastAsia="zh-CN"/>
        </w:rPr>
        <w:t>2、应答方应按照本文件的要求提供入围方案和详细的技术建议。应答方应承诺所提供的服务在性能、技术指标、服务内容等方面满足本技术规范书的要求。对于本文件未规定的有关系统性能，应答方应提出建议，并陈述其理由。</w:t>
      </w:r>
    </w:p>
    <w:p w14:paraId="5811A1C2">
      <w:pPr>
        <w:pStyle w:val="105"/>
        <w:rPr>
          <w:rFonts w:hint="eastAsia" w:ascii="宋体" w:hAnsi="宋体" w:eastAsia="宋体" w:cs="宋体"/>
          <w:lang w:val="en-US" w:eastAsia="zh-CN"/>
        </w:rPr>
      </w:pPr>
      <w:r>
        <w:rPr>
          <w:rFonts w:hint="eastAsia" w:ascii="宋体" w:hAnsi="宋体" w:eastAsia="宋体" w:cs="宋体"/>
          <w:lang w:val="en-US" w:eastAsia="zh-CN"/>
        </w:rPr>
        <w:t>3、本文件提出的具体技术要求如与上述文件及补充规范不一致的地方，以本文件为准。</w:t>
      </w:r>
    </w:p>
    <w:p w14:paraId="5A7F0C5A">
      <w:pPr>
        <w:pStyle w:val="105"/>
        <w:rPr>
          <w:rFonts w:hint="eastAsia" w:ascii="宋体" w:hAnsi="宋体" w:eastAsia="宋体" w:cs="宋体"/>
          <w:lang w:val="en-US" w:eastAsia="zh-CN"/>
        </w:rPr>
      </w:pPr>
      <w:r>
        <w:rPr>
          <w:rFonts w:hint="eastAsia" w:ascii="宋体" w:hAnsi="宋体" w:eastAsia="宋体" w:cs="宋体"/>
          <w:lang w:val="en-US" w:eastAsia="zh-CN"/>
        </w:rPr>
        <w:t>4、当需求方有新建议，而本技术规范书又尚未包括或与本技术规范书不符时，则应符合需求方新建议的要求；对于需求方尚未有标准的，而本技术规范书又未提及的部分，应答方提出其标准，留待需求方认可后执行。</w:t>
      </w:r>
    </w:p>
    <w:p w14:paraId="212AAD43">
      <w:pPr>
        <w:pStyle w:val="105"/>
        <w:rPr>
          <w:rFonts w:hint="eastAsia" w:ascii="宋体" w:hAnsi="宋体" w:eastAsia="宋体" w:cs="宋体"/>
          <w:lang w:val="en-US" w:eastAsia="zh-CN"/>
        </w:rPr>
      </w:pPr>
      <w:r>
        <w:rPr>
          <w:rFonts w:hint="eastAsia" w:ascii="宋体" w:hAnsi="宋体" w:eastAsia="宋体" w:cs="宋体"/>
          <w:lang w:val="en-US" w:eastAsia="zh-CN"/>
        </w:rPr>
        <w:t>5、当应答方的系统中包含自己的专用标准，应在建议书中具体说明，并附上相应的详细资料。</w:t>
      </w:r>
    </w:p>
    <w:p w14:paraId="6642AC98">
      <w:pPr>
        <w:pStyle w:val="105"/>
        <w:rPr>
          <w:rFonts w:hint="eastAsia" w:ascii="宋体" w:hAnsi="宋体" w:eastAsia="宋体" w:cs="宋体"/>
          <w:lang w:val="en-US" w:eastAsia="zh-CN"/>
        </w:rPr>
      </w:pPr>
      <w:r>
        <w:rPr>
          <w:rFonts w:hint="eastAsia" w:ascii="宋体" w:hAnsi="宋体" w:eastAsia="宋体" w:cs="宋体"/>
          <w:lang w:val="en-US" w:eastAsia="zh-CN"/>
        </w:rPr>
        <w:t>6、需求方有权在签定合同前，根据需要修改和补充本技术规范书，修改补充后的最终技术规范书将作为合同的附件。</w:t>
      </w:r>
    </w:p>
    <w:p w14:paraId="64A623DC">
      <w:pPr>
        <w:pStyle w:val="105"/>
        <w:rPr>
          <w:rFonts w:hint="eastAsia" w:ascii="宋体" w:hAnsi="宋体" w:eastAsia="宋体" w:cs="宋体"/>
          <w:lang w:val="en-US" w:eastAsia="zh-CN"/>
        </w:rPr>
      </w:pPr>
      <w:r>
        <w:rPr>
          <w:rFonts w:hint="eastAsia" w:ascii="宋体" w:hAnsi="宋体" w:eastAsia="宋体" w:cs="宋体"/>
          <w:lang w:val="en-US" w:eastAsia="zh-CN"/>
        </w:rPr>
        <w:t>7、本技术规范书应视为保证项目运行所需的最低要求。如有遗漏，应答方应予以补充，否则一旦中标将认为应答方认同遗漏部分并免费提供。</w:t>
      </w:r>
    </w:p>
    <w:p w14:paraId="0658BC29">
      <w:pPr>
        <w:pStyle w:val="105"/>
        <w:rPr>
          <w:rFonts w:hint="eastAsia" w:ascii="宋体" w:hAnsi="宋体" w:eastAsia="宋体" w:cs="宋体"/>
          <w:lang w:val="en-US" w:eastAsia="zh-CN"/>
        </w:rPr>
      </w:pPr>
      <w:r>
        <w:rPr>
          <w:rFonts w:hint="eastAsia" w:ascii="宋体" w:hAnsi="宋体" w:eastAsia="宋体" w:cs="宋体"/>
          <w:lang w:val="en-US" w:eastAsia="zh-CN"/>
        </w:rPr>
        <w:t>8、应答方应答内容应均属实，如其应答为“满足”，但在实际测试、应用中发现其“不满足”或“部分满足”，需求方有权取消其中选资格或解除合同并根据相关规定追究其责任。</w:t>
      </w:r>
    </w:p>
    <w:p w14:paraId="51AAA08F">
      <w:pPr>
        <w:pStyle w:val="105"/>
        <w:rPr>
          <w:rFonts w:hint="eastAsia" w:ascii="宋体" w:hAnsi="宋体" w:eastAsia="宋体" w:cs="宋体"/>
          <w:lang w:val="en-US" w:eastAsia="zh-CN"/>
        </w:rPr>
      </w:pPr>
      <w:r>
        <w:rPr>
          <w:rFonts w:hint="eastAsia" w:ascii="宋体" w:hAnsi="宋体" w:eastAsia="宋体" w:cs="宋体"/>
          <w:lang w:val="en-US" w:eastAsia="zh-CN"/>
        </w:rPr>
        <w:t>9、本技术规范书解释权归江苏移动信息系统集成有限公司。</w:t>
      </w:r>
    </w:p>
    <w:p w14:paraId="2A73BE6C">
      <w:pPr>
        <w:pStyle w:val="4"/>
        <w:bidi w:val="0"/>
        <w:ind w:left="575" w:leftChars="0" w:hanging="575" w:firstLineChars="0"/>
        <w:rPr>
          <w:rFonts w:hint="eastAsia" w:ascii="宋体" w:hAnsi="宋体" w:eastAsia="宋体" w:cs="宋体"/>
          <w:lang w:val="en-US" w:eastAsia="zh-CN"/>
        </w:rPr>
      </w:pPr>
      <w:r>
        <w:rPr>
          <w:rFonts w:hint="eastAsia" w:ascii="宋体" w:hAnsi="宋体" w:eastAsia="宋体" w:cs="宋体"/>
          <w:lang w:val="en-US" w:eastAsia="zh-CN"/>
        </w:rPr>
        <w:t>保密要求</w:t>
      </w:r>
    </w:p>
    <w:p w14:paraId="4863F4BB">
      <w:pPr>
        <w:ind w:firstLine="420" w:firstLineChars="0"/>
        <w:rPr>
          <w:rFonts w:hint="eastAsia" w:ascii="宋体" w:hAnsi="宋体" w:eastAsia="宋体" w:cs="宋体"/>
        </w:rPr>
      </w:pPr>
      <w:r>
        <w:rPr>
          <w:rFonts w:hint="eastAsia" w:ascii="宋体" w:hAnsi="宋体" w:eastAsia="宋体" w:cs="宋体"/>
          <w:lang w:eastAsia="zh-CN"/>
        </w:rPr>
        <w:t>应答方</w:t>
      </w:r>
      <w:r>
        <w:rPr>
          <w:rFonts w:hint="eastAsia" w:ascii="宋体" w:hAnsi="宋体" w:eastAsia="宋体" w:cs="宋体"/>
        </w:rPr>
        <w:t>除以下情况外，非经江苏移动信息系统集成有限公司书面许可，不得将本文件的任何内容透露给除江苏移动信息系统集成有限公司以外的第三方。</w:t>
      </w:r>
    </w:p>
    <w:p w14:paraId="26D8EBBA">
      <w:pPr>
        <w:pStyle w:val="105"/>
        <w:rPr>
          <w:rFonts w:hint="eastAsia" w:ascii="宋体" w:hAnsi="宋体" w:eastAsia="宋体" w:cs="宋体"/>
          <w:lang w:val="en-US" w:eastAsia="zh-CN"/>
        </w:rPr>
      </w:pPr>
      <w:r>
        <w:rPr>
          <w:rFonts w:hint="eastAsia" w:ascii="宋体" w:hAnsi="宋体" w:eastAsia="宋体" w:cs="宋体"/>
        </w:rPr>
        <w:t>经江苏移动信息系统集成有限公司书面许可，</w:t>
      </w:r>
      <w:r>
        <w:rPr>
          <w:rFonts w:hint="eastAsia" w:ascii="宋体" w:hAnsi="宋体" w:eastAsia="宋体" w:cs="宋体"/>
          <w:lang w:eastAsia="zh-CN"/>
        </w:rPr>
        <w:t>应答方</w:t>
      </w:r>
      <w:r>
        <w:rPr>
          <w:rFonts w:hint="eastAsia" w:ascii="宋体" w:hAnsi="宋体" w:eastAsia="宋体" w:cs="宋体"/>
        </w:rPr>
        <w:t>才允许将本文透露给其合作伙伴，并保证其合作伙伴不将本文透露给其它人。</w:t>
      </w:r>
    </w:p>
    <w:p w14:paraId="1B618088">
      <w:pPr>
        <w:pStyle w:val="2"/>
        <w:bidi w:val="0"/>
        <w:ind w:left="432" w:leftChars="0" w:hanging="432" w:firstLineChars="0"/>
        <w:rPr>
          <w:rFonts w:hint="eastAsia" w:ascii="宋体" w:hAnsi="宋体" w:eastAsia="宋体" w:cs="宋体"/>
        </w:rPr>
      </w:pPr>
      <w:bookmarkStart w:id="3" w:name="_Toc23599"/>
      <w:bookmarkStart w:id="4" w:name="_Toc14184"/>
      <w:r>
        <w:rPr>
          <w:rFonts w:hint="eastAsia" w:ascii="宋体" w:hAnsi="宋体" w:eastAsia="宋体" w:cs="宋体"/>
        </w:rPr>
        <w:t>项目背景</w:t>
      </w:r>
      <w:bookmarkEnd w:id="3"/>
      <w:bookmarkEnd w:id="4"/>
    </w:p>
    <w:p w14:paraId="79019388">
      <w:pPr>
        <w:pStyle w:val="105"/>
        <w:rPr>
          <w:rFonts w:hint="eastAsia" w:ascii="宋体" w:hAnsi="宋体" w:eastAsia="宋体" w:cs="宋体"/>
          <w:lang w:val="zh-CN" w:eastAsia="zh-CN"/>
        </w:rPr>
      </w:pPr>
      <w:r>
        <w:rPr>
          <w:rFonts w:hint="eastAsia" w:ascii="宋体" w:hAnsi="宋体" w:eastAsia="宋体" w:cs="宋体"/>
        </w:rPr>
        <w:t>随着数字化转型的不断推进，</w:t>
      </w:r>
      <w:r>
        <w:rPr>
          <w:rFonts w:hint="eastAsia" w:ascii="宋体" w:hAnsi="宋体" w:eastAsia="宋体" w:cs="宋体"/>
          <w:lang w:val="en-US" w:eastAsia="zh-CN"/>
        </w:rPr>
        <w:t>同时</w:t>
      </w:r>
      <w:r>
        <w:rPr>
          <w:rFonts w:hint="eastAsia" w:ascii="宋体" w:hAnsi="宋体" w:eastAsia="宋体" w:cs="宋体"/>
          <w:lang w:val="zh-CN" w:eastAsia="zh-CN"/>
        </w:rPr>
        <w:t>响应国家政策号召，致力于推进“AI+”产业发展，以培育新质生产力为目标。计划加大投资力度，从内部应用开始试验</w:t>
      </w:r>
      <w:r>
        <w:rPr>
          <w:rFonts w:hint="eastAsia" w:ascii="宋体" w:hAnsi="宋体" w:eastAsia="宋体" w:cs="宋体"/>
          <w:lang w:val="en-US" w:eastAsia="zh-CN"/>
        </w:rPr>
        <w:t>智培慧练</w:t>
      </w:r>
      <w:r>
        <w:rPr>
          <w:rFonts w:hint="eastAsia" w:ascii="宋体" w:hAnsi="宋体" w:eastAsia="宋体" w:cs="宋体"/>
          <w:lang w:val="zh-CN" w:eastAsia="zh-CN"/>
        </w:rPr>
        <w:t>的功能，再逐步推广到外部市场。由内而外的推广策略既符合</w:t>
      </w:r>
      <w:r>
        <w:rPr>
          <w:rFonts w:hint="eastAsia" w:ascii="宋体" w:hAnsi="宋体" w:eastAsia="宋体" w:cs="宋体"/>
          <w:lang w:val="en-US" w:eastAsia="zh-CN"/>
        </w:rPr>
        <w:t>集团</w:t>
      </w:r>
      <w:r>
        <w:rPr>
          <w:rFonts w:hint="eastAsia" w:ascii="宋体" w:hAnsi="宋体" w:eastAsia="宋体" w:cs="宋体"/>
          <w:lang w:val="zh-CN" w:eastAsia="zh-CN"/>
        </w:rPr>
        <w:t>于AI技术发展的战略定位，也体现以客户为中心的服务理念。</w:t>
      </w:r>
    </w:p>
    <w:p w14:paraId="65098775">
      <w:pPr>
        <w:pStyle w:val="105"/>
        <w:rPr>
          <w:rFonts w:hint="eastAsia" w:ascii="宋体" w:hAnsi="宋体" w:eastAsia="宋体" w:cs="宋体"/>
          <w:lang w:val="zh-CN" w:eastAsia="zh-CN"/>
        </w:rPr>
      </w:pPr>
      <w:r>
        <w:rPr>
          <w:rFonts w:hint="eastAsia" w:ascii="宋体" w:hAnsi="宋体" w:eastAsia="宋体" w:cs="宋体"/>
          <w:lang w:val="zh-CN" w:eastAsia="zh-CN"/>
        </w:rPr>
        <w:t>为了更好地服务于广大用户，</w:t>
      </w:r>
      <w:r>
        <w:rPr>
          <w:rFonts w:hint="eastAsia" w:ascii="宋体" w:hAnsi="宋体" w:eastAsia="宋体" w:cs="宋体"/>
          <w:lang w:val="en-US" w:eastAsia="zh-CN"/>
        </w:rPr>
        <w:t>智培慧练软件</w:t>
      </w:r>
      <w:r>
        <w:rPr>
          <w:rFonts w:hint="eastAsia" w:ascii="宋体" w:hAnsi="宋体" w:eastAsia="宋体" w:cs="宋体"/>
          <w:lang w:val="zh-CN" w:eastAsia="zh-CN"/>
        </w:rPr>
        <w:t>将结合客户经理、网格经理及网络运维人员的实际工作场景，提供定制化的服务，从简单到复杂，分阶段建设，以尽快形成解决方案并付诸实施。</w:t>
      </w:r>
    </w:p>
    <w:p w14:paraId="7EF7F8C0">
      <w:pPr>
        <w:pStyle w:val="105"/>
        <w:rPr>
          <w:rFonts w:hint="eastAsia" w:ascii="宋体" w:hAnsi="宋体" w:eastAsia="宋体" w:cs="宋体"/>
          <w:lang w:val="en-US" w:eastAsia="zh-CN"/>
        </w:rPr>
      </w:pPr>
      <w:r>
        <w:rPr>
          <w:rFonts w:hint="eastAsia" w:ascii="宋体" w:hAnsi="宋体" w:eastAsia="宋体" w:cs="宋体"/>
          <w:lang w:val="en-US" w:eastAsia="zh-CN"/>
        </w:rPr>
        <w:t>智培慧练应用建设项目不仅符合政策导向和战略需求，还能够满足业务需求和服务提升的要求。依托先进的技术支撑和创新驱动，该项目将为企业的业务模式创新提供强有力的技术支撑，推企业乃至整个社会向着更加智能化的方向发展。</w:t>
      </w:r>
    </w:p>
    <w:p w14:paraId="663B3625">
      <w:pPr>
        <w:pStyle w:val="105"/>
        <w:rPr>
          <w:rFonts w:hint="eastAsia" w:ascii="宋体" w:hAnsi="宋体" w:eastAsia="宋体" w:cs="宋体"/>
          <w:lang w:val="en-US" w:eastAsia="zh-CN"/>
        </w:rPr>
      </w:pPr>
    </w:p>
    <w:p w14:paraId="150DFD25">
      <w:pPr>
        <w:pStyle w:val="2"/>
        <w:bidi w:val="0"/>
        <w:ind w:left="432" w:leftChars="0" w:hanging="432" w:firstLineChars="0"/>
        <w:rPr>
          <w:rFonts w:hint="eastAsia" w:ascii="宋体" w:hAnsi="宋体" w:eastAsia="宋体" w:cs="宋体"/>
        </w:rPr>
      </w:pPr>
      <w:bookmarkStart w:id="5" w:name="_Toc8183"/>
      <w:bookmarkStart w:id="6" w:name="_Toc18365"/>
      <w:bookmarkStart w:id="7" w:name="_Toc4126"/>
      <w:bookmarkStart w:id="8" w:name="_Toc7761"/>
      <w:bookmarkStart w:id="9" w:name="_Toc32671"/>
      <w:bookmarkStart w:id="10" w:name="_Toc194230642"/>
      <w:bookmarkStart w:id="11" w:name="_Toc29763"/>
      <w:r>
        <w:rPr>
          <w:rFonts w:hint="eastAsia" w:ascii="宋体" w:hAnsi="宋体" w:eastAsia="宋体" w:cs="宋体"/>
        </w:rPr>
        <w:t>项目目标</w:t>
      </w:r>
      <w:bookmarkEnd w:id="5"/>
      <w:bookmarkEnd w:id="6"/>
      <w:bookmarkEnd w:id="7"/>
    </w:p>
    <w:p w14:paraId="0415CEBE">
      <w:pPr>
        <w:pStyle w:val="105"/>
        <w:rPr>
          <w:rFonts w:hint="eastAsia" w:ascii="宋体" w:hAnsi="宋体" w:eastAsia="宋体" w:cs="宋体"/>
          <w:lang w:val="en-US" w:eastAsia="zh-CN"/>
        </w:rPr>
      </w:pPr>
      <w:r>
        <w:rPr>
          <w:rFonts w:hint="eastAsia" w:ascii="宋体" w:hAnsi="宋体" w:eastAsia="宋体" w:cs="宋体"/>
          <w:lang w:val="en-US" w:eastAsia="zh-CN"/>
        </w:rPr>
        <w:t>本项目以构建智能化、场景化学习与培训平台为核心目标，通过整合AI技术与大模型能力，为企业提供覆盖全员的AI技能培训与业务实践支持，助力企业适应智能化转型需求。项目聚焦于打造集课程管理、AI赋能的互动学习、多维能力评估及高效后台管理于一体的综合平台，旨在提升用户学习效率、强化实战能力，并通过数据驱动优化企业人才培养体系。具体目标如下：</w:t>
      </w:r>
    </w:p>
    <w:p w14:paraId="6750E300">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1.实现智能化培训与认证体系</w:t>
      </w:r>
    </w:p>
    <w:p w14:paraId="141C1050">
      <w:pPr>
        <w:pStyle w:val="105"/>
        <w:rPr>
          <w:rFonts w:hint="eastAsia" w:ascii="宋体" w:hAnsi="宋体" w:eastAsia="宋体" w:cs="宋体"/>
          <w:lang w:val="en-US" w:eastAsia="zh-CN"/>
        </w:rPr>
      </w:pPr>
      <w:r>
        <w:rPr>
          <w:rFonts w:hint="eastAsia" w:ascii="宋体" w:hAnsi="宋体" w:eastAsia="宋体" w:cs="宋体"/>
          <w:lang w:val="en-US" w:eastAsia="zh-CN"/>
        </w:rPr>
        <w:t>面向用户，提供初、中、高级AI培训课程及认证服务，通过大模型底座能力，支持算力适配、模型调优与场景化应用，满足不同岗位的个性化学习需求。</w:t>
      </w:r>
    </w:p>
    <w:p w14:paraId="5D6BB470">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2.深化场景化学习功能</w:t>
      </w:r>
    </w:p>
    <w:p w14:paraId="75E57375">
      <w:pPr>
        <w:pStyle w:val="105"/>
        <w:rPr>
          <w:rFonts w:hint="eastAsia" w:ascii="宋体" w:hAnsi="宋体" w:eastAsia="宋体" w:cs="宋体"/>
          <w:lang w:val="en-US" w:eastAsia="zh-CN"/>
        </w:rPr>
      </w:pPr>
      <w:r>
        <w:rPr>
          <w:rFonts w:hint="eastAsia" w:ascii="宋体" w:hAnsi="宋体" w:eastAsia="宋体" w:cs="宋体"/>
          <w:lang w:val="en-US" w:eastAsia="zh-CN"/>
        </w:rPr>
        <w:t>依托AI技术实现跟读、陪练、实景演练、考试测评等核心功能，覆盖话术训练、虚拟角色对话、模拟考试等场景，结合评分系统多维评估用户能力，提升培训的互动性与实效性。</w:t>
      </w:r>
    </w:p>
    <w:p w14:paraId="07C9938E">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3.优化平台管理与用户体验</w:t>
      </w:r>
    </w:p>
    <w:p w14:paraId="7BC96279">
      <w:pPr>
        <w:pStyle w:val="105"/>
        <w:rPr>
          <w:rFonts w:hint="eastAsia" w:ascii="宋体" w:hAnsi="宋体" w:eastAsia="宋体" w:cs="宋体"/>
          <w:lang w:val="en-US" w:eastAsia="zh-CN"/>
        </w:rPr>
      </w:pPr>
      <w:r>
        <w:rPr>
          <w:rFonts w:hint="eastAsia" w:ascii="宋体" w:hAnsi="宋体" w:eastAsia="宋体" w:cs="宋体"/>
          <w:lang w:val="en-US" w:eastAsia="zh-CN"/>
        </w:rPr>
        <w:t>后台系统支持AI自动出题、任务素材库管理、用户权限分级配置等功能，提升运营效率；移动端优化界面交互流畅性，实现学习资源的精准匹配，降低用户学习门槛。</w:t>
      </w:r>
    </w:p>
    <w:p w14:paraId="283F55C8">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4.推动企业业务模式创新</w:t>
      </w:r>
    </w:p>
    <w:p w14:paraId="14709CA9">
      <w:pPr>
        <w:pStyle w:val="105"/>
        <w:rPr>
          <w:rFonts w:hint="eastAsia" w:ascii="宋体" w:hAnsi="宋体" w:eastAsia="宋体" w:cs="宋体"/>
          <w:lang w:val="en-US" w:eastAsia="zh-CN"/>
        </w:rPr>
      </w:pPr>
      <w:r>
        <w:rPr>
          <w:rFonts w:hint="eastAsia" w:ascii="宋体" w:hAnsi="宋体" w:eastAsia="宋体" w:cs="宋体"/>
          <w:lang w:val="en-US" w:eastAsia="zh-CN"/>
        </w:rPr>
        <w:t>通过智能化学习数据分析和龙虎榜激励机制，促进常态化学习与竞争性提升，为企业培养复合型AI人才提供技术支撑，助力企业向数字化、智能化方向转型。</w:t>
      </w:r>
    </w:p>
    <w:p w14:paraId="3996AD4D">
      <w:pPr>
        <w:spacing w:line="360" w:lineRule="auto"/>
        <w:ind w:firstLine="482" w:firstLineChars="200"/>
        <w:rPr>
          <w:rFonts w:hint="eastAsia" w:ascii="宋体" w:hAnsi="宋体" w:eastAsia="宋体" w:cs="宋体"/>
          <w:b/>
          <w:bCs/>
          <w:sz w:val="24"/>
          <w:lang w:val="en-US" w:eastAsia="zh-CN"/>
        </w:rPr>
      </w:pPr>
      <w:r>
        <w:rPr>
          <w:rFonts w:hint="eastAsia" w:ascii="宋体" w:hAnsi="宋体" w:eastAsia="宋体" w:cs="宋体"/>
          <w:b/>
          <w:bCs/>
          <w:sz w:val="24"/>
          <w:lang w:val="en-US" w:eastAsia="zh-CN"/>
        </w:rPr>
        <w:t>5.保障系统扩展性与稳定性</w:t>
      </w:r>
    </w:p>
    <w:p w14:paraId="4962D1C4">
      <w:pPr>
        <w:pStyle w:val="105"/>
        <w:rPr>
          <w:rFonts w:hint="eastAsia" w:ascii="宋体" w:hAnsi="宋体" w:eastAsia="宋体" w:cs="宋体"/>
          <w:lang w:val="en-US" w:eastAsia="zh-CN"/>
        </w:rPr>
      </w:pPr>
      <w:r>
        <w:rPr>
          <w:rFonts w:hint="eastAsia" w:ascii="宋体" w:hAnsi="宋体" w:eastAsia="宋体" w:cs="宋体"/>
          <w:lang w:val="en-US" w:eastAsia="zh-CN"/>
        </w:rPr>
        <w:t>采用微服务架构与前后端分离技术，提升系统在高并发场景下的性能，优化资源利用率，确保平台的可扩展性和长期稳定运行。</w:t>
      </w:r>
    </w:p>
    <w:p w14:paraId="754C6727">
      <w:pPr>
        <w:pStyle w:val="105"/>
        <w:rPr>
          <w:rFonts w:hint="eastAsia" w:ascii="宋体" w:hAnsi="宋体" w:eastAsia="宋体" w:cs="宋体"/>
          <w:lang w:val="en-US" w:eastAsia="zh-CN"/>
        </w:rPr>
      </w:pPr>
    </w:p>
    <w:p w14:paraId="232053FC">
      <w:pPr>
        <w:pStyle w:val="2"/>
        <w:bidi w:val="0"/>
        <w:ind w:left="432" w:leftChars="0" w:hanging="432" w:firstLineChars="0"/>
        <w:rPr>
          <w:rFonts w:hint="eastAsia" w:ascii="宋体" w:hAnsi="宋体" w:eastAsia="宋体" w:cs="宋体"/>
        </w:rPr>
      </w:pPr>
      <w:r>
        <w:rPr>
          <w:rFonts w:hint="eastAsia" w:ascii="宋体" w:hAnsi="宋体" w:eastAsia="宋体" w:cs="宋体"/>
          <w:lang w:val="en-US" w:eastAsia="zh-CN"/>
        </w:rPr>
        <w:t>服务设计要求</w:t>
      </w:r>
    </w:p>
    <w:p w14:paraId="7C5D65C9">
      <w:pPr>
        <w:pStyle w:val="105"/>
        <w:rPr>
          <w:rFonts w:hint="eastAsia" w:ascii="宋体" w:hAnsi="宋体" w:eastAsia="宋体" w:cs="宋体"/>
        </w:rPr>
      </w:pPr>
      <w:r>
        <w:rPr>
          <w:rFonts w:hint="eastAsia" w:ascii="宋体" w:hAnsi="宋体" w:eastAsia="宋体" w:cs="宋体"/>
          <w:lang w:val="en-US" w:eastAsia="zh-CN"/>
        </w:rPr>
        <w:t>AI</w:t>
      </w:r>
      <w:r>
        <w:rPr>
          <w:rFonts w:hint="eastAsia" w:ascii="宋体" w:hAnsi="宋体" w:eastAsia="宋体" w:cs="宋体"/>
          <w:highlight w:val="none"/>
          <w:lang w:val="en-US" w:eastAsia="zh-CN"/>
        </w:rPr>
        <w:t>智培慧练</w:t>
      </w:r>
      <w:r>
        <w:rPr>
          <w:rFonts w:hint="eastAsia" w:ascii="宋体" w:hAnsi="宋体" w:eastAsia="宋体" w:cs="宋体"/>
          <w:lang w:val="en-US" w:eastAsia="zh-CN"/>
        </w:rPr>
        <w:t>产品</w:t>
      </w:r>
      <w:r>
        <w:rPr>
          <w:rFonts w:hint="eastAsia" w:cs="宋体"/>
          <w:lang w:val="en-US" w:eastAsia="zh-CN"/>
        </w:rPr>
        <w:t>需</w:t>
      </w:r>
      <w:r>
        <w:rPr>
          <w:rFonts w:hint="eastAsia" w:ascii="宋体" w:hAnsi="宋体" w:eastAsia="宋体" w:cs="宋体"/>
        </w:rPr>
        <w:t>结合大模型与语音识别技术，为企业提供智能化、场景化的全员AI培训服务。实现课程管理、AI出题、任务发布</w:t>
      </w:r>
      <w:r>
        <w:rPr>
          <w:rFonts w:hint="eastAsia" w:cs="宋体"/>
          <w:lang w:eastAsia="zh-CN"/>
        </w:rPr>
        <w:t>、</w:t>
      </w:r>
      <w:r>
        <w:rPr>
          <w:rFonts w:hint="eastAsia" w:ascii="宋体" w:hAnsi="宋体" w:eastAsia="宋体" w:cs="宋体"/>
        </w:rPr>
        <w:t>实景演练等功能，助力企业构建数字化人才培养体系。</w:t>
      </w:r>
    </w:p>
    <w:p w14:paraId="635BEF01">
      <w:pPr>
        <w:pStyle w:val="4"/>
        <w:bidi w:val="0"/>
        <w:ind w:left="575" w:leftChars="0" w:hanging="575" w:firstLineChars="0"/>
        <w:rPr>
          <w:rFonts w:hint="eastAsia" w:ascii="宋体" w:hAnsi="宋体" w:eastAsia="宋体" w:cs="宋体"/>
          <w:lang w:val="en-US" w:eastAsia="zh-CN"/>
        </w:rPr>
      </w:pPr>
      <w:bookmarkStart w:id="12" w:name="_Toc22497"/>
      <w:r>
        <w:rPr>
          <w:rFonts w:hint="eastAsia" w:ascii="宋体" w:hAnsi="宋体" w:eastAsia="宋体" w:cs="宋体"/>
          <w:lang w:val="en-US" w:eastAsia="zh-CN"/>
        </w:rPr>
        <w:t>总体架构</w:t>
      </w:r>
    </w:p>
    <w:p w14:paraId="633B745C">
      <w:pPr>
        <w:pStyle w:val="105"/>
        <w:rPr>
          <w:rFonts w:hint="eastAsia" w:ascii="宋体" w:hAnsi="宋体" w:eastAsia="宋体" w:cs="宋体"/>
        </w:rPr>
      </w:pPr>
      <w:r>
        <w:rPr>
          <w:rFonts w:hint="eastAsia" w:ascii="宋体" w:hAnsi="宋体" w:eastAsia="宋体" w:cs="宋体"/>
          <w:b/>
          <w:bCs/>
        </w:rPr>
        <w:t>分层架构设计</w:t>
      </w:r>
      <w:r>
        <w:rPr>
          <w:rFonts w:hint="eastAsia" w:ascii="宋体" w:hAnsi="宋体" w:eastAsia="宋体" w:cs="宋体"/>
        </w:rPr>
        <w:t>：采用前后端分离模式，前端负责用户交互与界面展示，后端提供业务逻辑与数据处理服务，数据库层支持结构化数据存储。</w:t>
      </w:r>
    </w:p>
    <w:p w14:paraId="1B0BB53D">
      <w:pPr>
        <w:pStyle w:val="105"/>
        <w:rPr>
          <w:rFonts w:hint="eastAsia" w:ascii="宋体" w:hAnsi="宋体" w:eastAsia="宋体" w:cs="宋体"/>
        </w:rPr>
      </w:pPr>
      <w:r>
        <w:rPr>
          <w:rFonts w:hint="eastAsia" w:ascii="宋体" w:hAnsi="宋体" w:eastAsia="宋体" w:cs="宋体"/>
          <w:b/>
          <w:bCs/>
        </w:rPr>
        <w:t>微服务架构：</w:t>
      </w:r>
      <w:r>
        <w:rPr>
          <w:rFonts w:hint="eastAsia" w:ascii="宋体" w:hAnsi="宋体" w:eastAsia="宋体" w:cs="宋体"/>
        </w:rPr>
        <w:t>将核心功能模块（如用户管理、AI出题、任务素材库）拆分为独立服务，通过API网关统一管理接口调用，提升系统灵活性与可维护性。</w:t>
      </w:r>
    </w:p>
    <w:p w14:paraId="3432205F">
      <w:pPr>
        <w:pStyle w:val="105"/>
        <w:rPr>
          <w:rFonts w:hint="eastAsia" w:ascii="宋体" w:hAnsi="宋体" w:eastAsia="宋体" w:cs="宋体"/>
        </w:rPr>
      </w:pPr>
      <w:r>
        <w:rPr>
          <w:rFonts w:hint="eastAsia" w:ascii="宋体" w:hAnsi="宋体" w:eastAsia="宋体" w:cs="宋体"/>
          <w:b/>
          <w:bCs/>
        </w:rPr>
        <w:t>模块化设计：</w:t>
      </w:r>
      <w:r>
        <w:rPr>
          <w:rFonts w:hint="eastAsia" w:ascii="宋体" w:hAnsi="宋体" w:eastAsia="宋体" w:cs="宋体"/>
        </w:rPr>
        <w:t>后台管理系统与移动端功能模块独立开发，通过标准化接口实现数据互通，确保功能扩展与迭代的高效性。</w:t>
      </w:r>
    </w:p>
    <w:p w14:paraId="0FF81EAC">
      <w:pPr>
        <w:pStyle w:val="4"/>
        <w:bidi w:val="0"/>
        <w:ind w:left="575" w:leftChars="0" w:hanging="575" w:firstLineChars="0"/>
        <w:rPr>
          <w:rFonts w:hint="eastAsia" w:ascii="宋体" w:hAnsi="宋体" w:eastAsia="宋体" w:cs="宋体"/>
          <w:lang w:val="en-US" w:eastAsia="zh-CN"/>
        </w:rPr>
      </w:pPr>
      <w:bookmarkStart w:id="13" w:name="_Toc19527"/>
      <w:bookmarkStart w:id="14" w:name="_Toc15226"/>
      <w:r>
        <w:rPr>
          <w:rFonts w:hint="eastAsia" w:ascii="宋体" w:hAnsi="宋体" w:eastAsia="宋体" w:cs="宋体"/>
          <w:lang w:val="en-US" w:eastAsia="zh-CN"/>
        </w:rPr>
        <w:t>技术选型</w:t>
      </w:r>
      <w:bookmarkEnd w:id="12"/>
      <w:bookmarkEnd w:id="13"/>
      <w:bookmarkEnd w:id="14"/>
    </w:p>
    <w:p w14:paraId="32767231">
      <w:pPr>
        <w:pStyle w:val="105"/>
        <w:rPr>
          <w:rFonts w:hint="eastAsia" w:ascii="宋体" w:hAnsi="宋体" w:eastAsia="宋体" w:cs="宋体"/>
        </w:rPr>
      </w:pPr>
      <w:r>
        <w:rPr>
          <w:rFonts w:hint="eastAsia" w:ascii="宋体" w:hAnsi="宋体" w:eastAsia="宋体" w:cs="宋体"/>
          <w:b/>
          <w:bCs/>
        </w:rPr>
        <w:t>前端开发：</w:t>
      </w:r>
      <w:r>
        <w:rPr>
          <w:rFonts w:hint="eastAsia" w:ascii="宋体" w:hAnsi="宋体" w:eastAsia="宋体" w:cs="宋体"/>
        </w:rPr>
        <w:t>基于Vue框架构建响应式界面，适配PC端与移动端。</w:t>
      </w:r>
    </w:p>
    <w:p w14:paraId="0AEBF2F5">
      <w:pPr>
        <w:pStyle w:val="105"/>
        <w:rPr>
          <w:rFonts w:hint="eastAsia" w:ascii="宋体" w:hAnsi="宋体" w:eastAsia="宋体" w:cs="宋体"/>
        </w:rPr>
      </w:pPr>
      <w:r>
        <w:rPr>
          <w:rFonts w:hint="eastAsia" w:ascii="宋体" w:hAnsi="宋体" w:eastAsia="宋体" w:cs="宋体"/>
          <w:b/>
          <w:bCs/>
        </w:rPr>
        <w:t>后端开发：</w:t>
      </w:r>
      <w:r>
        <w:rPr>
          <w:rFonts w:hint="eastAsia" w:ascii="宋体" w:hAnsi="宋体" w:eastAsia="宋体" w:cs="宋体"/>
        </w:rPr>
        <w:t>采用Spring Boot框架搭建RESTful API服务，支持高并发请求处理。</w:t>
      </w:r>
    </w:p>
    <w:p w14:paraId="3C724968">
      <w:pPr>
        <w:pStyle w:val="105"/>
        <w:rPr>
          <w:rFonts w:hint="eastAsia" w:ascii="宋体" w:hAnsi="宋体" w:eastAsia="宋体" w:cs="宋体"/>
        </w:rPr>
      </w:pPr>
      <w:r>
        <w:rPr>
          <w:rFonts w:hint="eastAsia" w:ascii="宋体" w:hAnsi="宋体" w:eastAsia="宋体" w:cs="宋体"/>
          <w:b/>
          <w:bCs/>
        </w:rPr>
        <w:t>数据库：</w:t>
      </w:r>
      <w:r>
        <w:rPr>
          <w:rFonts w:hint="eastAsia" w:ascii="宋体" w:hAnsi="宋体" w:eastAsia="宋体" w:cs="宋体"/>
        </w:rPr>
        <w:t>使用MySQL进行结构化数据存储，Redis缓存高频访问数据。</w:t>
      </w:r>
    </w:p>
    <w:p w14:paraId="16CAF6D7">
      <w:pPr>
        <w:pStyle w:val="105"/>
        <w:rPr>
          <w:rFonts w:hint="eastAsia" w:ascii="宋体" w:hAnsi="宋体" w:eastAsia="宋体" w:cs="宋体"/>
        </w:rPr>
      </w:pPr>
      <w:r>
        <w:rPr>
          <w:rFonts w:hint="eastAsia" w:ascii="宋体" w:hAnsi="宋体" w:eastAsia="宋体" w:cs="宋体"/>
          <w:b/>
          <w:bCs/>
        </w:rPr>
        <w:t>AI技术：</w:t>
      </w:r>
      <w:r>
        <w:rPr>
          <w:rFonts w:hint="eastAsia" w:ascii="宋体" w:hAnsi="宋体" w:eastAsia="宋体" w:cs="宋体"/>
        </w:rPr>
        <w:t>集成</w:t>
      </w:r>
      <w:r>
        <w:rPr>
          <w:rFonts w:hint="eastAsia" w:ascii="宋体" w:hAnsi="宋体" w:eastAsia="宋体" w:cs="宋体"/>
          <w:lang w:val="en-US" w:eastAsia="zh-CN"/>
        </w:rPr>
        <w:t>deepseek</w:t>
      </w:r>
      <w:r>
        <w:rPr>
          <w:rFonts w:hint="eastAsia" w:ascii="宋体" w:hAnsi="宋体" w:eastAsia="宋体" w:cs="宋体"/>
        </w:rPr>
        <w:t>与智谱大模型底座，结合语音识别（ASR）、自然语言处理（NLP）技术实现跟读评分、对话生成等功能。</w:t>
      </w:r>
    </w:p>
    <w:p w14:paraId="2B83EA83">
      <w:pPr>
        <w:pStyle w:val="105"/>
        <w:rPr>
          <w:rFonts w:hint="eastAsia" w:ascii="宋体" w:hAnsi="宋体" w:eastAsia="宋体" w:cs="宋体"/>
        </w:rPr>
      </w:pPr>
      <w:r>
        <w:rPr>
          <w:rFonts w:hint="eastAsia" w:ascii="宋体" w:hAnsi="宋体" w:eastAsia="宋体" w:cs="宋体"/>
          <w:b/>
          <w:bCs/>
        </w:rPr>
        <w:t>部署与运维：</w:t>
      </w:r>
      <w:r>
        <w:rPr>
          <w:rFonts w:hint="eastAsia" w:ascii="宋体" w:hAnsi="宋体" w:eastAsia="宋体" w:cs="宋体"/>
        </w:rPr>
        <w:t>Docker容器化部署，Kubernetes集群管理，Prometheus监控系统性能。</w:t>
      </w:r>
    </w:p>
    <w:p w14:paraId="4DFF868E">
      <w:pPr>
        <w:pStyle w:val="4"/>
        <w:bidi w:val="0"/>
        <w:ind w:left="575" w:leftChars="0" w:hanging="575" w:firstLineChars="0"/>
        <w:rPr>
          <w:rFonts w:hint="eastAsia" w:ascii="宋体" w:hAnsi="宋体" w:eastAsia="宋体" w:cs="宋体"/>
          <w:lang w:val="en-US" w:eastAsia="zh-CN"/>
        </w:rPr>
      </w:pPr>
      <w:bookmarkStart w:id="15" w:name="_Toc20480"/>
      <w:bookmarkStart w:id="16" w:name="_Toc26526"/>
      <w:bookmarkStart w:id="17" w:name="_Toc13081"/>
      <w:r>
        <w:rPr>
          <w:rFonts w:hint="eastAsia" w:ascii="宋体" w:hAnsi="宋体" w:eastAsia="宋体" w:cs="宋体"/>
          <w:lang w:val="en-US" w:eastAsia="zh-CN"/>
        </w:rPr>
        <w:t>系统架构设计</w:t>
      </w:r>
      <w:bookmarkEnd w:id="15"/>
      <w:bookmarkEnd w:id="16"/>
      <w:bookmarkEnd w:id="17"/>
    </w:p>
    <w:p w14:paraId="24AC9F51">
      <w:pPr>
        <w:pStyle w:val="105"/>
        <w:rPr>
          <w:rFonts w:hint="eastAsia" w:ascii="宋体" w:hAnsi="宋体" w:eastAsia="宋体" w:cs="宋体"/>
        </w:rPr>
      </w:pPr>
      <w:bookmarkStart w:id="18" w:name="_Toc21063"/>
      <w:r>
        <w:rPr>
          <w:rFonts w:hint="eastAsia" w:ascii="宋体" w:hAnsi="宋体" w:eastAsia="宋体" w:cs="宋体"/>
          <w:b/>
          <w:bCs/>
        </w:rPr>
        <w:t>用户层：</w:t>
      </w:r>
      <w:r>
        <w:rPr>
          <w:rFonts w:hint="eastAsia" w:ascii="宋体" w:hAnsi="宋体" w:eastAsia="宋体" w:cs="宋体"/>
        </w:rPr>
        <w:t>支持Web端（后台管理）与移动端（小程序/APP）双端访问，适配多终端操作。</w:t>
      </w:r>
    </w:p>
    <w:p w14:paraId="31651A75">
      <w:pPr>
        <w:pStyle w:val="105"/>
        <w:rPr>
          <w:rFonts w:hint="eastAsia" w:ascii="宋体" w:hAnsi="宋体" w:eastAsia="宋体" w:cs="宋体"/>
          <w:b/>
          <w:bCs/>
        </w:rPr>
      </w:pPr>
      <w:r>
        <w:rPr>
          <w:rFonts w:hint="eastAsia" w:ascii="宋体" w:hAnsi="宋体" w:eastAsia="宋体" w:cs="宋体"/>
          <w:b/>
          <w:bCs/>
        </w:rPr>
        <w:t>服务层：</w:t>
      </w:r>
    </w:p>
    <w:p w14:paraId="7E4722ED">
      <w:pPr>
        <w:pStyle w:val="105"/>
        <w:numPr>
          <w:ilvl w:val="0"/>
          <w:numId w:val="10"/>
        </w:numPr>
        <w:ind w:left="840" w:leftChars="0" w:hanging="420" w:firstLineChars="0"/>
        <w:rPr>
          <w:rFonts w:hint="eastAsia" w:ascii="宋体" w:hAnsi="宋体" w:eastAsia="宋体" w:cs="宋体"/>
        </w:rPr>
      </w:pPr>
      <w:r>
        <w:rPr>
          <w:rFonts w:hint="eastAsia" w:ascii="宋体" w:hAnsi="宋体" w:eastAsia="宋体" w:cs="宋体"/>
        </w:rPr>
        <w:t>核心服务：用户权限管理、课程任务发布、AI出题与评分、学习数据分析。</w:t>
      </w:r>
    </w:p>
    <w:p w14:paraId="794EB76E">
      <w:pPr>
        <w:pStyle w:val="105"/>
        <w:numPr>
          <w:ilvl w:val="0"/>
          <w:numId w:val="10"/>
        </w:numPr>
        <w:ind w:left="840" w:leftChars="0" w:hanging="420" w:firstLineChars="0"/>
        <w:rPr>
          <w:rFonts w:hint="eastAsia" w:ascii="宋体" w:hAnsi="宋体" w:eastAsia="宋体" w:cs="宋体"/>
        </w:rPr>
      </w:pPr>
      <w:r>
        <w:rPr>
          <w:rFonts w:hint="eastAsia" w:ascii="宋体" w:hAnsi="宋体" w:eastAsia="宋体" w:cs="宋体"/>
        </w:rPr>
        <w:t>AI服务：语音识别、虚拟角色对话、考试自动评分、个性化推荐算法。</w:t>
      </w:r>
    </w:p>
    <w:p w14:paraId="0051F23E">
      <w:pPr>
        <w:pStyle w:val="105"/>
        <w:rPr>
          <w:rFonts w:hint="eastAsia" w:ascii="宋体" w:hAnsi="宋体" w:eastAsia="宋体" w:cs="宋体"/>
        </w:rPr>
      </w:pPr>
      <w:r>
        <w:rPr>
          <w:rFonts w:hint="eastAsia" w:ascii="宋体" w:hAnsi="宋体" w:eastAsia="宋体" w:cs="宋体"/>
          <w:b/>
          <w:bCs/>
        </w:rPr>
        <w:t>数据层：</w:t>
      </w:r>
      <w:r>
        <w:rPr>
          <w:rFonts w:hint="eastAsia" w:ascii="宋体" w:hAnsi="宋体" w:eastAsia="宋体" w:cs="宋体"/>
        </w:rPr>
        <w:t>结构化存储课程素材、用户学习日志、雷达评分数据；非结构化存储音视频文件。</w:t>
      </w:r>
    </w:p>
    <w:p w14:paraId="6B966E60">
      <w:pPr>
        <w:pStyle w:val="105"/>
        <w:rPr>
          <w:rFonts w:hint="eastAsia" w:ascii="宋体" w:hAnsi="宋体" w:eastAsia="宋体" w:cs="宋体"/>
        </w:rPr>
      </w:pPr>
      <w:r>
        <w:rPr>
          <w:rFonts w:hint="eastAsia" w:ascii="宋体" w:hAnsi="宋体" w:eastAsia="宋体" w:cs="宋体"/>
          <w:b/>
          <w:bCs/>
        </w:rPr>
        <w:t>接口层：</w:t>
      </w:r>
      <w:r>
        <w:rPr>
          <w:rFonts w:hint="eastAsia" w:ascii="宋体" w:hAnsi="宋体" w:eastAsia="宋体" w:cs="宋体"/>
        </w:rPr>
        <w:t>通过API网关统一管理服务间通信。</w:t>
      </w:r>
    </w:p>
    <w:p w14:paraId="4AC06D8F">
      <w:pPr>
        <w:pStyle w:val="4"/>
        <w:bidi w:val="0"/>
        <w:ind w:left="575" w:leftChars="0" w:hanging="575" w:firstLineChars="0"/>
        <w:rPr>
          <w:rFonts w:hint="eastAsia" w:ascii="宋体" w:hAnsi="宋体" w:eastAsia="宋体" w:cs="宋体"/>
          <w:lang w:val="en-US" w:eastAsia="zh-CN"/>
        </w:rPr>
      </w:pPr>
      <w:bookmarkStart w:id="19" w:name="_Toc6350"/>
      <w:bookmarkStart w:id="20" w:name="_Toc14390"/>
      <w:r>
        <w:rPr>
          <w:rFonts w:hint="eastAsia" w:ascii="宋体" w:hAnsi="宋体" w:eastAsia="宋体" w:cs="宋体"/>
          <w:lang w:val="en-US" w:eastAsia="zh-CN"/>
        </w:rPr>
        <w:t>功能实现</w:t>
      </w:r>
      <w:bookmarkEnd w:id="18"/>
      <w:bookmarkEnd w:id="19"/>
      <w:bookmarkEnd w:id="20"/>
    </w:p>
    <w:p w14:paraId="1E139D3B">
      <w:pPr>
        <w:pStyle w:val="105"/>
        <w:rPr>
          <w:rFonts w:hint="eastAsia" w:ascii="宋体" w:hAnsi="宋体" w:eastAsia="宋体" w:cs="宋体"/>
          <w:lang w:eastAsia="zh-CN"/>
        </w:rPr>
      </w:pPr>
      <w:r>
        <w:rPr>
          <w:rFonts w:hint="eastAsia" w:ascii="宋体" w:hAnsi="宋体" w:eastAsia="宋体" w:cs="宋体"/>
        </w:rPr>
        <w:t>在功能实现方面，系统通过前后端分离架构与AI技术深度集成，实现全流程智能化培训管理。通过AI大模型实现QA对自动生成、组卷考试及任务素材库管理，结合Excel模板解析完成素材批量导入导出</w:t>
      </w:r>
      <w:r>
        <w:rPr>
          <w:rFonts w:hint="eastAsia" w:ascii="宋体" w:hAnsi="宋体" w:eastAsia="宋体" w:cs="宋体"/>
          <w:lang w:eastAsia="zh-CN"/>
        </w:rPr>
        <w:t>，</w:t>
      </w:r>
      <w:r>
        <w:rPr>
          <w:rFonts w:hint="eastAsia" w:ascii="宋体" w:hAnsi="宋体" w:eastAsia="宋体" w:cs="宋体"/>
        </w:rPr>
        <w:t>依托响应式框架，提供跟读语音评分（ASR技术）、实景演练（NLP虚拟角色对话）、考试刷题（AI自动判卷）等互动学习功能，并通过</w:t>
      </w:r>
      <w:r>
        <w:rPr>
          <w:rFonts w:hint="eastAsia" w:ascii="宋体" w:hAnsi="宋体" w:eastAsia="宋体" w:cs="宋体"/>
          <w:lang w:val="en-US" w:eastAsia="zh-CN"/>
        </w:rPr>
        <w:t>AI</w:t>
      </w:r>
      <w:r>
        <w:rPr>
          <w:rFonts w:hint="eastAsia" w:ascii="宋体" w:hAnsi="宋体" w:eastAsia="宋体" w:cs="宋体"/>
        </w:rPr>
        <w:t>评分算法量化用户能力，形成闭环学习激励体系</w:t>
      </w:r>
      <w:r>
        <w:rPr>
          <w:rFonts w:hint="eastAsia" w:ascii="宋体" w:hAnsi="宋体" w:eastAsia="宋体" w:cs="宋体"/>
          <w:lang w:eastAsia="zh-CN"/>
        </w:rPr>
        <w:t>。</w:t>
      </w:r>
    </w:p>
    <w:p w14:paraId="38CC7B53">
      <w:pPr>
        <w:pStyle w:val="4"/>
        <w:bidi w:val="0"/>
        <w:ind w:left="575" w:leftChars="0" w:hanging="575" w:firstLineChars="0"/>
        <w:rPr>
          <w:rFonts w:hint="eastAsia" w:ascii="宋体" w:hAnsi="宋体" w:eastAsia="宋体" w:cs="宋体"/>
          <w:lang w:val="en-US" w:eastAsia="zh-CN"/>
        </w:rPr>
      </w:pPr>
      <w:bookmarkStart w:id="21" w:name="_Toc29511"/>
      <w:bookmarkStart w:id="22" w:name="_Toc4402"/>
      <w:bookmarkStart w:id="23" w:name="_Toc22895"/>
      <w:r>
        <w:rPr>
          <w:rFonts w:hint="eastAsia" w:ascii="宋体" w:hAnsi="宋体" w:eastAsia="宋体" w:cs="宋体"/>
          <w:lang w:val="en-US" w:eastAsia="zh-CN"/>
        </w:rPr>
        <w:t>性能指标</w:t>
      </w:r>
      <w:bookmarkEnd w:id="21"/>
      <w:bookmarkEnd w:id="22"/>
      <w:bookmarkEnd w:id="23"/>
    </w:p>
    <w:p w14:paraId="3B48FEDF">
      <w:pPr>
        <w:pStyle w:val="105"/>
        <w:rPr>
          <w:rFonts w:hint="eastAsia" w:ascii="宋体" w:hAnsi="宋体" w:eastAsia="宋体" w:cs="宋体"/>
        </w:rPr>
      </w:pPr>
      <w:r>
        <w:rPr>
          <w:rFonts w:hint="eastAsia" w:ascii="宋体" w:hAnsi="宋体" w:eastAsia="宋体" w:cs="宋体"/>
          <w:b/>
          <w:bCs/>
        </w:rPr>
        <w:t>高并发支持：</w:t>
      </w:r>
      <w:r>
        <w:rPr>
          <w:rFonts w:hint="eastAsia" w:ascii="宋体" w:hAnsi="宋体" w:eastAsia="宋体" w:cs="宋体"/>
        </w:rPr>
        <w:t>采用Nginx负载均衡与Redis分布式锁，保障≥5000用户同时在线学习，核心接口响应≤200ms。</w:t>
      </w:r>
    </w:p>
    <w:p w14:paraId="40A473BA">
      <w:pPr>
        <w:pStyle w:val="105"/>
        <w:rPr>
          <w:rFonts w:hint="eastAsia" w:ascii="宋体" w:hAnsi="宋体" w:eastAsia="宋体" w:cs="宋体"/>
        </w:rPr>
      </w:pPr>
      <w:r>
        <w:rPr>
          <w:rFonts w:hint="eastAsia" w:ascii="宋体" w:hAnsi="宋体" w:eastAsia="宋体" w:cs="宋体"/>
          <w:b/>
          <w:bCs/>
        </w:rPr>
        <w:t>弹性扩展：</w:t>
      </w:r>
      <w:r>
        <w:rPr>
          <w:rFonts w:hint="eastAsia" w:ascii="宋体" w:hAnsi="宋体" w:eastAsia="宋体" w:cs="宋体"/>
        </w:rPr>
        <w:t>基于Kubernetes HPA（水平自动扩缩容）动态调整服务实例，优化CPU/内存利用率至80%以下。</w:t>
      </w:r>
    </w:p>
    <w:p w14:paraId="64BCFC6A">
      <w:pPr>
        <w:pStyle w:val="105"/>
        <w:rPr>
          <w:rFonts w:hint="eastAsia" w:ascii="宋体" w:hAnsi="宋体" w:eastAsia="宋体" w:cs="宋体"/>
        </w:rPr>
      </w:pPr>
      <w:r>
        <w:rPr>
          <w:rFonts w:hint="eastAsia" w:ascii="宋体" w:hAnsi="宋体" w:eastAsia="宋体" w:cs="宋体"/>
          <w:b/>
          <w:bCs/>
        </w:rPr>
        <w:t>多端兼容：</w:t>
      </w:r>
      <w:r>
        <w:rPr>
          <w:rFonts w:hint="eastAsia" w:ascii="宋体" w:hAnsi="宋体" w:eastAsia="宋体" w:cs="宋体"/>
        </w:rPr>
        <w:t>移动端适配iOS/Android原生开发或UniApp跨平台框架，Web端兼容Chrome/Safari等主流浏览器。</w:t>
      </w:r>
    </w:p>
    <w:p w14:paraId="08E52EE5">
      <w:pPr>
        <w:pStyle w:val="4"/>
        <w:bidi w:val="0"/>
        <w:ind w:left="575" w:leftChars="0" w:hanging="575" w:firstLineChars="0"/>
        <w:rPr>
          <w:rFonts w:hint="eastAsia" w:ascii="宋体" w:hAnsi="宋体" w:eastAsia="宋体" w:cs="宋体"/>
          <w:lang w:val="en-US" w:eastAsia="zh-CN"/>
        </w:rPr>
      </w:pPr>
      <w:bookmarkStart w:id="24" w:name="_Toc15740"/>
      <w:bookmarkStart w:id="25" w:name="_Toc15820"/>
      <w:bookmarkStart w:id="26" w:name="_Toc28747"/>
      <w:r>
        <w:rPr>
          <w:rFonts w:hint="eastAsia" w:ascii="宋体" w:hAnsi="宋体" w:eastAsia="宋体" w:cs="宋体"/>
          <w:lang w:val="en-US" w:eastAsia="zh-CN"/>
        </w:rPr>
        <w:t>可兼容性和可扩展性</w:t>
      </w:r>
      <w:bookmarkEnd w:id="24"/>
      <w:bookmarkEnd w:id="25"/>
      <w:bookmarkEnd w:id="26"/>
    </w:p>
    <w:p w14:paraId="7AFADE80">
      <w:pPr>
        <w:pStyle w:val="105"/>
        <w:rPr>
          <w:rFonts w:hint="eastAsia" w:ascii="宋体" w:hAnsi="宋体" w:eastAsia="宋体" w:cs="宋体"/>
        </w:rPr>
      </w:pPr>
      <w:r>
        <w:rPr>
          <w:rFonts w:hint="eastAsia" w:ascii="宋体" w:hAnsi="宋体" w:eastAsia="宋体" w:cs="宋体"/>
        </w:rPr>
        <w:t>系统</w:t>
      </w:r>
      <w:r>
        <w:rPr>
          <w:rFonts w:hint="eastAsia" w:ascii="宋体" w:hAnsi="宋体" w:eastAsia="宋体" w:cs="宋体"/>
          <w:lang w:val="en-US" w:eastAsia="zh-CN"/>
        </w:rPr>
        <w:t>应</w:t>
      </w:r>
      <w:r>
        <w:rPr>
          <w:rFonts w:hint="eastAsia" w:ascii="宋体" w:hAnsi="宋体" w:eastAsia="宋体" w:cs="宋体"/>
        </w:rPr>
        <w:t>确保高度兼容性与灵活扩展性。兼容性层面，移动端适配iOS/Android原生系统及主流浏览器（Chrome/Safari），并通过RESTful API与外部系统（如HR系统）无缝对接，支持Excel模板标准化导入导出；扩展性层面，通过服务化接口预留功能扩展能力，支持快速集成新AI模型（多语言/多模态）及第三方工具，同时依托可插拔模块设计灵活扩展业务场景，保障平台长期技术演进与业务需求适配。</w:t>
      </w:r>
    </w:p>
    <w:p w14:paraId="64DD22A7">
      <w:pPr>
        <w:pStyle w:val="105"/>
        <w:rPr>
          <w:rFonts w:hint="eastAsia" w:ascii="宋体" w:hAnsi="宋体" w:eastAsia="宋体" w:cs="宋体"/>
          <w:b w:val="0"/>
          <w:bCs w:val="0"/>
          <w:lang w:val="en-US" w:eastAsia="zh-CN"/>
        </w:rPr>
      </w:pPr>
    </w:p>
    <w:p w14:paraId="28FB231A">
      <w:pPr>
        <w:pStyle w:val="2"/>
        <w:bidi w:val="0"/>
        <w:ind w:left="432" w:leftChars="0" w:hanging="432" w:firstLineChars="0"/>
        <w:rPr>
          <w:rFonts w:hint="eastAsia" w:ascii="宋体" w:hAnsi="宋体" w:eastAsia="宋体" w:cs="宋体"/>
        </w:rPr>
      </w:pPr>
      <w:bookmarkStart w:id="27" w:name="_Toc19682"/>
      <w:r>
        <w:rPr>
          <w:rFonts w:hint="eastAsia" w:ascii="宋体" w:hAnsi="宋体" w:eastAsia="宋体" w:cs="宋体"/>
          <w:lang w:val="en-US" w:eastAsia="zh-CN"/>
        </w:rPr>
        <w:t>服务内容和</w:t>
      </w:r>
      <w:r>
        <w:rPr>
          <w:rFonts w:hint="eastAsia" w:ascii="宋体" w:hAnsi="宋体" w:eastAsia="宋体" w:cs="宋体"/>
        </w:rPr>
        <w:t>技术</w:t>
      </w:r>
      <w:bookmarkEnd w:id="27"/>
      <w:r>
        <w:rPr>
          <w:rFonts w:hint="eastAsia" w:ascii="宋体" w:hAnsi="宋体" w:eastAsia="宋体" w:cs="宋体"/>
          <w:lang w:val="en-US" w:eastAsia="zh-CN"/>
        </w:rPr>
        <w:t>要求</w:t>
      </w:r>
    </w:p>
    <w:p w14:paraId="2E0A4BBB">
      <w:pPr>
        <w:pStyle w:val="4"/>
        <w:bidi w:val="0"/>
        <w:ind w:left="575" w:leftChars="0" w:hanging="575" w:firstLineChars="0"/>
        <w:rPr>
          <w:rFonts w:hint="eastAsia" w:ascii="宋体" w:hAnsi="宋体" w:eastAsia="宋体" w:cs="宋体"/>
          <w:lang w:val="en-US" w:eastAsia="zh-CN"/>
        </w:rPr>
      </w:pPr>
      <w:bookmarkStart w:id="28" w:name="_Toc9356"/>
      <w:bookmarkStart w:id="29" w:name="_Toc9309"/>
      <w:r>
        <w:rPr>
          <w:rFonts w:hint="eastAsia" w:ascii="宋体" w:hAnsi="宋体" w:eastAsia="宋体" w:cs="宋体"/>
          <w:lang w:val="en-US" w:eastAsia="zh-CN"/>
        </w:rPr>
        <w:t>标准服务</w:t>
      </w:r>
      <w:bookmarkEnd w:id="28"/>
      <w:bookmarkEnd w:id="29"/>
    </w:p>
    <w:p w14:paraId="6369F0A5">
      <w:pPr>
        <w:pStyle w:val="105"/>
        <w:rPr>
          <w:rFonts w:hint="eastAsia" w:ascii="宋体" w:hAnsi="宋体" w:eastAsia="宋体" w:cs="宋体"/>
          <w:lang w:val="en-US" w:eastAsia="zh-CN"/>
        </w:rPr>
      </w:pPr>
      <w:r>
        <w:rPr>
          <w:rFonts w:hint="eastAsia" w:ascii="宋体" w:hAnsi="宋体" w:eastAsia="宋体" w:cs="宋体"/>
          <w:lang w:val="en-US" w:eastAsia="zh-CN"/>
        </w:rPr>
        <w:t>SaaS账号形式交付，标准服务内容包含以下功能：</w:t>
      </w:r>
    </w:p>
    <w:p w14:paraId="3C0F82C7">
      <w:pPr>
        <w:pStyle w:val="5"/>
        <w:bidi w:val="0"/>
        <w:ind w:left="720" w:leftChars="0" w:hanging="720" w:firstLineChars="0"/>
        <w:rPr>
          <w:rFonts w:hint="eastAsia" w:ascii="宋体" w:hAnsi="宋体" w:eastAsia="宋体" w:cs="宋体"/>
          <w:lang w:val="en-US" w:eastAsia="zh-CN"/>
        </w:rPr>
      </w:pPr>
      <w:bookmarkStart w:id="30" w:name="_Toc4627"/>
      <w:bookmarkStart w:id="31" w:name="_Toc2752"/>
      <w:r>
        <w:rPr>
          <w:rFonts w:hint="eastAsia" w:ascii="宋体" w:hAnsi="宋体" w:eastAsia="宋体" w:cs="宋体"/>
          <w:lang w:val="en-US" w:eastAsia="zh-CN"/>
        </w:rPr>
        <w:t>智能培训与认证体系</w:t>
      </w:r>
      <w:bookmarkEnd w:id="30"/>
      <w:bookmarkEnd w:id="31"/>
    </w:p>
    <w:p w14:paraId="325B6E79">
      <w:pPr>
        <w:pStyle w:val="105"/>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功能描述：</w:t>
      </w:r>
    </w:p>
    <w:p w14:paraId="4602E5AD">
      <w:pPr>
        <w:pStyle w:val="105"/>
        <w:rPr>
          <w:rFonts w:hint="eastAsia" w:ascii="宋体" w:hAnsi="宋体" w:eastAsia="宋体" w:cs="宋体"/>
          <w:lang w:val="en-US" w:eastAsia="zh-CN"/>
        </w:rPr>
      </w:pPr>
      <w:r>
        <w:rPr>
          <w:rFonts w:hint="eastAsia" w:ascii="宋体" w:hAnsi="宋体" w:eastAsia="宋体" w:cs="宋体"/>
          <w:lang w:val="en-US" w:eastAsia="zh-CN"/>
        </w:rPr>
        <w:t>提供初、中、高级AI培训课程及认证服务，覆盖理论教学与实战演练，满足不同岗位的个性化学习需求。系统基于用户角色和岗位能力模型，动态推荐学习路径，并通过AI大模型能力生成标准化考题，支持在线考试与自动化评分，确保能力认证的客观性与权威性。</w:t>
      </w:r>
    </w:p>
    <w:p w14:paraId="1FA39741">
      <w:pPr>
        <w:pStyle w:val="105"/>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技术要求：</w:t>
      </w:r>
    </w:p>
    <w:p w14:paraId="715D2D7E">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采用大模型微调技术，实现课程内容与考题的智能化生成。</w:t>
      </w:r>
    </w:p>
    <w:p w14:paraId="28481E0B">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结合RAG（检索增强生成）技术，动态检索知识库中的政策文件、技术手册等资源，生成场景化考题与解析。</w:t>
      </w:r>
    </w:p>
    <w:p w14:paraId="23FAB599">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考试模块支持AI自动判卷（选择题/简答题）与评分系统，从专业能力、应变能力等维度量化用户表现。</w:t>
      </w:r>
    </w:p>
    <w:p w14:paraId="4F20273A">
      <w:pPr>
        <w:pStyle w:val="5"/>
        <w:bidi w:val="0"/>
        <w:ind w:left="720" w:leftChars="0" w:hanging="720" w:firstLineChars="0"/>
        <w:rPr>
          <w:rFonts w:hint="eastAsia" w:ascii="宋体" w:hAnsi="宋体" w:eastAsia="宋体" w:cs="宋体"/>
          <w:lang w:val="en-US" w:eastAsia="zh-CN"/>
        </w:rPr>
      </w:pPr>
      <w:bookmarkStart w:id="32" w:name="_Toc22400"/>
      <w:bookmarkStart w:id="33" w:name="_Toc8725"/>
      <w:r>
        <w:rPr>
          <w:rFonts w:hint="eastAsia" w:ascii="宋体" w:hAnsi="宋体" w:eastAsia="宋体" w:cs="宋体"/>
          <w:lang w:val="en-US" w:eastAsia="zh-CN"/>
        </w:rPr>
        <w:t>场景化实战功能</w:t>
      </w:r>
      <w:bookmarkEnd w:id="32"/>
      <w:bookmarkEnd w:id="33"/>
    </w:p>
    <w:p w14:paraId="2E93296D">
      <w:pPr>
        <w:pStyle w:val="105"/>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功能描述：</w:t>
      </w:r>
    </w:p>
    <w:p w14:paraId="0E6A8A93">
      <w:pPr>
        <w:pStyle w:val="105"/>
        <w:rPr>
          <w:rFonts w:hint="eastAsia" w:ascii="宋体" w:hAnsi="宋体" w:eastAsia="宋体" w:cs="宋体"/>
          <w:lang w:val="en-US" w:eastAsia="zh-CN"/>
        </w:rPr>
      </w:pPr>
      <w:r>
        <w:rPr>
          <w:rFonts w:hint="eastAsia" w:ascii="宋体" w:hAnsi="宋体" w:eastAsia="宋体" w:cs="宋体"/>
          <w:lang w:val="en-US" w:eastAsia="zh-CN"/>
        </w:rPr>
        <w:t>通过跟读、陪练、实景演练等互动功能，模拟真实业务场景（如客户服务、营销话术），提升用户实战能力。系统支持语音交互、虚拟角色对话、实时评分反馈，并结合虚拟现实技术增强沉浸式学习体验。</w:t>
      </w:r>
    </w:p>
    <w:p w14:paraId="5513DAE7">
      <w:pPr>
        <w:pStyle w:val="105"/>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技术要求：</w:t>
      </w:r>
    </w:p>
    <w:p w14:paraId="2AFA42C7">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语音识别（ASR）：实时解析用户跟读语音，生成发音准确性评分（如语速、语调、语义匹配度）。</w:t>
      </w:r>
    </w:p>
    <w:p w14:paraId="087BC582">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自然语言处理（NLP）：驱动虚拟角色动态生成对话内容，支持多轮次交互与异议处理模拟。</w:t>
      </w:r>
    </w:p>
    <w:p w14:paraId="6BDC5B0D">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AI评分引擎：基于预设规则与大模型能力，对实景演练的对话逻辑、专业能力等维度进行综合评分。</w:t>
      </w:r>
    </w:p>
    <w:p w14:paraId="53AF97C5">
      <w:pPr>
        <w:pStyle w:val="5"/>
        <w:bidi w:val="0"/>
        <w:ind w:left="720" w:leftChars="0" w:hanging="720" w:firstLineChars="0"/>
        <w:rPr>
          <w:rFonts w:hint="eastAsia" w:ascii="宋体" w:hAnsi="宋体" w:eastAsia="宋体" w:cs="宋体"/>
          <w:lang w:val="en-US" w:eastAsia="zh-CN"/>
        </w:rPr>
      </w:pPr>
      <w:bookmarkStart w:id="34" w:name="_Toc16540"/>
      <w:r>
        <w:rPr>
          <w:rFonts w:hint="eastAsia" w:ascii="宋体" w:hAnsi="宋体" w:eastAsia="宋体" w:cs="宋体"/>
          <w:lang w:val="en-US" w:eastAsia="zh-CN"/>
        </w:rPr>
        <w:t>AI电子书伴学</w:t>
      </w:r>
      <w:bookmarkEnd w:id="34"/>
    </w:p>
    <w:p w14:paraId="209BD2BB">
      <w:pPr>
        <w:pStyle w:val="105"/>
        <w:rPr>
          <w:rFonts w:hint="eastAsia" w:eastAsia="宋体" w:asciiTheme="minorHAnsi" w:hAnsiTheme="minorHAnsi" w:cstheme="minorBidi"/>
          <w:b/>
          <w:bCs/>
          <w:kern w:val="2"/>
          <w:sz w:val="24"/>
          <w:szCs w:val="24"/>
          <w:highlight w:val="none"/>
          <w:lang w:val="en-US" w:eastAsia="zh-CN" w:bidi="ar-SA"/>
        </w:rPr>
      </w:pPr>
      <w:r>
        <w:rPr>
          <w:rFonts w:hint="eastAsia" w:eastAsia="宋体" w:asciiTheme="minorHAnsi" w:hAnsiTheme="minorHAnsi" w:cstheme="minorBidi"/>
          <w:b/>
          <w:bCs/>
          <w:kern w:val="2"/>
          <w:sz w:val="24"/>
          <w:szCs w:val="24"/>
          <w:highlight w:val="none"/>
          <w:lang w:val="en-US" w:eastAsia="zh-CN" w:bidi="ar-SA"/>
        </w:rPr>
        <w:t>功能描述：</w:t>
      </w:r>
    </w:p>
    <w:p w14:paraId="02B1E330">
      <w:pPr>
        <w:pStyle w:val="105"/>
        <w:numPr>
          <w:ilvl w:val="0"/>
          <w:numId w:val="10"/>
        </w:numPr>
        <w:ind w:left="840" w:leftChars="0" w:hanging="420" w:firstLineChars="0"/>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智能总结：</w:t>
      </w:r>
      <w:r>
        <w:rPr>
          <w:rFonts w:hint="eastAsia" w:asciiTheme="minorEastAsia" w:hAnsiTheme="minorEastAsia" w:eastAsiaTheme="minorEastAsia" w:cstheme="minorEastAsia"/>
          <w:highlight w:val="none"/>
          <w:lang w:val="en-US" w:eastAsia="zh-CN"/>
        </w:rPr>
        <w:t>支持</w:t>
      </w:r>
      <w:r>
        <w:rPr>
          <w:rFonts w:hint="default" w:asciiTheme="minorEastAsia" w:hAnsiTheme="minorEastAsia" w:eastAsiaTheme="minorEastAsia" w:cstheme="minorEastAsia"/>
          <w:highlight w:val="none"/>
          <w:lang w:val="en-US" w:eastAsia="zh-CN"/>
        </w:rPr>
        <w:t>自动生成章节摘要、核心知识点树状图及关键结论</w:t>
      </w:r>
      <w:r>
        <w:rPr>
          <w:rFonts w:hint="eastAsia" w:asciiTheme="minorEastAsia" w:hAnsiTheme="minorEastAsia" w:eastAsiaTheme="minorEastAsia" w:cstheme="minorEastAsia"/>
          <w:highlight w:val="none"/>
          <w:lang w:val="en-US" w:eastAsia="zh-CN"/>
        </w:rPr>
        <w:t>。</w:t>
      </w:r>
    </w:p>
    <w:p w14:paraId="4275CCBA">
      <w:pPr>
        <w:pStyle w:val="105"/>
        <w:numPr>
          <w:ilvl w:val="0"/>
          <w:numId w:val="10"/>
        </w:numPr>
        <w:ind w:left="840" w:leftChars="0" w:hanging="420" w:firstLineChars="0"/>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知识拆解：</w:t>
      </w:r>
      <w:r>
        <w:rPr>
          <w:rFonts w:hint="eastAsia" w:asciiTheme="minorEastAsia" w:hAnsiTheme="minorEastAsia" w:eastAsiaTheme="minorEastAsia" w:cstheme="minorEastAsia"/>
          <w:highlight w:val="none"/>
          <w:lang w:val="en-US" w:eastAsia="zh-CN"/>
        </w:rPr>
        <w:t>支持</w:t>
      </w:r>
      <w:r>
        <w:rPr>
          <w:rFonts w:hint="default" w:asciiTheme="minorEastAsia" w:hAnsiTheme="minorEastAsia" w:eastAsiaTheme="minorEastAsia" w:cstheme="minorEastAsia"/>
          <w:highlight w:val="none"/>
          <w:lang w:val="en-US" w:eastAsia="zh-CN"/>
        </w:rPr>
        <w:t>按知识点标签（概念/公式/案例）拆分内容，关联至课程体系</w:t>
      </w:r>
      <w:r>
        <w:rPr>
          <w:rFonts w:hint="eastAsia" w:asciiTheme="minorEastAsia" w:hAnsiTheme="minorEastAsia" w:eastAsiaTheme="minorEastAsia" w:cstheme="minorEastAsia"/>
          <w:highlight w:val="none"/>
          <w:lang w:val="en-US" w:eastAsia="zh-CN"/>
        </w:rPr>
        <w:t>。</w:t>
      </w:r>
    </w:p>
    <w:p w14:paraId="680546B3">
      <w:pPr>
        <w:pStyle w:val="105"/>
        <w:numPr>
          <w:ilvl w:val="0"/>
          <w:numId w:val="10"/>
        </w:numPr>
        <w:ind w:left="840" w:leftChars="0" w:hanging="420" w:firstLineChars="0"/>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习题生成：</w:t>
      </w:r>
      <w:r>
        <w:rPr>
          <w:rFonts w:hint="eastAsia" w:asciiTheme="minorEastAsia" w:hAnsiTheme="minorEastAsia" w:eastAsiaTheme="minorEastAsia" w:cstheme="minorEastAsia"/>
          <w:highlight w:val="none"/>
          <w:lang w:val="en-US" w:eastAsia="zh-CN"/>
        </w:rPr>
        <w:t>支持</w:t>
      </w:r>
      <w:r>
        <w:rPr>
          <w:rFonts w:hint="default" w:asciiTheme="minorEastAsia" w:hAnsiTheme="minorEastAsia" w:eastAsiaTheme="minorEastAsia" w:cstheme="minorEastAsia"/>
          <w:highlight w:val="none"/>
          <w:lang w:val="en-US" w:eastAsia="zh-CN"/>
        </w:rPr>
        <w:t>基于上下文语义自动生成选择题、简答题及解析</w:t>
      </w:r>
      <w:r>
        <w:rPr>
          <w:rFonts w:hint="eastAsia" w:asciiTheme="minorEastAsia" w:hAnsiTheme="minorEastAsia" w:eastAsiaTheme="minorEastAsia" w:cstheme="minorEastAsia"/>
          <w:highlight w:val="none"/>
          <w:lang w:val="en-US" w:eastAsia="zh-CN"/>
        </w:rPr>
        <w:t>。</w:t>
      </w:r>
    </w:p>
    <w:p w14:paraId="41CD95FA">
      <w:pPr>
        <w:pStyle w:val="105"/>
        <w:numPr>
          <w:ilvl w:val="0"/>
          <w:numId w:val="10"/>
        </w:numPr>
        <w:ind w:left="840" w:leftChars="0" w:hanging="420" w:firstLineChars="0"/>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智能问答：用户可针对电子书内容提问，系统实时返回精准答案并定位原文出处。</w:t>
      </w:r>
    </w:p>
    <w:p w14:paraId="0B1C6D57">
      <w:pPr>
        <w:pStyle w:val="105"/>
        <w:rPr>
          <w:rFonts w:hint="eastAsia" w:eastAsia="宋体" w:asciiTheme="minorHAnsi" w:hAnsiTheme="minorHAnsi" w:cstheme="minorBidi"/>
          <w:b/>
          <w:bCs/>
          <w:kern w:val="2"/>
          <w:sz w:val="24"/>
          <w:szCs w:val="24"/>
          <w:highlight w:val="none"/>
          <w:lang w:val="en-US" w:eastAsia="zh-CN" w:bidi="ar-SA"/>
        </w:rPr>
      </w:pPr>
      <w:r>
        <w:rPr>
          <w:rFonts w:hint="eastAsia" w:eastAsia="宋体" w:asciiTheme="minorHAnsi" w:hAnsiTheme="minorHAnsi" w:cstheme="minorBidi"/>
          <w:b/>
          <w:bCs/>
          <w:kern w:val="2"/>
          <w:sz w:val="24"/>
          <w:szCs w:val="24"/>
          <w:highlight w:val="none"/>
          <w:lang w:val="en-US" w:eastAsia="zh-CN" w:bidi="ar-SA"/>
        </w:rPr>
        <w:t>技术要求：</w:t>
      </w:r>
    </w:p>
    <w:p w14:paraId="3B4CD2BA">
      <w:pPr>
        <w:pStyle w:val="105"/>
        <w:numPr>
          <w:ilvl w:val="0"/>
          <w:numId w:val="10"/>
        </w:numPr>
        <w:ind w:left="840" w:leftChars="0" w:hanging="420" w:firstLineChars="0"/>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内容解析能力</w:t>
      </w:r>
      <w:r>
        <w:rPr>
          <w:rFonts w:hint="eastAsia" w:asciiTheme="minorEastAsia" w:hAnsiTheme="minorEastAsia" w:eastAsiaTheme="minorEastAsia" w:cstheme="minorEastAsia"/>
          <w:highlight w:val="none"/>
          <w:lang w:val="en-US" w:eastAsia="zh-CN"/>
        </w:rPr>
        <w:t>：</w:t>
      </w:r>
      <w:r>
        <w:rPr>
          <w:rFonts w:hint="default" w:asciiTheme="minorEastAsia" w:hAnsiTheme="minorEastAsia" w:eastAsiaTheme="minorEastAsia" w:cstheme="minorEastAsia"/>
          <w:highlight w:val="none"/>
          <w:lang w:val="en-US" w:eastAsia="zh-CN"/>
        </w:rPr>
        <w:t>支持PDF/EPUB/DOCX等格式解析，提取文本、图表及数学公式，识别准确率≥95%</w:t>
      </w:r>
      <w:r>
        <w:rPr>
          <w:rFonts w:hint="eastAsia" w:asciiTheme="minorEastAsia" w:hAnsiTheme="minorEastAsia" w:eastAsiaTheme="minorEastAsia" w:cstheme="minorEastAsia"/>
          <w:highlight w:val="none"/>
          <w:lang w:val="en-US" w:eastAsia="zh-CN"/>
        </w:rPr>
        <w:t>。</w:t>
      </w:r>
    </w:p>
    <w:p w14:paraId="2B8467DC">
      <w:pPr>
        <w:pStyle w:val="105"/>
        <w:numPr>
          <w:ilvl w:val="0"/>
          <w:numId w:val="10"/>
        </w:numPr>
        <w:ind w:left="840" w:leftChars="0" w:hanging="420" w:firstLineChars="0"/>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智能交互性能</w:t>
      </w:r>
      <w:r>
        <w:rPr>
          <w:rFonts w:hint="eastAsia" w:asciiTheme="minorEastAsia" w:hAnsiTheme="minorEastAsia" w:eastAsiaTheme="minorEastAsia" w:cstheme="minorEastAsia"/>
          <w:highlight w:val="none"/>
          <w:lang w:val="en-US" w:eastAsia="zh-CN"/>
        </w:rPr>
        <w:t>：</w:t>
      </w:r>
      <w:r>
        <w:rPr>
          <w:rFonts w:hint="default" w:asciiTheme="minorEastAsia" w:hAnsiTheme="minorEastAsia" w:eastAsiaTheme="minorEastAsia" w:cstheme="minorEastAsia"/>
          <w:highlight w:val="none"/>
          <w:lang w:val="en-US" w:eastAsia="zh-CN"/>
        </w:rPr>
        <w:t>问答引擎需支持多轮对话，理解上下文关联问题</w:t>
      </w:r>
      <w:r>
        <w:rPr>
          <w:rFonts w:hint="eastAsia" w:asciiTheme="minorEastAsia" w:hAnsiTheme="minorEastAsia" w:eastAsiaTheme="minorEastAsia" w:cstheme="minorEastAsia"/>
          <w:highlight w:val="none"/>
          <w:lang w:val="en-US" w:eastAsia="zh-CN"/>
        </w:rPr>
        <w:t>。</w:t>
      </w:r>
    </w:p>
    <w:p w14:paraId="2F50EFBA">
      <w:pPr>
        <w:pStyle w:val="105"/>
        <w:numPr>
          <w:ilvl w:val="0"/>
          <w:numId w:val="10"/>
        </w:numPr>
        <w:ind w:left="840" w:leftChars="0" w:hanging="420" w:firstLineChars="0"/>
        <w:rPr>
          <w:rFonts w:hint="default" w:asciiTheme="minorEastAsia" w:hAnsiTheme="minorEastAsia" w:eastAsiaTheme="minorEastAsia" w:cstheme="minorEastAsia"/>
          <w:highlight w:val="none"/>
          <w:lang w:val="en-US" w:eastAsia="zh-CN"/>
        </w:rPr>
      </w:pPr>
      <w:r>
        <w:rPr>
          <w:rFonts w:hint="default" w:asciiTheme="minorEastAsia" w:hAnsiTheme="minorEastAsia" w:eastAsiaTheme="minorEastAsia" w:cstheme="minorEastAsia"/>
          <w:highlight w:val="none"/>
          <w:lang w:val="en-US" w:eastAsia="zh-CN"/>
        </w:rPr>
        <w:t>系统集成规范</w:t>
      </w:r>
      <w:r>
        <w:rPr>
          <w:rFonts w:hint="eastAsia" w:asciiTheme="minorEastAsia" w:hAnsiTheme="minorEastAsia" w:eastAsiaTheme="minorEastAsia" w:cstheme="minorEastAsia"/>
          <w:highlight w:val="none"/>
          <w:lang w:val="en-US" w:eastAsia="zh-CN"/>
        </w:rPr>
        <w:t>：</w:t>
      </w:r>
      <w:r>
        <w:rPr>
          <w:rFonts w:hint="default" w:asciiTheme="minorEastAsia" w:hAnsiTheme="minorEastAsia" w:eastAsiaTheme="minorEastAsia" w:cstheme="minorEastAsia"/>
          <w:highlight w:val="none"/>
          <w:lang w:val="en-US" w:eastAsia="zh-CN"/>
        </w:rPr>
        <w:t>用户学习行为数据（提问频次、练习正确率）纳入雷达评分体系，强化能力评估维度。</w:t>
      </w:r>
    </w:p>
    <w:p w14:paraId="2E5CE486">
      <w:pPr>
        <w:pStyle w:val="105"/>
        <w:numPr>
          <w:ilvl w:val="0"/>
          <w:numId w:val="0"/>
        </w:numPr>
        <w:rPr>
          <w:rFonts w:hint="eastAsia" w:ascii="宋体" w:hAnsi="宋体" w:eastAsia="宋体" w:cs="宋体"/>
          <w:lang w:val="en-US" w:eastAsia="zh-CN"/>
        </w:rPr>
      </w:pPr>
    </w:p>
    <w:p w14:paraId="3CAC3B26">
      <w:pPr>
        <w:pStyle w:val="5"/>
        <w:bidi w:val="0"/>
        <w:ind w:left="720" w:leftChars="0" w:hanging="720" w:firstLineChars="0"/>
        <w:rPr>
          <w:rFonts w:hint="eastAsia" w:ascii="宋体" w:hAnsi="宋体" w:eastAsia="宋体" w:cs="宋体"/>
          <w:lang w:val="en-US" w:eastAsia="zh-CN"/>
        </w:rPr>
      </w:pPr>
      <w:bookmarkStart w:id="35" w:name="_Toc12473"/>
      <w:bookmarkStart w:id="36" w:name="_Toc23223"/>
      <w:r>
        <w:rPr>
          <w:rFonts w:hint="eastAsia" w:ascii="宋体" w:hAnsi="宋体" w:eastAsia="宋体" w:cs="宋体"/>
          <w:lang w:val="en-US" w:eastAsia="zh-CN"/>
        </w:rPr>
        <w:t>智能化管理后台</w:t>
      </w:r>
      <w:bookmarkEnd w:id="35"/>
      <w:bookmarkEnd w:id="36"/>
    </w:p>
    <w:p w14:paraId="0F4E352D">
      <w:pPr>
        <w:pStyle w:val="105"/>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功能描述：</w:t>
      </w:r>
    </w:p>
    <w:p w14:paraId="5DF9B71D">
      <w:pPr>
        <w:pStyle w:val="105"/>
        <w:rPr>
          <w:rFonts w:hint="eastAsia" w:ascii="宋体" w:hAnsi="宋体" w:eastAsia="宋体" w:cs="宋体"/>
          <w:lang w:val="en-US" w:eastAsia="zh-CN"/>
        </w:rPr>
      </w:pPr>
      <w:r>
        <w:rPr>
          <w:rFonts w:hint="eastAsia" w:ascii="宋体" w:hAnsi="宋体" w:eastAsia="宋体" w:cs="宋体"/>
          <w:lang w:val="en-US" w:eastAsia="zh-CN"/>
        </w:rPr>
        <w:t>支持企业管理员高效管理用户权限、课程内容及学习任务。后台系统提供多层级权限配置（部门-岗位-群组）、AI自动出题、任务素材库管理、课程章节拖拽编排等功能，实现全流程数字化运营。</w:t>
      </w:r>
    </w:p>
    <w:p w14:paraId="433151E6">
      <w:pPr>
        <w:pStyle w:val="105"/>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技术要求：</w:t>
      </w:r>
    </w:p>
    <w:p w14:paraId="189D6DDC">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权限管理：实现RBAC（角色权限控制），支持数据权限隔离与批量导入（Excel模板解析）。</w:t>
      </w:r>
    </w:p>
    <w:p w14:paraId="53A17708">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AI出题：集成大模型生成QA对与组卷题目，支持导出题目至Excel或PDF。</w:t>
      </w:r>
    </w:p>
    <w:p w14:paraId="5879D475">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课程配置：采用灵活构建课程树形结构，支持一键发布与实时进度追踪。</w:t>
      </w:r>
    </w:p>
    <w:p w14:paraId="1AEBD158">
      <w:pPr>
        <w:pStyle w:val="5"/>
        <w:bidi w:val="0"/>
        <w:ind w:left="720" w:leftChars="0" w:hanging="720" w:firstLineChars="0"/>
        <w:rPr>
          <w:rFonts w:hint="eastAsia" w:ascii="宋体" w:hAnsi="宋体" w:eastAsia="宋体" w:cs="宋体"/>
          <w:lang w:val="en-US" w:eastAsia="zh-CN"/>
        </w:rPr>
      </w:pPr>
      <w:bookmarkStart w:id="37" w:name="_Toc6431"/>
      <w:bookmarkStart w:id="38" w:name="_Toc12159"/>
      <w:r>
        <w:rPr>
          <w:rFonts w:hint="eastAsia" w:ascii="宋体" w:hAnsi="宋体" w:eastAsia="宋体" w:cs="宋体"/>
          <w:lang w:val="en-US" w:eastAsia="zh-CN"/>
        </w:rPr>
        <w:t>移动端互动学习</w:t>
      </w:r>
      <w:bookmarkEnd w:id="37"/>
      <w:bookmarkEnd w:id="38"/>
    </w:p>
    <w:p w14:paraId="4BDB5792">
      <w:pPr>
        <w:pStyle w:val="105"/>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功能描述：</w:t>
      </w:r>
    </w:p>
    <w:p w14:paraId="6D66F412">
      <w:pPr>
        <w:pStyle w:val="105"/>
        <w:rPr>
          <w:rFonts w:hint="eastAsia" w:ascii="宋体" w:hAnsi="宋体" w:eastAsia="宋体" w:cs="宋体"/>
          <w:lang w:val="en-US" w:eastAsia="zh-CN"/>
        </w:rPr>
      </w:pPr>
      <w:r>
        <w:rPr>
          <w:rFonts w:hint="eastAsia" w:ascii="宋体" w:hAnsi="宋体" w:eastAsia="宋体" w:cs="宋体"/>
          <w:lang w:val="en-US" w:eastAsia="zh-CN"/>
        </w:rPr>
        <w:t>移动端提供跟读录音评分、实景演练对话、考试刷题等核心功能，结合实时学习进度跟踪与积分排名激励，打造闭环学习体验。用户可通过评分系统查看多维能力评估，针对性提升薄弱环节。</w:t>
      </w:r>
    </w:p>
    <w:p w14:paraId="689FC2B1">
      <w:pPr>
        <w:pStyle w:val="105"/>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技术要求：</w:t>
      </w:r>
    </w:p>
    <w:p w14:paraId="6E5C98DF">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数据缓存：使用Redis加速积分排名、成就勋章等高频数据的访问。</w:t>
      </w:r>
    </w:p>
    <w:p w14:paraId="253F65B8">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lang w:val="en-US" w:eastAsia="zh-CN"/>
        </w:rPr>
        <w:t>响应式设计：基于Vue/React Native框架适配iOS/Android系统，确保跨终端操作流畅性。</w:t>
      </w:r>
    </w:p>
    <w:p w14:paraId="285DBDBF">
      <w:pPr>
        <w:pStyle w:val="105"/>
        <w:numPr>
          <w:ilvl w:val="0"/>
          <w:numId w:val="0"/>
        </w:numPr>
        <w:ind w:left="420" w:leftChars="0"/>
        <w:rPr>
          <w:rFonts w:hint="eastAsia" w:ascii="宋体" w:hAnsi="宋体" w:eastAsia="宋体" w:cs="宋体"/>
          <w:lang w:val="en-US" w:eastAsia="zh-CN"/>
        </w:rPr>
      </w:pPr>
    </w:p>
    <w:p w14:paraId="653A8AD1">
      <w:pPr>
        <w:pStyle w:val="4"/>
        <w:bidi w:val="0"/>
        <w:ind w:left="575" w:leftChars="0" w:hanging="575" w:firstLineChars="0"/>
        <w:rPr>
          <w:rFonts w:hint="eastAsia" w:ascii="宋体" w:hAnsi="宋体" w:eastAsia="宋体" w:cs="宋体"/>
          <w:lang w:val="en-US" w:eastAsia="zh-CN"/>
        </w:rPr>
      </w:pPr>
      <w:bookmarkStart w:id="39" w:name="_Toc2323"/>
      <w:bookmarkStart w:id="40" w:name="_Toc29394"/>
      <w:r>
        <w:rPr>
          <w:rFonts w:hint="eastAsia" w:ascii="宋体" w:hAnsi="宋体" w:eastAsia="宋体" w:cs="宋体"/>
          <w:lang w:val="en-US" w:eastAsia="zh-CN"/>
        </w:rPr>
        <w:t>定制服务</w:t>
      </w:r>
      <w:bookmarkEnd w:id="39"/>
      <w:bookmarkEnd w:id="40"/>
    </w:p>
    <w:p w14:paraId="68D5D80A">
      <w:pPr>
        <w:pStyle w:val="5"/>
        <w:bidi w:val="0"/>
        <w:ind w:left="720" w:leftChars="0" w:hanging="720" w:firstLineChars="0"/>
        <w:rPr>
          <w:rFonts w:hint="eastAsia" w:ascii="宋体" w:hAnsi="宋体" w:eastAsia="宋体" w:cs="宋体"/>
          <w:lang w:val="en-US" w:eastAsia="zh-CN"/>
        </w:rPr>
      </w:pPr>
      <w:bookmarkStart w:id="41" w:name="_Toc17118"/>
      <w:bookmarkStart w:id="42" w:name="_Toc11380"/>
      <w:r>
        <w:rPr>
          <w:rFonts w:hint="eastAsia" w:ascii="宋体" w:hAnsi="宋体" w:eastAsia="宋体" w:cs="宋体"/>
          <w:lang w:val="en-US" w:eastAsia="zh-CN"/>
        </w:rPr>
        <w:t>服务范围与内容</w:t>
      </w:r>
      <w:bookmarkEnd w:id="41"/>
      <w:bookmarkEnd w:id="42"/>
    </w:p>
    <w:p w14:paraId="6FA1101C">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b/>
          <w:bCs/>
          <w:lang w:val="en-US" w:eastAsia="zh-CN"/>
        </w:rPr>
        <w:t>需求响应：</w:t>
      </w:r>
      <w:r>
        <w:rPr>
          <w:rFonts w:hint="eastAsia" w:ascii="宋体" w:hAnsi="宋体" w:eastAsia="宋体" w:cs="宋体"/>
          <w:lang w:val="en-US" w:eastAsia="zh-CN"/>
        </w:rPr>
        <w:t>明确根据采购方具体需求提供定制化解决方案。</w:t>
      </w:r>
    </w:p>
    <w:p w14:paraId="5077DA5E">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b/>
          <w:bCs/>
          <w:lang w:val="en-US" w:eastAsia="zh-CN"/>
        </w:rPr>
        <w:t>服务模块：</w:t>
      </w:r>
      <w:r>
        <w:rPr>
          <w:rFonts w:hint="eastAsia" w:ascii="宋体" w:hAnsi="宋体" w:eastAsia="宋体" w:cs="宋体"/>
          <w:lang w:val="en-US" w:eastAsia="zh-CN"/>
        </w:rPr>
        <w:t>定制服务内容需包含以下内容，并细化各阶段交付物：</w:t>
      </w:r>
    </w:p>
    <w:p w14:paraId="1D0CAD36">
      <w:pPr>
        <w:pStyle w:val="105"/>
        <w:widowControl w:val="0"/>
        <w:numPr>
          <w:ilvl w:val="0"/>
          <w:numId w:val="11"/>
        </w:numPr>
        <w:tabs>
          <w:tab w:val="left" w:pos="420"/>
        </w:tabs>
        <w:spacing w:before="0" w:beforeAutospacing="0" w:after="0" w:afterAutospacing="0" w:line="500" w:lineRule="exact"/>
        <w:ind w:left="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需求分析与确认</w:t>
      </w:r>
    </w:p>
    <w:p w14:paraId="0D6EF75E">
      <w:pPr>
        <w:pStyle w:val="105"/>
        <w:widowControl w:val="0"/>
        <w:numPr>
          <w:ilvl w:val="0"/>
          <w:numId w:val="12"/>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需求调研：通过访谈、会议对接、业务流程观察等方式，全面收集采购方业务痛点、功能期望及技术约束条件。</w:t>
      </w:r>
    </w:p>
    <w:p w14:paraId="26CE0DB9">
      <w:pPr>
        <w:pStyle w:val="105"/>
        <w:widowControl w:val="0"/>
        <w:numPr>
          <w:ilvl w:val="0"/>
          <w:numId w:val="12"/>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需求文档编写：输出《定制需求规格说明书》，明确功能列表、非功能性需求及优先级。</w:t>
      </w:r>
    </w:p>
    <w:p w14:paraId="15408DAE">
      <w:pPr>
        <w:pStyle w:val="105"/>
        <w:widowControl w:val="0"/>
        <w:numPr>
          <w:ilvl w:val="0"/>
          <w:numId w:val="12"/>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需求确认：组织多方评审会议，与采购方逐条确认需求，签署书面确认文件。</w:t>
      </w:r>
    </w:p>
    <w:p w14:paraId="23D48079">
      <w:pPr>
        <w:pStyle w:val="105"/>
        <w:widowControl w:val="0"/>
        <w:numPr>
          <w:ilvl w:val="0"/>
          <w:numId w:val="11"/>
        </w:numPr>
        <w:tabs>
          <w:tab w:val="left" w:pos="420"/>
        </w:tabs>
        <w:spacing w:before="0" w:beforeAutospacing="0" w:after="0" w:afterAutospacing="0" w:line="500" w:lineRule="exact"/>
        <w:ind w:left="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方案设计与评审</w:t>
      </w:r>
    </w:p>
    <w:p w14:paraId="71ED913B">
      <w:pPr>
        <w:pStyle w:val="105"/>
        <w:widowControl w:val="0"/>
        <w:numPr>
          <w:ilvl w:val="0"/>
          <w:numId w:val="13"/>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系统架构设计：根据需求设计技术架构图、数据库模型及接口规范。</w:t>
      </w:r>
    </w:p>
    <w:p w14:paraId="73B773D7">
      <w:pPr>
        <w:pStyle w:val="105"/>
        <w:widowControl w:val="0"/>
        <w:numPr>
          <w:ilvl w:val="0"/>
          <w:numId w:val="13"/>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原型与UI设计：提供高保真原型图（Axure/Figma）及交互逻辑说明，确保用户体验符合预期。</w:t>
      </w:r>
    </w:p>
    <w:p w14:paraId="6E861D46">
      <w:pPr>
        <w:pStyle w:val="105"/>
        <w:widowControl w:val="0"/>
        <w:numPr>
          <w:ilvl w:val="0"/>
          <w:numId w:val="13"/>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技术方案评审：提交《技术实施方案》，包含技术选型、第三方工具集成方案及风险评估。</w:t>
      </w:r>
    </w:p>
    <w:p w14:paraId="464E8983">
      <w:pPr>
        <w:pStyle w:val="105"/>
        <w:widowControl w:val="0"/>
        <w:numPr>
          <w:ilvl w:val="0"/>
          <w:numId w:val="11"/>
        </w:numPr>
        <w:tabs>
          <w:tab w:val="left" w:pos="420"/>
        </w:tabs>
        <w:spacing w:before="0" w:beforeAutospacing="0" w:after="0" w:afterAutospacing="0" w:line="500" w:lineRule="exact"/>
        <w:ind w:left="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开发与实施</w:t>
      </w:r>
    </w:p>
    <w:p w14:paraId="7B5DDC82">
      <w:pPr>
        <w:pStyle w:val="105"/>
        <w:widowControl w:val="0"/>
        <w:numPr>
          <w:ilvl w:val="0"/>
          <w:numId w:val="14"/>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代码开发：按模块拆分开发任务，采用Git进行版本控制，每日提交进度报告。</w:t>
      </w:r>
    </w:p>
    <w:p w14:paraId="07BAD099">
      <w:pPr>
        <w:pStyle w:val="105"/>
        <w:widowControl w:val="0"/>
        <w:numPr>
          <w:ilvl w:val="0"/>
          <w:numId w:val="14"/>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定制模块开发：针对特殊需求开发专属功能。</w:t>
      </w:r>
    </w:p>
    <w:p w14:paraId="2C1C47A0">
      <w:pPr>
        <w:pStyle w:val="105"/>
        <w:widowControl w:val="0"/>
        <w:numPr>
          <w:ilvl w:val="0"/>
          <w:numId w:val="14"/>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数据迁移与初始化：提供历史数据清洗、格式转换及系统初始化服务，确保数据完整性与一致性。</w:t>
      </w:r>
    </w:p>
    <w:p w14:paraId="4CEEE1E4">
      <w:pPr>
        <w:pStyle w:val="105"/>
        <w:widowControl w:val="0"/>
        <w:numPr>
          <w:ilvl w:val="0"/>
          <w:numId w:val="11"/>
        </w:numPr>
        <w:tabs>
          <w:tab w:val="left" w:pos="420"/>
        </w:tabs>
        <w:spacing w:before="0" w:beforeAutospacing="0" w:after="0" w:afterAutospacing="0" w:line="500" w:lineRule="exact"/>
        <w:ind w:left="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测试与验收</w:t>
      </w:r>
    </w:p>
    <w:p w14:paraId="36257577">
      <w:pPr>
        <w:pStyle w:val="105"/>
        <w:widowControl w:val="0"/>
        <w:numPr>
          <w:ilvl w:val="0"/>
          <w:numId w:val="15"/>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单元测试：开发团队完成模块级测试，覆盖率≥90%，输出《单元测试报告》。</w:t>
      </w:r>
    </w:p>
    <w:p w14:paraId="679C0A8F">
      <w:pPr>
        <w:pStyle w:val="105"/>
        <w:widowControl w:val="0"/>
        <w:numPr>
          <w:ilvl w:val="0"/>
          <w:numId w:val="15"/>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集成测试：模拟多模块联调，验证系统整体功能及性能。</w:t>
      </w:r>
    </w:p>
    <w:p w14:paraId="14C94984">
      <w:pPr>
        <w:pStyle w:val="105"/>
        <w:widowControl w:val="0"/>
        <w:numPr>
          <w:ilvl w:val="0"/>
          <w:numId w:val="11"/>
        </w:numPr>
        <w:tabs>
          <w:tab w:val="left" w:pos="420"/>
        </w:tabs>
        <w:spacing w:before="0" w:beforeAutospacing="0" w:after="0" w:afterAutospacing="0" w:line="500" w:lineRule="exact"/>
        <w:ind w:left="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 xml:space="preserve"> 部署与上线支持</w:t>
      </w:r>
    </w:p>
    <w:p w14:paraId="58582F2E">
      <w:pPr>
        <w:pStyle w:val="105"/>
        <w:widowControl w:val="0"/>
        <w:numPr>
          <w:ilvl w:val="0"/>
          <w:numId w:val="16"/>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系统部署：提供云端或本地化部署方案，完成环境配置、域名解析及安全加固。</w:t>
      </w:r>
    </w:p>
    <w:p w14:paraId="3A004FC8">
      <w:pPr>
        <w:pStyle w:val="105"/>
        <w:widowControl w:val="0"/>
        <w:numPr>
          <w:ilvl w:val="0"/>
          <w:numId w:val="16"/>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灰度发布：支持分阶段上线，监控运行稳定性。</w:t>
      </w:r>
    </w:p>
    <w:p w14:paraId="12E1FD2B">
      <w:pPr>
        <w:pStyle w:val="105"/>
        <w:widowControl w:val="0"/>
        <w:numPr>
          <w:ilvl w:val="0"/>
          <w:numId w:val="16"/>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上线保障：派驻工程师现场支持，确保首周系统平稳过渡。</w:t>
      </w:r>
    </w:p>
    <w:p w14:paraId="681C28B7">
      <w:pPr>
        <w:pStyle w:val="105"/>
        <w:widowControl w:val="0"/>
        <w:numPr>
          <w:ilvl w:val="0"/>
          <w:numId w:val="11"/>
        </w:numPr>
        <w:tabs>
          <w:tab w:val="left" w:pos="420"/>
        </w:tabs>
        <w:spacing w:before="0" w:beforeAutospacing="0" w:after="0" w:afterAutospacing="0" w:line="500" w:lineRule="exact"/>
        <w:ind w:left="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培训与知识转移</w:t>
      </w:r>
    </w:p>
    <w:p w14:paraId="15A942FF">
      <w:pPr>
        <w:pStyle w:val="105"/>
        <w:widowControl w:val="0"/>
        <w:numPr>
          <w:ilvl w:val="0"/>
          <w:numId w:val="17"/>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操作培训：针对不同角色定制培训课程，提供操作手册及视频教程。</w:t>
      </w:r>
    </w:p>
    <w:p w14:paraId="0979BBCA">
      <w:pPr>
        <w:pStyle w:val="105"/>
        <w:widowControl w:val="0"/>
        <w:numPr>
          <w:ilvl w:val="0"/>
          <w:numId w:val="17"/>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技术培训：向采购方IT团队传授系统维护技能。</w:t>
      </w:r>
    </w:p>
    <w:p w14:paraId="1A8E6B5A">
      <w:pPr>
        <w:pStyle w:val="105"/>
        <w:widowControl w:val="0"/>
        <w:numPr>
          <w:ilvl w:val="0"/>
          <w:numId w:val="17"/>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知识库移交：交付完整技术文档（如架构说明、API文档、运维指南）。</w:t>
      </w:r>
    </w:p>
    <w:p w14:paraId="6C4F1F93">
      <w:pPr>
        <w:pStyle w:val="105"/>
        <w:widowControl w:val="0"/>
        <w:numPr>
          <w:ilvl w:val="0"/>
          <w:numId w:val="11"/>
        </w:numPr>
        <w:tabs>
          <w:tab w:val="left" w:pos="420"/>
        </w:tabs>
        <w:spacing w:before="0" w:beforeAutospacing="0" w:after="0" w:afterAutospacing="0" w:line="500" w:lineRule="exact"/>
        <w:ind w:left="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售后维护与优化</w:t>
      </w:r>
    </w:p>
    <w:p w14:paraId="2715A6B0">
      <w:pPr>
        <w:pStyle w:val="105"/>
        <w:widowControl w:val="0"/>
        <w:numPr>
          <w:ilvl w:val="0"/>
          <w:numId w:val="18"/>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维护期服务：提供1年免费维保，涵盖Bug修复、性能调优及小功能迭代。</w:t>
      </w:r>
    </w:p>
    <w:p w14:paraId="1621729E">
      <w:pPr>
        <w:pStyle w:val="105"/>
        <w:widowControl w:val="0"/>
        <w:numPr>
          <w:ilvl w:val="0"/>
          <w:numId w:val="18"/>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应急响应：7×24小时支持，2小时内响应严重故障，8小时内提供解决方案。</w:t>
      </w:r>
    </w:p>
    <w:p w14:paraId="7E0A4874">
      <w:pPr>
        <w:pStyle w:val="105"/>
        <w:widowControl w:val="0"/>
        <w:numPr>
          <w:ilvl w:val="0"/>
          <w:numId w:val="18"/>
        </w:numPr>
        <w:tabs>
          <w:tab w:val="left" w:pos="420"/>
        </w:tabs>
        <w:spacing w:before="0" w:beforeAutospacing="0" w:after="0" w:afterAutospacing="0" w:line="500" w:lineRule="exact"/>
        <w:ind w:left="420" w:leftChars="0" w:firstLine="400" w:firstLineChars="0"/>
        <w:jc w:val="both"/>
        <w:rPr>
          <w:rFonts w:hint="eastAsia" w:ascii="宋体" w:hAnsi="宋体" w:eastAsia="宋体" w:cs="宋体"/>
          <w:lang w:val="en-US" w:eastAsia="zh-CN"/>
        </w:rPr>
      </w:pPr>
      <w:r>
        <w:rPr>
          <w:rFonts w:hint="eastAsia" w:ascii="宋体" w:hAnsi="宋体" w:eastAsia="宋体" w:cs="宋体"/>
          <w:lang w:val="en-US" w:eastAsia="zh-CN"/>
        </w:rPr>
        <w:t>持续优化：按季度收集反馈，制定功能升级计划。</w:t>
      </w:r>
    </w:p>
    <w:p w14:paraId="2E84DD15">
      <w:pPr>
        <w:pStyle w:val="5"/>
        <w:bidi w:val="0"/>
        <w:ind w:left="720" w:leftChars="0" w:hanging="720" w:firstLineChars="0"/>
        <w:rPr>
          <w:rFonts w:hint="eastAsia" w:ascii="宋体" w:hAnsi="宋体" w:eastAsia="宋体" w:cs="宋体"/>
          <w:lang w:val="en-US" w:eastAsia="zh-CN"/>
        </w:rPr>
      </w:pPr>
      <w:bookmarkStart w:id="43" w:name="_Toc15506"/>
      <w:bookmarkStart w:id="44" w:name="_Toc15220"/>
      <w:r>
        <w:rPr>
          <w:rFonts w:hint="eastAsia" w:ascii="宋体" w:hAnsi="宋体" w:eastAsia="宋体" w:cs="宋体"/>
          <w:lang w:val="en-US" w:eastAsia="zh-CN"/>
        </w:rPr>
        <w:t>执行标准与流程</w:t>
      </w:r>
      <w:bookmarkEnd w:id="43"/>
      <w:bookmarkEnd w:id="44"/>
    </w:p>
    <w:p w14:paraId="7AEBF356">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b/>
          <w:bCs/>
          <w:lang w:val="en-US" w:eastAsia="zh-CN"/>
        </w:rPr>
        <w:t>实施流程：</w:t>
      </w:r>
      <w:r>
        <w:rPr>
          <w:rFonts w:hint="eastAsia" w:ascii="宋体" w:hAnsi="宋体" w:eastAsia="宋体" w:cs="宋体"/>
          <w:lang w:val="en-US" w:eastAsia="zh-CN"/>
        </w:rPr>
        <w:t>描述从需求对接→方案确认→开发迭代→交付验收的全流程，并注明关键节点。</w:t>
      </w:r>
    </w:p>
    <w:p w14:paraId="05F43D7C">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b/>
          <w:bCs/>
          <w:lang w:val="en-US" w:eastAsia="zh-CN"/>
        </w:rPr>
        <w:t>技术标准：</w:t>
      </w:r>
      <w:r>
        <w:rPr>
          <w:rFonts w:hint="eastAsia" w:ascii="宋体" w:hAnsi="宋体" w:eastAsia="宋体" w:cs="宋体"/>
          <w:lang w:val="en-US" w:eastAsia="zh-CN"/>
        </w:rPr>
        <w:t>引用行业规范或自研技术框架，确保定制服务符合安全性、兼容性及性能要求。</w:t>
      </w:r>
    </w:p>
    <w:p w14:paraId="1C854928">
      <w:pPr>
        <w:pStyle w:val="5"/>
        <w:bidi w:val="0"/>
        <w:ind w:left="720" w:leftChars="0" w:hanging="720" w:firstLineChars="0"/>
        <w:rPr>
          <w:rFonts w:hint="eastAsia" w:ascii="宋体" w:hAnsi="宋体" w:eastAsia="宋体" w:cs="宋体"/>
          <w:lang w:val="en-US" w:eastAsia="zh-CN"/>
        </w:rPr>
      </w:pPr>
      <w:bookmarkStart w:id="45" w:name="_Toc7072"/>
      <w:bookmarkStart w:id="46" w:name="_Toc27126"/>
      <w:r>
        <w:rPr>
          <w:rFonts w:hint="eastAsia" w:ascii="宋体" w:hAnsi="宋体" w:eastAsia="宋体" w:cs="宋体"/>
          <w:lang w:val="en-US" w:eastAsia="zh-CN"/>
        </w:rPr>
        <w:t>质量保障与售后服务</w:t>
      </w:r>
      <w:bookmarkEnd w:id="45"/>
      <w:bookmarkEnd w:id="46"/>
    </w:p>
    <w:p w14:paraId="095C7EA0">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b/>
          <w:bCs/>
          <w:lang w:val="en-US" w:eastAsia="zh-CN"/>
        </w:rPr>
        <w:t>质量控制：</w:t>
      </w:r>
      <w:r>
        <w:rPr>
          <w:rFonts w:hint="eastAsia" w:ascii="宋体" w:hAnsi="宋体" w:eastAsia="宋体" w:cs="宋体"/>
          <w:lang w:val="en-US" w:eastAsia="zh-CN"/>
        </w:rPr>
        <w:t>承诺代码审查、自动化测试覆盖率≥90%、第三方安全渗透测试等具体措施。</w:t>
      </w:r>
    </w:p>
    <w:p w14:paraId="7CBBF0E1">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b/>
          <w:bCs/>
          <w:lang w:val="en-US" w:eastAsia="zh-CN"/>
        </w:rPr>
        <w:t>服务承诺：</w:t>
      </w:r>
      <w:r>
        <w:rPr>
          <w:rFonts w:hint="eastAsia" w:ascii="宋体" w:hAnsi="宋体" w:eastAsia="宋体" w:cs="宋体"/>
          <w:lang w:val="en-US" w:eastAsia="zh-CN"/>
        </w:rPr>
        <w:t>明确免费维护期、响应时效、升级优化机制。</w:t>
      </w:r>
    </w:p>
    <w:p w14:paraId="2342870C">
      <w:pPr>
        <w:pStyle w:val="4"/>
        <w:bidi w:val="0"/>
        <w:ind w:left="575" w:leftChars="0" w:hanging="575" w:firstLineChars="0"/>
        <w:rPr>
          <w:rFonts w:hint="eastAsia" w:ascii="宋体" w:hAnsi="宋体" w:eastAsia="宋体" w:cs="宋体"/>
          <w:lang w:val="en-US" w:eastAsia="zh-CN"/>
        </w:rPr>
      </w:pPr>
      <w:bookmarkStart w:id="47" w:name="_Toc14111"/>
      <w:bookmarkStart w:id="48" w:name="_Toc15587"/>
      <w:r>
        <w:rPr>
          <w:rFonts w:hint="eastAsia" w:ascii="宋体" w:hAnsi="宋体" w:eastAsia="宋体" w:cs="宋体"/>
          <w:lang w:val="en-US" w:eastAsia="zh-CN"/>
        </w:rPr>
        <w:t>交付与验收标准</w:t>
      </w:r>
      <w:bookmarkEnd w:id="47"/>
      <w:bookmarkEnd w:id="48"/>
    </w:p>
    <w:p w14:paraId="326B817F">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b/>
          <w:bCs/>
          <w:lang w:val="en-US" w:eastAsia="zh-CN"/>
        </w:rPr>
        <w:t>交付物清单：</w:t>
      </w:r>
      <w:r>
        <w:rPr>
          <w:rFonts w:hint="eastAsia" w:ascii="宋体" w:hAnsi="宋体" w:eastAsia="宋体" w:cs="宋体"/>
          <w:lang w:val="en-US" w:eastAsia="zh-CN"/>
        </w:rPr>
        <w:t>列明所有交付内容及格式要求。</w:t>
      </w:r>
    </w:p>
    <w:p w14:paraId="14ECC012">
      <w:pPr>
        <w:pStyle w:val="105"/>
        <w:numPr>
          <w:ilvl w:val="0"/>
          <w:numId w:val="10"/>
        </w:numPr>
        <w:ind w:left="840" w:leftChars="0" w:hanging="420" w:firstLineChars="0"/>
        <w:rPr>
          <w:rFonts w:hint="eastAsia" w:ascii="宋体" w:hAnsi="宋体" w:eastAsia="宋体" w:cs="宋体"/>
          <w:lang w:val="en-US" w:eastAsia="zh-CN"/>
        </w:rPr>
      </w:pPr>
      <w:r>
        <w:rPr>
          <w:rFonts w:hint="eastAsia" w:ascii="宋体" w:hAnsi="宋体" w:eastAsia="宋体" w:cs="宋体"/>
          <w:b/>
          <w:bCs/>
          <w:lang w:val="en-US" w:eastAsia="zh-CN"/>
        </w:rPr>
        <w:t>验收条款：</w:t>
      </w:r>
      <w:r>
        <w:rPr>
          <w:rFonts w:hint="eastAsia" w:ascii="宋体" w:hAnsi="宋体" w:eastAsia="宋体" w:cs="宋体"/>
          <w:lang w:val="en-US" w:eastAsia="zh-CN"/>
        </w:rPr>
        <w:t>定义验收流程、不合格处理方案及最终确认方式。</w:t>
      </w:r>
    </w:p>
    <w:p w14:paraId="201912F3">
      <w:pPr>
        <w:pStyle w:val="105"/>
        <w:widowControl w:val="0"/>
        <w:numPr>
          <w:ilvl w:val="0"/>
          <w:numId w:val="0"/>
        </w:numPr>
        <w:tabs>
          <w:tab w:val="left" w:pos="840"/>
        </w:tabs>
        <w:spacing w:before="0" w:beforeAutospacing="0" w:after="0" w:afterAutospacing="0" w:line="500" w:lineRule="exact"/>
        <w:jc w:val="both"/>
        <w:rPr>
          <w:rFonts w:hint="eastAsia" w:ascii="宋体" w:hAnsi="宋体" w:eastAsia="宋体" w:cs="宋体"/>
          <w:lang w:val="en-US" w:eastAsia="zh-CN"/>
        </w:rPr>
      </w:pPr>
    </w:p>
    <w:p w14:paraId="5E70D3DC">
      <w:pPr>
        <w:pStyle w:val="2"/>
        <w:bidi w:val="0"/>
        <w:ind w:left="432" w:leftChars="0" w:hanging="432" w:firstLineChars="0"/>
        <w:rPr>
          <w:rFonts w:hint="eastAsia" w:ascii="宋体" w:hAnsi="宋体" w:eastAsia="宋体" w:cs="宋体"/>
          <w:lang w:val="en-US" w:eastAsia="zh-Hans"/>
        </w:rPr>
      </w:pPr>
      <w:bookmarkStart w:id="49" w:name="_Toc29958"/>
      <w:bookmarkStart w:id="50" w:name="_Toc25425"/>
      <w:bookmarkStart w:id="51" w:name="_Toc30614"/>
      <w:bookmarkStart w:id="52" w:name="_Toc17420"/>
      <w:bookmarkStart w:id="53" w:name="_Toc21424"/>
      <w:bookmarkStart w:id="54" w:name="_Toc15036"/>
      <w:bookmarkStart w:id="55" w:name="_Toc4973"/>
      <w:bookmarkStart w:id="56" w:name="_Toc12080"/>
      <w:r>
        <w:rPr>
          <w:rFonts w:hint="eastAsia" w:ascii="宋体" w:hAnsi="宋体" w:eastAsia="宋体" w:cs="宋体"/>
          <w:lang w:val="en-US" w:eastAsia="zh-Hans"/>
        </w:rPr>
        <w:t>技术支撑服务要求</w:t>
      </w:r>
      <w:bookmarkEnd w:id="49"/>
      <w:bookmarkEnd w:id="50"/>
      <w:bookmarkEnd w:id="51"/>
      <w:bookmarkEnd w:id="52"/>
      <w:bookmarkEnd w:id="53"/>
    </w:p>
    <w:p w14:paraId="6CA3E935">
      <w:pPr>
        <w:pStyle w:val="4"/>
        <w:bidi w:val="0"/>
        <w:ind w:left="575" w:leftChars="0" w:hanging="575" w:firstLineChars="0"/>
        <w:rPr>
          <w:rFonts w:hint="eastAsia" w:ascii="宋体" w:hAnsi="宋体" w:eastAsia="宋体" w:cs="宋体"/>
          <w:lang w:val="en-US" w:eastAsia="zh-Hans"/>
        </w:rPr>
      </w:pPr>
      <w:bookmarkStart w:id="57" w:name="_Toc13129"/>
      <w:bookmarkStart w:id="58" w:name="_Toc1208"/>
      <w:r>
        <w:rPr>
          <w:rFonts w:hint="eastAsia" w:ascii="宋体" w:hAnsi="宋体" w:eastAsia="宋体" w:cs="宋体"/>
          <w:lang w:val="en-US" w:eastAsia="zh-Hans"/>
        </w:rPr>
        <w:t>技术支持服务</w:t>
      </w:r>
      <w:bookmarkEnd w:id="54"/>
      <w:bookmarkEnd w:id="57"/>
      <w:bookmarkEnd w:id="58"/>
    </w:p>
    <w:p w14:paraId="5F1F937C">
      <w:pPr>
        <w:pStyle w:val="105"/>
        <w:rPr>
          <w:rFonts w:hint="eastAsia" w:ascii="宋体" w:hAnsi="宋体" w:eastAsia="宋体" w:cs="宋体"/>
          <w:lang w:val="en-US" w:eastAsia="en-US"/>
        </w:rPr>
      </w:pPr>
      <w:r>
        <w:rPr>
          <w:rFonts w:hint="eastAsia" w:cs="宋体"/>
          <w:sz w:val="24"/>
          <w:szCs w:val="24"/>
          <w:lang w:val="en-US" w:eastAsia="zh-CN"/>
        </w:rPr>
        <w:t>技术支撑服务覆盖江苏全省范围内客户，</w:t>
      </w:r>
      <w:r>
        <w:rPr>
          <w:rFonts w:hint="eastAsia" w:ascii="宋体" w:hAnsi="宋体" w:eastAsia="宋体" w:cs="宋体"/>
          <w:lang w:val="en-US" w:eastAsia="en-US"/>
        </w:rPr>
        <w:t>针对现场技术支持服务，应答方应具有完善的技术支持体系。保证每周7×24小时响应支撑并在指定的时间内处理完毕，同时提交报告说明及相关文档资料。故障响应及时率100%，故障修复及时率100%。除了现场技术支持中心，还</w:t>
      </w:r>
      <w:r>
        <w:rPr>
          <w:rFonts w:hint="eastAsia" w:ascii="宋体" w:hAnsi="宋体" w:eastAsia="宋体" w:cs="宋体"/>
          <w:lang w:val="en-US" w:eastAsia="zh-Hans"/>
        </w:rPr>
        <w:t>需</w:t>
      </w:r>
      <w:r>
        <w:rPr>
          <w:rFonts w:hint="eastAsia" w:ascii="宋体" w:hAnsi="宋体" w:eastAsia="宋体" w:cs="宋体"/>
          <w:lang w:val="en-US" w:eastAsia="en-US"/>
        </w:rPr>
        <w:t>提供其它多种技术支持手段。</w:t>
      </w:r>
    </w:p>
    <w:p w14:paraId="2BD1AA81">
      <w:pPr>
        <w:pStyle w:val="105"/>
        <w:rPr>
          <w:rFonts w:hint="eastAsia" w:ascii="宋体" w:hAnsi="宋体" w:eastAsia="宋体" w:cs="宋体"/>
          <w:lang w:val="en-US" w:eastAsia="en-US"/>
        </w:rPr>
      </w:pPr>
      <w:r>
        <w:rPr>
          <w:rFonts w:hint="eastAsia" w:ascii="宋体" w:hAnsi="宋体" w:eastAsia="宋体" w:cs="宋体"/>
          <w:lang w:val="en-US" w:eastAsia="en-US"/>
        </w:rPr>
        <w:t>（1）需求调研服务</w:t>
      </w:r>
    </w:p>
    <w:p w14:paraId="1CCD0416">
      <w:pPr>
        <w:pStyle w:val="105"/>
        <w:rPr>
          <w:rFonts w:hint="eastAsia" w:ascii="宋体" w:hAnsi="宋体" w:eastAsia="宋体" w:cs="宋体"/>
          <w:lang w:val="en-US" w:eastAsia="en-US"/>
        </w:rPr>
      </w:pPr>
      <w:r>
        <w:rPr>
          <w:rFonts w:hint="eastAsia" w:ascii="宋体" w:hAnsi="宋体" w:eastAsia="宋体" w:cs="宋体"/>
          <w:lang w:val="en-US" w:eastAsia="en-US"/>
        </w:rPr>
        <w:t>需求调研服务：协助进行包括需求收集、技术交流、方案设计、现场勘查等工作</w:t>
      </w:r>
    </w:p>
    <w:p w14:paraId="485DAF9E">
      <w:pPr>
        <w:pStyle w:val="105"/>
        <w:rPr>
          <w:rFonts w:hint="eastAsia" w:ascii="宋体" w:hAnsi="宋体" w:eastAsia="宋体" w:cs="宋体"/>
          <w:lang w:val="en-US" w:eastAsia="en-US"/>
        </w:rPr>
      </w:pPr>
      <w:r>
        <w:rPr>
          <w:rFonts w:hint="eastAsia" w:ascii="宋体" w:hAnsi="宋体" w:eastAsia="宋体" w:cs="宋体"/>
          <w:lang w:val="en-US" w:eastAsia="en-US"/>
        </w:rPr>
        <w:t>（2）实施方案服务</w:t>
      </w:r>
    </w:p>
    <w:p w14:paraId="5F64F9D0">
      <w:pPr>
        <w:pStyle w:val="105"/>
        <w:rPr>
          <w:rFonts w:hint="eastAsia" w:ascii="宋体" w:hAnsi="宋体" w:eastAsia="宋体" w:cs="宋体"/>
          <w:lang w:val="en-US" w:eastAsia="en-US"/>
        </w:rPr>
      </w:pPr>
      <w:r>
        <w:rPr>
          <w:rFonts w:hint="eastAsia" w:ascii="宋体" w:hAnsi="宋体" w:eastAsia="宋体" w:cs="宋体"/>
          <w:lang w:val="en-US" w:eastAsia="en-US"/>
        </w:rPr>
        <w:t>实施方案设计执行：协助客户进行包括项目实施方案的初步设计、编制、整合等，以及现场具体安装实施调试工作</w:t>
      </w:r>
    </w:p>
    <w:p w14:paraId="3455A0FC">
      <w:pPr>
        <w:pStyle w:val="105"/>
        <w:rPr>
          <w:rFonts w:hint="eastAsia" w:ascii="宋体" w:hAnsi="宋体" w:eastAsia="宋体" w:cs="宋体"/>
          <w:lang w:val="en-US" w:eastAsia="en-US"/>
        </w:rPr>
      </w:pPr>
      <w:r>
        <w:rPr>
          <w:rFonts w:hint="eastAsia" w:ascii="宋体" w:hAnsi="宋体" w:eastAsia="宋体" w:cs="宋体"/>
          <w:lang w:val="en-US" w:eastAsia="en-US"/>
        </w:rPr>
        <w:t>（3）投诉及故障处理服务</w:t>
      </w:r>
    </w:p>
    <w:p w14:paraId="3D56A648">
      <w:pPr>
        <w:pStyle w:val="105"/>
        <w:rPr>
          <w:rFonts w:hint="eastAsia" w:ascii="宋体" w:hAnsi="宋体" w:eastAsia="宋体" w:cs="宋体"/>
          <w:lang w:val="en-US" w:eastAsia="en-US"/>
        </w:rPr>
      </w:pPr>
      <w:r>
        <w:rPr>
          <w:rFonts w:hint="eastAsia" w:ascii="宋体" w:hAnsi="宋体" w:eastAsia="宋体" w:cs="宋体"/>
          <w:lang w:val="en-US" w:eastAsia="en-US"/>
        </w:rPr>
        <w:t>客户投诉及故障处理：平台相关的咨询、投诉、报障的处理，解决客户疑惑和操作解答，协助客户进行故障定位，保障平台稳定运行；</w:t>
      </w:r>
    </w:p>
    <w:p w14:paraId="44BF03F8">
      <w:pPr>
        <w:pStyle w:val="105"/>
        <w:rPr>
          <w:rFonts w:hint="eastAsia" w:ascii="宋体" w:hAnsi="宋体" w:eastAsia="宋体" w:cs="宋体"/>
          <w:lang w:val="en-US" w:eastAsia="en-US"/>
        </w:rPr>
      </w:pPr>
      <w:r>
        <w:rPr>
          <w:rFonts w:hint="eastAsia" w:ascii="宋体" w:hAnsi="宋体" w:eastAsia="宋体" w:cs="宋体"/>
          <w:lang w:val="en-US" w:eastAsia="en-US"/>
        </w:rPr>
        <w:t>（</w:t>
      </w:r>
      <w:r>
        <w:rPr>
          <w:rFonts w:hint="eastAsia" w:ascii="宋体" w:hAnsi="宋体" w:eastAsia="宋体" w:cs="宋体"/>
          <w:lang w:val="en-US" w:eastAsia="zh-CN"/>
        </w:rPr>
        <w:t>4</w:t>
      </w:r>
      <w:r>
        <w:rPr>
          <w:rFonts w:hint="eastAsia" w:ascii="宋体" w:hAnsi="宋体" w:eastAsia="宋体" w:cs="宋体"/>
          <w:lang w:val="en-US" w:eastAsia="en-US"/>
        </w:rPr>
        <w:t>）热线响应服务</w:t>
      </w:r>
    </w:p>
    <w:p w14:paraId="22896B47">
      <w:pPr>
        <w:pStyle w:val="105"/>
        <w:rPr>
          <w:rFonts w:hint="eastAsia" w:ascii="宋体" w:hAnsi="宋体" w:eastAsia="宋体" w:cs="宋体"/>
          <w:lang w:val="en-US" w:eastAsia="en-US"/>
        </w:rPr>
      </w:pPr>
      <w:r>
        <w:rPr>
          <w:rFonts w:hint="eastAsia" w:ascii="宋体" w:hAnsi="宋体" w:eastAsia="宋体" w:cs="宋体"/>
          <w:lang w:val="en-US" w:eastAsia="en-US"/>
        </w:rPr>
        <w:t>热线响应服务：应用软件7×24小时不间断运行特殊需求，承诺提供7×24小时热线电话的技术响应，在收到用户的电话或传真后，及时对技术问题作出响应，提供在线维护技术支持，快速的指导用户技术人员解决问题或排除故障。工作时间内，响应时间不超过30分钟；工作时间外，响应时间不超过1小时。</w:t>
      </w:r>
    </w:p>
    <w:p w14:paraId="63814C85">
      <w:pPr>
        <w:pStyle w:val="105"/>
        <w:rPr>
          <w:rFonts w:hint="eastAsia" w:ascii="宋体" w:hAnsi="宋体" w:eastAsia="宋体" w:cs="宋体"/>
          <w:lang w:val="en-US" w:eastAsia="en-US"/>
        </w:rPr>
      </w:pPr>
      <w:r>
        <w:rPr>
          <w:rFonts w:hint="eastAsia" w:ascii="宋体" w:hAnsi="宋体" w:eastAsia="宋体" w:cs="宋体"/>
          <w:lang w:val="en-US" w:eastAsia="en-US"/>
        </w:rPr>
        <w:t>（</w:t>
      </w:r>
      <w:r>
        <w:rPr>
          <w:rFonts w:hint="eastAsia" w:ascii="宋体" w:hAnsi="宋体" w:eastAsia="宋体" w:cs="宋体"/>
          <w:lang w:val="en-US" w:eastAsia="zh-CN"/>
        </w:rPr>
        <w:t>5</w:t>
      </w:r>
      <w:r>
        <w:rPr>
          <w:rFonts w:hint="eastAsia" w:ascii="宋体" w:hAnsi="宋体" w:eastAsia="宋体" w:cs="宋体"/>
          <w:lang w:val="en-US" w:eastAsia="en-US"/>
        </w:rPr>
        <w:t>）远程接入支持</w:t>
      </w:r>
    </w:p>
    <w:p w14:paraId="69A09106">
      <w:pPr>
        <w:pStyle w:val="105"/>
        <w:rPr>
          <w:rFonts w:hint="eastAsia" w:ascii="宋体" w:hAnsi="宋体" w:eastAsia="宋体" w:cs="宋体"/>
          <w:lang w:val="en-US" w:eastAsia="en-US"/>
        </w:rPr>
      </w:pPr>
      <w:r>
        <w:rPr>
          <w:rFonts w:hint="eastAsia" w:ascii="宋体" w:hAnsi="宋体" w:eastAsia="宋体" w:cs="宋体"/>
          <w:lang w:val="en-US" w:eastAsia="en-US"/>
        </w:rPr>
        <w:t>远程接入支持：当热线服务及现场支持中心无法解决问题时，维护工程师在最终用户授权下，直接以远程终端方式接入系统进行故障诊断，并采取可能的措施排除故障；在工作时间内，在接到故障要求维护的电话后1小时内启动远程诊断和恢复程序。工作时间外，响应时间不超过2小时。</w:t>
      </w:r>
    </w:p>
    <w:p w14:paraId="0CFCE0D3">
      <w:pPr>
        <w:pStyle w:val="105"/>
        <w:rPr>
          <w:rFonts w:hint="eastAsia" w:ascii="宋体" w:hAnsi="宋体" w:eastAsia="宋体" w:cs="宋体"/>
          <w:lang w:val="en-US" w:eastAsia="en-US"/>
        </w:rPr>
      </w:pPr>
      <w:r>
        <w:rPr>
          <w:rFonts w:hint="eastAsia" w:ascii="宋体" w:hAnsi="宋体" w:eastAsia="宋体" w:cs="宋体"/>
          <w:lang w:val="en-US" w:eastAsia="en-US"/>
        </w:rPr>
        <w:t>（</w:t>
      </w:r>
      <w:r>
        <w:rPr>
          <w:rFonts w:hint="eastAsia" w:ascii="宋体" w:hAnsi="宋体" w:eastAsia="宋体" w:cs="宋体"/>
          <w:lang w:val="en-US" w:eastAsia="zh-CN"/>
        </w:rPr>
        <w:t>6</w:t>
      </w:r>
      <w:r>
        <w:rPr>
          <w:rFonts w:hint="eastAsia" w:ascii="宋体" w:hAnsi="宋体" w:eastAsia="宋体" w:cs="宋体"/>
          <w:lang w:val="en-US" w:eastAsia="en-US"/>
        </w:rPr>
        <w:t>）紧急现场维护服务</w:t>
      </w:r>
    </w:p>
    <w:p w14:paraId="45697349">
      <w:pPr>
        <w:pStyle w:val="105"/>
        <w:rPr>
          <w:rFonts w:hint="eastAsia" w:ascii="宋体" w:hAnsi="宋体" w:eastAsia="宋体" w:cs="宋体"/>
          <w:lang w:val="en-US" w:eastAsia="en-US"/>
        </w:rPr>
      </w:pPr>
      <w:r>
        <w:rPr>
          <w:rFonts w:hint="eastAsia" w:ascii="宋体" w:hAnsi="宋体" w:eastAsia="宋体" w:cs="宋体"/>
          <w:lang w:val="en-US" w:eastAsia="en-US"/>
        </w:rPr>
        <w:t>紧急现场维护服务：对于电话响应、现场支持中心、远程支持均无法解决的问题，提供如下承诺：紧急重大故障，</w:t>
      </w:r>
      <w:r>
        <w:rPr>
          <w:rFonts w:hint="eastAsia" w:ascii="宋体" w:hAnsi="宋体" w:eastAsia="宋体" w:cs="宋体"/>
          <w:lang w:val="en-US" w:eastAsia="zh-Hans"/>
        </w:rPr>
        <w:t>需要</w:t>
      </w:r>
      <w:r>
        <w:rPr>
          <w:rFonts w:hint="eastAsia" w:ascii="宋体" w:hAnsi="宋体" w:eastAsia="宋体" w:cs="宋体"/>
          <w:lang w:val="en-US" w:eastAsia="en-US"/>
        </w:rPr>
        <w:t>在得到通知后2小时内派技术人员赶赴现场；普通故障，</w:t>
      </w:r>
      <w:r>
        <w:rPr>
          <w:rFonts w:hint="eastAsia" w:ascii="宋体" w:hAnsi="宋体" w:eastAsia="宋体" w:cs="宋体"/>
          <w:lang w:val="en-US" w:eastAsia="zh-Hans"/>
        </w:rPr>
        <w:t>需要在</w:t>
      </w:r>
      <w:r>
        <w:rPr>
          <w:rFonts w:hint="eastAsia" w:ascii="宋体" w:hAnsi="宋体" w:eastAsia="宋体" w:cs="宋体"/>
          <w:lang w:val="en-US" w:eastAsia="en-US"/>
        </w:rPr>
        <w:t>得到通知后8小时内派技术人员赶赴现场。</w:t>
      </w:r>
    </w:p>
    <w:p w14:paraId="510D81DE">
      <w:pPr>
        <w:pStyle w:val="105"/>
        <w:rPr>
          <w:rFonts w:hint="eastAsia" w:ascii="宋体" w:hAnsi="宋体" w:eastAsia="宋体" w:cs="宋体"/>
          <w:lang w:val="en-US" w:eastAsia="en-US"/>
        </w:rPr>
      </w:pPr>
      <w:r>
        <w:rPr>
          <w:rFonts w:hint="eastAsia" w:ascii="宋体" w:hAnsi="宋体" w:eastAsia="宋体" w:cs="宋体"/>
          <w:lang w:val="en-US" w:eastAsia="en-US"/>
        </w:rPr>
        <w:t>（</w:t>
      </w:r>
      <w:r>
        <w:rPr>
          <w:rFonts w:hint="eastAsia" w:ascii="宋体" w:hAnsi="宋体" w:eastAsia="宋体" w:cs="宋体"/>
          <w:lang w:val="en-US" w:eastAsia="zh-CN"/>
        </w:rPr>
        <w:t>7</w:t>
      </w:r>
      <w:r>
        <w:rPr>
          <w:rFonts w:hint="eastAsia" w:ascii="宋体" w:hAnsi="宋体" w:eastAsia="宋体" w:cs="宋体"/>
          <w:lang w:val="en-US" w:eastAsia="en-US"/>
        </w:rPr>
        <w:t>）定期巡检服务</w:t>
      </w:r>
    </w:p>
    <w:p w14:paraId="099DF01E">
      <w:pPr>
        <w:pStyle w:val="105"/>
        <w:rPr>
          <w:rFonts w:hint="eastAsia" w:ascii="宋体" w:hAnsi="宋体" w:eastAsia="宋体" w:cs="宋体"/>
          <w:lang w:val="en-US" w:eastAsia="zh-CN"/>
        </w:rPr>
      </w:pPr>
      <w:r>
        <w:rPr>
          <w:rFonts w:hint="eastAsia" w:ascii="宋体" w:hAnsi="宋体" w:eastAsia="宋体" w:cs="宋体"/>
          <w:lang w:val="en-US" w:eastAsia="en-US"/>
        </w:rPr>
        <w:t>定期巡检服务：</w:t>
      </w:r>
      <w:r>
        <w:rPr>
          <w:rFonts w:hint="eastAsia" w:ascii="宋体" w:hAnsi="宋体" w:eastAsia="宋体" w:cs="宋体"/>
          <w:lang w:val="en-US" w:eastAsia="zh-Hans"/>
        </w:rPr>
        <w:t>需要</w:t>
      </w:r>
      <w:r>
        <w:rPr>
          <w:rFonts w:hint="eastAsia" w:ascii="宋体" w:hAnsi="宋体" w:eastAsia="宋体" w:cs="宋体"/>
          <w:lang w:val="en-US" w:eastAsia="en-US"/>
        </w:rPr>
        <w:t>指派专门的技术人员定期到用户现场进行巡检，跟踪系统运行情况，解答用户提出的问题。</w:t>
      </w:r>
    </w:p>
    <w:p w14:paraId="536AD41D">
      <w:pPr>
        <w:pStyle w:val="105"/>
        <w:rPr>
          <w:rFonts w:hint="eastAsia" w:ascii="宋体" w:hAnsi="宋体" w:eastAsia="宋体" w:cs="宋体"/>
          <w:lang w:val="en-US" w:eastAsia="zh-CN"/>
        </w:rPr>
      </w:pPr>
      <w:r>
        <w:rPr>
          <w:rFonts w:hint="eastAsia" w:ascii="宋体" w:hAnsi="宋体" w:eastAsia="宋体" w:cs="宋体"/>
          <w:lang w:val="en-US" w:eastAsia="zh-CN"/>
        </w:rPr>
        <w:t>（8）应答方提供系统的质保服务。</w:t>
      </w:r>
    </w:p>
    <w:p w14:paraId="68F70627">
      <w:pPr>
        <w:pStyle w:val="105"/>
        <w:rPr>
          <w:rFonts w:hint="eastAsia" w:ascii="宋体" w:hAnsi="宋体" w:eastAsia="宋体" w:cs="宋体"/>
          <w:lang w:val="en-US" w:eastAsia="zh-CN"/>
        </w:rPr>
      </w:pPr>
      <w:r>
        <w:rPr>
          <w:rFonts w:hint="eastAsia" w:ascii="宋体" w:hAnsi="宋体" w:eastAsia="宋体" w:cs="宋体"/>
          <w:lang w:val="en-US" w:eastAsia="zh-CN"/>
        </w:rPr>
        <w:t>（9）在需求方使用期间，如果发现任何属于应答方责任的问题，应答方须免费进行改正。</w:t>
      </w:r>
    </w:p>
    <w:p w14:paraId="79FF8652">
      <w:pPr>
        <w:pStyle w:val="105"/>
        <w:rPr>
          <w:rFonts w:hint="eastAsia" w:ascii="宋体" w:hAnsi="宋体" w:eastAsia="宋体" w:cs="宋体"/>
          <w:lang w:val="en-US" w:eastAsia="zh-CN"/>
        </w:rPr>
      </w:pPr>
      <w:r>
        <w:rPr>
          <w:rFonts w:hint="eastAsia" w:ascii="宋体" w:hAnsi="宋体" w:eastAsia="宋体" w:cs="宋体"/>
          <w:lang w:val="en-US" w:eastAsia="zh-CN"/>
        </w:rPr>
        <w:t>（10）在质保期满后，应答方仍应满足项目采购单位针对项目所出现问题的完善要求。</w:t>
      </w:r>
    </w:p>
    <w:p w14:paraId="20CC2226">
      <w:pPr>
        <w:pStyle w:val="105"/>
        <w:rPr>
          <w:rFonts w:hint="eastAsia" w:ascii="宋体" w:hAnsi="宋体" w:eastAsia="宋体" w:cs="宋体"/>
          <w:lang w:val="en-US" w:eastAsia="zh-CN"/>
        </w:rPr>
      </w:pPr>
      <w:r>
        <w:rPr>
          <w:rFonts w:hint="eastAsia" w:ascii="宋体" w:hAnsi="宋体" w:eastAsia="宋体" w:cs="宋体"/>
          <w:lang w:val="en-US" w:eastAsia="zh-CN"/>
        </w:rPr>
        <w:t>（11）应答方必须对所实施的项目中的程序进行严格的版本管理。</w:t>
      </w:r>
    </w:p>
    <w:bookmarkEnd w:id="55"/>
    <w:bookmarkEnd w:id="56"/>
    <w:p w14:paraId="131812A4">
      <w:pPr>
        <w:pStyle w:val="4"/>
        <w:bidi w:val="0"/>
        <w:ind w:left="575" w:leftChars="0" w:hanging="575" w:firstLineChars="0"/>
        <w:rPr>
          <w:rFonts w:hint="eastAsia" w:ascii="宋体" w:hAnsi="宋体" w:eastAsia="宋体" w:cs="宋体"/>
          <w:lang w:val="en-US" w:eastAsia="zh-CN"/>
        </w:rPr>
      </w:pPr>
      <w:bookmarkStart w:id="59" w:name="_Toc21802"/>
      <w:bookmarkStart w:id="60" w:name="_Toc32330"/>
      <w:r>
        <w:rPr>
          <w:rFonts w:hint="eastAsia" w:ascii="宋体" w:hAnsi="宋体" w:eastAsia="宋体" w:cs="宋体"/>
          <w:lang w:val="en-US" w:eastAsia="zh-CN"/>
        </w:rPr>
        <w:t>支撑人员要求</w:t>
      </w:r>
      <w:bookmarkEnd w:id="59"/>
      <w:bookmarkEnd w:id="60"/>
    </w:p>
    <w:p w14:paraId="5B021ECC">
      <w:pPr>
        <w:ind w:firstLine="480"/>
        <w:rPr>
          <w:rFonts w:hint="eastAsia" w:ascii="宋体" w:hAnsi="宋体" w:eastAsia="宋体" w:cs="宋体"/>
          <w:sz w:val="24"/>
          <w:szCs w:val="24"/>
        </w:rPr>
      </w:pPr>
      <w:r>
        <w:rPr>
          <w:rFonts w:hint="eastAsia" w:ascii="宋体" w:hAnsi="宋体" w:eastAsia="宋体" w:cs="宋体"/>
          <w:sz w:val="24"/>
          <w:szCs w:val="24"/>
        </w:rPr>
        <w:t>（1）</w:t>
      </w:r>
      <w:r>
        <w:rPr>
          <w:rFonts w:hint="eastAsia" w:cs="宋体"/>
          <w:sz w:val="24"/>
          <w:szCs w:val="24"/>
          <w:lang w:val="en-US" w:eastAsia="zh-CN"/>
        </w:rPr>
        <w:t xml:space="preserve"> </w:t>
      </w:r>
      <w:r>
        <w:rPr>
          <w:rFonts w:hint="eastAsia" w:ascii="宋体" w:hAnsi="宋体" w:eastAsia="宋体" w:cs="宋体"/>
        </w:rPr>
        <w:t>应答方必须配合需求方积极参与对其派遣工程师的有效的监督和管理，遵守需求方的相关规章制度。应答方服务人员考勤等须接受甲方监督；同时，应答方还须向需求方提供便利条件，便于需求方即时通过现场、远程等方式确认服务人员动态。需求方如对应答方所指派人员提供的服务不满意（包括技术能力、服务态度），有权通过书面形式提出撤换该人员的要求，应答方应无条件予以执行。</w:t>
      </w:r>
    </w:p>
    <w:p w14:paraId="7FE0A590">
      <w:pPr>
        <w:ind w:firstLine="480"/>
        <w:rPr>
          <w:rFonts w:hint="default" w:ascii="宋体" w:hAnsi="宋体" w:eastAsia="宋体" w:cs="宋体"/>
          <w:sz w:val="24"/>
          <w:szCs w:val="24"/>
          <w:lang w:val="en-US" w:eastAsia="zh-CN"/>
        </w:rPr>
      </w:pPr>
      <w:r>
        <w:rPr>
          <w:rFonts w:hint="eastAsia" w:ascii="宋体" w:hAnsi="宋体" w:eastAsia="宋体" w:cs="宋体"/>
          <w:sz w:val="24"/>
          <w:szCs w:val="24"/>
        </w:rPr>
        <w:t>（2）应答方保证其技术服务支撑人员具备需求方要求的技术水平，并能配合需求方组织的相关能力测评工作</w:t>
      </w:r>
      <w:r>
        <w:rPr>
          <w:rFonts w:hint="eastAsia" w:cs="宋体"/>
          <w:sz w:val="24"/>
          <w:szCs w:val="24"/>
          <w:lang w:val="en-US" w:eastAsia="zh-CN"/>
        </w:rPr>
        <w:t>。</w:t>
      </w:r>
    </w:p>
    <w:p w14:paraId="6FD818E7">
      <w:pPr>
        <w:ind w:firstLine="480"/>
        <w:rPr>
          <w:rFonts w:hint="eastAsia" w:ascii="宋体" w:hAnsi="宋体" w:eastAsia="宋体" w:cs="宋体"/>
          <w:sz w:val="24"/>
          <w:szCs w:val="24"/>
        </w:rPr>
      </w:pPr>
      <w:r>
        <w:rPr>
          <w:rFonts w:hint="eastAsia" w:cs="宋体"/>
          <w:sz w:val="24"/>
          <w:szCs w:val="24"/>
          <w:lang w:eastAsia="zh-CN"/>
        </w:rPr>
        <w:t>（</w:t>
      </w:r>
      <w:r>
        <w:rPr>
          <w:rFonts w:hint="eastAsia" w:cs="宋体"/>
          <w:sz w:val="24"/>
          <w:szCs w:val="24"/>
          <w:lang w:val="en-US" w:eastAsia="zh-CN"/>
        </w:rPr>
        <w:t>3</w:t>
      </w:r>
      <w:r>
        <w:rPr>
          <w:rFonts w:hint="eastAsia" w:cs="宋体"/>
          <w:sz w:val="24"/>
          <w:szCs w:val="24"/>
          <w:lang w:eastAsia="zh-CN"/>
        </w:rPr>
        <w:t>）</w:t>
      </w:r>
      <w:r>
        <w:rPr>
          <w:rFonts w:hint="eastAsia" w:ascii="宋体" w:hAnsi="宋体" w:eastAsia="宋体" w:cs="宋体"/>
          <w:sz w:val="24"/>
          <w:szCs w:val="24"/>
        </w:rPr>
        <w:t>技术服务支撑人员应具备稳定性，不得随意更换，需求方有权向技术服务支撑公司要求更换不满足工作要求的技术服务支撑人员。</w:t>
      </w:r>
    </w:p>
    <w:p w14:paraId="02CE63AF">
      <w:pPr>
        <w:ind w:firstLine="480"/>
        <w:rPr>
          <w:rFonts w:hint="default"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lang w:eastAsia="zh-CN"/>
        </w:rPr>
        <w:t>）</w:t>
      </w:r>
      <w:r>
        <w:rPr>
          <w:rFonts w:hint="eastAsia" w:ascii="宋体" w:hAnsi="宋体" w:eastAsia="宋体" w:cs="宋体"/>
          <w:lang w:val="en-US" w:eastAsia="zh-CN"/>
        </w:rPr>
        <w:t>鉴于AI智培慧练服务通常涉及企业赋能培训类课程定制化支持，应答方的技术支撑团队成员中，应具备至少1名定制化赋能支撑人员，负责将给定的培训素材编制录入产品平台，实现企业赋能培训内容定制化服务。</w:t>
      </w:r>
    </w:p>
    <w:p w14:paraId="063B54AA">
      <w:pPr>
        <w:pStyle w:val="105"/>
        <w:ind w:left="0" w:leftChars="0" w:firstLine="0" w:firstLineChars="0"/>
        <w:rPr>
          <w:rFonts w:hint="eastAsia" w:ascii="宋体" w:hAnsi="宋体" w:eastAsia="宋体" w:cs="宋体"/>
          <w:lang w:val="en-US" w:eastAsia="zh-CN"/>
        </w:rPr>
      </w:pPr>
    </w:p>
    <w:p w14:paraId="6A42B515">
      <w:pPr>
        <w:pStyle w:val="4"/>
        <w:bidi w:val="0"/>
        <w:ind w:left="575" w:leftChars="0" w:hanging="575" w:firstLineChars="0"/>
        <w:rPr>
          <w:rFonts w:hint="eastAsia" w:ascii="宋体" w:hAnsi="宋体" w:eastAsia="宋体" w:cs="宋体"/>
          <w:lang w:val="en-US" w:eastAsia="zh-CN"/>
        </w:rPr>
      </w:pPr>
      <w:bookmarkStart w:id="61" w:name="_Toc29053"/>
      <w:bookmarkStart w:id="62" w:name="_Toc13043"/>
      <w:bookmarkStart w:id="63" w:name="_Toc30694"/>
      <w:bookmarkStart w:id="64" w:name="_Toc18692"/>
      <w:bookmarkStart w:id="65" w:name="_Toc26488"/>
      <w:r>
        <w:rPr>
          <w:rFonts w:hint="eastAsia" w:ascii="宋体" w:hAnsi="宋体" w:eastAsia="宋体" w:cs="宋体"/>
          <w:lang w:val="en-US" w:eastAsia="zh-CN"/>
        </w:rPr>
        <w:t>文档输出要求</w:t>
      </w:r>
      <w:bookmarkEnd w:id="61"/>
      <w:bookmarkEnd w:id="62"/>
      <w:bookmarkEnd w:id="63"/>
      <w:bookmarkEnd w:id="64"/>
      <w:bookmarkEnd w:id="65"/>
    </w:p>
    <w:p w14:paraId="6C8FF07C">
      <w:pPr>
        <w:pStyle w:val="105"/>
        <w:rPr>
          <w:rFonts w:hint="eastAsia" w:ascii="宋体" w:hAnsi="宋体" w:eastAsia="宋体" w:cs="宋体"/>
          <w:lang w:val="en-US" w:eastAsia="zh-CN"/>
        </w:rPr>
      </w:pPr>
      <w:r>
        <w:rPr>
          <w:rFonts w:hint="eastAsia" w:ascii="宋体" w:hAnsi="宋体" w:eastAsia="宋体" w:cs="宋体"/>
          <w:lang w:val="en-US" w:eastAsia="zh-CN"/>
        </w:rPr>
        <w:t>全部档案资料版权归需求方所有，应答方未经需求方允许的情况下，不能以任何形式向第三方提供，交付文件必须包括但不限于如下文档：</w:t>
      </w:r>
    </w:p>
    <w:p w14:paraId="63E9D850">
      <w:pPr>
        <w:pStyle w:val="105"/>
        <w:rPr>
          <w:rFonts w:hint="eastAsia" w:ascii="宋体" w:hAnsi="宋体" w:eastAsia="宋体" w:cs="宋体"/>
          <w:lang w:val="en-US" w:eastAsia="zh-CN"/>
        </w:rPr>
      </w:pPr>
      <w:r>
        <w:rPr>
          <w:rFonts w:hint="eastAsia" w:ascii="宋体" w:hAnsi="宋体" w:eastAsia="宋体" w:cs="宋体"/>
          <w:lang w:val="en-US" w:eastAsia="zh-CN"/>
        </w:rPr>
        <w:t>售后安全服务相关文档。</w:t>
      </w:r>
    </w:p>
    <w:p w14:paraId="08B26E08">
      <w:pPr>
        <w:pStyle w:val="105"/>
        <w:rPr>
          <w:rFonts w:hint="eastAsia" w:ascii="宋体" w:hAnsi="宋体" w:eastAsia="宋体" w:cs="宋体"/>
          <w:lang w:val="en-US" w:eastAsia="zh-CN"/>
        </w:rPr>
      </w:pPr>
      <w:r>
        <w:rPr>
          <w:rFonts w:hint="eastAsia" w:ascii="宋体" w:hAnsi="宋体" w:eastAsia="宋体" w:cs="宋体"/>
          <w:lang w:val="en-US" w:eastAsia="zh-CN"/>
        </w:rPr>
        <w:t>产品手册。</w:t>
      </w:r>
    </w:p>
    <w:p w14:paraId="44312F43">
      <w:pPr>
        <w:pStyle w:val="105"/>
        <w:rPr>
          <w:rFonts w:hint="eastAsia" w:ascii="宋体" w:hAnsi="宋体" w:eastAsia="宋体" w:cs="宋体"/>
          <w:lang w:val="en-US" w:eastAsia="zh-CN"/>
        </w:rPr>
      </w:pPr>
      <w:r>
        <w:rPr>
          <w:rFonts w:hint="eastAsia" w:ascii="宋体" w:hAnsi="宋体" w:eastAsia="宋体" w:cs="宋体"/>
          <w:lang w:val="en-US" w:eastAsia="zh-CN"/>
        </w:rPr>
        <w:t>售后维护记录及相关文档。</w:t>
      </w:r>
    </w:p>
    <w:p w14:paraId="7866E720">
      <w:pPr>
        <w:pStyle w:val="105"/>
        <w:ind w:left="0" w:leftChars="0" w:firstLine="0" w:firstLineChars="0"/>
        <w:rPr>
          <w:rFonts w:hint="eastAsia" w:ascii="宋体" w:hAnsi="宋体" w:eastAsia="宋体" w:cs="宋体"/>
          <w:lang w:val="en-US" w:eastAsia="zh-CN"/>
        </w:rPr>
      </w:pPr>
    </w:p>
    <w:p w14:paraId="617C09AC">
      <w:pPr>
        <w:pStyle w:val="2"/>
        <w:bidi w:val="0"/>
        <w:ind w:left="432" w:leftChars="0" w:hanging="432" w:firstLineChars="0"/>
        <w:rPr>
          <w:rFonts w:hint="eastAsia" w:ascii="宋体" w:hAnsi="宋体" w:eastAsia="宋体" w:cs="宋体"/>
          <w:lang w:val="en-US" w:eastAsia="zh-CN"/>
        </w:rPr>
      </w:pPr>
      <w:bookmarkStart w:id="66" w:name="_Toc24304"/>
      <w:bookmarkStart w:id="67" w:name="_Toc17394"/>
      <w:r>
        <w:rPr>
          <w:rFonts w:hint="eastAsia" w:ascii="宋体" w:hAnsi="宋体" w:eastAsia="宋体" w:cs="宋体"/>
          <w:lang w:val="en-US" w:eastAsia="zh-CN"/>
        </w:rPr>
        <w:t>项目</w:t>
      </w:r>
      <w:bookmarkEnd w:id="8"/>
      <w:bookmarkEnd w:id="9"/>
      <w:bookmarkEnd w:id="10"/>
      <w:bookmarkEnd w:id="11"/>
      <w:r>
        <w:rPr>
          <w:rFonts w:hint="eastAsia" w:ascii="宋体" w:hAnsi="宋体" w:eastAsia="宋体" w:cs="宋体"/>
          <w:lang w:val="en-US" w:eastAsia="zh-CN"/>
        </w:rPr>
        <w:t>管理要求</w:t>
      </w:r>
      <w:bookmarkEnd w:id="66"/>
      <w:bookmarkEnd w:id="67"/>
    </w:p>
    <w:p w14:paraId="2628048A">
      <w:pPr>
        <w:pStyle w:val="4"/>
        <w:bidi w:val="0"/>
        <w:ind w:left="575" w:leftChars="0" w:hanging="575" w:firstLineChars="0"/>
        <w:rPr>
          <w:rFonts w:hint="eastAsia" w:ascii="宋体" w:hAnsi="宋体" w:eastAsia="宋体" w:cs="宋体"/>
          <w:lang w:val="en-US" w:eastAsia="zh-Hans"/>
        </w:rPr>
      </w:pPr>
      <w:bookmarkStart w:id="68" w:name="_Toc14219"/>
      <w:bookmarkStart w:id="69" w:name="_Toc10588"/>
      <w:bookmarkStart w:id="70" w:name="_Toc27350"/>
      <w:bookmarkStart w:id="71" w:name="_Toc194230643"/>
      <w:bookmarkStart w:id="72" w:name="_Toc24952"/>
      <w:bookmarkStart w:id="73" w:name="_Toc32135"/>
      <w:r>
        <w:rPr>
          <w:rFonts w:hint="eastAsia" w:ascii="宋体" w:hAnsi="宋体" w:eastAsia="宋体" w:cs="宋体"/>
          <w:lang w:val="en-US" w:eastAsia="zh-Hans"/>
        </w:rPr>
        <w:t>项目组织实施计划</w:t>
      </w:r>
      <w:bookmarkEnd w:id="68"/>
      <w:bookmarkEnd w:id="69"/>
      <w:bookmarkEnd w:id="70"/>
      <w:bookmarkEnd w:id="71"/>
      <w:bookmarkEnd w:id="72"/>
      <w:bookmarkEnd w:id="73"/>
    </w:p>
    <w:p w14:paraId="742B3B8C">
      <w:pPr>
        <w:pStyle w:val="105"/>
        <w:rPr>
          <w:rFonts w:hint="eastAsia" w:ascii="宋体" w:hAnsi="宋体" w:eastAsia="宋体" w:cs="宋体"/>
          <w:lang w:val="en-US" w:eastAsia="zh-CN"/>
        </w:rPr>
      </w:pPr>
      <w:bookmarkStart w:id="74" w:name="_Toc14174"/>
      <w:bookmarkStart w:id="75" w:name="_Toc1445"/>
      <w:bookmarkStart w:id="76" w:name="_Toc194230646"/>
      <w:bookmarkStart w:id="77" w:name="_Toc24219"/>
      <w:bookmarkStart w:id="78" w:name="_Toc14313"/>
      <w:bookmarkStart w:id="79" w:name="_Toc11381"/>
      <w:r>
        <w:rPr>
          <w:rFonts w:hint="eastAsia" w:ascii="宋体" w:hAnsi="宋体" w:eastAsia="宋体" w:cs="宋体"/>
          <w:lang w:val="en-US" w:eastAsia="zh-CN"/>
        </w:rPr>
        <w:t>应答方应针对本项目提供完整、详细的项目组织实施计划，规划制定需求方相关维护流程。</w:t>
      </w:r>
    </w:p>
    <w:p w14:paraId="1BDD0793">
      <w:pPr>
        <w:pStyle w:val="4"/>
        <w:bidi w:val="0"/>
        <w:ind w:left="575" w:leftChars="0" w:hanging="575" w:firstLineChars="0"/>
        <w:rPr>
          <w:rFonts w:hint="eastAsia" w:ascii="宋体" w:hAnsi="宋体" w:eastAsia="宋体" w:cs="宋体"/>
          <w:lang w:val="en-US" w:eastAsia="zh-Hans"/>
        </w:rPr>
      </w:pPr>
      <w:r>
        <w:rPr>
          <w:rFonts w:hint="eastAsia" w:ascii="宋体" w:hAnsi="宋体" w:eastAsia="宋体" w:cs="宋体"/>
          <w:lang w:val="en-US" w:eastAsia="zh-Hans"/>
        </w:rPr>
        <w:t>项目沟通机制</w:t>
      </w:r>
      <w:bookmarkEnd w:id="74"/>
      <w:bookmarkEnd w:id="75"/>
      <w:bookmarkEnd w:id="76"/>
      <w:bookmarkEnd w:id="77"/>
      <w:bookmarkEnd w:id="78"/>
      <w:bookmarkEnd w:id="79"/>
    </w:p>
    <w:p w14:paraId="7F321EFC">
      <w:pPr>
        <w:pStyle w:val="105"/>
        <w:rPr>
          <w:rFonts w:hint="eastAsia" w:ascii="宋体" w:hAnsi="宋体" w:eastAsia="宋体" w:cs="宋体"/>
          <w:lang w:val="en-US" w:eastAsia="zh-CN"/>
        </w:rPr>
      </w:pPr>
      <w:r>
        <w:rPr>
          <w:rFonts w:hint="eastAsia" w:ascii="宋体" w:hAnsi="宋体" w:eastAsia="宋体" w:cs="宋体"/>
          <w:lang w:val="en-US" w:eastAsia="zh-CN"/>
        </w:rPr>
        <w:t>应答方应针对本项目提供完善的沟通机制，以确保合作的顺畅无阻。沟通机制包括各种周、月、半年、年报等。</w:t>
      </w:r>
    </w:p>
    <w:p w14:paraId="58E506A4">
      <w:pPr>
        <w:pStyle w:val="105"/>
        <w:rPr>
          <w:rFonts w:hint="eastAsia" w:ascii="宋体" w:hAnsi="宋体" w:eastAsia="宋体" w:cs="宋体"/>
          <w:lang w:val="en-US" w:eastAsia="zh-CN"/>
        </w:rPr>
      </w:pPr>
      <w:r>
        <w:rPr>
          <w:rFonts w:hint="eastAsia" w:ascii="宋体" w:hAnsi="宋体" w:eastAsia="宋体" w:cs="宋体"/>
          <w:lang w:val="en-US" w:eastAsia="zh-CN"/>
        </w:rPr>
        <w:t>为便于整个项目的顺利进行，在服务期间双方需要建立例会制度，会议时间及地点由需求方根据项目实际情况安排，应答方需派项目相关人员参会，应答方参会人员需提供上次例会以来项目的进展情况、遇到的问题等内容以PPT的形式提供给需求方。</w:t>
      </w:r>
    </w:p>
    <w:p w14:paraId="11A06519">
      <w:pPr>
        <w:pStyle w:val="4"/>
        <w:bidi w:val="0"/>
        <w:ind w:left="575" w:leftChars="0" w:hanging="575" w:firstLineChars="0"/>
        <w:rPr>
          <w:rFonts w:hint="eastAsia" w:ascii="宋体" w:hAnsi="宋体" w:eastAsia="宋体" w:cs="宋体"/>
          <w:lang w:val="en-US" w:eastAsia="zh-CN"/>
        </w:rPr>
      </w:pPr>
      <w:bookmarkStart w:id="80" w:name="_Toc11025"/>
      <w:bookmarkStart w:id="81" w:name="_Toc10814"/>
      <w:bookmarkStart w:id="82" w:name="_Toc26447"/>
      <w:r>
        <w:rPr>
          <w:rFonts w:hint="eastAsia" w:ascii="宋体" w:hAnsi="宋体" w:eastAsia="宋体" w:cs="宋体"/>
          <w:lang w:val="en-US" w:eastAsia="zh-CN"/>
        </w:rPr>
        <w:t>项目质量要求</w:t>
      </w:r>
      <w:bookmarkEnd w:id="80"/>
      <w:bookmarkEnd w:id="81"/>
      <w:bookmarkEnd w:id="82"/>
    </w:p>
    <w:p w14:paraId="3A6C9FF0">
      <w:pPr>
        <w:pStyle w:val="105"/>
        <w:rPr>
          <w:rFonts w:hint="eastAsia" w:ascii="宋体" w:hAnsi="宋体" w:eastAsia="宋体" w:cs="宋体"/>
          <w:lang w:val="en-US" w:eastAsia="en-US"/>
        </w:rPr>
      </w:pPr>
      <w:r>
        <w:rPr>
          <w:rFonts w:hint="eastAsia" w:ascii="宋体" w:hAnsi="宋体" w:eastAsia="宋体" w:cs="宋体"/>
          <w:lang w:val="en-US" w:eastAsia="en-US"/>
        </w:rPr>
        <w:t>（1）</w:t>
      </w:r>
      <w:r>
        <w:rPr>
          <w:rFonts w:hint="eastAsia" w:ascii="宋体" w:hAnsi="宋体" w:eastAsia="宋体" w:cs="宋体"/>
          <w:lang w:val="en-US" w:eastAsia="zh-CN"/>
        </w:rPr>
        <w:t>应答方</w:t>
      </w:r>
      <w:r>
        <w:rPr>
          <w:rFonts w:hint="eastAsia" w:ascii="宋体" w:hAnsi="宋体" w:eastAsia="宋体" w:cs="宋体"/>
          <w:lang w:val="en-US" w:eastAsia="en-US"/>
        </w:rPr>
        <w:t>应建立严格的质量保证体系，制定项目实施质量控制方案和实施措施，并督促落实各环节质量控制内容和目标；保证总体规划设计、实施等各个阶段工作，满足</w:t>
      </w:r>
      <w:r>
        <w:rPr>
          <w:rFonts w:hint="eastAsia" w:ascii="宋体" w:hAnsi="宋体" w:eastAsia="宋体" w:cs="宋体"/>
          <w:lang w:val="en-US" w:eastAsia="zh-CN"/>
        </w:rPr>
        <w:t>需求方</w:t>
      </w:r>
      <w:r>
        <w:rPr>
          <w:rFonts w:hint="eastAsia" w:ascii="宋体" w:hAnsi="宋体" w:eastAsia="宋体" w:cs="宋体"/>
          <w:lang w:val="en-US" w:eastAsia="en-US"/>
        </w:rPr>
        <w:t>对质量的要求。</w:t>
      </w:r>
    </w:p>
    <w:p w14:paraId="2DE57724">
      <w:pPr>
        <w:pStyle w:val="105"/>
        <w:rPr>
          <w:rFonts w:hint="eastAsia" w:ascii="宋体" w:hAnsi="宋体" w:eastAsia="宋体" w:cs="宋体"/>
          <w:lang w:val="en-US" w:eastAsia="en-US"/>
        </w:rPr>
      </w:pPr>
      <w:r>
        <w:rPr>
          <w:rFonts w:hint="eastAsia" w:ascii="宋体" w:hAnsi="宋体" w:eastAsia="宋体" w:cs="宋体"/>
          <w:lang w:val="en-US" w:eastAsia="en-US"/>
        </w:rPr>
        <w:t>（2）</w:t>
      </w:r>
      <w:r>
        <w:rPr>
          <w:rFonts w:hint="eastAsia" w:ascii="宋体" w:hAnsi="宋体" w:eastAsia="宋体" w:cs="宋体"/>
          <w:lang w:val="en-US" w:eastAsia="zh-CN"/>
        </w:rPr>
        <w:t>应答方</w:t>
      </w:r>
      <w:r>
        <w:rPr>
          <w:rFonts w:hint="eastAsia" w:ascii="宋体" w:hAnsi="宋体" w:eastAsia="宋体" w:cs="宋体"/>
          <w:lang w:val="en-US" w:eastAsia="en-US"/>
        </w:rPr>
        <w:t>应根据整个实施的工作计划，对阶段性工作成果进行审查和测试，并向</w:t>
      </w:r>
      <w:r>
        <w:rPr>
          <w:rFonts w:hint="eastAsia" w:ascii="宋体" w:hAnsi="宋体" w:eastAsia="宋体" w:cs="宋体"/>
          <w:lang w:val="en-US" w:eastAsia="zh-CN"/>
        </w:rPr>
        <w:t>需求方</w:t>
      </w:r>
      <w:r>
        <w:rPr>
          <w:rFonts w:hint="eastAsia" w:ascii="宋体" w:hAnsi="宋体" w:eastAsia="宋体" w:cs="宋体"/>
          <w:lang w:val="en-US" w:eastAsia="en-US"/>
        </w:rPr>
        <w:t>提交里程碑式工作成果。通过保证各阶段性成果的质量，最终保证整个系统实施的质量。</w:t>
      </w:r>
    </w:p>
    <w:p w14:paraId="270933C9">
      <w:pPr>
        <w:pStyle w:val="105"/>
        <w:rPr>
          <w:rFonts w:hint="eastAsia" w:ascii="宋体" w:hAnsi="宋体" w:eastAsia="宋体" w:cs="宋体"/>
        </w:rPr>
      </w:pPr>
      <w:r>
        <w:rPr>
          <w:rFonts w:hint="eastAsia" w:ascii="宋体" w:hAnsi="宋体" w:eastAsia="宋体" w:cs="宋体"/>
          <w:lang w:val="en-US" w:eastAsia="en-US"/>
        </w:rPr>
        <w:t>（3）</w:t>
      </w:r>
      <w:r>
        <w:rPr>
          <w:rFonts w:hint="eastAsia" w:ascii="宋体" w:hAnsi="宋体" w:eastAsia="宋体" w:cs="宋体"/>
          <w:lang w:val="en-US" w:eastAsia="zh-CN"/>
        </w:rPr>
        <w:t>应答方</w:t>
      </w:r>
      <w:r>
        <w:rPr>
          <w:rFonts w:hint="eastAsia" w:ascii="宋体" w:hAnsi="宋体" w:eastAsia="宋体" w:cs="宋体"/>
          <w:lang w:val="en-US" w:eastAsia="en-US"/>
        </w:rPr>
        <w:t>应提交针对本项目的详细质量管理方案。</w:t>
      </w:r>
    </w:p>
    <w:p w14:paraId="24AE9DEE">
      <w:pPr>
        <w:pStyle w:val="4"/>
        <w:bidi w:val="0"/>
        <w:ind w:left="575" w:leftChars="0" w:hanging="575" w:firstLineChars="0"/>
        <w:rPr>
          <w:rFonts w:hint="eastAsia" w:ascii="宋体" w:hAnsi="宋体" w:eastAsia="宋体" w:cs="宋体"/>
          <w:lang w:val="en-US" w:eastAsia="zh-Hans"/>
        </w:rPr>
      </w:pPr>
      <w:bookmarkStart w:id="83" w:name="_Toc6766"/>
      <w:bookmarkStart w:id="84" w:name="_Toc20518"/>
      <w:bookmarkStart w:id="85" w:name="_Toc27401"/>
      <w:r>
        <w:rPr>
          <w:rFonts w:hint="eastAsia" w:ascii="宋体" w:hAnsi="宋体" w:eastAsia="宋体" w:cs="宋体"/>
          <w:lang w:val="en-US" w:eastAsia="zh-CN"/>
        </w:rPr>
        <w:t>项目实施工期</w:t>
      </w:r>
      <w:bookmarkEnd w:id="83"/>
      <w:bookmarkEnd w:id="84"/>
      <w:bookmarkEnd w:id="85"/>
    </w:p>
    <w:p w14:paraId="749F9238">
      <w:pPr>
        <w:pStyle w:val="105"/>
        <w:rPr>
          <w:rFonts w:hint="eastAsia" w:ascii="宋体" w:hAnsi="宋体" w:eastAsia="宋体" w:cs="宋体"/>
          <w:lang w:val="en-US" w:eastAsia="en-US"/>
        </w:rPr>
      </w:pPr>
      <w:r>
        <w:rPr>
          <w:rFonts w:hint="eastAsia" w:ascii="宋体" w:hAnsi="宋体" w:eastAsia="宋体" w:cs="宋体"/>
          <w:lang w:val="en-US" w:eastAsia="zh-CN"/>
        </w:rPr>
        <w:t>应答方</w:t>
      </w:r>
      <w:r>
        <w:rPr>
          <w:rFonts w:hint="eastAsia" w:ascii="宋体" w:hAnsi="宋体" w:eastAsia="宋体" w:cs="宋体"/>
          <w:lang w:val="en-US" w:eastAsia="en-US"/>
        </w:rPr>
        <w:t>应</w:t>
      </w:r>
      <w:r>
        <w:rPr>
          <w:rFonts w:hint="eastAsia" w:ascii="宋体" w:hAnsi="宋体" w:eastAsia="宋体" w:cs="宋体"/>
          <w:lang w:val="en-US" w:eastAsia="zh-CN"/>
        </w:rPr>
        <w:t>按需求方要求</w:t>
      </w:r>
      <w:r>
        <w:rPr>
          <w:rFonts w:hint="eastAsia" w:ascii="宋体" w:hAnsi="宋体" w:eastAsia="宋体" w:cs="宋体"/>
          <w:lang w:val="en-US" w:eastAsia="en-US"/>
        </w:rPr>
        <w:t>确定详细的项目进度安排，明确每个阶段的阶段目标、阶段应交付的成果、验收依据、双方的责任和义务，经</w:t>
      </w:r>
      <w:r>
        <w:rPr>
          <w:rFonts w:hint="eastAsia" w:ascii="宋体" w:hAnsi="宋体" w:eastAsia="宋体" w:cs="宋体"/>
          <w:lang w:val="en-US" w:eastAsia="zh-CN"/>
        </w:rPr>
        <w:t>需求方</w:t>
      </w:r>
      <w:r>
        <w:rPr>
          <w:rFonts w:hint="eastAsia" w:ascii="宋体" w:hAnsi="宋体" w:eastAsia="宋体" w:cs="宋体"/>
          <w:lang w:val="en-US" w:eastAsia="en-US"/>
        </w:rPr>
        <w:t>认可后，以合同加以明确。</w:t>
      </w:r>
    </w:p>
    <w:p w14:paraId="06E6C90F">
      <w:pPr>
        <w:pStyle w:val="105"/>
        <w:rPr>
          <w:rFonts w:hint="eastAsia" w:ascii="宋体" w:hAnsi="宋体" w:eastAsia="宋体" w:cs="宋体"/>
          <w:lang w:val="en-US" w:eastAsia="en-US"/>
        </w:rPr>
      </w:pPr>
      <w:bookmarkStart w:id="86" w:name="_Toc102218533"/>
      <w:r>
        <w:rPr>
          <w:rFonts w:hint="eastAsia" w:ascii="宋体" w:hAnsi="宋体" w:eastAsia="宋体" w:cs="宋体"/>
          <w:lang w:val="en-US" w:eastAsia="zh-CN"/>
        </w:rPr>
        <w:t>应答方</w:t>
      </w:r>
      <w:r>
        <w:rPr>
          <w:rFonts w:hint="eastAsia" w:ascii="宋体" w:hAnsi="宋体" w:eastAsia="宋体" w:cs="宋体"/>
          <w:lang w:val="en-US" w:eastAsia="en-US"/>
        </w:rPr>
        <w:t>的项目进度管理应该遵循以下原则：</w:t>
      </w:r>
      <w:bookmarkEnd w:id="86"/>
    </w:p>
    <w:p w14:paraId="03522F0A">
      <w:pPr>
        <w:pStyle w:val="105"/>
        <w:rPr>
          <w:rFonts w:hint="eastAsia" w:ascii="宋体" w:hAnsi="宋体" w:eastAsia="宋体" w:cs="宋体"/>
          <w:lang w:val="en-US" w:eastAsia="en-US"/>
        </w:rPr>
      </w:pPr>
      <w:r>
        <w:rPr>
          <w:rFonts w:hint="eastAsia" w:ascii="宋体" w:hAnsi="宋体" w:eastAsia="宋体" w:cs="宋体"/>
          <w:lang w:val="en-US" w:eastAsia="en-US"/>
        </w:rPr>
        <w:t>项目进度管理的依据是项目合同所约定的工期目标，在确保项目质量和安全的前提下，控制项目进度。</w:t>
      </w:r>
    </w:p>
    <w:p w14:paraId="3400628C">
      <w:pPr>
        <w:pStyle w:val="105"/>
        <w:rPr>
          <w:rFonts w:hint="eastAsia" w:ascii="宋体" w:hAnsi="宋体" w:eastAsia="宋体" w:cs="宋体"/>
          <w:lang w:val="en-US" w:eastAsia="en-US"/>
        </w:rPr>
      </w:pPr>
      <w:bookmarkStart w:id="87" w:name="_Toc102218534"/>
      <w:r>
        <w:rPr>
          <w:rFonts w:hint="eastAsia" w:ascii="宋体" w:hAnsi="宋体" w:eastAsia="宋体" w:cs="宋体"/>
          <w:lang w:val="en-US" w:eastAsia="zh-CN"/>
        </w:rPr>
        <w:t>应答方</w:t>
      </w:r>
      <w:r>
        <w:rPr>
          <w:rFonts w:hint="eastAsia" w:ascii="宋体" w:hAnsi="宋体" w:eastAsia="宋体" w:cs="宋体"/>
          <w:lang w:val="en-US" w:eastAsia="en-US"/>
        </w:rPr>
        <w:t>的项目进度管理应该至少包含以下内容：</w:t>
      </w:r>
      <w:bookmarkEnd w:id="87"/>
    </w:p>
    <w:p w14:paraId="236B602A">
      <w:pPr>
        <w:pStyle w:val="105"/>
        <w:rPr>
          <w:rFonts w:hint="eastAsia" w:ascii="宋体" w:hAnsi="宋体" w:eastAsia="宋体" w:cs="宋体"/>
          <w:lang w:val="en-US" w:eastAsia="en-US"/>
        </w:rPr>
      </w:pPr>
      <w:r>
        <w:rPr>
          <w:rFonts w:hint="eastAsia" w:ascii="宋体" w:hAnsi="宋体" w:eastAsia="宋体" w:cs="宋体"/>
          <w:lang w:val="en-US" w:eastAsia="en-US"/>
        </w:rPr>
        <w:t>（1）</w:t>
      </w:r>
      <w:r>
        <w:rPr>
          <w:rFonts w:hint="eastAsia" w:ascii="宋体" w:hAnsi="宋体" w:eastAsia="宋体" w:cs="宋体"/>
          <w:lang w:val="en-US" w:eastAsia="zh-CN"/>
        </w:rPr>
        <w:t>应答方</w:t>
      </w:r>
      <w:r>
        <w:rPr>
          <w:rFonts w:hint="eastAsia" w:ascii="宋体" w:hAnsi="宋体" w:eastAsia="宋体" w:cs="宋体"/>
          <w:lang w:val="en-US" w:eastAsia="en-US"/>
        </w:rPr>
        <w:t>在了解项目特点的前提下，根据工期目标，提交总体进度计划，以及定期提交阶段性工作计划。</w:t>
      </w:r>
    </w:p>
    <w:p w14:paraId="187C2E73">
      <w:pPr>
        <w:pStyle w:val="105"/>
        <w:rPr>
          <w:rFonts w:hint="eastAsia" w:ascii="宋体" w:hAnsi="宋体" w:eastAsia="宋体" w:cs="宋体"/>
          <w:lang w:val="en-US" w:eastAsia="en-US"/>
        </w:rPr>
      </w:pPr>
      <w:r>
        <w:rPr>
          <w:rFonts w:hint="eastAsia" w:ascii="宋体" w:hAnsi="宋体" w:eastAsia="宋体" w:cs="宋体"/>
          <w:lang w:val="en-US" w:eastAsia="en-US"/>
        </w:rPr>
        <w:t>（2）制定详细的项目实施进度，按照合同进度制定具体的实施计划，定期跟踪检查，对可能发生的工程延误提出相应对策并提前报备。</w:t>
      </w:r>
    </w:p>
    <w:p w14:paraId="03AFF0D0">
      <w:pPr>
        <w:pStyle w:val="105"/>
        <w:rPr>
          <w:rFonts w:hint="eastAsia" w:ascii="宋体" w:hAnsi="宋体" w:eastAsia="宋体" w:cs="宋体"/>
          <w:lang w:val="en-US" w:eastAsia="en-US"/>
        </w:rPr>
      </w:pPr>
      <w:r>
        <w:rPr>
          <w:rFonts w:hint="eastAsia" w:ascii="宋体" w:hAnsi="宋体" w:eastAsia="宋体" w:cs="宋体"/>
          <w:lang w:val="en-US" w:eastAsia="en-US"/>
        </w:rPr>
        <w:t>（3）定期或不定期地召开或参加项目例会、协调会议等，向</w:t>
      </w:r>
      <w:r>
        <w:rPr>
          <w:rFonts w:hint="eastAsia" w:ascii="宋体" w:hAnsi="宋体" w:eastAsia="宋体" w:cs="宋体"/>
          <w:lang w:val="en-US" w:eastAsia="zh-CN"/>
        </w:rPr>
        <w:t>需求方</w:t>
      </w:r>
      <w:r>
        <w:rPr>
          <w:rFonts w:hint="eastAsia" w:ascii="宋体" w:hAnsi="宋体" w:eastAsia="宋体" w:cs="宋体"/>
          <w:lang w:val="en-US" w:eastAsia="en-US"/>
        </w:rPr>
        <w:t>通报项目进展情况，提交进度报告，及时解决相关问题。</w:t>
      </w:r>
    </w:p>
    <w:p w14:paraId="5DF3720D">
      <w:pPr>
        <w:pStyle w:val="4"/>
        <w:bidi w:val="0"/>
        <w:ind w:left="575" w:leftChars="0" w:hanging="575" w:firstLineChars="0"/>
        <w:rPr>
          <w:rFonts w:hint="eastAsia" w:ascii="宋体" w:hAnsi="宋体" w:eastAsia="宋体" w:cs="宋体"/>
          <w:lang w:val="en-US" w:eastAsia="zh-CN"/>
        </w:rPr>
      </w:pPr>
      <w:bookmarkStart w:id="88" w:name="_Toc7623"/>
      <w:bookmarkStart w:id="89" w:name="_Toc28044"/>
      <w:bookmarkStart w:id="90" w:name="_Toc2058"/>
      <w:r>
        <w:rPr>
          <w:rFonts w:hint="eastAsia" w:ascii="宋体" w:hAnsi="宋体" w:eastAsia="宋体" w:cs="宋体"/>
          <w:lang w:val="en-US" w:eastAsia="zh-CN"/>
        </w:rPr>
        <w:t>验收标准及其他</w:t>
      </w:r>
      <w:bookmarkEnd w:id="88"/>
      <w:bookmarkEnd w:id="89"/>
      <w:bookmarkEnd w:id="90"/>
    </w:p>
    <w:p w14:paraId="58B78BAD">
      <w:pPr>
        <w:pStyle w:val="105"/>
        <w:rPr>
          <w:rFonts w:hint="eastAsia" w:ascii="宋体" w:hAnsi="宋体" w:eastAsia="宋体" w:cs="宋体"/>
          <w:lang w:val="en-US" w:eastAsia="zh-CN"/>
        </w:rPr>
      </w:pPr>
      <w:r>
        <w:rPr>
          <w:rFonts w:hint="eastAsia" w:ascii="宋体" w:hAnsi="宋体" w:eastAsia="宋体" w:cs="宋体"/>
          <w:lang w:val="en-US" w:eastAsia="zh-CN"/>
        </w:rPr>
        <w:t>为保证本项目成果的质量，项目验收按照江苏移动信息系统集成有限公司制定的相关办法和标准执行。</w:t>
      </w:r>
    </w:p>
    <w:p w14:paraId="1180B1E0">
      <w:pPr>
        <w:pStyle w:val="105"/>
        <w:rPr>
          <w:rFonts w:hint="eastAsia" w:ascii="宋体" w:hAnsi="宋体" w:eastAsia="宋体" w:cs="宋体"/>
          <w:lang w:val="en-US" w:eastAsia="zh-CN"/>
        </w:rPr>
      </w:pPr>
      <w:bookmarkStart w:id="91" w:name="_Toc76105520"/>
      <w:bookmarkStart w:id="92" w:name="_Toc79730265"/>
      <w:bookmarkStart w:id="93" w:name="_Toc80351918"/>
      <w:r>
        <w:rPr>
          <w:rFonts w:hint="eastAsia" w:ascii="宋体" w:hAnsi="宋体" w:eastAsia="宋体" w:cs="宋体"/>
          <w:lang w:val="en-US" w:eastAsia="zh-CN"/>
        </w:rPr>
        <w:t>应答方严格保守需求方一切的商业机密，保证需求方相关信息的安全使用，不得自行将需求方资料转让给第三人。</w:t>
      </w:r>
      <w:bookmarkEnd w:id="91"/>
      <w:bookmarkEnd w:id="92"/>
      <w:bookmarkEnd w:id="93"/>
    </w:p>
    <w:p w14:paraId="27431039">
      <w:pPr>
        <w:pStyle w:val="2"/>
        <w:bidi w:val="0"/>
        <w:ind w:left="432" w:leftChars="0" w:hanging="432" w:firstLineChars="0"/>
        <w:rPr>
          <w:rFonts w:hint="eastAsia" w:ascii="宋体" w:hAnsi="宋体" w:eastAsia="宋体" w:cs="宋体"/>
          <w:lang w:val="en-US" w:eastAsia="zh-CN"/>
        </w:rPr>
      </w:pPr>
      <w:r>
        <w:rPr>
          <w:rFonts w:hint="eastAsia" w:ascii="宋体" w:hAnsi="宋体" w:eastAsia="宋体" w:cs="宋体"/>
          <w:lang w:val="en-US" w:eastAsia="zh-CN"/>
        </w:rPr>
        <w:t>视频演示要求</w:t>
      </w:r>
    </w:p>
    <w:p w14:paraId="7987AC1B">
      <w:pPr>
        <w:pStyle w:val="10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应答方根据技术规范书要求提供以下核心功能视频演示，将在评分中获得相应分值：</w:t>
      </w:r>
    </w:p>
    <w:p w14:paraId="520B41D0">
      <w:pPr>
        <w:pStyle w:val="105"/>
        <w:rPr>
          <w:rFonts w:hint="eastAsia" w:ascii="宋体" w:hAnsi="宋体" w:eastAsia="宋体" w:cs="宋体"/>
          <w:lang w:val="en-US" w:eastAsia="zh-CN"/>
        </w:rPr>
      </w:pPr>
      <w:r>
        <w:rPr>
          <w:rFonts w:hint="eastAsia" w:ascii="宋体" w:hAnsi="宋体" w:eastAsia="宋体" w:cs="宋体"/>
          <w:lang w:val="en-US" w:eastAsia="zh-CN"/>
        </w:rPr>
        <w:t xml:space="preserve">（1）问答检索推荐：通过AI问答检索功能，检索系统内的知识库、场景化课程与考试信息以及任务内容。 </w:t>
      </w:r>
    </w:p>
    <w:p w14:paraId="7844093F">
      <w:pPr>
        <w:pStyle w:val="105"/>
        <w:rPr>
          <w:rFonts w:hint="eastAsia" w:ascii="宋体" w:hAnsi="宋体" w:eastAsia="宋体" w:cs="宋体"/>
          <w:lang w:val="en-US" w:eastAsia="zh-CN"/>
        </w:rPr>
      </w:pPr>
      <w:r>
        <w:rPr>
          <w:rFonts w:hint="eastAsia" w:ascii="宋体" w:hAnsi="宋体" w:eastAsia="宋体" w:cs="宋体"/>
          <w:lang w:val="en-US" w:eastAsia="zh-CN"/>
        </w:rPr>
        <w:t>（2）AI话术跟读：支持多轮次的产品知识、营销话术和营销场景话术跟读，以及实时语音分析，并进行打分以及提供改进建议。</w:t>
      </w:r>
    </w:p>
    <w:p w14:paraId="70D90BED">
      <w:pPr>
        <w:pStyle w:val="105"/>
        <w:rPr>
          <w:rFonts w:hint="eastAsia" w:ascii="宋体" w:hAnsi="宋体" w:eastAsia="宋体" w:cs="宋体"/>
          <w:lang w:val="en-US" w:eastAsia="zh-CN"/>
        </w:rPr>
      </w:pPr>
      <w:r>
        <w:rPr>
          <w:rFonts w:hint="eastAsia" w:ascii="宋体" w:hAnsi="宋体" w:eastAsia="宋体" w:cs="宋体"/>
          <w:lang w:val="en-US" w:eastAsia="zh-CN"/>
        </w:rPr>
        <w:t>（3）AI考试：针对提供的专业内容，自动生成覆盖多题型（单选题、多选题、判断题、简答题）的试卷，支持动态调整题库内容。</w:t>
      </w:r>
    </w:p>
    <w:p w14:paraId="25291009">
      <w:pPr>
        <w:pStyle w:val="105"/>
        <w:rPr>
          <w:rFonts w:hint="eastAsia" w:ascii="宋体" w:hAnsi="宋体" w:eastAsia="宋体" w:cs="宋体"/>
          <w:lang w:val="en-US" w:eastAsia="zh-CN"/>
        </w:rPr>
      </w:pPr>
      <w:r>
        <w:rPr>
          <w:rFonts w:hint="eastAsia" w:ascii="宋体" w:hAnsi="宋体" w:eastAsia="宋体" w:cs="宋体"/>
          <w:lang w:val="en-US" w:eastAsia="zh-CN"/>
        </w:rPr>
        <w:t>（4）AI情景演练：AI以客户的身份与学员进行模拟营销演练，流程包含开场白、需求挖掘、产品推荐和异议处理环节。</w:t>
      </w:r>
    </w:p>
    <w:p w14:paraId="589C3143">
      <w:pPr>
        <w:pStyle w:val="105"/>
        <w:rPr>
          <w:rFonts w:hint="eastAsia" w:ascii="宋体" w:hAnsi="宋体" w:eastAsia="宋体" w:cs="宋体"/>
          <w:lang w:val="en-US" w:eastAsia="zh-CN"/>
        </w:rPr>
      </w:pPr>
      <w:r>
        <w:rPr>
          <w:rFonts w:hint="eastAsia" w:ascii="宋体" w:hAnsi="宋体" w:eastAsia="宋体" w:cs="宋体"/>
          <w:lang w:val="en-US" w:eastAsia="zh-CN"/>
        </w:rPr>
        <w:t>（5）AI电子书伴学：通过AI技术对电子书内容进行深度分析与处理，自动生成内容总结、知识拆分及练习题，并支持智能问答。</w:t>
      </w:r>
    </w:p>
    <w:p w14:paraId="32FFA460">
      <w:pPr>
        <w:pStyle w:val="105"/>
        <w:rPr>
          <w:rFonts w:hint="eastAsia" w:ascii="宋体" w:hAnsi="宋体" w:eastAsia="宋体" w:cs="宋体"/>
          <w:lang w:val="en-US" w:eastAsia="zh-CN"/>
        </w:rPr>
      </w:pPr>
      <w:r>
        <w:rPr>
          <w:rFonts w:hint="eastAsia" w:ascii="宋体" w:hAnsi="宋体" w:eastAsia="宋体" w:cs="宋体"/>
          <w:lang w:val="en-US" w:eastAsia="zh-CN"/>
        </w:rPr>
        <w:t>评定标准：基于以上共5个功能，提供对应的演示视频，每个功能演示完全满足上述要求(包括但不限于功能点的执行、结果展示)的得该项满分，每个功能中每有一项演示内容不完整、不符合需求的将扣分，扣完该项功能总分为止。不提供视频的不得分。</w:t>
      </w:r>
    </w:p>
    <w:p w14:paraId="7D9D810C">
      <w:pPr>
        <w:pStyle w:val="105"/>
        <w:rPr>
          <w:rFonts w:hint="eastAsia" w:ascii="宋体" w:hAnsi="宋体" w:eastAsia="宋体" w:cs="宋体"/>
          <w:lang w:val="en-US" w:eastAsia="zh-CN"/>
        </w:rPr>
      </w:pPr>
      <w:r>
        <w:rPr>
          <w:rFonts w:hint="eastAsia" w:ascii="宋体" w:hAnsi="宋体" w:eastAsia="宋体" w:cs="宋体"/>
          <w:lang w:val="en-US" w:eastAsia="zh-CN"/>
        </w:rPr>
        <w:t>注：1）演示视频须随应答文件一并提交，且可正常播放，建议采用MP4格式，视频总时长不超过15分钟；2）建议各功能点演示前进行字幕预告。不提供或不符合不得分。</w:t>
      </w:r>
      <w:bookmarkStart w:id="94" w:name="_Toc230070383"/>
      <w:bookmarkEnd w:id="94"/>
      <w:bookmarkStart w:id="95" w:name="_Toc230070382"/>
      <w:bookmarkEnd w:id="95"/>
      <w:bookmarkStart w:id="96" w:name="_GoBack"/>
      <w:bookmarkEnd w:id="96"/>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正圆-45W">
    <w:altName w:val="宋体"/>
    <w:panose1 w:val="00020600040101010101"/>
    <w:charset w:val="86"/>
    <w:family w:val="roman"/>
    <w:pitch w:val="default"/>
    <w:sig w:usb0="00000000" w:usb1="00000000" w:usb2="00000016" w:usb3="00000000" w:csb0="0004009F" w:csb1="00000000"/>
  </w:font>
  <w:font w:name="Calibri Light">
    <w:panose1 w:val="020F0302020204030204"/>
    <w:charset w:val="00"/>
    <w:family w:val="auto"/>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6EA7A">
    <w:pPr>
      <w:pStyle w:val="5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434451">
                          <w:pPr>
                            <w:pStyle w:val="5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2434451">
                    <w:pPr>
                      <w:pStyle w:val="5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5DC58F"/>
    <w:multiLevelType w:val="singleLevel"/>
    <w:tmpl w:val="885DC58F"/>
    <w:lvl w:ilvl="0" w:tentative="0">
      <w:start w:val="1"/>
      <w:numFmt w:val="chineseCounting"/>
      <w:pStyle w:val="103"/>
      <w:suff w:val="nothing"/>
      <w:lvlText w:val="%1、"/>
      <w:lvlJc w:val="left"/>
      <w:pPr>
        <w:ind w:left="-420" w:firstLine="420"/>
      </w:pPr>
      <w:rPr>
        <w:rFonts w:hint="eastAsia"/>
      </w:rPr>
    </w:lvl>
  </w:abstractNum>
  <w:abstractNum w:abstractNumId="1">
    <w:nsid w:val="8F6F15F9"/>
    <w:multiLevelType w:val="singleLevel"/>
    <w:tmpl w:val="8F6F15F9"/>
    <w:lvl w:ilvl="0" w:tentative="0">
      <w:start w:val="1"/>
      <w:numFmt w:val="decimal"/>
      <w:suff w:val="nothing"/>
      <w:lvlText w:val="%1．"/>
      <w:lvlJc w:val="left"/>
      <w:pPr>
        <w:ind w:left="420" w:firstLine="400"/>
      </w:pPr>
      <w:rPr>
        <w:rFonts w:hint="default"/>
      </w:rPr>
    </w:lvl>
  </w:abstractNum>
  <w:abstractNum w:abstractNumId="2">
    <w:nsid w:val="90AE7289"/>
    <w:multiLevelType w:val="singleLevel"/>
    <w:tmpl w:val="90AE7289"/>
    <w:lvl w:ilvl="0" w:tentative="0">
      <w:start w:val="1"/>
      <w:numFmt w:val="decimal"/>
      <w:suff w:val="nothing"/>
      <w:lvlText w:val="%1．"/>
      <w:lvlJc w:val="left"/>
      <w:pPr>
        <w:ind w:left="420" w:firstLine="400"/>
      </w:pPr>
      <w:rPr>
        <w:rFonts w:hint="default"/>
      </w:rPr>
    </w:lvl>
  </w:abstractNum>
  <w:abstractNum w:abstractNumId="3">
    <w:nsid w:val="A5B23F46"/>
    <w:multiLevelType w:val="multilevel"/>
    <w:tmpl w:val="A5B23F46"/>
    <w:lvl w:ilvl="0" w:tentative="0">
      <w:start w:val="1"/>
      <w:numFmt w:val="bullet"/>
      <w:pStyle w:val="40"/>
      <w:suff w:val="space"/>
      <w:lvlText w:val="◊"/>
      <w:lvlJc w:val="left"/>
      <w:pPr>
        <w:tabs>
          <w:tab w:val="left" w:pos="0"/>
        </w:tabs>
        <w:ind w:left="0" w:firstLine="0"/>
      </w:pPr>
      <w:rPr>
        <w:rFonts w:hint="default" w:ascii="Arial" w:hAnsi="Arial"/>
        <w:color w:val="auto"/>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4">
    <w:nsid w:val="C12C37DC"/>
    <w:multiLevelType w:val="singleLevel"/>
    <w:tmpl w:val="C12C37DC"/>
    <w:lvl w:ilvl="0" w:tentative="0">
      <w:start w:val="1"/>
      <w:numFmt w:val="bullet"/>
      <w:pStyle w:val="46"/>
      <w:suff w:val="space"/>
      <w:lvlText w:val=""/>
      <w:lvlJc w:val="left"/>
      <w:pPr>
        <w:tabs>
          <w:tab w:val="left" w:pos="420"/>
        </w:tabs>
        <w:ind w:left="0" w:firstLine="0"/>
      </w:pPr>
      <w:rPr>
        <w:rFonts w:hint="default" w:ascii="Wingdings" w:hAnsi="Wingdings"/>
        <w:color w:val="auto"/>
      </w:rPr>
    </w:lvl>
  </w:abstractNum>
  <w:abstractNum w:abstractNumId="5">
    <w:nsid w:val="D0AE592E"/>
    <w:multiLevelType w:val="singleLevel"/>
    <w:tmpl w:val="D0AE592E"/>
    <w:lvl w:ilvl="0" w:tentative="0">
      <w:start w:val="1"/>
      <w:numFmt w:val="decimal"/>
      <w:suff w:val="nothing"/>
      <w:lvlText w:val="%1．"/>
      <w:lvlJc w:val="left"/>
      <w:pPr>
        <w:ind w:left="420" w:firstLine="400"/>
      </w:pPr>
      <w:rPr>
        <w:rFonts w:hint="default"/>
      </w:rPr>
    </w:lvl>
  </w:abstractNum>
  <w:abstractNum w:abstractNumId="6">
    <w:nsid w:val="D9799927"/>
    <w:multiLevelType w:val="singleLevel"/>
    <w:tmpl w:val="D9799927"/>
    <w:lvl w:ilvl="0" w:tentative="0">
      <w:start w:val="1"/>
      <w:numFmt w:val="decimal"/>
      <w:pStyle w:val="104"/>
      <w:lvlText w:val="(%1)"/>
      <w:lvlJc w:val="left"/>
      <w:pPr>
        <w:ind w:left="845" w:hanging="425"/>
      </w:pPr>
      <w:rPr>
        <w:rFonts w:hint="default"/>
      </w:rPr>
    </w:lvl>
  </w:abstractNum>
  <w:abstractNum w:abstractNumId="7">
    <w:nsid w:val="E08E37DC"/>
    <w:multiLevelType w:val="singleLevel"/>
    <w:tmpl w:val="E08E37DC"/>
    <w:lvl w:ilvl="0" w:tentative="0">
      <w:start w:val="1"/>
      <w:numFmt w:val="bullet"/>
      <w:pStyle w:val="24"/>
      <w:suff w:val="space"/>
      <w:lvlText w:val=""/>
      <w:lvlJc w:val="left"/>
      <w:pPr>
        <w:tabs>
          <w:tab w:val="left" w:pos="0"/>
        </w:tabs>
        <w:ind w:left="0" w:firstLine="0"/>
      </w:pPr>
      <w:rPr>
        <w:rFonts w:hint="default" w:ascii="Wingdings" w:hAnsi="Wingdings"/>
        <w:color w:val="auto"/>
      </w:rPr>
    </w:lvl>
  </w:abstractNum>
  <w:abstractNum w:abstractNumId="8">
    <w:nsid w:val="EBB64387"/>
    <w:multiLevelType w:val="singleLevel"/>
    <w:tmpl w:val="EBB64387"/>
    <w:lvl w:ilvl="0" w:tentative="0">
      <w:start w:val="1"/>
      <w:numFmt w:val="decimal"/>
      <w:suff w:val="nothing"/>
      <w:lvlText w:val="%1．"/>
      <w:lvlJc w:val="left"/>
      <w:pPr>
        <w:ind w:left="420" w:firstLine="400"/>
      </w:pPr>
      <w:rPr>
        <w:rFonts w:hint="default"/>
      </w:rPr>
    </w:lvl>
  </w:abstractNum>
  <w:abstractNum w:abstractNumId="9">
    <w:nsid w:val="F548F110"/>
    <w:multiLevelType w:val="singleLevel"/>
    <w:tmpl w:val="F548F110"/>
    <w:lvl w:ilvl="0" w:tentative="0">
      <w:start w:val="1"/>
      <w:numFmt w:val="decimal"/>
      <w:suff w:val="nothing"/>
      <w:lvlText w:val="%1．"/>
      <w:lvlJc w:val="left"/>
      <w:pPr>
        <w:ind w:left="420" w:firstLine="400"/>
      </w:pPr>
      <w:rPr>
        <w:rFonts w:hint="default"/>
      </w:rPr>
    </w:lvl>
  </w:abstractNum>
  <w:abstractNum w:abstractNumId="10">
    <w:nsid w:val="F887426A"/>
    <w:multiLevelType w:val="singleLevel"/>
    <w:tmpl w:val="F887426A"/>
    <w:lvl w:ilvl="0" w:tentative="0">
      <w:start w:val="1"/>
      <w:numFmt w:val="decimalEnclosedCircleChinese"/>
      <w:suff w:val="nothing"/>
      <w:lvlText w:val="%1　"/>
      <w:lvlJc w:val="left"/>
      <w:pPr>
        <w:ind w:left="0" w:firstLine="400"/>
      </w:pPr>
      <w:rPr>
        <w:rFonts w:hint="eastAsia"/>
      </w:rPr>
    </w:lvl>
  </w:abstractNum>
  <w:abstractNum w:abstractNumId="11">
    <w:nsid w:val="106257FD"/>
    <w:multiLevelType w:val="multilevel"/>
    <w:tmpl w:val="106257FD"/>
    <w:lvl w:ilvl="0" w:tentative="0">
      <w:start w:val="1"/>
      <w:numFmt w:val="bullet"/>
      <w:pStyle w:val="17"/>
      <w:suff w:val="space"/>
      <w:lvlText w:val=""/>
      <w:lvlJc w:val="left"/>
      <w:pPr>
        <w:tabs>
          <w:tab w:val="left" w:pos="420"/>
        </w:tabs>
        <w:ind w:left="0" w:firstLine="0"/>
      </w:pPr>
      <w:rPr>
        <w:rFonts w:hint="default" w:ascii="Wingdings" w:hAnsi="Wingdings"/>
        <w:color w:val="auto"/>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12">
    <w:nsid w:val="3B301687"/>
    <w:multiLevelType w:val="singleLevel"/>
    <w:tmpl w:val="3B301687"/>
    <w:lvl w:ilvl="0" w:tentative="0">
      <w:start w:val="1"/>
      <w:numFmt w:val="decimal"/>
      <w:suff w:val="nothing"/>
      <w:lvlText w:val="%1．"/>
      <w:lvlJc w:val="left"/>
      <w:pPr>
        <w:ind w:left="420" w:firstLine="400"/>
      </w:pPr>
      <w:rPr>
        <w:rFonts w:hint="default"/>
      </w:rPr>
    </w:lvl>
  </w:abstractNum>
  <w:abstractNum w:abstractNumId="13">
    <w:nsid w:val="4B09E4D5"/>
    <w:multiLevelType w:val="singleLevel"/>
    <w:tmpl w:val="4B09E4D5"/>
    <w:lvl w:ilvl="0" w:tentative="0">
      <w:start w:val="1"/>
      <w:numFmt w:val="decimal"/>
      <w:suff w:val="nothing"/>
      <w:lvlText w:val="%1．"/>
      <w:lvlJc w:val="left"/>
      <w:pPr>
        <w:ind w:left="420" w:firstLine="400"/>
      </w:pPr>
      <w:rPr>
        <w:rFonts w:hint="default"/>
      </w:rPr>
    </w:lvl>
  </w:abstractNum>
  <w:abstractNum w:abstractNumId="14">
    <w:nsid w:val="508FE0F6"/>
    <w:multiLevelType w:val="singleLevel"/>
    <w:tmpl w:val="508FE0F6"/>
    <w:lvl w:ilvl="0" w:tentative="0">
      <w:start w:val="1"/>
      <w:numFmt w:val="bullet"/>
      <w:lvlText w:val="•"/>
      <w:lvlJc w:val="left"/>
      <w:pPr>
        <w:tabs>
          <w:tab w:val="left" w:pos="420"/>
        </w:tabs>
        <w:ind w:left="840" w:leftChars="0" w:hanging="420" w:firstLineChars="0"/>
      </w:pPr>
      <w:rPr>
        <w:rFonts w:hint="default" w:ascii="Arial" w:hAnsi="Arial" w:cs="Arial"/>
      </w:rPr>
    </w:lvl>
  </w:abstractNum>
  <w:abstractNum w:abstractNumId="15">
    <w:nsid w:val="74D657D1"/>
    <w:multiLevelType w:val="multilevel"/>
    <w:tmpl w:val="74D657D1"/>
    <w:lvl w:ilvl="0" w:tentative="0">
      <w:start w:val="1"/>
      <w:numFmt w:val="decimal"/>
      <w:pStyle w:val="20"/>
      <w:suff w:val="space"/>
      <w:lvlText w:val="第 %1 条"/>
      <w:lvlJc w:val="left"/>
      <w:pPr>
        <w:tabs>
          <w:tab w:val="left" w:pos="0"/>
        </w:tabs>
        <w:ind w:left="0" w:firstLine="0"/>
      </w:pPr>
      <w:rPr>
        <w:rFonts w:hint="default"/>
      </w:rPr>
    </w:lvl>
    <w:lvl w:ilvl="1" w:tentative="0">
      <w:start w:val="1"/>
      <w:numFmt w:val="decimalFullWidth"/>
      <w:pStyle w:val="14"/>
      <w:isLgl/>
      <w:suff w:val="space"/>
      <w:lvlText w:val="%1.%2"/>
      <w:lvlJc w:val="left"/>
      <w:pPr>
        <w:tabs>
          <w:tab w:val="left" w:pos="420"/>
        </w:tabs>
        <w:ind w:left="0" w:firstLine="0"/>
      </w:pPr>
      <w:rPr>
        <w:rFonts w:hint="eastAsia"/>
      </w:rPr>
    </w:lvl>
    <w:lvl w:ilvl="2" w:tentative="0">
      <w:start w:val="1"/>
      <w:numFmt w:val="decimal"/>
      <w:pStyle w:val="36"/>
      <w:isLgl/>
      <w:suff w:val="space"/>
      <w:lvlText w:val="%1.%2.%3"/>
      <w:lvlJc w:val="left"/>
      <w:pPr>
        <w:tabs>
          <w:tab w:val="left" w:pos="0"/>
        </w:tabs>
        <w:ind w:left="0" w:firstLine="0"/>
      </w:pPr>
      <w:rPr>
        <w:rFonts w:hint="eastAsia"/>
      </w:rPr>
    </w:lvl>
    <w:lvl w:ilvl="3" w:tentative="0">
      <w:start w:val="1"/>
      <w:numFmt w:val="decimal"/>
      <w:pStyle w:val="47"/>
      <w:isLgl/>
      <w:suff w:val="space"/>
      <w:lvlText w:val="%4）"/>
      <w:lvlJc w:val="left"/>
      <w:pPr>
        <w:tabs>
          <w:tab w:val="left" w:pos="420"/>
        </w:tabs>
        <w:ind w:left="0" w:firstLine="0"/>
      </w:pPr>
      <w:rPr>
        <w:rFonts w:hint="default"/>
      </w:rPr>
    </w:lvl>
    <w:lvl w:ilvl="4" w:tentative="0">
      <w:start w:val="1"/>
      <w:numFmt w:val="decimalZero"/>
      <w:pStyle w:val="65"/>
      <w:isLgl/>
      <w:lvlText w:val="%5."/>
      <w:lvlJc w:val="left"/>
      <w:pPr>
        <w:tabs>
          <w:tab w:val="left" w:pos="420"/>
        </w:tabs>
        <w:ind w:left="0" w:firstLine="0"/>
      </w:pPr>
      <w:rPr>
        <w:rFonts w:hint="default"/>
      </w:rPr>
    </w:lvl>
    <w:lvl w:ilvl="5" w:tentative="0">
      <w:start w:val="1"/>
      <w:numFmt w:val="lowerLetter"/>
      <w:lvlText w:val="%6)"/>
      <w:lvlJc w:val="left"/>
      <w:pPr>
        <w:ind w:left="1152" w:hanging="432"/>
      </w:pPr>
      <w:rPr>
        <w:rFonts w:hint="eastAsia"/>
      </w:rPr>
    </w:lvl>
    <w:lvl w:ilvl="6" w:tentative="0">
      <w:start w:val="1"/>
      <w:numFmt w:val="lowerRoman"/>
      <w:lvlText w:val="%7)"/>
      <w:lvlJc w:val="right"/>
      <w:pPr>
        <w:ind w:left="1296" w:hanging="288"/>
      </w:pPr>
      <w:rPr>
        <w:rFonts w:hint="eastAsia"/>
      </w:rPr>
    </w:lvl>
    <w:lvl w:ilvl="7" w:tentative="0">
      <w:start w:val="1"/>
      <w:numFmt w:val="lowerLetter"/>
      <w:lvlText w:val="%8."/>
      <w:lvlJc w:val="left"/>
      <w:pPr>
        <w:ind w:left="1440" w:hanging="432"/>
      </w:pPr>
      <w:rPr>
        <w:rFonts w:hint="eastAsia"/>
      </w:rPr>
    </w:lvl>
    <w:lvl w:ilvl="8" w:tentative="0">
      <w:start w:val="1"/>
      <w:numFmt w:val="lowerRoman"/>
      <w:lvlText w:val="%9."/>
      <w:lvlJc w:val="right"/>
      <w:pPr>
        <w:ind w:left="1584" w:hanging="144"/>
      </w:pPr>
      <w:rPr>
        <w:rFonts w:hint="eastAsia"/>
      </w:rPr>
    </w:lvl>
  </w:abstractNum>
  <w:abstractNum w:abstractNumId="16">
    <w:nsid w:val="761D72CF"/>
    <w:multiLevelType w:val="multilevel"/>
    <w:tmpl w:val="761D72CF"/>
    <w:lvl w:ilvl="0" w:tentative="0">
      <w:start w:val="1"/>
      <w:numFmt w:val="chineseCounting"/>
      <w:pStyle w:val="2"/>
      <w:suff w:val="nothing"/>
      <w:lvlText w:val="第%1章 "/>
      <w:lvlJc w:val="left"/>
      <w:pPr>
        <w:ind w:left="432" w:hanging="432"/>
      </w:pPr>
      <w:rPr>
        <w:rFonts w:hint="eastAsia"/>
      </w:rPr>
    </w:lvl>
    <w:lvl w:ilvl="1" w:tentative="0">
      <w:start w:val="1"/>
      <w:numFmt w:val="decimal"/>
      <w:pStyle w:val="4"/>
      <w:isLgl/>
      <w:lvlText w:val="%1.%2."/>
      <w:lvlJc w:val="left"/>
      <w:pPr>
        <w:ind w:left="575" w:hanging="575"/>
      </w:pPr>
      <w:rPr>
        <w:rFonts w:hint="eastAsia"/>
      </w:rPr>
    </w:lvl>
    <w:lvl w:ilvl="2" w:tentative="0">
      <w:start w:val="1"/>
      <w:numFmt w:val="decimal"/>
      <w:pStyle w:val="5"/>
      <w:isLgl/>
      <w:lvlText w:val="%1.%2.%3."/>
      <w:lvlJc w:val="left"/>
      <w:pPr>
        <w:ind w:left="720" w:hanging="720"/>
      </w:pPr>
      <w:rPr>
        <w:rFonts w:hint="eastAsia"/>
      </w:rPr>
    </w:lvl>
    <w:lvl w:ilvl="3" w:tentative="0">
      <w:start w:val="1"/>
      <w:numFmt w:val="decimal"/>
      <w:pStyle w:val="6"/>
      <w:isLgl/>
      <w:lvlText w:val="%1.%2.%3.%4."/>
      <w:lvlJc w:val="left"/>
      <w:pPr>
        <w:ind w:left="864" w:hanging="864"/>
      </w:pPr>
      <w:rPr>
        <w:rFonts w:hint="eastAsia"/>
      </w:rPr>
    </w:lvl>
    <w:lvl w:ilvl="4" w:tentative="0">
      <w:start w:val="1"/>
      <w:numFmt w:val="decimal"/>
      <w:pStyle w:val="7"/>
      <w:isLgl/>
      <w:lvlText w:val="%1.%2.%3.%4.%5."/>
      <w:lvlJc w:val="left"/>
      <w:pPr>
        <w:ind w:left="1008" w:hanging="1008"/>
      </w:pPr>
      <w:rPr>
        <w:rFonts w:hint="eastAsia"/>
      </w:rPr>
    </w:lvl>
    <w:lvl w:ilvl="5" w:tentative="0">
      <w:start w:val="1"/>
      <w:numFmt w:val="decimal"/>
      <w:pStyle w:val="8"/>
      <w:isLgl/>
      <w:lvlText w:val="%1.%2.%3.%4.%5.%6."/>
      <w:lvlJc w:val="left"/>
      <w:pPr>
        <w:ind w:left="1151" w:hanging="1151"/>
      </w:pPr>
      <w:rPr>
        <w:rFonts w:hint="eastAsia"/>
      </w:rPr>
    </w:lvl>
    <w:lvl w:ilvl="6" w:tentative="0">
      <w:start w:val="1"/>
      <w:numFmt w:val="decimal"/>
      <w:pStyle w:val="9"/>
      <w:isLgl/>
      <w:lvlText w:val="%1.%2.%3.%4.%5.%6.%7."/>
      <w:lvlJc w:val="left"/>
      <w:pPr>
        <w:ind w:left="1296" w:hanging="1296"/>
      </w:pPr>
      <w:rPr>
        <w:rFonts w:hint="eastAsia"/>
      </w:rPr>
    </w:lvl>
    <w:lvl w:ilvl="7" w:tentative="0">
      <w:start w:val="1"/>
      <w:numFmt w:val="decimal"/>
      <w:pStyle w:val="10"/>
      <w:isLgl/>
      <w:lvlText w:val="%1.%2.%3.%4.%5.%6.%7.%8."/>
      <w:lvlJc w:val="left"/>
      <w:pPr>
        <w:ind w:left="1440" w:hanging="1440"/>
      </w:pPr>
      <w:rPr>
        <w:rFonts w:hint="eastAsia"/>
      </w:rPr>
    </w:lvl>
    <w:lvl w:ilvl="8" w:tentative="0">
      <w:start w:val="1"/>
      <w:numFmt w:val="decimal"/>
      <w:pStyle w:val="11"/>
      <w:isLgl/>
      <w:lvlText w:val="%1.%2.%3.%4.%5.%6.%7.%8.%9."/>
      <w:lvlJc w:val="left"/>
      <w:pPr>
        <w:ind w:left="1583" w:hanging="1583"/>
      </w:pPr>
      <w:rPr>
        <w:rFonts w:hint="eastAsia"/>
      </w:rPr>
    </w:lvl>
  </w:abstractNum>
  <w:abstractNum w:abstractNumId="17">
    <w:nsid w:val="789DDC66"/>
    <w:multiLevelType w:val="singleLevel"/>
    <w:tmpl w:val="789DDC66"/>
    <w:lvl w:ilvl="0" w:tentative="0">
      <w:start w:val="1"/>
      <w:numFmt w:val="bullet"/>
      <w:pStyle w:val="33"/>
      <w:suff w:val="space"/>
      <w:lvlText w:val=""/>
      <w:lvlJc w:val="left"/>
      <w:pPr>
        <w:tabs>
          <w:tab w:val="left" w:pos="420"/>
        </w:tabs>
        <w:ind w:left="0" w:firstLine="0"/>
      </w:pPr>
      <w:rPr>
        <w:rFonts w:hint="default" w:ascii="Wingdings" w:hAnsi="Wingdings"/>
        <w:color w:val="auto"/>
      </w:rPr>
    </w:lvl>
  </w:abstractNum>
  <w:num w:numId="1">
    <w:abstractNumId w:val="16"/>
  </w:num>
  <w:num w:numId="2">
    <w:abstractNumId w:val="15"/>
  </w:num>
  <w:num w:numId="3">
    <w:abstractNumId w:val="11"/>
  </w:num>
  <w:num w:numId="4">
    <w:abstractNumId w:val="7"/>
  </w:num>
  <w:num w:numId="5">
    <w:abstractNumId w:val="17"/>
  </w:num>
  <w:num w:numId="6">
    <w:abstractNumId w:val="3"/>
  </w:num>
  <w:num w:numId="7">
    <w:abstractNumId w:val="4"/>
  </w:num>
  <w:num w:numId="8">
    <w:abstractNumId w:val="0"/>
  </w:num>
  <w:num w:numId="9">
    <w:abstractNumId w:val="6"/>
  </w:num>
  <w:num w:numId="10">
    <w:abstractNumId w:val="14"/>
  </w:num>
  <w:num w:numId="11">
    <w:abstractNumId w:val="10"/>
  </w:num>
  <w:num w:numId="12">
    <w:abstractNumId w:val="1"/>
  </w:num>
  <w:num w:numId="13">
    <w:abstractNumId w:val="2"/>
  </w:num>
  <w:num w:numId="14">
    <w:abstractNumId w:val="9"/>
  </w:num>
  <w:num w:numId="15">
    <w:abstractNumId w:val="13"/>
  </w:num>
  <w:num w:numId="16">
    <w:abstractNumId w:val="8"/>
  </w:num>
  <w:num w:numId="17">
    <w:abstractNumId w:val="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C35469"/>
    <w:rsid w:val="00B00BD6"/>
    <w:rsid w:val="0199704A"/>
    <w:rsid w:val="01C0309B"/>
    <w:rsid w:val="01C761D7"/>
    <w:rsid w:val="01CC3898"/>
    <w:rsid w:val="0288777F"/>
    <w:rsid w:val="03127926"/>
    <w:rsid w:val="035F38A0"/>
    <w:rsid w:val="04537C14"/>
    <w:rsid w:val="04757F4E"/>
    <w:rsid w:val="06144F07"/>
    <w:rsid w:val="07375BAD"/>
    <w:rsid w:val="0A5269D0"/>
    <w:rsid w:val="0AD87A45"/>
    <w:rsid w:val="0B732F2C"/>
    <w:rsid w:val="0C3923C8"/>
    <w:rsid w:val="0C5745FC"/>
    <w:rsid w:val="0FC61D9A"/>
    <w:rsid w:val="120B3EBE"/>
    <w:rsid w:val="12792C5F"/>
    <w:rsid w:val="12843005"/>
    <w:rsid w:val="144C2135"/>
    <w:rsid w:val="15CE1DD3"/>
    <w:rsid w:val="15F01D49"/>
    <w:rsid w:val="16571DC8"/>
    <w:rsid w:val="17036477"/>
    <w:rsid w:val="17285513"/>
    <w:rsid w:val="175B1444"/>
    <w:rsid w:val="185145F5"/>
    <w:rsid w:val="18EC6464"/>
    <w:rsid w:val="18EE0096"/>
    <w:rsid w:val="198D7236"/>
    <w:rsid w:val="1B6C00C4"/>
    <w:rsid w:val="1BC500FA"/>
    <w:rsid w:val="1C4F52EF"/>
    <w:rsid w:val="1D954F84"/>
    <w:rsid w:val="1F262338"/>
    <w:rsid w:val="1FC35469"/>
    <w:rsid w:val="20FF1092"/>
    <w:rsid w:val="21294361"/>
    <w:rsid w:val="2164183D"/>
    <w:rsid w:val="2173382E"/>
    <w:rsid w:val="219043E0"/>
    <w:rsid w:val="21D42471"/>
    <w:rsid w:val="221922E6"/>
    <w:rsid w:val="22B20386"/>
    <w:rsid w:val="23237640"/>
    <w:rsid w:val="23FA0237"/>
    <w:rsid w:val="247C4A71"/>
    <w:rsid w:val="251575D0"/>
    <w:rsid w:val="25826736"/>
    <w:rsid w:val="264659B5"/>
    <w:rsid w:val="26C75954"/>
    <w:rsid w:val="27AC471D"/>
    <w:rsid w:val="27F05BD9"/>
    <w:rsid w:val="280B2A12"/>
    <w:rsid w:val="28186EDD"/>
    <w:rsid w:val="28A864B3"/>
    <w:rsid w:val="291C47AB"/>
    <w:rsid w:val="29363513"/>
    <w:rsid w:val="29B06569"/>
    <w:rsid w:val="2A64640A"/>
    <w:rsid w:val="2A8645D2"/>
    <w:rsid w:val="2AAD14E3"/>
    <w:rsid w:val="2AFA2584"/>
    <w:rsid w:val="2B2D2CA0"/>
    <w:rsid w:val="2C086211"/>
    <w:rsid w:val="2C2279B1"/>
    <w:rsid w:val="2C7D37B3"/>
    <w:rsid w:val="2CDA0C05"/>
    <w:rsid w:val="2DC97F90"/>
    <w:rsid w:val="2E0E076F"/>
    <w:rsid w:val="2E3A5DFF"/>
    <w:rsid w:val="30183F1E"/>
    <w:rsid w:val="316C2692"/>
    <w:rsid w:val="31F6028F"/>
    <w:rsid w:val="336202B2"/>
    <w:rsid w:val="34441786"/>
    <w:rsid w:val="346A286F"/>
    <w:rsid w:val="34784F8C"/>
    <w:rsid w:val="352E5F92"/>
    <w:rsid w:val="355C48AD"/>
    <w:rsid w:val="37BF1123"/>
    <w:rsid w:val="38B93406"/>
    <w:rsid w:val="38EA21D0"/>
    <w:rsid w:val="3BB80364"/>
    <w:rsid w:val="3D571069"/>
    <w:rsid w:val="3D7143B9"/>
    <w:rsid w:val="3E8A2360"/>
    <w:rsid w:val="3ED25BE0"/>
    <w:rsid w:val="3F7B41F5"/>
    <w:rsid w:val="406870DC"/>
    <w:rsid w:val="40BC41E7"/>
    <w:rsid w:val="40F76D23"/>
    <w:rsid w:val="414032D5"/>
    <w:rsid w:val="415723CD"/>
    <w:rsid w:val="41DD3F5B"/>
    <w:rsid w:val="42F51DB9"/>
    <w:rsid w:val="431E13F4"/>
    <w:rsid w:val="433D6AE1"/>
    <w:rsid w:val="45EF24D9"/>
    <w:rsid w:val="4609638B"/>
    <w:rsid w:val="46F96ADA"/>
    <w:rsid w:val="471948AB"/>
    <w:rsid w:val="48822261"/>
    <w:rsid w:val="496157BC"/>
    <w:rsid w:val="4B797B0F"/>
    <w:rsid w:val="4BF54CBC"/>
    <w:rsid w:val="4BFE6267"/>
    <w:rsid w:val="4D302450"/>
    <w:rsid w:val="4DD76D6F"/>
    <w:rsid w:val="5038161B"/>
    <w:rsid w:val="511300BE"/>
    <w:rsid w:val="516559F8"/>
    <w:rsid w:val="52846FEF"/>
    <w:rsid w:val="541C07BE"/>
    <w:rsid w:val="54544F0D"/>
    <w:rsid w:val="56E9366F"/>
    <w:rsid w:val="571305BC"/>
    <w:rsid w:val="5728063B"/>
    <w:rsid w:val="57486F2E"/>
    <w:rsid w:val="590C39F3"/>
    <w:rsid w:val="5B4517BC"/>
    <w:rsid w:val="5B83043A"/>
    <w:rsid w:val="5E8C14B0"/>
    <w:rsid w:val="60313330"/>
    <w:rsid w:val="604364E6"/>
    <w:rsid w:val="60BB42CE"/>
    <w:rsid w:val="60CA0F18"/>
    <w:rsid w:val="61F25ACE"/>
    <w:rsid w:val="62AE5E99"/>
    <w:rsid w:val="65EE2A50"/>
    <w:rsid w:val="65FF4C5D"/>
    <w:rsid w:val="667C62AE"/>
    <w:rsid w:val="67395F4D"/>
    <w:rsid w:val="674768BC"/>
    <w:rsid w:val="68F24605"/>
    <w:rsid w:val="69845BA5"/>
    <w:rsid w:val="6A6D153A"/>
    <w:rsid w:val="6A9736B6"/>
    <w:rsid w:val="6C7A503E"/>
    <w:rsid w:val="6CB06CB1"/>
    <w:rsid w:val="6D042B59"/>
    <w:rsid w:val="6D2F407A"/>
    <w:rsid w:val="6FC00FB9"/>
    <w:rsid w:val="6FF72B71"/>
    <w:rsid w:val="701D01BA"/>
    <w:rsid w:val="708866C3"/>
    <w:rsid w:val="70912956"/>
    <w:rsid w:val="71327C95"/>
    <w:rsid w:val="71C034F3"/>
    <w:rsid w:val="754206C3"/>
    <w:rsid w:val="757C1E26"/>
    <w:rsid w:val="75E654F2"/>
    <w:rsid w:val="76022865"/>
    <w:rsid w:val="76C770D1"/>
    <w:rsid w:val="773109EF"/>
    <w:rsid w:val="77E24796"/>
    <w:rsid w:val="7803630E"/>
    <w:rsid w:val="780C107F"/>
    <w:rsid w:val="78181994"/>
    <w:rsid w:val="788A6608"/>
    <w:rsid w:val="78E201F2"/>
    <w:rsid w:val="79775971"/>
    <w:rsid w:val="799A6034"/>
    <w:rsid w:val="7A5870C8"/>
    <w:rsid w:val="7ACA0A02"/>
    <w:rsid w:val="7AF4480E"/>
    <w:rsid w:val="7B133AB9"/>
    <w:rsid w:val="7B8E01BE"/>
    <w:rsid w:val="7BB37C24"/>
    <w:rsid w:val="7C2B3C5E"/>
    <w:rsid w:val="7D126BCC"/>
    <w:rsid w:val="7D667BB3"/>
    <w:rsid w:val="7E5F4093"/>
    <w:rsid w:val="7ED56104"/>
    <w:rsid w:val="7FC86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bidi w:val="0"/>
      <w:adjustRightInd w:val="0"/>
      <w:snapToGrid w:val="0"/>
      <w:spacing w:line="360" w:lineRule="auto"/>
      <w:ind w:firstLine="440" w:firstLineChars="200"/>
      <w:jc w:val="both"/>
    </w:pPr>
    <w:rPr>
      <w:rFonts w:ascii="宋体" w:hAnsi="宋体" w:eastAsia="宋体" w:cs="Times New Roman"/>
      <w:color w:val="262626" w:themeColor="text1" w:themeTint="D9"/>
      <w:kern w:val="2"/>
      <w:sz w:val="24"/>
      <w:szCs w:val="24"/>
      <w:lang w:val="en-US" w:eastAsia="zh-CN" w:bidi="ar-SA"/>
      <w14:textFill>
        <w14:solidFill>
          <w14:schemeClr w14:val="tx1">
            <w14:lumMod w14:val="85000"/>
            <w14:lumOff w14:val="15000"/>
          </w14:schemeClr>
        </w14:solidFill>
      </w14:textFill>
    </w:rPr>
  </w:style>
  <w:style w:type="paragraph" w:styleId="2">
    <w:name w:val="heading 1"/>
    <w:basedOn w:val="1"/>
    <w:next w:val="1"/>
    <w:qFormat/>
    <w:uiPriority w:val="9"/>
    <w:pPr>
      <w:keepNext/>
      <w:keepLines/>
      <w:numPr>
        <w:ilvl w:val="0"/>
        <w:numId w:val="1"/>
      </w:numPr>
      <w:tabs>
        <w:tab w:val="left" w:pos="-420"/>
        <w:tab w:val="left" w:pos="0"/>
      </w:tabs>
      <w:bidi w:val="0"/>
      <w:adjustRightInd w:val="0"/>
      <w:snapToGrid w:val="0"/>
      <w:spacing w:before="50" w:beforeLines="50" w:after="50" w:afterLines="50" w:line="288" w:lineRule="auto"/>
      <w:ind w:left="432" w:leftChars="0" w:hanging="432" w:firstLineChars="0"/>
      <w:outlineLvl w:val="0"/>
    </w:pPr>
    <w:rPr>
      <w:rFonts w:ascii="黑体" w:hAnsi="黑体" w:eastAsia="黑体" w:cs="Times New Roman"/>
      <w:b/>
      <w:bCs/>
      <w:color w:val="262626" w:themeColor="text1" w:themeTint="D9"/>
      <w:kern w:val="44"/>
      <w:sz w:val="40"/>
      <w:szCs w:val="40"/>
      <w:lang w:val="en-US" w:eastAsia="zh-CN" w:bidi="ar-SA"/>
      <w14:textFill>
        <w14:solidFill>
          <w14:schemeClr w14:val="tx1">
            <w14:lumMod w14:val="85000"/>
            <w14:lumOff w14:val="15000"/>
          </w14:schemeClr>
        </w14:solidFill>
      </w14:textFill>
    </w:rPr>
  </w:style>
  <w:style w:type="paragraph" w:styleId="4">
    <w:name w:val="heading 2"/>
    <w:basedOn w:val="1"/>
    <w:next w:val="1"/>
    <w:link w:val="115"/>
    <w:unhideWhenUsed/>
    <w:qFormat/>
    <w:uiPriority w:val="9"/>
    <w:pPr>
      <w:numPr>
        <w:ilvl w:val="1"/>
        <w:numId w:val="1"/>
      </w:numPr>
      <w:tabs>
        <w:tab w:val="left" w:pos="0"/>
      </w:tabs>
      <w:bidi w:val="0"/>
      <w:adjustRightInd w:val="0"/>
      <w:snapToGrid w:val="0"/>
      <w:spacing w:before="50" w:beforeLines="50" w:after="50" w:afterLines="50" w:line="288" w:lineRule="auto"/>
      <w:ind w:left="575" w:leftChars="0" w:hanging="575" w:firstLineChars="0"/>
      <w:outlineLvl w:val="1"/>
    </w:pPr>
    <w:rPr>
      <w:rFonts w:ascii="黑体" w:hAnsi="黑体" w:eastAsia="黑体" w:cs="黑体"/>
      <w:b/>
      <w:bCs/>
      <w:color w:val="262626" w:themeColor="text1" w:themeTint="D9"/>
      <w:kern w:val="2"/>
      <w:sz w:val="36"/>
      <w:szCs w:val="36"/>
      <w:lang w:val="en-US" w:eastAsia="zh-CN" w:bidi="ar-SA"/>
      <w14:textFill>
        <w14:solidFill>
          <w14:schemeClr w14:val="tx1">
            <w14:lumMod w14:val="85000"/>
            <w14:lumOff w14:val="15000"/>
          </w14:schemeClr>
        </w14:solidFill>
      </w14:textFill>
    </w:rPr>
  </w:style>
  <w:style w:type="paragraph" w:styleId="5">
    <w:name w:val="heading 3"/>
    <w:basedOn w:val="1"/>
    <w:next w:val="1"/>
    <w:unhideWhenUsed/>
    <w:qFormat/>
    <w:uiPriority w:val="9"/>
    <w:pPr>
      <w:numPr>
        <w:ilvl w:val="2"/>
        <w:numId w:val="1"/>
      </w:numPr>
      <w:tabs>
        <w:tab w:val="left" w:pos="0"/>
      </w:tabs>
      <w:bidi w:val="0"/>
      <w:adjustRightInd w:val="0"/>
      <w:snapToGrid w:val="0"/>
      <w:spacing w:before="50" w:beforeLines="50" w:after="50" w:afterLines="50" w:line="288" w:lineRule="auto"/>
      <w:ind w:left="720" w:leftChars="0" w:hanging="720" w:firstLineChars="0"/>
      <w:outlineLvl w:val="2"/>
    </w:pPr>
    <w:rPr>
      <w:rFonts w:ascii="黑体" w:hAnsi="黑体" w:eastAsia="黑体" w:cs="Times New Roman"/>
      <w:b/>
      <w:bCs/>
      <w:color w:val="262626" w:themeColor="text1" w:themeTint="D9"/>
      <w:kern w:val="2"/>
      <w:sz w:val="32"/>
      <w:szCs w:val="32"/>
      <w:lang w:val="en-US" w:eastAsia="zh-CN" w:bidi="ar-SA"/>
      <w14:textFill>
        <w14:solidFill>
          <w14:schemeClr w14:val="tx1">
            <w14:lumMod w14:val="85000"/>
            <w14:lumOff w14:val="15000"/>
          </w14:schemeClr>
        </w14:solidFill>
      </w14:textFill>
    </w:rPr>
  </w:style>
  <w:style w:type="paragraph" w:styleId="6">
    <w:name w:val="heading 4"/>
    <w:next w:val="1"/>
    <w:link w:val="109"/>
    <w:unhideWhenUsed/>
    <w:qFormat/>
    <w:uiPriority w:val="9"/>
    <w:pPr>
      <w:numPr>
        <w:ilvl w:val="3"/>
        <w:numId w:val="1"/>
      </w:numPr>
      <w:tabs>
        <w:tab w:val="left" w:pos="0"/>
      </w:tabs>
      <w:bidi w:val="0"/>
      <w:adjustRightInd w:val="0"/>
      <w:snapToGrid w:val="0"/>
      <w:spacing w:before="50" w:beforeLines="50" w:after="50" w:afterLines="50" w:line="288" w:lineRule="auto"/>
      <w:ind w:left="864" w:leftChars="0" w:hanging="864" w:firstLineChars="0"/>
      <w:outlineLvl w:val="3"/>
    </w:pPr>
    <w:rPr>
      <w:rFonts w:ascii="黑体" w:hAnsi="黑体" w:eastAsia="黑体" w:cs="Times New Roman"/>
      <w:b/>
      <w:bCs/>
      <w:color w:val="262626" w:themeColor="text1" w:themeTint="D9"/>
      <w:sz w:val="30"/>
      <w:szCs w:val="30"/>
      <w:lang w:val="en-US" w:eastAsia="zh-CN" w:bidi="ar-SA"/>
      <w14:textFill>
        <w14:solidFill>
          <w14:schemeClr w14:val="tx1">
            <w14:lumMod w14:val="85000"/>
            <w14:lumOff w14:val="15000"/>
          </w14:schemeClr>
        </w14:solidFill>
      </w14:textFill>
    </w:rPr>
  </w:style>
  <w:style w:type="paragraph" w:styleId="7">
    <w:name w:val="heading 5"/>
    <w:next w:val="1"/>
    <w:link w:val="117"/>
    <w:unhideWhenUsed/>
    <w:qFormat/>
    <w:uiPriority w:val="9"/>
    <w:pPr>
      <w:keepNext w:val="0"/>
      <w:keepLines w:val="0"/>
      <w:pageBreakBefore w:val="0"/>
      <w:widowControl/>
      <w:numPr>
        <w:ilvl w:val="4"/>
        <w:numId w:val="1"/>
      </w:numPr>
      <w:tabs>
        <w:tab w:val="left" w:pos="0"/>
        <w:tab w:val="left" w:pos="420"/>
      </w:tabs>
      <w:kinsoku/>
      <w:wordWrap/>
      <w:overflowPunct/>
      <w:topLinePunct w:val="0"/>
      <w:autoSpaceDE/>
      <w:autoSpaceDN/>
      <w:bidi w:val="0"/>
      <w:adjustRightInd w:val="0"/>
      <w:snapToGrid w:val="0"/>
      <w:spacing w:before="50" w:beforeLines="50" w:after="50" w:afterLines="50" w:line="288" w:lineRule="auto"/>
      <w:ind w:left="1008" w:leftChars="0" w:hanging="1008" w:firstLineChars="0"/>
      <w:textAlignment w:val="auto"/>
      <w:outlineLvl w:val="4"/>
    </w:pPr>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8">
    <w:name w:val="heading 6"/>
    <w:next w:val="1"/>
    <w:unhideWhenUsed/>
    <w:qFormat/>
    <w:uiPriority w:val="0"/>
    <w:pPr>
      <w:keepNext w:val="0"/>
      <w:keepLines w:val="0"/>
      <w:pageBreakBefore w:val="0"/>
      <w:widowControl/>
      <w:numPr>
        <w:ilvl w:val="5"/>
        <w:numId w:val="1"/>
      </w:numPr>
      <w:tabs>
        <w:tab w:val="left" w:pos="0"/>
      </w:tabs>
      <w:kinsoku/>
      <w:wordWrap/>
      <w:overflowPunct/>
      <w:topLinePunct w:val="0"/>
      <w:autoSpaceDE/>
      <w:autoSpaceDN/>
      <w:bidi w:val="0"/>
      <w:adjustRightInd w:val="0"/>
      <w:snapToGrid w:val="0"/>
      <w:spacing w:before="50" w:beforeLines="50" w:after="50" w:afterLines="50" w:line="288" w:lineRule="auto"/>
      <w:ind w:left="1151" w:leftChars="0" w:hanging="1151" w:firstLineChars="0"/>
      <w:textAlignment w:val="auto"/>
      <w:outlineLvl w:val="5"/>
    </w:pPr>
    <w:rPr>
      <w:rFonts w:ascii="黑体" w:hAnsi="黑体" w:eastAsia="黑体" w:cs="黑体"/>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9">
    <w:name w:val="heading 7"/>
    <w:next w:val="1"/>
    <w:unhideWhenUsed/>
    <w:qFormat/>
    <w:uiPriority w:val="0"/>
    <w:pPr>
      <w:keepNext w:val="0"/>
      <w:keepLines w:val="0"/>
      <w:pageBreakBefore w:val="0"/>
      <w:widowControl/>
      <w:numPr>
        <w:ilvl w:val="6"/>
        <w:numId w:val="1"/>
      </w:numPr>
      <w:tabs>
        <w:tab w:val="left" w:pos="0"/>
        <w:tab w:val="left" w:pos="420"/>
        <w:tab w:val="left" w:pos="4800"/>
      </w:tabs>
      <w:kinsoku/>
      <w:wordWrap/>
      <w:overflowPunct/>
      <w:topLinePunct w:val="0"/>
      <w:autoSpaceDE/>
      <w:autoSpaceDN/>
      <w:bidi w:val="0"/>
      <w:adjustRightInd w:val="0"/>
      <w:snapToGrid w:val="0"/>
      <w:spacing w:before="50" w:beforeLines="50" w:after="50" w:afterLines="50" w:line="288" w:lineRule="auto"/>
      <w:ind w:left="1296" w:leftChars="0" w:hanging="1296" w:firstLineChars="0"/>
      <w:textAlignment w:val="auto"/>
      <w:outlineLvl w:val="6"/>
    </w:pPr>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0">
    <w:name w:val="heading 8"/>
    <w:next w:val="1"/>
    <w:unhideWhenUsed/>
    <w:qFormat/>
    <w:uiPriority w:val="0"/>
    <w:pPr>
      <w:keepNext w:val="0"/>
      <w:keepLines w:val="0"/>
      <w:pageBreakBefore w:val="0"/>
      <w:widowControl/>
      <w:numPr>
        <w:ilvl w:val="7"/>
        <w:numId w:val="1"/>
      </w:numPr>
      <w:tabs>
        <w:tab w:val="left" w:pos="0"/>
        <w:tab w:val="left" w:pos="420"/>
      </w:tabs>
      <w:kinsoku/>
      <w:wordWrap/>
      <w:overflowPunct/>
      <w:topLinePunct w:val="0"/>
      <w:autoSpaceDE/>
      <w:autoSpaceDN/>
      <w:bidi w:val="0"/>
      <w:adjustRightInd w:val="0"/>
      <w:snapToGrid w:val="0"/>
      <w:spacing w:before="50" w:beforeLines="50" w:after="50" w:afterLines="50" w:line="288" w:lineRule="auto"/>
      <w:ind w:left="1440" w:leftChars="0" w:hanging="1440" w:firstLineChars="0"/>
      <w:textAlignment w:val="auto"/>
      <w:outlineLvl w:val="7"/>
    </w:pPr>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1">
    <w:name w:val="heading 9"/>
    <w:next w:val="1"/>
    <w:unhideWhenUsed/>
    <w:qFormat/>
    <w:uiPriority w:val="0"/>
    <w:pPr>
      <w:keepNext w:val="0"/>
      <w:keepLines w:val="0"/>
      <w:pageBreakBefore w:val="0"/>
      <w:widowControl/>
      <w:numPr>
        <w:ilvl w:val="8"/>
        <w:numId w:val="1"/>
      </w:numPr>
      <w:tabs>
        <w:tab w:val="left" w:pos="0"/>
      </w:tabs>
      <w:kinsoku/>
      <w:wordWrap/>
      <w:overflowPunct/>
      <w:topLinePunct w:val="0"/>
      <w:autoSpaceDE/>
      <w:autoSpaceDN/>
      <w:bidi w:val="0"/>
      <w:adjustRightInd w:val="0"/>
      <w:snapToGrid w:val="0"/>
      <w:spacing w:before="50" w:beforeLines="50" w:after="50" w:afterLines="50" w:line="288" w:lineRule="auto"/>
      <w:ind w:left="1583" w:leftChars="0" w:hanging="1583" w:firstLineChars="0"/>
      <w:textAlignment w:val="auto"/>
      <w:outlineLvl w:val="8"/>
    </w:pPr>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character" w:default="1" w:styleId="89">
    <w:name w:val="Default Paragraph Font"/>
    <w:semiHidden/>
    <w:unhideWhenUsed/>
    <w:qFormat/>
    <w:uiPriority w:val="1"/>
  </w:style>
  <w:style w:type="table" w:default="1" w:styleId="88">
    <w:name w:val="Normal Table"/>
    <w:semiHidden/>
    <w:qFormat/>
    <w:uiPriority w:val="0"/>
    <w:tblPr>
      <w:tblCellMar>
        <w:top w:w="0" w:type="dxa"/>
        <w:left w:w="108" w:type="dxa"/>
        <w:bottom w:w="0" w:type="dxa"/>
        <w:right w:w="108" w:type="dxa"/>
      </w:tblCellMar>
    </w:tblPr>
  </w:style>
  <w:style w:type="paragraph" w:styleId="3">
    <w:name w:val="macro"/>
    <w:link w:val="138"/>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ind w:firstLine="440" w:firstLineChars="200"/>
    </w:pPr>
    <w:rPr>
      <w:rFonts w:ascii="Courier New" w:hAnsi="Courier New" w:eastAsia="宋体" w:cs="Courier New"/>
      <w:kern w:val="2"/>
      <w:sz w:val="24"/>
      <w:szCs w:val="24"/>
    </w:rPr>
  </w:style>
  <w:style w:type="paragraph" w:styleId="12">
    <w:name w:val="List 3"/>
    <w:basedOn w:val="1"/>
    <w:qFormat/>
    <w:uiPriority w:val="0"/>
    <w:pPr>
      <w:ind w:left="100" w:leftChars="400" w:hanging="200" w:hangingChars="200"/>
      <w:contextualSpacing/>
    </w:pPr>
  </w:style>
  <w:style w:type="paragraph" w:styleId="13">
    <w:name w:val="toc 7"/>
    <w:basedOn w:val="1"/>
    <w:next w:val="1"/>
    <w:qFormat/>
    <w:uiPriority w:val="0"/>
    <w:pPr>
      <w:ind w:left="2520" w:leftChars="1200"/>
    </w:pPr>
  </w:style>
  <w:style w:type="paragraph" w:styleId="14">
    <w:name w:val="List Number 2"/>
    <w:basedOn w:val="1"/>
    <w:qFormat/>
    <w:uiPriority w:val="0"/>
    <w:pPr>
      <w:numPr>
        <w:ilvl w:val="1"/>
        <w:numId w:val="2"/>
      </w:numPr>
      <w:tabs>
        <w:tab w:val="left" w:pos="419"/>
        <w:tab w:val="left" w:pos="1843"/>
        <w:tab w:val="clear" w:pos="420"/>
      </w:tabs>
      <w:spacing w:before="50" w:after="50"/>
      <w:ind w:firstLineChars="0"/>
    </w:pPr>
  </w:style>
  <w:style w:type="paragraph" w:styleId="15">
    <w:name w:val="table of authorities"/>
    <w:basedOn w:val="1"/>
    <w:next w:val="1"/>
    <w:qFormat/>
    <w:uiPriority w:val="0"/>
    <w:pPr>
      <w:ind w:left="420" w:leftChars="200" w:firstLine="0"/>
    </w:pPr>
  </w:style>
  <w:style w:type="paragraph" w:styleId="16">
    <w:name w:val="Note Heading"/>
    <w:basedOn w:val="1"/>
    <w:next w:val="1"/>
    <w:link w:val="158"/>
    <w:qFormat/>
    <w:uiPriority w:val="0"/>
    <w:pPr>
      <w:jc w:val="center"/>
    </w:pPr>
    <w:rPr>
      <w:rFonts w:ascii="汉仪正圆-45W" w:hAnsi="汉仪正圆-45W" w:eastAsia="汉仪正圆-45W" w:cstheme="minorBidi"/>
      <w:kern w:val="2"/>
      <w:sz w:val="22"/>
      <w:szCs w:val="22"/>
    </w:rPr>
  </w:style>
  <w:style w:type="paragraph" w:styleId="17">
    <w:name w:val="List Bullet 4"/>
    <w:basedOn w:val="1"/>
    <w:qFormat/>
    <w:uiPriority w:val="0"/>
    <w:pPr>
      <w:numPr>
        <w:ilvl w:val="0"/>
        <w:numId w:val="3"/>
      </w:numPr>
      <w:tabs>
        <w:tab w:val="clear" w:pos="420"/>
      </w:tabs>
      <w:spacing w:before="50" w:after="50"/>
      <w:ind w:left="1361" w:hanging="340"/>
    </w:pPr>
  </w:style>
  <w:style w:type="paragraph" w:styleId="18">
    <w:name w:val="index 8"/>
    <w:basedOn w:val="1"/>
    <w:next w:val="1"/>
    <w:qFormat/>
    <w:uiPriority w:val="0"/>
    <w:pPr>
      <w:ind w:left="1400" w:leftChars="1400" w:firstLine="0"/>
    </w:pPr>
  </w:style>
  <w:style w:type="paragraph" w:styleId="19">
    <w:name w:val="E-mail Signature"/>
    <w:basedOn w:val="1"/>
    <w:link w:val="137"/>
    <w:qFormat/>
    <w:uiPriority w:val="0"/>
    <w:rPr>
      <w:rFonts w:ascii="汉仪正圆-45W" w:hAnsi="汉仪正圆-45W" w:eastAsia="汉仪正圆-45W" w:cstheme="minorBidi"/>
      <w:kern w:val="2"/>
      <w:sz w:val="22"/>
      <w:szCs w:val="22"/>
    </w:rPr>
  </w:style>
  <w:style w:type="paragraph" w:styleId="20">
    <w:name w:val="List Number"/>
    <w:basedOn w:val="1"/>
    <w:link w:val="129"/>
    <w:qFormat/>
    <w:uiPriority w:val="0"/>
    <w:pPr>
      <w:numPr>
        <w:ilvl w:val="0"/>
        <w:numId w:val="2"/>
      </w:numPr>
      <w:tabs>
        <w:tab w:val="clear" w:pos="0"/>
      </w:tabs>
      <w:spacing w:before="50" w:after="50"/>
      <w:ind w:firstLineChars="0"/>
    </w:pPr>
  </w:style>
  <w:style w:type="paragraph" w:styleId="21">
    <w:name w:val="Normal Indent"/>
    <w:basedOn w:val="1"/>
    <w:qFormat/>
    <w:uiPriority w:val="0"/>
    <w:pPr>
      <w:ind w:firstLine="420"/>
    </w:pPr>
  </w:style>
  <w:style w:type="paragraph" w:styleId="22">
    <w:name w:val="caption"/>
    <w:basedOn w:val="1"/>
    <w:next w:val="1"/>
    <w:unhideWhenUsed/>
    <w:qFormat/>
    <w:uiPriority w:val="0"/>
    <w:pPr>
      <w:ind w:firstLine="0" w:firstLineChars="0"/>
    </w:pPr>
    <w:rPr>
      <w:sz w:val="20"/>
      <w:szCs w:val="20"/>
    </w:rPr>
  </w:style>
  <w:style w:type="paragraph" w:styleId="23">
    <w:name w:val="index 5"/>
    <w:basedOn w:val="1"/>
    <w:next w:val="1"/>
    <w:qFormat/>
    <w:uiPriority w:val="0"/>
    <w:pPr>
      <w:ind w:left="800" w:leftChars="800" w:firstLine="0"/>
    </w:pPr>
  </w:style>
  <w:style w:type="paragraph" w:styleId="24">
    <w:name w:val="List Bullet"/>
    <w:basedOn w:val="1"/>
    <w:link w:val="130"/>
    <w:qFormat/>
    <w:uiPriority w:val="0"/>
    <w:pPr>
      <w:numPr>
        <w:ilvl w:val="0"/>
        <w:numId w:val="4"/>
      </w:numPr>
      <w:tabs>
        <w:tab w:val="clear" w:pos="0"/>
      </w:tabs>
      <w:spacing w:before="50" w:after="50"/>
      <w:ind w:left="425" w:hanging="425"/>
    </w:pPr>
  </w:style>
  <w:style w:type="paragraph" w:styleId="25">
    <w:name w:val="envelope address"/>
    <w:basedOn w:val="1"/>
    <w:qFormat/>
    <w:uiPriority w:val="0"/>
    <w:pPr>
      <w:framePr w:w="7920" w:h="1980" w:hRule="exact" w:hSpace="180" w:wrap="auto" w:vAnchor="margin" w:hAnchor="page" w:xAlign="center" w:yAlign="bottom"/>
      <w:ind w:left="100" w:leftChars="1400"/>
    </w:pPr>
    <w:rPr>
      <w:rFonts w:asciiTheme="majorHAnsi" w:hAnsiTheme="majorHAnsi" w:eastAsiaTheme="majorEastAsia" w:cstheme="majorBidi"/>
      <w:sz w:val="24"/>
      <w:szCs w:val="24"/>
    </w:rPr>
  </w:style>
  <w:style w:type="paragraph" w:styleId="26">
    <w:name w:val="Document Map"/>
    <w:basedOn w:val="1"/>
    <w:link w:val="146"/>
    <w:qFormat/>
    <w:uiPriority w:val="0"/>
    <w:rPr>
      <w:rFonts w:ascii="Microsoft YaHei UI" w:hAnsi="汉仪正圆-45W" w:eastAsia="Microsoft YaHei UI" w:cstheme="minorBidi"/>
      <w:kern w:val="2"/>
      <w:sz w:val="18"/>
      <w:szCs w:val="18"/>
    </w:rPr>
  </w:style>
  <w:style w:type="paragraph" w:styleId="27">
    <w:name w:val="toa heading"/>
    <w:basedOn w:val="1"/>
    <w:next w:val="1"/>
    <w:qFormat/>
    <w:uiPriority w:val="0"/>
    <w:pPr>
      <w:spacing w:before="120"/>
    </w:pPr>
    <w:rPr>
      <w:rFonts w:asciiTheme="majorHAnsi" w:hAnsiTheme="majorHAnsi" w:eastAsiaTheme="majorEastAsia" w:cstheme="majorBidi"/>
      <w:sz w:val="24"/>
      <w:szCs w:val="24"/>
    </w:rPr>
  </w:style>
  <w:style w:type="paragraph" w:styleId="28">
    <w:name w:val="annotation text"/>
    <w:basedOn w:val="1"/>
    <w:qFormat/>
    <w:uiPriority w:val="0"/>
    <w:pPr>
      <w:ind w:firstLine="0" w:firstLineChars="0"/>
      <w:jc w:val="left"/>
    </w:pPr>
  </w:style>
  <w:style w:type="paragraph" w:styleId="29">
    <w:name w:val="index 6"/>
    <w:basedOn w:val="1"/>
    <w:next w:val="1"/>
    <w:qFormat/>
    <w:uiPriority w:val="0"/>
    <w:pPr>
      <w:ind w:left="1000" w:leftChars="1000" w:firstLine="0"/>
    </w:pPr>
  </w:style>
  <w:style w:type="paragraph" w:styleId="30">
    <w:name w:val="Salutation"/>
    <w:basedOn w:val="1"/>
    <w:next w:val="1"/>
    <w:link w:val="135"/>
    <w:qFormat/>
    <w:uiPriority w:val="0"/>
    <w:pPr>
      <w:ind w:firstLine="0" w:firstLineChars="0"/>
    </w:pPr>
    <w:rPr>
      <w:rFonts w:ascii="汉仪正圆-45W" w:hAnsi="汉仪正圆-45W" w:eastAsia="宋体" w:cstheme="minorBidi"/>
      <w:kern w:val="2"/>
      <w:sz w:val="22"/>
      <w:szCs w:val="22"/>
    </w:rPr>
  </w:style>
  <w:style w:type="paragraph" w:styleId="31">
    <w:name w:val="Body Text 3"/>
    <w:basedOn w:val="1"/>
    <w:link w:val="152"/>
    <w:qFormat/>
    <w:uiPriority w:val="0"/>
    <w:pPr>
      <w:spacing w:after="120"/>
    </w:pPr>
    <w:rPr>
      <w:rFonts w:ascii="汉仪正圆-45W" w:hAnsi="汉仪正圆-45W" w:eastAsia="汉仪正圆-45W" w:cstheme="minorBidi"/>
      <w:kern w:val="2"/>
      <w:sz w:val="16"/>
      <w:szCs w:val="16"/>
    </w:rPr>
  </w:style>
  <w:style w:type="paragraph" w:styleId="32">
    <w:name w:val="Closing"/>
    <w:basedOn w:val="1"/>
    <w:link w:val="139"/>
    <w:qFormat/>
    <w:uiPriority w:val="0"/>
    <w:pPr>
      <w:ind w:left="100" w:leftChars="2100"/>
    </w:pPr>
    <w:rPr>
      <w:rFonts w:ascii="汉仪正圆-45W" w:hAnsi="汉仪正圆-45W" w:eastAsia="汉仪正圆-45W" w:cstheme="minorBidi"/>
      <w:kern w:val="2"/>
      <w:sz w:val="22"/>
      <w:szCs w:val="22"/>
    </w:rPr>
  </w:style>
  <w:style w:type="paragraph" w:styleId="33">
    <w:name w:val="List Bullet 3"/>
    <w:basedOn w:val="1"/>
    <w:qFormat/>
    <w:uiPriority w:val="0"/>
    <w:pPr>
      <w:numPr>
        <w:ilvl w:val="0"/>
        <w:numId w:val="5"/>
      </w:numPr>
      <w:tabs>
        <w:tab w:val="clear" w:pos="420"/>
      </w:tabs>
      <w:spacing w:before="50" w:after="50"/>
      <w:ind w:left="964" w:hanging="340"/>
    </w:pPr>
  </w:style>
  <w:style w:type="paragraph" w:styleId="34">
    <w:name w:val="Body Text"/>
    <w:basedOn w:val="1"/>
    <w:link w:val="112"/>
    <w:qFormat/>
    <w:uiPriority w:val="0"/>
    <w:rPr>
      <w:rFonts w:ascii="宋体" w:hAnsi="宋体" w:eastAsia="宋体" w:cs="宋体"/>
      <w:kern w:val="2"/>
      <w:sz w:val="28"/>
      <w:szCs w:val="28"/>
      <w:lang w:val="en-US" w:eastAsia="zh-CN" w:bidi="ar-SA"/>
    </w:rPr>
  </w:style>
  <w:style w:type="paragraph" w:styleId="35">
    <w:name w:val="Body Text Indent"/>
    <w:basedOn w:val="1"/>
    <w:link w:val="154"/>
    <w:qFormat/>
    <w:uiPriority w:val="0"/>
    <w:pPr>
      <w:spacing w:after="120"/>
      <w:ind w:left="420" w:leftChars="200"/>
    </w:pPr>
    <w:rPr>
      <w:rFonts w:ascii="汉仪正圆-45W" w:hAnsi="汉仪正圆-45W" w:eastAsia="汉仪正圆-45W" w:cstheme="minorBidi"/>
      <w:kern w:val="2"/>
      <w:sz w:val="22"/>
      <w:szCs w:val="22"/>
    </w:rPr>
  </w:style>
  <w:style w:type="paragraph" w:styleId="36">
    <w:name w:val="List Number 3"/>
    <w:basedOn w:val="1"/>
    <w:qFormat/>
    <w:uiPriority w:val="0"/>
    <w:pPr>
      <w:numPr>
        <w:ilvl w:val="2"/>
        <w:numId w:val="2"/>
      </w:numPr>
      <w:spacing w:before="50" w:after="50"/>
    </w:pPr>
  </w:style>
  <w:style w:type="paragraph" w:styleId="37">
    <w:name w:val="List 2"/>
    <w:basedOn w:val="1"/>
    <w:qFormat/>
    <w:uiPriority w:val="0"/>
    <w:pPr>
      <w:ind w:left="100" w:leftChars="200" w:hanging="200" w:hangingChars="200"/>
      <w:contextualSpacing/>
    </w:pPr>
  </w:style>
  <w:style w:type="paragraph" w:styleId="38">
    <w:name w:val="List Continue"/>
    <w:basedOn w:val="1"/>
    <w:qFormat/>
    <w:uiPriority w:val="0"/>
    <w:pPr>
      <w:spacing w:after="120"/>
      <w:ind w:left="420" w:leftChars="200"/>
      <w:contextualSpacing/>
    </w:pPr>
  </w:style>
  <w:style w:type="paragraph" w:styleId="39">
    <w:name w:val="Block Text"/>
    <w:basedOn w:val="1"/>
    <w:qFormat/>
    <w:uiPriority w:val="0"/>
    <w:pPr>
      <w:spacing w:after="120"/>
      <w:ind w:left="1440" w:leftChars="700" w:right="1440" w:rightChars="700"/>
    </w:pPr>
  </w:style>
  <w:style w:type="paragraph" w:styleId="40">
    <w:name w:val="List Bullet 2"/>
    <w:basedOn w:val="1"/>
    <w:link w:val="131"/>
    <w:qFormat/>
    <w:uiPriority w:val="0"/>
    <w:pPr>
      <w:numPr>
        <w:ilvl w:val="0"/>
        <w:numId w:val="6"/>
      </w:numPr>
      <w:tabs>
        <w:tab w:val="clear" w:pos="0"/>
      </w:tabs>
      <w:spacing w:before="50" w:after="50"/>
      <w:ind w:left="646" w:hanging="227"/>
    </w:pPr>
  </w:style>
  <w:style w:type="paragraph" w:styleId="41">
    <w:name w:val="HTML Address"/>
    <w:basedOn w:val="1"/>
    <w:link w:val="132"/>
    <w:qFormat/>
    <w:uiPriority w:val="0"/>
    <w:rPr>
      <w:rFonts w:ascii="汉仪正圆-45W" w:hAnsi="汉仪正圆-45W" w:eastAsia="汉仪正圆-45W" w:cstheme="minorBidi"/>
      <w:i/>
      <w:iCs/>
      <w:kern w:val="2"/>
      <w:sz w:val="22"/>
      <w:szCs w:val="22"/>
    </w:rPr>
  </w:style>
  <w:style w:type="paragraph" w:styleId="42">
    <w:name w:val="index 4"/>
    <w:basedOn w:val="1"/>
    <w:next w:val="1"/>
    <w:qFormat/>
    <w:uiPriority w:val="0"/>
    <w:pPr>
      <w:ind w:left="600" w:leftChars="600" w:firstLine="0"/>
    </w:pPr>
  </w:style>
  <w:style w:type="paragraph" w:styleId="43">
    <w:name w:val="toc 5"/>
    <w:basedOn w:val="1"/>
    <w:next w:val="1"/>
    <w:qFormat/>
    <w:uiPriority w:val="0"/>
    <w:pPr>
      <w:ind w:left="1680" w:leftChars="800" w:firstLine="0" w:firstLineChars="0"/>
    </w:pPr>
  </w:style>
  <w:style w:type="paragraph" w:styleId="44">
    <w:name w:val="toc 3"/>
    <w:basedOn w:val="1"/>
    <w:next w:val="1"/>
    <w:qFormat/>
    <w:uiPriority w:val="0"/>
    <w:pPr>
      <w:ind w:left="840" w:leftChars="400" w:firstLine="0" w:firstLineChars="0"/>
    </w:pPr>
  </w:style>
  <w:style w:type="paragraph" w:styleId="45">
    <w:name w:val="Plain Text"/>
    <w:basedOn w:val="1"/>
    <w:link w:val="136"/>
    <w:qFormat/>
    <w:uiPriority w:val="0"/>
    <w:rPr>
      <w:rFonts w:hAnsi="Courier New" w:cs="Courier New" w:asciiTheme="minorEastAsia" w:eastAsiaTheme="minorEastAsia"/>
      <w:kern w:val="2"/>
      <w:sz w:val="22"/>
      <w:szCs w:val="22"/>
    </w:rPr>
  </w:style>
  <w:style w:type="paragraph" w:styleId="46">
    <w:name w:val="List Bullet 5"/>
    <w:basedOn w:val="1"/>
    <w:qFormat/>
    <w:uiPriority w:val="0"/>
    <w:pPr>
      <w:numPr>
        <w:ilvl w:val="0"/>
        <w:numId w:val="7"/>
      </w:numPr>
      <w:tabs>
        <w:tab w:val="clear" w:pos="420"/>
      </w:tabs>
      <w:spacing w:before="50" w:after="50"/>
      <w:ind w:left="1757" w:hanging="340"/>
    </w:pPr>
  </w:style>
  <w:style w:type="paragraph" w:styleId="47">
    <w:name w:val="List Number 4"/>
    <w:basedOn w:val="1"/>
    <w:qFormat/>
    <w:uiPriority w:val="0"/>
    <w:pPr>
      <w:numPr>
        <w:ilvl w:val="3"/>
        <w:numId w:val="2"/>
      </w:numPr>
      <w:tabs>
        <w:tab w:val="left" w:pos="-420"/>
        <w:tab w:val="left" w:pos="0"/>
        <w:tab w:val="clear" w:pos="420"/>
      </w:tabs>
      <w:spacing w:before="50" w:after="50"/>
    </w:pPr>
  </w:style>
  <w:style w:type="paragraph" w:styleId="48">
    <w:name w:val="toc 8"/>
    <w:basedOn w:val="1"/>
    <w:next w:val="1"/>
    <w:qFormat/>
    <w:uiPriority w:val="0"/>
    <w:pPr>
      <w:ind w:left="2940" w:leftChars="1400"/>
    </w:pPr>
  </w:style>
  <w:style w:type="paragraph" w:styleId="49">
    <w:name w:val="index 3"/>
    <w:basedOn w:val="1"/>
    <w:next w:val="1"/>
    <w:qFormat/>
    <w:uiPriority w:val="0"/>
    <w:pPr>
      <w:ind w:left="400" w:leftChars="400" w:firstLine="0"/>
    </w:pPr>
  </w:style>
  <w:style w:type="paragraph" w:styleId="50">
    <w:name w:val="Date"/>
    <w:basedOn w:val="1"/>
    <w:next w:val="1"/>
    <w:link w:val="144"/>
    <w:qFormat/>
    <w:uiPriority w:val="0"/>
    <w:pPr>
      <w:ind w:left="0" w:leftChars="0" w:firstLine="0" w:firstLineChars="0"/>
      <w:jc w:val="right"/>
    </w:pPr>
    <w:rPr>
      <w:rFonts w:ascii="汉仪正圆-45W" w:hAnsi="汉仪正圆-45W" w:eastAsia="宋体" w:cstheme="minorBidi"/>
      <w:kern w:val="2"/>
      <w:sz w:val="22"/>
      <w:szCs w:val="22"/>
    </w:rPr>
  </w:style>
  <w:style w:type="paragraph" w:styleId="51">
    <w:name w:val="Body Text Indent 2"/>
    <w:basedOn w:val="1"/>
    <w:link w:val="156"/>
    <w:qFormat/>
    <w:uiPriority w:val="0"/>
    <w:pPr>
      <w:spacing w:after="120" w:line="480" w:lineRule="auto"/>
      <w:ind w:left="420" w:leftChars="200"/>
    </w:pPr>
    <w:rPr>
      <w:rFonts w:ascii="汉仪正圆-45W" w:hAnsi="汉仪正圆-45W" w:eastAsia="汉仪正圆-45W" w:cstheme="minorBidi"/>
      <w:kern w:val="2"/>
      <w:sz w:val="22"/>
      <w:szCs w:val="22"/>
    </w:rPr>
  </w:style>
  <w:style w:type="paragraph" w:styleId="52">
    <w:name w:val="endnote text"/>
    <w:basedOn w:val="1"/>
    <w:qFormat/>
    <w:uiPriority w:val="0"/>
    <w:pPr>
      <w:ind w:firstLine="0" w:firstLineChars="0"/>
      <w:jc w:val="left"/>
    </w:pPr>
  </w:style>
  <w:style w:type="paragraph" w:styleId="53">
    <w:name w:val="List Continue 5"/>
    <w:basedOn w:val="1"/>
    <w:qFormat/>
    <w:uiPriority w:val="0"/>
    <w:pPr>
      <w:spacing w:after="120"/>
      <w:ind w:left="2100" w:leftChars="1000"/>
      <w:contextualSpacing/>
    </w:pPr>
  </w:style>
  <w:style w:type="paragraph" w:styleId="54">
    <w:name w:val="Balloon Text"/>
    <w:basedOn w:val="1"/>
    <w:qFormat/>
    <w:uiPriority w:val="0"/>
    <w:pPr>
      <w:ind w:firstLine="0" w:firstLineChars="0"/>
    </w:pPr>
    <w:rPr>
      <w:sz w:val="18"/>
      <w:szCs w:val="18"/>
    </w:rPr>
  </w:style>
  <w:style w:type="paragraph" w:styleId="55">
    <w:name w:val="footer"/>
    <w:basedOn w:val="1"/>
    <w:link w:val="108"/>
    <w:qFormat/>
    <w:uiPriority w:val="0"/>
    <w:pPr>
      <w:tabs>
        <w:tab w:val="center" w:pos="4153"/>
        <w:tab w:val="right" w:pos="8306"/>
      </w:tabs>
      <w:ind w:firstLine="0" w:firstLineChars="0"/>
      <w:jc w:val="center"/>
    </w:pPr>
    <w:rPr>
      <w:sz w:val="18"/>
      <w:szCs w:val="18"/>
    </w:rPr>
  </w:style>
  <w:style w:type="paragraph" w:styleId="56">
    <w:name w:val="envelope return"/>
    <w:basedOn w:val="1"/>
    <w:qFormat/>
    <w:uiPriority w:val="0"/>
    <w:rPr>
      <w:rFonts w:asciiTheme="majorHAnsi" w:hAnsiTheme="majorHAnsi" w:eastAsiaTheme="majorEastAsia" w:cstheme="majorBidi"/>
    </w:rPr>
  </w:style>
  <w:style w:type="paragraph" w:styleId="57">
    <w:name w:val="header"/>
    <w:basedOn w:val="1"/>
    <w:link w:val="107"/>
    <w:qFormat/>
    <w:uiPriority w:val="0"/>
    <w:pPr>
      <w:pBdr>
        <w:top w:val="none" w:color="auto" w:sz="0" w:space="1"/>
        <w:left w:val="none" w:color="auto" w:sz="0" w:space="4"/>
        <w:bottom w:val="none" w:color="auto" w:sz="0" w:space="1"/>
        <w:right w:val="none" w:color="auto" w:sz="0" w:space="4"/>
      </w:pBdr>
      <w:tabs>
        <w:tab w:val="center" w:pos="4153"/>
        <w:tab w:val="right" w:pos="8306"/>
      </w:tabs>
      <w:ind w:firstLine="0" w:firstLineChars="0"/>
      <w:jc w:val="center"/>
    </w:pPr>
    <w:rPr>
      <w:sz w:val="18"/>
      <w:szCs w:val="18"/>
    </w:rPr>
  </w:style>
  <w:style w:type="paragraph" w:styleId="58">
    <w:name w:val="Signature"/>
    <w:basedOn w:val="1"/>
    <w:link w:val="143"/>
    <w:qFormat/>
    <w:uiPriority w:val="0"/>
    <w:pPr>
      <w:ind w:left="0" w:leftChars="0" w:firstLine="0" w:firstLineChars="0"/>
      <w:jc w:val="right"/>
    </w:pPr>
    <w:rPr>
      <w:rFonts w:ascii="汉仪正圆-45W" w:hAnsi="汉仪正圆-45W" w:eastAsia="宋体" w:cstheme="minorBidi"/>
      <w:kern w:val="2"/>
      <w:sz w:val="22"/>
      <w:szCs w:val="22"/>
    </w:rPr>
  </w:style>
  <w:style w:type="paragraph" w:styleId="59">
    <w:name w:val="toc 1"/>
    <w:basedOn w:val="1"/>
    <w:next w:val="1"/>
    <w:qFormat/>
    <w:uiPriority w:val="0"/>
    <w:pPr>
      <w:ind w:firstLine="0" w:firstLineChars="0"/>
    </w:pPr>
  </w:style>
  <w:style w:type="paragraph" w:styleId="60">
    <w:name w:val="List Continue 4"/>
    <w:basedOn w:val="1"/>
    <w:qFormat/>
    <w:uiPriority w:val="0"/>
    <w:pPr>
      <w:spacing w:after="120"/>
      <w:ind w:left="1680" w:leftChars="800"/>
      <w:contextualSpacing/>
    </w:pPr>
  </w:style>
  <w:style w:type="paragraph" w:styleId="61">
    <w:name w:val="toc 4"/>
    <w:basedOn w:val="1"/>
    <w:next w:val="1"/>
    <w:qFormat/>
    <w:uiPriority w:val="0"/>
    <w:pPr>
      <w:ind w:left="1260" w:leftChars="600" w:firstLine="0" w:firstLineChars="0"/>
    </w:pPr>
  </w:style>
  <w:style w:type="paragraph" w:styleId="62">
    <w:name w:val="index heading"/>
    <w:basedOn w:val="1"/>
    <w:next w:val="63"/>
    <w:qFormat/>
    <w:uiPriority w:val="0"/>
    <w:rPr>
      <w:rFonts w:asciiTheme="majorHAnsi" w:hAnsiTheme="majorHAnsi" w:eastAsiaTheme="majorEastAsia" w:cstheme="majorBidi"/>
      <w:b/>
      <w:bCs/>
    </w:rPr>
  </w:style>
  <w:style w:type="paragraph" w:styleId="63">
    <w:name w:val="index 1"/>
    <w:basedOn w:val="1"/>
    <w:next w:val="1"/>
    <w:qFormat/>
    <w:uiPriority w:val="0"/>
    <w:pPr>
      <w:ind w:firstLine="0"/>
    </w:pPr>
  </w:style>
  <w:style w:type="paragraph" w:styleId="64">
    <w:name w:val="Subtitle"/>
    <w:next w:val="34"/>
    <w:qFormat/>
    <w:uiPriority w:val="0"/>
    <w:pPr>
      <w:bidi w:val="0"/>
      <w:adjustRightInd w:val="0"/>
      <w:snapToGrid w:val="0"/>
      <w:spacing w:before="50" w:beforeLines="50" w:after="150" w:afterLines="150"/>
      <w:jc w:val="center"/>
      <w:outlineLvl w:val="1"/>
    </w:pPr>
    <w:rPr>
      <w:rFonts w:ascii="Times New Roman" w:hAnsi="Times New Roman" w:eastAsia="黑体" w:cs="Times New Roman"/>
      <w:b/>
      <w:bCs/>
      <w:color w:val="262626" w:themeColor="text1" w:themeTint="D9"/>
      <w:spacing w:val="11"/>
      <w:kern w:val="28"/>
      <w:sz w:val="44"/>
      <w:szCs w:val="44"/>
      <w:lang w:val="en-US" w:eastAsia="zh-CN" w:bidi="ar-SA"/>
      <w14:textFill>
        <w14:solidFill>
          <w14:schemeClr w14:val="tx1">
            <w14:lumMod w14:val="85000"/>
            <w14:lumOff w14:val="15000"/>
          </w14:schemeClr>
        </w14:solidFill>
      </w14:textFill>
    </w:rPr>
  </w:style>
  <w:style w:type="paragraph" w:styleId="65">
    <w:name w:val="List Number 5"/>
    <w:basedOn w:val="1"/>
    <w:qFormat/>
    <w:uiPriority w:val="0"/>
    <w:pPr>
      <w:numPr>
        <w:ilvl w:val="4"/>
        <w:numId w:val="2"/>
      </w:numPr>
      <w:tabs>
        <w:tab w:val="clear" w:pos="420"/>
      </w:tabs>
      <w:spacing w:before="50" w:after="50"/>
      <w:ind w:left="431" w:hanging="431"/>
    </w:pPr>
  </w:style>
  <w:style w:type="paragraph" w:styleId="66">
    <w:name w:val="List"/>
    <w:basedOn w:val="1"/>
    <w:qFormat/>
    <w:uiPriority w:val="0"/>
    <w:pPr>
      <w:ind w:left="200" w:hanging="200" w:hangingChars="200"/>
      <w:contextualSpacing/>
    </w:pPr>
  </w:style>
  <w:style w:type="paragraph" w:styleId="67">
    <w:name w:val="footnote text"/>
    <w:basedOn w:val="1"/>
    <w:qFormat/>
    <w:uiPriority w:val="0"/>
    <w:pPr>
      <w:ind w:firstLine="0" w:firstLineChars="0"/>
      <w:jc w:val="left"/>
    </w:pPr>
    <w:rPr>
      <w:sz w:val="24"/>
    </w:rPr>
  </w:style>
  <w:style w:type="paragraph" w:styleId="68">
    <w:name w:val="toc 6"/>
    <w:basedOn w:val="1"/>
    <w:next w:val="1"/>
    <w:qFormat/>
    <w:uiPriority w:val="0"/>
    <w:pPr>
      <w:ind w:left="2100" w:leftChars="1000"/>
    </w:pPr>
  </w:style>
  <w:style w:type="paragraph" w:styleId="69">
    <w:name w:val="List 5"/>
    <w:basedOn w:val="1"/>
    <w:qFormat/>
    <w:uiPriority w:val="0"/>
    <w:pPr>
      <w:ind w:left="100" w:leftChars="800" w:hanging="200" w:hangingChars="200"/>
      <w:contextualSpacing/>
    </w:pPr>
  </w:style>
  <w:style w:type="paragraph" w:styleId="70">
    <w:name w:val="Body Text Indent 3"/>
    <w:basedOn w:val="1"/>
    <w:link w:val="157"/>
    <w:qFormat/>
    <w:uiPriority w:val="0"/>
    <w:pPr>
      <w:spacing w:after="120"/>
      <w:ind w:left="420" w:leftChars="200"/>
    </w:pPr>
    <w:rPr>
      <w:rFonts w:ascii="汉仪正圆-45W" w:hAnsi="汉仪正圆-45W" w:eastAsia="汉仪正圆-45W" w:cstheme="minorBidi"/>
      <w:kern w:val="2"/>
      <w:sz w:val="16"/>
      <w:szCs w:val="16"/>
    </w:rPr>
  </w:style>
  <w:style w:type="paragraph" w:styleId="71">
    <w:name w:val="index 7"/>
    <w:basedOn w:val="1"/>
    <w:next w:val="1"/>
    <w:qFormat/>
    <w:uiPriority w:val="0"/>
    <w:pPr>
      <w:ind w:left="1200" w:leftChars="1200" w:firstLine="0"/>
    </w:pPr>
  </w:style>
  <w:style w:type="paragraph" w:styleId="72">
    <w:name w:val="index 9"/>
    <w:basedOn w:val="1"/>
    <w:next w:val="1"/>
    <w:qFormat/>
    <w:uiPriority w:val="0"/>
    <w:pPr>
      <w:ind w:left="1600" w:leftChars="1600" w:firstLine="0"/>
    </w:pPr>
  </w:style>
  <w:style w:type="paragraph" w:styleId="73">
    <w:name w:val="table of figures"/>
    <w:basedOn w:val="1"/>
    <w:next w:val="1"/>
    <w:qFormat/>
    <w:uiPriority w:val="0"/>
    <w:pPr>
      <w:ind w:leftChars="200" w:hanging="200" w:hangingChars="200"/>
    </w:pPr>
  </w:style>
  <w:style w:type="paragraph" w:styleId="74">
    <w:name w:val="toc 2"/>
    <w:basedOn w:val="1"/>
    <w:next w:val="1"/>
    <w:qFormat/>
    <w:uiPriority w:val="0"/>
    <w:pPr>
      <w:ind w:left="440" w:leftChars="200" w:firstLine="0" w:firstLineChars="0"/>
    </w:pPr>
  </w:style>
  <w:style w:type="paragraph" w:styleId="75">
    <w:name w:val="toc 9"/>
    <w:basedOn w:val="1"/>
    <w:next w:val="1"/>
    <w:qFormat/>
    <w:uiPriority w:val="0"/>
    <w:pPr>
      <w:ind w:left="3360" w:leftChars="1600"/>
    </w:pPr>
  </w:style>
  <w:style w:type="paragraph" w:styleId="76">
    <w:name w:val="Body Text 2"/>
    <w:basedOn w:val="1"/>
    <w:link w:val="151"/>
    <w:qFormat/>
    <w:uiPriority w:val="0"/>
    <w:pPr>
      <w:spacing w:after="120" w:line="480" w:lineRule="auto"/>
    </w:pPr>
    <w:rPr>
      <w:rFonts w:ascii="汉仪正圆-45W" w:hAnsi="汉仪正圆-45W" w:eastAsia="汉仪正圆-45W" w:cstheme="minorBidi"/>
      <w:kern w:val="2"/>
      <w:sz w:val="22"/>
      <w:szCs w:val="22"/>
    </w:rPr>
  </w:style>
  <w:style w:type="paragraph" w:styleId="77">
    <w:name w:val="List 4"/>
    <w:basedOn w:val="1"/>
    <w:qFormat/>
    <w:uiPriority w:val="0"/>
    <w:pPr>
      <w:ind w:left="100" w:leftChars="600" w:hanging="200" w:hangingChars="200"/>
      <w:contextualSpacing/>
    </w:pPr>
  </w:style>
  <w:style w:type="paragraph" w:styleId="78">
    <w:name w:val="List Continue 2"/>
    <w:basedOn w:val="1"/>
    <w:qFormat/>
    <w:uiPriority w:val="0"/>
    <w:pPr>
      <w:spacing w:after="120"/>
      <w:ind w:left="840" w:leftChars="400"/>
      <w:contextualSpacing/>
    </w:pPr>
  </w:style>
  <w:style w:type="paragraph" w:styleId="79">
    <w:name w:val="Message Header"/>
    <w:basedOn w:val="1"/>
    <w:link w:val="148"/>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kern w:val="2"/>
      <w:sz w:val="24"/>
      <w:szCs w:val="24"/>
      <w:shd w:val="pct20" w:color="auto" w:fill="auto"/>
    </w:rPr>
  </w:style>
  <w:style w:type="paragraph" w:styleId="80">
    <w:name w:val="HTML Preformatted"/>
    <w:basedOn w:val="1"/>
    <w:link w:val="133"/>
    <w:qFormat/>
    <w:uiPriority w:val="0"/>
    <w:rPr>
      <w:rFonts w:ascii="Courier New" w:hAnsi="Courier New" w:eastAsia="汉仪正圆-45W" w:cs="Courier New"/>
      <w:kern w:val="2"/>
    </w:rPr>
  </w:style>
  <w:style w:type="paragraph" w:styleId="81">
    <w:name w:val="Normal (Web)"/>
    <w:basedOn w:val="1"/>
    <w:qFormat/>
    <w:uiPriority w:val="0"/>
    <w:rPr>
      <w:rFonts w:ascii="Times New Roman" w:hAnsi="Times New Roman" w:cs="Times New Roman"/>
      <w:sz w:val="24"/>
      <w:szCs w:val="24"/>
    </w:rPr>
  </w:style>
  <w:style w:type="paragraph" w:styleId="82">
    <w:name w:val="List Continue 3"/>
    <w:basedOn w:val="1"/>
    <w:qFormat/>
    <w:uiPriority w:val="0"/>
    <w:pPr>
      <w:spacing w:after="120"/>
      <w:ind w:left="1260" w:leftChars="600"/>
      <w:contextualSpacing/>
    </w:pPr>
  </w:style>
  <w:style w:type="paragraph" w:styleId="83">
    <w:name w:val="index 2"/>
    <w:basedOn w:val="1"/>
    <w:next w:val="1"/>
    <w:qFormat/>
    <w:uiPriority w:val="0"/>
    <w:pPr>
      <w:ind w:left="200" w:leftChars="200" w:firstLine="0"/>
    </w:pPr>
  </w:style>
  <w:style w:type="paragraph" w:styleId="84">
    <w:name w:val="Title"/>
    <w:qFormat/>
    <w:uiPriority w:val="10"/>
    <w:pPr>
      <w:bidi w:val="0"/>
      <w:adjustRightInd w:val="0"/>
      <w:snapToGrid w:val="0"/>
      <w:spacing w:before="50" w:beforeLines="50" w:after="100" w:afterLines="100" w:line="240" w:lineRule="auto"/>
      <w:jc w:val="center"/>
      <w:outlineLvl w:val="0"/>
    </w:pPr>
    <w:rPr>
      <w:rFonts w:ascii="Times New Roman" w:hAnsi="Times New Roman" w:eastAsia="黑体" w:cs="Times New Roman"/>
      <w:color w:val="262626" w:themeColor="text1" w:themeTint="D9"/>
      <w:spacing w:val="11"/>
      <w:sz w:val="52"/>
      <w:szCs w:val="52"/>
      <w:lang w:val="en-US" w:eastAsia="zh-CN" w:bidi="ar-SA"/>
      <w14:textFill>
        <w14:solidFill>
          <w14:schemeClr w14:val="tx1">
            <w14:lumMod w14:val="85000"/>
            <w14:lumOff w14:val="15000"/>
          </w14:schemeClr>
        </w14:solidFill>
      </w14:textFill>
    </w:rPr>
  </w:style>
  <w:style w:type="paragraph" w:styleId="85">
    <w:name w:val="annotation subject"/>
    <w:basedOn w:val="28"/>
    <w:next w:val="28"/>
    <w:qFormat/>
    <w:uiPriority w:val="0"/>
    <w:rPr>
      <w:b/>
    </w:rPr>
  </w:style>
  <w:style w:type="paragraph" w:styleId="86">
    <w:name w:val="Body Text First Indent"/>
    <w:basedOn w:val="1"/>
    <w:link w:val="153"/>
    <w:qFormat/>
    <w:uiPriority w:val="0"/>
    <w:pPr>
      <w:spacing w:before="0" w:after="120" w:afterLines="0"/>
      <w:ind w:firstLine="420" w:firstLineChars="100"/>
    </w:pPr>
    <w:rPr>
      <w:rFonts w:ascii="汉仪正圆-45W" w:hAnsi="汉仪正圆-45W" w:eastAsia="汉仪正圆-45W" w:cstheme="minorBidi"/>
      <w:kern w:val="2"/>
      <w:sz w:val="22"/>
      <w:szCs w:val="22"/>
    </w:rPr>
  </w:style>
  <w:style w:type="paragraph" w:styleId="87">
    <w:name w:val="Body Text First Indent 2"/>
    <w:basedOn w:val="35"/>
    <w:link w:val="155"/>
    <w:qFormat/>
    <w:uiPriority w:val="0"/>
    <w:pPr>
      <w:ind w:firstLine="420"/>
    </w:pPr>
    <w:rPr>
      <w:rFonts w:ascii="汉仪正圆-45W" w:hAnsi="汉仪正圆-45W" w:eastAsia="汉仪正圆-45W" w:cstheme="minorBidi"/>
      <w:kern w:val="2"/>
      <w:sz w:val="22"/>
      <w:szCs w:val="22"/>
    </w:rPr>
  </w:style>
  <w:style w:type="character" w:styleId="90">
    <w:name w:val="Strong"/>
    <w:basedOn w:val="89"/>
    <w:qFormat/>
    <w:uiPriority w:val="22"/>
    <w:rPr>
      <w:rFonts w:ascii="宋体" w:hAnsi="宋体" w:eastAsia="宋体" w:cs="Times New Roman"/>
      <w:b/>
      <w:bCs/>
      <w:color w:val="262626" w:themeColor="text1" w:themeTint="D9"/>
      <w:sz w:val="24"/>
      <w:szCs w:val="24"/>
      <w:u w:val="none"/>
      <w14:textFill>
        <w14:solidFill>
          <w14:schemeClr w14:val="tx1">
            <w14:lumMod w14:val="85000"/>
            <w14:lumOff w14:val="15000"/>
          </w14:schemeClr>
        </w14:solidFill>
      </w14:textFill>
    </w:rPr>
  </w:style>
  <w:style w:type="character" w:styleId="91">
    <w:name w:val="endnote reference"/>
    <w:basedOn w:val="89"/>
    <w:qFormat/>
    <w:uiPriority w:val="0"/>
    <w:rPr>
      <w:rFonts w:ascii="宋体" w:hAnsi="宋体" w:eastAsia="宋体" w:cs="Times New Roman"/>
      <w:color w:val="262626" w:themeColor="text1" w:themeTint="D9"/>
      <w:kern w:val="2"/>
      <w:sz w:val="28"/>
      <w:szCs w:val="28"/>
      <w:vertAlign w:val="superscript"/>
      <w:lang w:val="en-US" w:eastAsia="zh-CN" w:bidi="ar-SA"/>
      <w14:textFill>
        <w14:solidFill>
          <w14:schemeClr w14:val="tx1">
            <w14:lumMod w14:val="85000"/>
            <w14:lumOff w14:val="15000"/>
          </w14:schemeClr>
        </w14:solidFill>
      </w14:textFill>
    </w:rPr>
  </w:style>
  <w:style w:type="character" w:styleId="92">
    <w:name w:val="page number"/>
    <w:basedOn w:val="89"/>
    <w:qFormat/>
    <w:uiPriority w:val="0"/>
    <w:rPr>
      <w:rFonts w:ascii="宋体" w:hAnsi="宋体" w:eastAsia="宋体" w:cs="Times New Roman"/>
      <w:color w:val="404040" w:themeColor="text1" w:themeTint="BF"/>
      <w:kern w:val="2"/>
      <w:sz w:val="18"/>
      <w:szCs w:val="18"/>
      <w:lang w:val="en-US" w:eastAsia="zh-CN" w:bidi="ar-SA"/>
      <w14:textFill>
        <w14:solidFill>
          <w14:schemeClr w14:val="tx1">
            <w14:lumMod w14:val="75000"/>
            <w14:lumOff w14:val="25000"/>
          </w14:schemeClr>
        </w14:solidFill>
      </w14:textFill>
    </w:rPr>
  </w:style>
  <w:style w:type="character" w:styleId="93">
    <w:name w:val="FollowedHyperlink"/>
    <w:basedOn w:val="89"/>
    <w:qFormat/>
    <w:uiPriority w:val="0"/>
    <w:rPr>
      <w:rFonts w:ascii="宋体" w:hAnsi="宋体" w:eastAsia="宋体" w:cs="Times New Roman"/>
      <w:color w:val="800080"/>
      <w:kern w:val="2"/>
      <w:sz w:val="24"/>
      <w:szCs w:val="24"/>
      <w:u w:val="single"/>
      <w:lang w:val="en-US" w:eastAsia="zh-CN" w:bidi="ar-SA"/>
    </w:rPr>
  </w:style>
  <w:style w:type="character" w:styleId="94">
    <w:name w:val="Emphasis"/>
    <w:basedOn w:val="89"/>
    <w:qFormat/>
    <w:uiPriority w:val="20"/>
    <w:rPr>
      <w:rFonts w:ascii="宋体" w:hAnsi="宋体" w:eastAsia="宋体" w:cs="Times New Roman"/>
      <w:color w:val="C00000"/>
      <w:sz w:val="24"/>
      <w:szCs w:val="24"/>
    </w:rPr>
  </w:style>
  <w:style w:type="character" w:styleId="95">
    <w:name w:val="Hyperlink"/>
    <w:basedOn w:val="89"/>
    <w:qFormat/>
    <w:uiPriority w:val="0"/>
    <w:rPr>
      <w:rFonts w:ascii="宋体" w:hAnsi="宋体" w:eastAsia="宋体" w:cs="Times New Roman"/>
      <w:color w:val="0000FF"/>
      <w:kern w:val="2"/>
      <w:sz w:val="24"/>
      <w:szCs w:val="24"/>
      <w:u w:val="single"/>
      <w:lang w:val="en-US" w:eastAsia="zh-CN" w:bidi="ar-SA"/>
    </w:rPr>
  </w:style>
  <w:style w:type="character" w:styleId="96">
    <w:name w:val="annotation reference"/>
    <w:basedOn w:val="89"/>
    <w:qFormat/>
    <w:uiPriority w:val="0"/>
    <w:rPr>
      <w:rFonts w:ascii="宋体" w:hAnsi="宋体" w:eastAsia="宋体" w:cs="宋体"/>
      <w:kern w:val="2"/>
      <w:sz w:val="21"/>
      <w:szCs w:val="21"/>
      <w:lang w:val="en-US" w:eastAsia="zh-CN" w:bidi="ar-SA"/>
    </w:rPr>
  </w:style>
  <w:style w:type="character" w:styleId="97">
    <w:name w:val="footnote reference"/>
    <w:basedOn w:val="89"/>
    <w:qFormat/>
    <w:uiPriority w:val="0"/>
    <w:rPr>
      <w:rFonts w:ascii="宋体" w:hAnsi="宋体" w:eastAsia="宋体" w:cs="Times New Roman"/>
      <w:color w:val="262626" w:themeColor="text1" w:themeTint="D9"/>
      <w:kern w:val="2"/>
      <w:sz w:val="28"/>
      <w:szCs w:val="28"/>
      <w:vertAlign w:val="superscript"/>
      <w:lang w:val="en-US" w:eastAsia="zh-CN" w:bidi="ar-SA"/>
      <w14:textFill>
        <w14:solidFill>
          <w14:schemeClr w14:val="tx1">
            <w14:lumMod w14:val="85000"/>
            <w14:lumOff w14:val="15000"/>
          </w14:schemeClr>
        </w14:solidFill>
      </w14:textFill>
    </w:rPr>
  </w:style>
  <w:style w:type="paragraph" w:customStyle="1" w:styleId="98">
    <w:name w:val="列出段落4"/>
    <w:basedOn w:val="1"/>
    <w:qFormat/>
    <w:uiPriority w:val="0"/>
    <w:pPr>
      <w:ind w:firstLine="420" w:firstLineChars="200"/>
    </w:pPr>
  </w:style>
  <w:style w:type="paragraph" w:customStyle="1" w:styleId="99">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paragraph" w:customStyle="1" w:styleId="100">
    <w:name w:val="正文（缩进2字符）"/>
    <w:basedOn w:val="1"/>
    <w:qFormat/>
    <w:uiPriority w:val="0"/>
    <w:pPr>
      <w:spacing w:line="360" w:lineRule="auto"/>
      <w:ind w:firstLine="200" w:firstLineChars="200"/>
    </w:pPr>
    <w:rPr>
      <w:rFonts w:ascii="Times New Roman" w:hAnsi="Times New Roman"/>
      <w:szCs w:val="22"/>
    </w:rPr>
  </w:style>
  <w:style w:type="paragraph" w:customStyle="1" w:styleId="101">
    <w:name w:val="WPSOffice手动目录 1"/>
    <w:qFormat/>
    <w:uiPriority w:val="0"/>
    <w:rPr>
      <w:rFonts w:ascii="Times New Roman" w:hAnsi="Times New Roman" w:eastAsia="宋体" w:cs="Times New Roman"/>
      <w:lang w:val="en-US" w:eastAsia="zh-CN" w:bidi="ar-SA"/>
    </w:rPr>
  </w:style>
  <w:style w:type="paragraph" w:customStyle="1" w:styleId="10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03">
    <w:name w:val="21bc9c4b-6a32-43e5-beaa-fd2d792c5735"/>
    <w:basedOn w:val="2"/>
    <w:next w:val="104"/>
    <w:link w:val="116"/>
    <w:qFormat/>
    <w:uiPriority w:val="0"/>
    <w:pPr>
      <w:numPr>
        <w:ilvl w:val="0"/>
        <w:numId w:val="8"/>
      </w:numPr>
      <w:adjustRightInd w:val="0"/>
      <w:spacing w:before="0" w:after="0" w:line="288" w:lineRule="auto"/>
      <w:ind w:left="0" w:firstLine="0"/>
      <w:jc w:val="left"/>
    </w:pPr>
    <w:rPr>
      <w:rFonts w:ascii="微软雅黑" w:hAnsi="微软雅黑" w:eastAsia="微软雅黑"/>
      <w:color w:val="000000"/>
      <w:sz w:val="32"/>
    </w:rPr>
  </w:style>
  <w:style w:type="paragraph" w:customStyle="1" w:styleId="104">
    <w:name w:val="acbfdd8b-e11b-4d36-88ff-6049b138f862"/>
    <w:basedOn w:val="34"/>
    <w:link w:val="111"/>
    <w:qFormat/>
    <w:uiPriority w:val="0"/>
    <w:pPr>
      <w:numPr>
        <w:ilvl w:val="0"/>
        <w:numId w:val="9"/>
      </w:numPr>
      <w:adjustRightInd w:val="0"/>
      <w:spacing w:after="0" w:line="288" w:lineRule="auto"/>
      <w:ind w:firstLineChars="0"/>
      <w:jc w:val="left"/>
    </w:pPr>
    <w:rPr>
      <w:rFonts w:ascii="微软雅黑" w:hAnsi="微软雅黑" w:eastAsia="微软雅黑"/>
      <w:color w:val="000000"/>
      <w:sz w:val="22"/>
    </w:rPr>
  </w:style>
  <w:style w:type="paragraph" w:customStyle="1" w:styleId="105">
    <w:name w:val="欧万龙"/>
    <w:basedOn w:val="1"/>
    <w:qFormat/>
    <w:uiPriority w:val="0"/>
    <w:pPr>
      <w:spacing w:line="500" w:lineRule="exact"/>
      <w:ind w:firstLine="480"/>
    </w:pPr>
  </w:style>
  <w:style w:type="paragraph" w:customStyle="1" w:styleId="106">
    <w:name w:val="71e7dc79-1ff7-45e8-997d-0ebda3762b91"/>
    <w:basedOn w:val="4"/>
    <w:next w:val="104"/>
    <w:link w:val="110"/>
    <w:qFormat/>
    <w:uiPriority w:val="0"/>
    <w:pPr>
      <w:adjustRightInd w:val="0"/>
      <w:spacing w:before="0" w:after="0" w:line="288" w:lineRule="auto"/>
      <w:jc w:val="left"/>
    </w:pPr>
    <w:rPr>
      <w:rFonts w:ascii="微软雅黑" w:hAnsi="微软雅黑" w:eastAsia="微软雅黑"/>
      <w:color w:val="000000"/>
      <w:sz w:val="28"/>
    </w:rPr>
  </w:style>
  <w:style w:type="character" w:customStyle="1" w:styleId="107">
    <w:name w:val="页眉 字符"/>
    <w:link w:val="57"/>
    <w:qFormat/>
    <w:uiPriority w:val="0"/>
    <w:rPr>
      <w:sz w:val="18"/>
      <w:szCs w:val="18"/>
    </w:rPr>
  </w:style>
  <w:style w:type="character" w:customStyle="1" w:styleId="108">
    <w:name w:val="页脚 字符"/>
    <w:link w:val="55"/>
    <w:qFormat/>
    <w:uiPriority w:val="0"/>
    <w:rPr>
      <w:sz w:val="18"/>
      <w:szCs w:val="18"/>
    </w:rPr>
  </w:style>
  <w:style w:type="character" w:customStyle="1" w:styleId="109">
    <w:name w:val="标题 4 字符"/>
    <w:link w:val="6"/>
    <w:qFormat/>
    <w:uiPriority w:val="0"/>
    <w:rPr>
      <w:rFonts w:ascii="黑体" w:hAnsi="黑体" w:eastAsia="黑体" w:cs="Times New Roman"/>
      <w:b/>
      <w:bCs/>
      <w:color w:val="262626" w:themeColor="text1" w:themeTint="D9"/>
      <w:sz w:val="30"/>
      <w:szCs w:val="30"/>
      <w:lang w:val="en-US" w:eastAsia="zh-CN" w:bidi="ar-SA"/>
      <w14:textFill>
        <w14:solidFill>
          <w14:schemeClr w14:val="tx1">
            <w14:lumMod w14:val="85000"/>
            <w14:lumOff w14:val="15000"/>
          </w14:schemeClr>
        </w14:solidFill>
      </w14:textFill>
    </w:rPr>
  </w:style>
  <w:style w:type="character" w:customStyle="1" w:styleId="110">
    <w:name w:val="71e7dc79-1ff7-45e8-997d-0ebda3762b91 字符"/>
    <w:basedOn w:val="109"/>
    <w:link w:val="106"/>
    <w:qFormat/>
    <w:uiPriority w:val="0"/>
    <w:rPr>
      <w:rFonts w:ascii="微软雅黑" w:hAnsi="微软雅黑" w:eastAsia="微软雅黑"/>
      <w:color w:val="000000"/>
      <w:sz w:val="28"/>
    </w:rPr>
  </w:style>
  <w:style w:type="character" w:customStyle="1" w:styleId="111">
    <w:name w:val="acbfdd8b-e11b-4d36-88ff-6049b138f862 字符"/>
    <w:basedOn w:val="109"/>
    <w:link w:val="104"/>
    <w:qFormat/>
    <w:uiPriority w:val="0"/>
    <w:rPr>
      <w:rFonts w:ascii="微软雅黑" w:hAnsi="微软雅黑" w:eastAsia="微软雅黑"/>
      <w:color w:val="000000"/>
      <w:sz w:val="22"/>
    </w:rPr>
  </w:style>
  <w:style w:type="character" w:customStyle="1" w:styleId="112">
    <w:name w:val="正文文本 字符"/>
    <w:link w:val="34"/>
    <w:qFormat/>
    <w:uiPriority w:val="0"/>
    <w:rPr>
      <w:rFonts w:ascii="宋体" w:hAnsi="宋体" w:eastAsia="宋体" w:cs="宋体"/>
      <w:kern w:val="2"/>
      <w:sz w:val="28"/>
      <w:szCs w:val="28"/>
      <w:lang w:val="en-US" w:eastAsia="zh-CN" w:bidi="ar-SA"/>
    </w:rPr>
  </w:style>
  <w:style w:type="paragraph" w:customStyle="1" w:styleId="113">
    <w:name w:val="b63ee27f-4cf3-414c-9275-d88e3f90795e"/>
    <w:basedOn w:val="5"/>
    <w:next w:val="104"/>
    <w:link w:val="114"/>
    <w:qFormat/>
    <w:uiPriority w:val="0"/>
    <w:pPr>
      <w:adjustRightInd w:val="0"/>
      <w:spacing w:before="0" w:after="0" w:line="288" w:lineRule="auto"/>
      <w:ind w:firstLine="0"/>
      <w:jc w:val="left"/>
    </w:pPr>
    <w:rPr>
      <w:rFonts w:ascii="微软雅黑" w:hAnsi="微软雅黑" w:eastAsia="微软雅黑"/>
      <w:color w:val="000000"/>
      <w:sz w:val="26"/>
    </w:rPr>
  </w:style>
  <w:style w:type="character" w:customStyle="1" w:styleId="114">
    <w:name w:val="b63ee27f-4cf3-414c-9275-d88e3f90795e 字符"/>
    <w:basedOn w:val="110"/>
    <w:link w:val="113"/>
    <w:qFormat/>
    <w:uiPriority w:val="0"/>
    <w:rPr>
      <w:rFonts w:ascii="微软雅黑" w:hAnsi="微软雅黑" w:eastAsia="微软雅黑"/>
      <w:color w:val="000000"/>
      <w:sz w:val="26"/>
    </w:rPr>
  </w:style>
  <w:style w:type="character" w:customStyle="1" w:styleId="115">
    <w:name w:val="标题 2 字符"/>
    <w:link w:val="4"/>
    <w:qFormat/>
    <w:uiPriority w:val="0"/>
    <w:rPr>
      <w:rFonts w:ascii="黑体" w:hAnsi="黑体" w:eastAsia="黑体" w:cs="黑体"/>
      <w:b/>
      <w:bCs/>
      <w:color w:val="262626" w:themeColor="text1" w:themeTint="D9"/>
      <w:kern w:val="2"/>
      <w:sz w:val="36"/>
      <w:szCs w:val="36"/>
      <w:lang w:val="en-US" w:eastAsia="zh-CN" w:bidi="ar-SA"/>
      <w14:textFill>
        <w14:solidFill>
          <w14:schemeClr w14:val="tx1">
            <w14:lumMod w14:val="85000"/>
            <w14:lumOff w14:val="15000"/>
          </w14:schemeClr>
        </w14:solidFill>
      </w14:textFill>
    </w:rPr>
  </w:style>
  <w:style w:type="character" w:customStyle="1" w:styleId="116">
    <w:name w:val="21bc9c4b-6a32-43e5-beaa-fd2d792c5735 字符"/>
    <w:basedOn w:val="115"/>
    <w:link w:val="103"/>
    <w:qFormat/>
    <w:uiPriority w:val="0"/>
    <w:rPr>
      <w:rFonts w:ascii="微软雅黑" w:hAnsi="微软雅黑" w:eastAsia="微软雅黑"/>
      <w:color w:val="000000"/>
      <w:sz w:val="32"/>
    </w:rPr>
  </w:style>
  <w:style w:type="character" w:customStyle="1" w:styleId="117">
    <w:name w:val="标题 5 字符"/>
    <w:link w:val="7"/>
    <w:semiHidden/>
    <w:qFormat/>
    <w:uiPriority w:val="0"/>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customStyle="1" w:styleId="118">
    <w:name w:val="文档说明标题"/>
    <w:next w:val="1"/>
    <w:qFormat/>
    <w:uiPriority w:val="0"/>
    <w:pPr>
      <w:keepNext/>
      <w:keepLines/>
      <w:tabs>
        <w:tab w:val="left" w:pos="0"/>
      </w:tabs>
      <w:bidi w:val="0"/>
      <w:adjustRightInd w:val="0"/>
      <w:snapToGrid w:val="0"/>
      <w:spacing w:before="50" w:beforeLines="50" w:after="150" w:afterLines="150" w:line="240" w:lineRule="auto"/>
      <w:jc w:val="center"/>
      <w:outlineLvl w:val="0"/>
    </w:pPr>
    <w:rPr>
      <w:rFonts w:ascii="黑体" w:hAnsi="黑体" w:eastAsia="黑体" w:cs="Times New Roman"/>
      <w:b/>
      <w:bCs/>
      <w:color w:val="262626" w:themeColor="text1" w:themeTint="D9"/>
      <w:spacing w:val="11"/>
      <w:kern w:val="44"/>
      <w:sz w:val="36"/>
      <w:szCs w:val="36"/>
      <w:lang w:val="en-US" w:eastAsia="zh-CN" w:bidi="ar-SA"/>
      <w14:textFill>
        <w14:solidFill>
          <w14:schemeClr w14:val="tx1">
            <w14:lumMod w14:val="85000"/>
            <w14:lumOff w14:val="15000"/>
          </w14:schemeClr>
        </w14:solidFill>
      </w14:textFill>
    </w:rPr>
  </w:style>
  <w:style w:type="paragraph" w:customStyle="1" w:styleId="119">
    <w:name w:val="附录标题"/>
    <w:next w:val="34"/>
    <w:qFormat/>
    <w:uiPriority w:val="0"/>
    <w:pPr>
      <w:keepNext/>
      <w:keepLines/>
      <w:tabs>
        <w:tab w:val="left" w:pos="0"/>
      </w:tabs>
      <w:bidi w:val="0"/>
      <w:adjustRightInd w:val="0"/>
      <w:snapToGrid w:val="0"/>
      <w:spacing w:before="100" w:beforeLines="100" w:after="150" w:afterLines="150" w:line="240" w:lineRule="auto"/>
      <w:jc w:val="left"/>
      <w:outlineLvl w:val="0"/>
    </w:pPr>
    <w:rPr>
      <w:rFonts w:ascii="黑体" w:hAnsi="黑体" w:eastAsia="黑体" w:cs="Times New Roman"/>
      <w:b/>
      <w:bCs/>
      <w:color w:val="262626" w:themeColor="text1" w:themeTint="D9"/>
      <w:kern w:val="44"/>
      <w:sz w:val="36"/>
      <w:szCs w:val="36"/>
      <w:lang w:val="en-US" w:eastAsia="zh-CN" w:bidi="ar-SA"/>
      <w14:textFill>
        <w14:solidFill>
          <w14:schemeClr w14:val="tx1">
            <w14:lumMod w14:val="85000"/>
            <w14:lumOff w14:val="15000"/>
          </w14:schemeClr>
        </w14:solidFill>
      </w14:textFill>
    </w:rPr>
  </w:style>
  <w:style w:type="paragraph" w:customStyle="1" w:styleId="120">
    <w:name w:val="章标题"/>
    <w:next w:val="1"/>
    <w:qFormat/>
    <w:uiPriority w:val="0"/>
    <w:pPr>
      <w:keepNext/>
      <w:keepLines/>
      <w:tabs>
        <w:tab w:val="left" w:pos="0"/>
      </w:tabs>
      <w:bidi w:val="0"/>
      <w:adjustRightInd w:val="0"/>
      <w:snapToGrid w:val="0"/>
      <w:spacing w:before="50" w:beforeLines="50" w:after="150" w:afterLines="150" w:line="240" w:lineRule="auto"/>
      <w:jc w:val="center"/>
      <w:outlineLvl w:val="0"/>
    </w:pPr>
    <w:rPr>
      <w:rFonts w:ascii="黑体" w:hAnsi="黑体" w:eastAsia="黑体" w:cs="Times New Roman"/>
      <w:b/>
      <w:bCs/>
      <w:color w:val="262626" w:themeColor="text1" w:themeTint="D9"/>
      <w:spacing w:val="11"/>
      <w:kern w:val="44"/>
      <w:sz w:val="36"/>
      <w:szCs w:val="36"/>
      <w:lang w:val="en-US" w:eastAsia="zh-CN" w:bidi="ar-SA"/>
      <w14:textFill>
        <w14:solidFill>
          <w14:schemeClr w14:val="tx1">
            <w14:lumMod w14:val="85000"/>
            <w14:lumOff w14:val="15000"/>
          </w14:schemeClr>
        </w14:solidFill>
      </w14:textFill>
    </w:rPr>
  </w:style>
  <w:style w:type="paragraph" w:customStyle="1" w:styleId="121">
    <w:name w:val="节标题"/>
    <w:next w:val="1"/>
    <w:qFormat/>
    <w:uiPriority w:val="0"/>
    <w:pPr>
      <w:tabs>
        <w:tab w:val="left" w:pos="0"/>
      </w:tabs>
      <w:bidi w:val="0"/>
      <w:adjustRightInd w:val="0"/>
      <w:snapToGrid w:val="0"/>
      <w:spacing w:before="50" w:beforeLines="50" w:after="150" w:afterLines="150" w:line="240" w:lineRule="auto"/>
      <w:jc w:val="center"/>
    </w:pPr>
    <w:rPr>
      <w:rFonts w:ascii="黑体" w:hAnsi="黑体" w:eastAsia="黑体" w:cs="Times New Roman"/>
      <w:b/>
      <w:bCs/>
      <w:color w:val="262626" w:themeColor="text1" w:themeTint="D9"/>
      <w:spacing w:val="11"/>
      <w:sz w:val="32"/>
      <w:szCs w:val="32"/>
      <w:lang w:val="en-US" w:eastAsia="zh-CN" w:bidi="ar-SA"/>
      <w14:textFill>
        <w14:solidFill>
          <w14:schemeClr w14:val="tx1">
            <w14:lumMod w14:val="85000"/>
            <w14:lumOff w14:val="15000"/>
          </w14:schemeClr>
        </w14:solidFill>
      </w14:textFill>
    </w:rPr>
  </w:style>
  <w:style w:type="character" w:customStyle="1" w:styleId="122">
    <w:name w:val="摘要"/>
    <w:basedOn w:val="89"/>
    <w:qFormat/>
    <w:uiPriority w:val="0"/>
    <w:rPr>
      <w:rFonts w:ascii="宋体" w:hAnsi="宋体" w:eastAsia="宋体" w:cs="Times New Roman"/>
      <w:b/>
      <w:bCs/>
      <w:color w:val="262626" w:themeColor="text1" w:themeTint="D9"/>
      <w:kern w:val="2"/>
      <w:sz w:val="28"/>
      <w:szCs w:val="28"/>
      <w:lang w:val="en-US" w:eastAsia="zh-CN" w:bidi="ar-SA"/>
      <w14:textFill>
        <w14:solidFill>
          <w14:schemeClr w14:val="tx1">
            <w14:lumMod w14:val="85000"/>
            <w14:lumOff w14:val="15000"/>
          </w14:schemeClr>
        </w14:solidFill>
      </w14:textFill>
    </w:rPr>
  </w:style>
  <w:style w:type="character" w:customStyle="1" w:styleId="123">
    <w:name w:val="关键词"/>
    <w:basedOn w:val="89"/>
    <w:qFormat/>
    <w:uiPriority w:val="0"/>
    <w:rPr>
      <w:rFonts w:ascii="宋体" w:hAnsi="宋体" w:eastAsia="宋体" w:cs="Times New Roman"/>
      <w:b/>
      <w:bCs/>
      <w:color w:val="262626" w:themeColor="text1" w:themeTint="D9"/>
      <w:kern w:val="2"/>
      <w:sz w:val="24"/>
      <w:szCs w:val="24"/>
      <w:lang w:val="en-US" w:eastAsia="zh-CN" w:bidi="ar-SA"/>
      <w14:textFill>
        <w14:solidFill>
          <w14:schemeClr w14:val="tx1">
            <w14:lumMod w14:val="85000"/>
            <w14:lumOff w14:val="15000"/>
          </w14:schemeClr>
        </w14:solidFill>
      </w14:textFill>
    </w:rPr>
  </w:style>
  <w:style w:type="paragraph" w:customStyle="1" w:styleId="124">
    <w:name w:val="题注1"/>
    <w:basedOn w:val="1"/>
    <w:qFormat/>
    <w:uiPriority w:val="0"/>
    <w:pPr>
      <w:spacing w:before="50" w:after="50"/>
      <w:ind w:firstLine="0" w:firstLineChars="0"/>
    </w:pPr>
    <w:rPr>
      <w:sz w:val="20"/>
      <w:szCs w:val="20"/>
    </w:rPr>
  </w:style>
  <w:style w:type="paragraph" w:customStyle="1" w:styleId="125">
    <w:name w:val="目录标题"/>
    <w:link w:val="126"/>
    <w:qFormat/>
    <w:uiPriority w:val="0"/>
    <w:pPr>
      <w:bidi w:val="0"/>
      <w:adjustRightInd w:val="0"/>
      <w:snapToGrid w:val="0"/>
      <w:spacing w:line="360" w:lineRule="auto"/>
      <w:jc w:val="left"/>
    </w:pPr>
    <w:rPr>
      <w:rFonts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 w:type="character" w:customStyle="1" w:styleId="126">
    <w:name w:val="目录标题 Char"/>
    <w:link w:val="125"/>
    <w:qFormat/>
    <w:uiPriority w:val="0"/>
    <w:rPr>
      <w:rFonts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 w:type="character" w:customStyle="1" w:styleId="127">
    <w:name w:val="参考文献条目"/>
    <w:basedOn w:val="89"/>
    <w:qFormat/>
    <w:uiPriority w:val="0"/>
    <w:rPr>
      <w:rFonts w:ascii="宋体" w:hAnsi="宋体" w:eastAsia="宋体" w:cs="Times New Roman"/>
      <w:color w:val="262626" w:themeColor="text1" w:themeTint="D9"/>
      <w:kern w:val="2"/>
      <w:sz w:val="24"/>
      <w:szCs w:val="24"/>
      <w:lang w:val="en-US" w:eastAsia="zh-CN" w:bidi="ar-SA"/>
      <w14:textFill>
        <w14:solidFill>
          <w14:schemeClr w14:val="tx1">
            <w14:lumMod w14:val="85000"/>
            <w14:lumOff w14:val="15000"/>
          </w14:schemeClr>
        </w14:solidFill>
      </w14:textFill>
    </w:rPr>
  </w:style>
  <w:style w:type="character" w:customStyle="1" w:styleId="128">
    <w:name w:val="着重标题"/>
    <w:basedOn w:val="89"/>
    <w:qFormat/>
    <w:uiPriority w:val="0"/>
    <w:rPr>
      <w:rFonts w:ascii="宋体" w:hAnsi="宋体" w:eastAsia="宋体" w:cs="宋体"/>
      <w:kern w:val="2"/>
      <w:sz w:val="28"/>
      <w:szCs w:val="28"/>
      <w:lang w:val="en-US" w:eastAsia="zh-CN" w:bidi="ar-SA"/>
    </w:rPr>
  </w:style>
  <w:style w:type="character" w:customStyle="1" w:styleId="129">
    <w:name w:val="列表编号 字符"/>
    <w:link w:val="20"/>
    <w:qFormat/>
    <w:uiPriority w:val="0"/>
  </w:style>
  <w:style w:type="character" w:customStyle="1" w:styleId="130">
    <w:name w:val="列表项目符号 字符"/>
    <w:link w:val="24"/>
    <w:qFormat/>
    <w:uiPriority w:val="0"/>
  </w:style>
  <w:style w:type="character" w:customStyle="1" w:styleId="131">
    <w:name w:val="列表项目符号 2 字符"/>
    <w:link w:val="40"/>
    <w:qFormat/>
    <w:uiPriority w:val="0"/>
  </w:style>
  <w:style w:type="character" w:customStyle="1" w:styleId="132">
    <w:name w:val="HTML 地址 字符"/>
    <w:basedOn w:val="89"/>
    <w:link w:val="41"/>
    <w:qFormat/>
    <w:uiPriority w:val="0"/>
    <w:rPr>
      <w:rFonts w:ascii="汉仪正圆-45W" w:hAnsi="汉仪正圆-45W" w:eastAsia="汉仪正圆-45W" w:cstheme="minorBidi"/>
      <w:i/>
      <w:iCs/>
      <w:kern w:val="2"/>
      <w:sz w:val="22"/>
      <w:szCs w:val="22"/>
    </w:rPr>
  </w:style>
  <w:style w:type="character" w:customStyle="1" w:styleId="133">
    <w:name w:val="HTML 预设格式 字符"/>
    <w:basedOn w:val="89"/>
    <w:link w:val="80"/>
    <w:qFormat/>
    <w:uiPriority w:val="0"/>
    <w:rPr>
      <w:rFonts w:ascii="Courier New" w:hAnsi="Courier New" w:eastAsia="汉仪正圆-45W" w:cs="Courier New"/>
      <w:kern w:val="2"/>
    </w:rPr>
  </w:style>
  <w:style w:type="paragraph" w:customStyle="1" w:styleId="134">
    <w:name w:val="TOC Heading"/>
    <w:basedOn w:val="2"/>
    <w:next w:val="1"/>
    <w:semiHidden/>
    <w:unhideWhenUsed/>
    <w:qFormat/>
    <w:uiPriority w:val="39"/>
    <w:pPr>
      <w:widowControl w:val="0"/>
      <w:numPr>
        <w:numId w:val="0"/>
      </w:numPr>
      <w:tabs>
        <w:tab w:val="clear" w:pos="-420"/>
        <w:tab w:val="clear" w:pos="0"/>
      </w:tabs>
      <w:spacing w:before="340" w:beforeLines="0" w:after="330" w:line="578" w:lineRule="auto"/>
      <w:ind w:firstLine="440" w:firstLineChars="200"/>
      <w:jc w:val="both"/>
      <w:outlineLvl w:val="9"/>
    </w:pPr>
    <w:rPr>
      <w:rFonts w:ascii="汉仪正圆-45W" w:hAnsi="汉仪正圆-45W" w:eastAsia="汉仪正圆-45W"/>
      <w:sz w:val="44"/>
      <w:szCs w:val="44"/>
    </w:rPr>
  </w:style>
  <w:style w:type="character" w:customStyle="1" w:styleId="135">
    <w:name w:val="称呼 字符"/>
    <w:basedOn w:val="89"/>
    <w:link w:val="30"/>
    <w:qFormat/>
    <w:uiPriority w:val="0"/>
    <w:rPr>
      <w:rFonts w:ascii="汉仪正圆-45W" w:hAnsi="汉仪正圆-45W" w:eastAsia="宋体" w:cstheme="minorBidi"/>
      <w:kern w:val="2"/>
      <w:sz w:val="22"/>
      <w:szCs w:val="22"/>
    </w:rPr>
  </w:style>
  <w:style w:type="character" w:customStyle="1" w:styleId="136">
    <w:name w:val="纯文本 字符"/>
    <w:basedOn w:val="89"/>
    <w:link w:val="45"/>
    <w:qFormat/>
    <w:uiPriority w:val="0"/>
    <w:rPr>
      <w:rFonts w:hAnsi="Courier New" w:cs="Courier New" w:asciiTheme="minorEastAsia" w:eastAsiaTheme="minorEastAsia"/>
      <w:kern w:val="2"/>
      <w:sz w:val="22"/>
      <w:szCs w:val="22"/>
    </w:rPr>
  </w:style>
  <w:style w:type="character" w:customStyle="1" w:styleId="137">
    <w:name w:val="电子邮件签名 字符"/>
    <w:basedOn w:val="89"/>
    <w:link w:val="19"/>
    <w:qFormat/>
    <w:uiPriority w:val="0"/>
    <w:rPr>
      <w:rFonts w:ascii="汉仪正圆-45W" w:hAnsi="汉仪正圆-45W" w:eastAsia="汉仪正圆-45W" w:cstheme="minorBidi"/>
      <w:kern w:val="2"/>
      <w:sz w:val="22"/>
      <w:szCs w:val="22"/>
    </w:rPr>
  </w:style>
  <w:style w:type="character" w:customStyle="1" w:styleId="138">
    <w:name w:val="宏文本 字符"/>
    <w:basedOn w:val="89"/>
    <w:link w:val="3"/>
    <w:qFormat/>
    <w:uiPriority w:val="0"/>
    <w:rPr>
      <w:rFonts w:ascii="Courier New" w:hAnsi="Courier New" w:eastAsia="宋体" w:cs="Courier New"/>
      <w:kern w:val="2"/>
      <w:sz w:val="24"/>
      <w:szCs w:val="24"/>
    </w:rPr>
  </w:style>
  <w:style w:type="character" w:customStyle="1" w:styleId="139">
    <w:name w:val="结束语 字符"/>
    <w:basedOn w:val="89"/>
    <w:link w:val="32"/>
    <w:qFormat/>
    <w:uiPriority w:val="0"/>
    <w:rPr>
      <w:rFonts w:ascii="汉仪正圆-45W" w:hAnsi="汉仪正圆-45W" w:eastAsia="汉仪正圆-45W" w:cstheme="minorBidi"/>
      <w:kern w:val="2"/>
      <w:sz w:val="22"/>
      <w:szCs w:val="22"/>
    </w:rPr>
  </w:style>
  <w:style w:type="paragraph" w:styleId="140">
    <w:name w:val="List Paragraph"/>
    <w:basedOn w:val="1"/>
    <w:qFormat/>
    <w:uiPriority w:val="99"/>
    <w:pPr>
      <w:ind w:firstLine="420"/>
    </w:pPr>
  </w:style>
  <w:style w:type="paragraph" w:styleId="141">
    <w:name w:val="Intense Quote"/>
    <w:basedOn w:val="1"/>
    <w:next w:val="1"/>
    <w:link w:val="142"/>
    <w:qFormat/>
    <w:uiPriority w:val="99"/>
    <w:pPr>
      <w:pBdr>
        <w:top w:val="single" w:color="4874CB" w:themeColor="accent1" w:sz="4" w:space="10"/>
        <w:bottom w:val="single" w:color="4874CB" w:themeColor="accent1" w:sz="4" w:space="10"/>
      </w:pBdr>
      <w:spacing w:before="360" w:after="360"/>
      <w:ind w:left="864" w:right="864"/>
      <w:jc w:val="center"/>
    </w:pPr>
    <w:rPr>
      <w:rFonts w:ascii="汉仪正圆-45W" w:hAnsi="汉仪正圆-45W" w:eastAsia="汉仪正圆-45W" w:cstheme="minorBidi"/>
      <w:i/>
      <w:iCs/>
      <w:color w:val="4874CB" w:themeColor="accent1"/>
      <w:kern w:val="2"/>
      <w:sz w:val="22"/>
      <w:szCs w:val="22"/>
      <w14:textFill>
        <w14:solidFill>
          <w14:schemeClr w14:val="accent1"/>
        </w14:solidFill>
      </w14:textFill>
    </w:rPr>
  </w:style>
  <w:style w:type="character" w:customStyle="1" w:styleId="142">
    <w:name w:val="明显引用 字符"/>
    <w:basedOn w:val="89"/>
    <w:link w:val="141"/>
    <w:qFormat/>
    <w:uiPriority w:val="99"/>
    <w:rPr>
      <w:rFonts w:ascii="汉仪正圆-45W" w:hAnsi="汉仪正圆-45W" w:eastAsia="汉仪正圆-45W" w:cstheme="minorBidi"/>
      <w:i/>
      <w:iCs/>
      <w:color w:val="4874CB" w:themeColor="accent1"/>
      <w:kern w:val="2"/>
      <w:sz w:val="22"/>
      <w:szCs w:val="22"/>
      <w14:textFill>
        <w14:solidFill>
          <w14:schemeClr w14:val="accent1"/>
        </w14:solidFill>
      </w14:textFill>
    </w:rPr>
  </w:style>
  <w:style w:type="character" w:customStyle="1" w:styleId="143">
    <w:name w:val="签名 字符"/>
    <w:basedOn w:val="89"/>
    <w:link w:val="58"/>
    <w:qFormat/>
    <w:uiPriority w:val="0"/>
    <w:rPr>
      <w:rFonts w:ascii="汉仪正圆-45W" w:hAnsi="汉仪正圆-45W" w:eastAsia="宋体" w:cstheme="minorBidi"/>
      <w:kern w:val="2"/>
      <w:sz w:val="22"/>
      <w:szCs w:val="22"/>
    </w:rPr>
  </w:style>
  <w:style w:type="character" w:customStyle="1" w:styleId="144">
    <w:name w:val="日期 字符"/>
    <w:basedOn w:val="89"/>
    <w:link w:val="50"/>
    <w:qFormat/>
    <w:uiPriority w:val="0"/>
    <w:rPr>
      <w:rFonts w:ascii="汉仪正圆-45W" w:hAnsi="汉仪正圆-45W" w:eastAsia="宋体" w:cstheme="minorBidi"/>
      <w:kern w:val="2"/>
      <w:sz w:val="22"/>
      <w:szCs w:val="22"/>
    </w:rPr>
  </w:style>
  <w:style w:type="paragraph" w:customStyle="1" w:styleId="145">
    <w:name w:val="Bibliography"/>
    <w:basedOn w:val="1"/>
    <w:next w:val="1"/>
    <w:semiHidden/>
    <w:unhideWhenUsed/>
    <w:qFormat/>
    <w:uiPriority w:val="37"/>
  </w:style>
  <w:style w:type="character" w:customStyle="1" w:styleId="146">
    <w:name w:val="文档结构图 字符"/>
    <w:basedOn w:val="89"/>
    <w:link w:val="26"/>
    <w:qFormat/>
    <w:uiPriority w:val="0"/>
    <w:rPr>
      <w:rFonts w:ascii="Microsoft YaHei UI" w:hAnsi="汉仪正圆-45W" w:eastAsia="Microsoft YaHei UI" w:cstheme="minorBidi"/>
      <w:kern w:val="2"/>
      <w:sz w:val="18"/>
      <w:szCs w:val="18"/>
    </w:rPr>
  </w:style>
  <w:style w:type="paragraph" w:styleId="147">
    <w:name w:val="No Spacing"/>
    <w:qFormat/>
    <w:uiPriority w:val="99"/>
    <w:pPr>
      <w:widowControl w:val="0"/>
      <w:adjustRightInd w:val="0"/>
      <w:snapToGrid w:val="0"/>
      <w:ind w:firstLine="440" w:firstLineChars="200"/>
      <w:jc w:val="both"/>
    </w:pPr>
    <w:rPr>
      <w:rFonts w:ascii="汉仪正圆-45W" w:hAnsi="汉仪正圆-45W" w:eastAsia="汉仪正圆-45W" w:cstheme="minorBidi"/>
      <w:kern w:val="2"/>
      <w:sz w:val="22"/>
      <w:szCs w:val="22"/>
      <w:lang w:val="en-US" w:eastAsia="zh-CN" w:bidi="ar-SA"/>
    </w:rPr>
  </w:style>
  <w:style w:type="character" w:customStyle="1" w:styleId="148">
    <w:name w:val="信息标题 字符"/>
    <w:basedOn w:val="89"/>
    <w:link w:val="79"/>
    <w:qFormat/>
    <w:uiPriority w:val="0"/>
    <w:rPr>
      <w:rFonts w:asciiTheme="majorHAnsi" w:hAnsiTheme="majorHAnsi" w:eastAsiaTheme="majorEastAsia" w:cstheme="majorBidi"/>
      <w:kern w:val="2"/>
      <w:sz w:val="24"/>
      <w:szCs w:val="24"/>
      <w:shd w:val="pct20" w:color="auto" w:fill="auto"/>
    </w:rPr>
  </w:style>
  <w:style w:type="paragraph" w:styleId="149">
    <w:name w:val="Quote"/>
    <w:basedOn w:val="1"/>
    <w:next w:val="1"/>
    <w:link w:val="150"/>
    <w:qFormat/>
    <w:uiPriority w:val="99"/>
    <w:pPr>
      <w:spacing w:before="200" w:after="160"/>
      <w:ind w:left="864" w:right="864"/>
      <w:jc w:val="center"/>
    </w:pPr>
    <w:rPr>
      <w:rFonts w:ascii="汉仪正圆-45W" w:hAnsi="汉仪正圆-45W" w:eastAsia="汉仪正圆-45W" w:cstheme="minorBidi"/>
      <w:i/>
      <w:iCs/>
      <w:color w:val="404040" w:themeColor="text1" w:themeTint="BF"/>
      <w:kern w:val="2"/>
      <w:sz w:val="22"/>
      <w:szCs w:val="22"/>
      <w14:textFill>
        <w14:solidFill>
          <w14:schemeClr w14:val="tx1">
            <w14:lumMod w14:val="75000"/>
            <w14:lumOff w14:val="25000"/>
          </w14:schemeClr>
        </w14:solidFill>
      </w14:textFill>
    </w:rPr>
  </w:style>
  <w:style w:type="character" w:customStyle="1" w:styleId="150">
    <w:name w:val="引用 字符"/>
    <w:basedOn w:val="89"/>
    <w:link w:val="149"/>
    <w:qFormat/>
    <w:uiPriority w:val="99"/>
    <w:rPr>
      <w:rFonts w:ascii="汉仪正圆-45W" w:hAnsi="汉仪正圆-45W" w:eastAsia="汉仪正圆-45W" w:cstheme="minorBidi"/>
      <w:i/>
      <w:iCs/>
      <w:color w:val="404040" w:themeColor="text1" w:themeTint="BF"/>
      <w:kern w:val="2"/>
      <w:sz w:val="22"/>
      <w:szCs w:val="22"/>
      <w14:textFill>
        <w14:solidFill>
          <w14:schemeClr w14:val="tx1">
            <w14:lumMod w14:val="75000"/>
            <w14:lumOff w14:val="25000"/>
          </w14:schemeClr>
        </w14:solidFill>
      </w14:textFill>
    </w:rPr>
  </w:style>
  <w:style w:type="character" w:customStyle="1" w:styleId="151">
    <w:name w:val="正文文本 2 字符"/>
    <w:basedOn w:val="89"/>
    <w:link w:val="76"/>
    <w:qFormat/>
    <w:uiPriority w:val="0"/>
    <w:rPr>
      <w:rFonts w:ascii="汉仪正圆-45W" w:hAnsi="汉仪正圆-45W" w:eastAsia="汉仪正圆-45W" w:cstheme="minorBidi"/>
      <w:kern w:val="2"/>
      <w:sz w:val="22"/>
      <w:szCs w:val="22"/>
    </w:rPr>
  </w:style>
  <w:style w:type="character" w:customStyle="1" w:styleId="152">
    <w:name w:val="正文文本 3 字符"/>
    <w:basedOn w:val="89"/>
    <w:link w:val="31"/>
    <w:qFormat/>
    <w:uiPriority w:val="0"/>
    <w:rPr>
      <w:rFonts w:ascii="汉仪正圆-45W" w:hAnsi="汉仪正圆-45W" w:eastAsia="汉仪正圆-45W" w:cstheme="minorBidi"/>
      <w:kern w:val="2"/>
      <w:sz w:val="16"/>
      <w:szCs w:val="16"/>
    </w:rPr>
  </w:style>
  <w:style w:type="character" w:customStyle="1" w:styleId="153">
    <w:name w:val="正文文本首行缩进 字符"/>
    <w:basedOn w:val="112"/>
    <w:link w:val="86"/>
    <w:qFormat/>
    <w:uiPriority w:val="0"/>
    <w:rPr>
      <w:rFonts w:ascii="汉仪正圆-45W" w:hAnsi="汉仪正圆-45W" w:eastAsia="汉仪正圆-45W" w:cstheme="minorBidi"/>
      <w:kern w:val="2"/>
      <w:sz w:val="22"/>
      <w:szCs w:val="22"/>
    </w:rPr>
  </w:style>
  <w:style w:type="character" w:customStyle="1" w:styleId="154">
    <w:name w:val="正文文本缩进 字符"/>
    <w:basedOn w:val="89"/>
    <w:link w:val="35"/>
    <w:qFormat/>
    <w:uiPriority w:val="0"/>
    <w:rPr>
      <w:rFonts w:ascii="汉仪正圆-45W" w:hAnsi="汉仪正圆-45W" w:eastAsia="汉仪正圆-45W" w:cstheme="minorBidi"/>
      <w:kern w:val="2"/>
      <w:sz w:val="22"/>
      <w:szCs w:val="22"/>
    </w:rPr>
  </w:style>
  <w:style w:type="character" w:customStyle="1" w:styleId="155">
    <w:name w:val="正文文本首行缩进 2 字符"/>
    <w:basedOn w:val="154"/>
    <w:link w:val="87"/>
    <w:qFormat/>
    <w:uiPriority w:val="0"/>
    <w:rPr>
      <w:rFonts w:ascii="汉仪正圆-45W" w:hAnsi="汉仪正圆-45W" w:eastAsia="汉仪正圆-45W" w:cstheme="minorBidi"/>
      <w:kern w:val="2"/>
      <w:sz w:val="22"/>
      <w:szCs w:val="22"/>
    </w:rPr>
  </w:style>
  <w:style w:type="character" w:customStyle="1" w:styleId="156">
    <w:name w:val="正文文本缩进 2 字符"/>
    <w:basedOn w:val="89"/>
    <w:link w:val="51"/>
    <w:qFormat/>
    <w:uiPriority w:val="0"/>
    <w:rPr>
      <w:rFonts w:ascii="汉仪正圆-45W" w:hAnsi="汉仪正圆-45W" w:eastAsia="汉仪正圆-45W" w:cstheme="minorBidi"/>
      <w:kern w:val="2"/>
      <w:sz w:val="22"/>
      <w:szCs w:val="22"/>
    </w:rPr>
  </w:style>
  <w:style w:type="character" w:customStyle="1" w:styleId="157">
    <w:name w:val="正文文本缩进 3 字符"/>
    <w:basedOn w:val="89"/>
    <w:link w:val="70"/>
    <w:qFormat/>
    <w:uiPriority w:val="0"/>
    <w:rPr>
      <w:rFonts w:ascii="汉仪正圆-45W" w:hAnsi="汉仪正圆-45W" w:eastAsia="汉仪正圆-45W" w:cstheme="minorBidi"/>
      <w:kern w:val="2"/>
      <w:sz w:val="16"/>
      <w:szCs w:val="16"/>
    </w:rPr>
  </w:style>
  <w:style w:type="character" w:customStyle="1" w:styleId="158">
    <w:name w:val="注释标题 字符"/>
    <w:basedOn w:val="89"/>
    <w:link w:val="16"/>
    <w:qFormat/>
    <w:uiPriority w:val="0"/>
    <w:rPr>
      <w:rFonts w:ascii="汉仪正圆-45W" w:hAnsi="汉仪正圆-45W" w:eastAsia="汉仪正圆-45W" w:cstheme="minorBidi"/>
      <w:kern w:val="2"/>
      <w:sz w:val="22"/>
      <w:szCs w:val="22"/>
    </w:rPr>
  </w:style>
  <w:style w:type="paragraph" w:customStyle="1" w:styleId="159">
    <w:name w:val="主送对象"/>
    <w:next w:val="34"/>
    <w:qFormat/>
    <w:uiPriority w:val="0"/>
    <w:pPr>
      <w:adjustRightInd w:val="0"/>
      <w:snapToGrid w:val="0"/>
      <w:spacing w:line="360" w:lineRule="auto"/>
    </w:pPr>
    <w:rPr>
      <w:rFonts w:hint="eastAsia"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7531</Words>
  <Characters>7844</Characters>
  <Lines>0</Lines>
  <Paragraphs>0</Paragraphs>
  <TotalTime>0</TotalTime>
  <ScaleCrop>false</ScaleCrop>
  <LinksUpToDate>false</LinksUpToDate>
  <CharactersWithSpaces>7851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2025-01-14T09:30:00Z</dcterms:created>
  <dc:creator>孚生奂</dc:creator>
  <cp:lastModifiedBy>caolijuansgs@js.cmcc</cp:lastModifiedBy>
  <dcterms:modified xsi:type="dcterms:W3CDTF">2025-08-07T06:42:18Z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BC9763B4ED2541A4A0ECE686399448FE_13</vt:lpwstr>
  </property>
  <property fmtid="{D5CDD505-2E9C-101B-9397-08002B2CF9AE}" pid="4" name="KSOTemplateDocerSaveRecord">
    <vt:lpwstr>eyJoZGlkIjoiMmVmOGFiMDlkNTQ2OTg0ZTI2NDQwZWFlYjBkM2Y3ZjUiLCJ1c2VySWQiOiIyNzIwNzc0MTUifQ==</vt:lpwstr>
  </property>
</Properties>
</file>