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1E9BE">
      <w:pPr>
        <w:tabs>
          <w:tab w:val="left" w:pos="420"/>
          <w:tab w:val="left" w:pos="6660"/>
        </w:tabs>
        <w:adjustRightInd w:val="0"/>
        <w:snapToGrid w:val="0"/>
        <w:spacing w:before="72" w:after="72" w:line="600" w:lineRule="atLeast"/>
        <w:jc w:val="center"/>
        <w:rPr>
          <w:rFonts w:ascii="楷体" w:hAnsi="楷体" w:eastAsia="楷体" w:cs="楷体"/>
          <w:b/>
          <w:color w:val="auto"/>
          <w:sz w:val="60"/>
          <w:szCs w:val="60"/>
        </w:rPr>
      </w:pPr>
    </w:p>
    <w:p w14:paraId="0A9F7BD1">
      <w:pPr>
        <w:tabs>
          <w:tab w:val="left" w:pos="420"/>
          <w:tab w:val="left" w:pos="6660"/>
        </w:tabs>
        <w:adjustRightInd w:val="0"/>
        <w:snapToGrid w:val="0"/>
        <w:spacing w:before="72" w:after="72" w:line="600" w:lineRule="atLeast"/>
        <w:jc w:val="center"/>
        <w:rPr>
          <w:rFonts w:ascii="楷体" w:hAnsi="楷体" w:eastAsia="楷体" w:cs="楷体"/>
          <w:b/>
          <w:color w:val="auto"/>
          <w:sz w:val="60"/>
          <w:szCs w:val="60"/>
        </w:rPr>
      </w:pPr>
    </w:p>
    <w:p w14:paraId="3BA54EF5">
      <w:pPr>
        <w:tabs>
          <w:tab w:val="left" w:pos="420"/>
          <w:tab w:val="left" w:pos="6660"/>
        </w:tabs>
        <w:adjustRightInd w:val="0"/>
        <w:snapToGrid w:val="0"/>
        <w:spacing w:before="72" w:after="72"/>
        <w:jc w:val="center"/>
        <w:rPr>
          <w:rFonts w:ascii="楷体" w:hAnsi="楷体" w:eastAsia="楷体" w:cs="楷体"/>
          <w:b/>
          <w:color w:val="auto"/>
          <w:sz w:val="50"/>
          <w:szCs w:val="50"/>
        </w:rPr>
      </w:pPr>
      <w:r>
        <w:rPr>
          <w:rFonts w:hint="eastAsia" w:ascii="楷体" w:hAnsi="楷体" w:eastAsia="楷体" w:cs="楷体"/>
          <w:b/>
          <w:color w:val="auto"/>
          <w:sz w:val="50"/>
          <w:szCs w:val="50"/>
        </w:rPr>
        <w:t>广东烟草梅州市有限公司</w:t>
      </w:r>
    </w:p>
    <w:p w14:paraId="7163EEFF">
      <w:pPr>
        <w:tabs>
          <w:tab w:val="left" w:pos="420"/>
          <w:tab w:val="left" w:pos="6660"/>
        </w:tabs>
        <w:adjustRightInd w:val="0"/>
        <w:snapToGrid w:val="0"/>
        <w:spacing w:before="72" w:after="72"/>
        <w:rPr>
          <w:rFonts w:ascii="楷体" w:hAnsi="楷体" w:eastAsia="楷体" w:cs="楷体"/>
          <w:b/>
          <w:color w:val="auto"/>
          <w:sz w:val="72"/>
          <w:szCs w:val="72"/>
        </w:rPr>
      </w:pPr>
      <w:r>
        <w:rPr>
          <w:rFonts w:hint="eastAsia" w:ascii="楷体" w:hAnsi="楷体" w:eastAsia="楷体" w:cs="楷体"/>
          <w:b/>
          <w:color w:val="auto"/>
          <w:sz w:val="50"/>
          <w:szCs w:val="50"/>
        </w:rPr>
        <w:t>平远分公司车辆维修定点服务项目</w:t>
      </w:r>
    </w:p>
    <w:p w14:paraId="1A017297">
      <w:pPr>
        <w:tabs>
          <w:tab w:val="left" w:pos="420"/>
          <w:tab w:val="left" w:pos="2093"/>
          <w:tab w:val="left" w:pos="6660"/>
        </w:tabs>
        <w:adjustRightInd w:val="0"/>
        <w:snapToGrid w:val="0"/>
        <w:spacing w:before="72" w:after="72" w:line="600" w:lineRule="atLeast"/>
        <w:rPr>
          <w:rFonts w:ascii="楷体" w:hAnsi="楷体" w:eastAsia="楷体" w:cs="楷体"/>
          <w:b/>
          <w:color w:val="auto"/>
          <w:sz w:val="70"/>
          <w:szCs w:val="70"/>
        </w:rPr>
      </w:pPr>
      <w:r>
        <w:rPr>
          <w:rFonts w:hint="eastAsia" w:ascii="楷体" w:hAnsi="楷体" w:eastAsia="楷体" w:cs="楷体"/>
          <w:b/>
          <w:color w:val="auto"/>
          <w:sz w:val="70"/>
          <w:szCs w:val="70"/>
        </w:rPr>
        <w:tab/>
      </w:r>
      <w:r>
        <w:rPr>
          <w:rFonts w:hint="eastAsia" w:ascii="楷体" w:hAnsi="楷体" w:eastAsia="楷体" w:cs="楷体"/>
          <w:b/>
          <w:color w:val="auto"/>
          <w:sz w:val="70"/>
          <w:szCs w:val="70"/>
        </w:rPr>
        <w:tab/>
      </w:r>
    </w:p>
    <w:p w14:paraId="2836AA26">
      <w:pPr>
        <w:tabs>
          <w:tab w:val="left" w:pos="420"/>
          <w:tab w:val="left" w:pos="6660"/>
        </w:tabs>
        <w:adjustRightInd w:val="0"/>
        <w:snapToGrid w:val="0"/>
        <w:spacing w:before="72" w:after="72" w:line="600" w:lineRule="atLeast"/>
        <w:jc w:val="center"/>
        <w:rPr>
          <w:rFonts w:ascii="楷体" w:hAnsi="楷体" w:eastAsia="楷体" w:cs="楷体"/>
          <w:b/>
          <w:color w:val="auto"/>
          <w:sz w:val="70"/>
          <w:szCs w:val="70"/>
        </w:rPr>
      </w:pPr>
    </w:p>
    <w:p w14:paraId="7C24CB08">
      <w:pPr>
        <w:tabs>
          <w:tab w:val="left" w:pos="420"/>
          <w:tab w:val="left" w:pos="6660"/>
        </w:tabs>
        <w:spacing w:before="72" w:after="72" w:line="1200" w:lineRule="atLeast"/>
        <w:jc w:val="center"/>
        <w:rPr>
          <w:rFonts w:ascii="楷体" w:hAnsi="楷体" w:eastAsia="楷体" w:cs="楷体"/>
          <w:b/>
          <w:color w:val="auto"/>
          <w:sz w:val="90"/>
          <w:szCs w:val="90"/>
        </w:rPr>
      </w:pPr>
      <w:r>
        <w:rPr>
          <w:rFonts w:hint="eastAsia" w:ascii="楷体" w:hAnsi="楷体" w:eastAsia="楷体" w:cs="楷体"/>
          <w:b/>
          <w:color w:val="auto"/>
          <w:sz w:val="90"/>
          <w:szCs w:val="90"/>
        </w:rPr>
        <w:t>公开招标文件</w:t>
      </w:r>
    </w:p>
    <w:p w14:paraId="50B96753">
      <w:pPr>
        <w:pStyle w:val="24"/>
        <w:spacing w:line="360" w:lineRule="auto"/>
        <w:ind w:left="0" w:leftChars="0"/>
        <w:jc w:val="center"/>
        <w:rPr>
          <w:rFonts w:ascii="楷体" w:hAnsi="楷体" w:eastAsia="楷体" w:cs="楷体"/>
          <w:color w:val="auto"/>
          <w:sz w:val="36"/>
          <w:szCs w:val="36"/>
        </w:rPr>
      </w:pPr>
      <w:r>
        <w:rPr>
          <w:rFonts w:hint="eastAsia" w:ascii="楷体" w:hAnsi="楷体" w:eastAsia="楷体" w:cs="楷体"/>
          <w:color w:val="auto"/>
          <w:sz w:val="36"/>
          <w:szCs w:val="36"/>
        </w:rPr>
        <w:t>(项目编号：DXZB-2025GPA0302)</w:t>
      </w:r>
    </w:p>
    <w:p w14:paraId="74BA33F3">
      <w:pPr>
        <w:rPr>
          <w:rFonts w:ascii="楷体" w:hAnsi="楷体" w:eastAsia="楷体" w:cs="楷体"/>
          <w:color w:val="auto"/>
          <w:sz w:val="36"/>
          <w:szCs w:val="36"/>
        </w:rPr>
      </w:pPr>
    </w:p>
    <w:p w14:paraId="5ECFED1E">
      <w:pPr>
        <w:rPr>
          <w:rFonts w:ascii="楷体" w:hAnsi="楷体" w:eastAsia="楷体" w:cs="楷体"/>
          <w:color w:val="auto"/>
          <w:sz w:val="36"/>
          <w:szCs w:val="36"/>
        </w:rPr>
      </w:pPr>
    </w:p>
    <w:p w14:paraId="3D5BE9DF">
      <w:pPr>
        <w:jc w:val="center"/>
        <w:rPr>
          <w:rFonts w:ascii="楷体" w:hAnsi="楷体" w:eastAsia="楷体" w:cs="楷体"/>
          <w:color w:val="auto"/>
          <w:sz w:val="36"/>
          <w:szCs w:val="36"/>
        </w:rPr>
      </w:pPr>
      <w:r>
        <w:rPr>
          <w:rFonts w:hint="eastAsia" w:ascii="楷体" w:hAnsi="楷体" w:eastAsia="楷体" w:cs="楷体"/>
          <w:color w:val="auto"/>
        </w:rPr>
        <w:drawing>
          <wp:inline distT="0" distB="0" distL="114300" distR="114300">
            <wp:extent cx="2914650" cy="1215390"/>
            <wp:effectExtent l="0" t="0" r="0" b="381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0"/>
                    <a:stretch>
                      <a:fillRect/>
                    </a:stretch>
                  </pic:blipFill>
                  <pic:spPr>
                    <a:xfrm>
                      <a:off x="0" y="0"/>
                      <a:ext cx="2914650" cy="1215390"/>
                    </a:xfrm>
                    <a:prstGeom prst="rect">
                      <a:avLst/>
                    </a:prstGeom>
                    <a:noFill/>
                    <a:ln>
                      <a:noFill/>
                    </a:ln>
                  </pic:spPr>
                </pic:pic>
              </a:graphicData>
            </a:graphic>
          </wp:inline>
        </w:drawing>
      </w:r>
    </w:p>
    <w:p w14:paraId="01C01024">
      <w:pPr>
        <w:rPr>
          <w:rFonts w:ascii="楷体" w:hAnsi="楷体" w:eastAsia="楷体" w:cs="楷体"/>
          <w:color w:val="auto"/>
          <w:sz w:val="36"/>
          <w:szCs w:val="36"/>
        </w:rPr>
      </w:pPr>
    </w:p>
    <w:p w14:paraId="0F39A834">
      <w:pPr>
        <w:rPr>
          <w:rFonts w:ascii="楷体" w:hAnsi="楷体" w:eastAsia="楷体" w:cs="楷体"/>
          <w:color w:val="auto"/>
          <w:sz w:val="36"/>
          <w:szCs w:val="36"/>
        </w:rPr>
      </w:pPr>
    </w:p>
    <w:p w14:paraId="16008B9A">
      <w:pPr>
        <w:spacing w:line="700" w:lineRule="exact"/>
        <w:jc w:val="center"/>
        <w:rPr>
          <w:rFonts w:ascii="楷体" w:hAnsi="楷体" w:eastAsia="楷体" w:cs="楷体"/>
          <w:color w:val="auto"/>
          <w:sz w:val="48"/>
          <w:szCs w:val="48"/>
        </w:rPr>
      </w:pPr>
      <w:bookmarkStart w:id="0" w:name="_Toc183316708"/>
      <w:bookmarkStart w:id="1" w:name="_Toc50737285"/>
      <w:bookmarkStart w:id="2" w:name="_Toc168288363"/>
      <w:bookmarkStart w:id="3" w:name="_Toc50737317"/>
      <w:bookmarkStart w:id="4" w:name="_Toc50736465"/>
      <w:bookmarkStart w:id="5" w:name="_Toc182886646"/>
      <w:bookmarkStart w:id="6" w:name="_Toc372468299"/>
      <w:bookmarkStart w:id="7" w:name="_Toc50691018"/>
      <w:bookmarkStart w:id="8" w:name="_Toc423021938"/>
      <w:r>
        <w:rPr>
          <w:rFonts w:hint="eastAsia" w:ascii="楷体" w:hAnsi="楷体" w:eastAsia="楷体" w:cs="楷体"/>
          <w:color w:val="auto"/>
          <w:sz w:val="48"/>
          <w:szCs w:val="48"/>
        </w:rPr>
        <w:t>广东鼎信招标采购有限公司</w:t>
      </w:r>
    </w:p>
    <w:p w14:paraId="71CEA9E5">
      <w:pPr>
        <w:spacing w:line="700" w:lineRule="exact"/>
        <w:jc w:val="center"/>
        <w:rPr>
          <w:rFonts w:ascii="楷体" w:hAnsi="楷体" w:eastAsia="楷体" w:cs="楷体"/>
          <w:color w:val="auto"/>
        </w:rPr>
      </w:pPr>
      <w:r>
        <w:rPr>
          <w:rFonts w:hint="eastAsia" w:ascii="楷体" w:hAnsi="楷体" w:eastAsia="楷体" w:cs="楷体"/>
          <w:color w:val="auto"/>
          <w:sz w:val="48"/>
          <w:szCs w:val="48"/>
        </w:rPr>
        <w:t>二〇二五年九月</w:t>
      </w:r>
    </w:p>
    <w:p w14:paraId="17F13FF9">
      <w:pPr>
        <w:pStyle w:val="2"/>
        <w:adjustRightInd w:val="0"/>
        <w:snapToGrid w:val="0"/>
        <w:spacing w:before="0" w:after="0" w:line="360" w:lineRule="auto"/>
        <w:jc w:val="center"/>
        <w:rPr>
          <w:rFonts w:ascii="楷体" w:hAnsi="楷体" w:eastAsia="楷体" w:cs="楷体"/>
          <w:color w:val="auto"/>
        </w:rPr>
        <w:sectPr>
          <w:headerReference r:id="rId3" w:type="first"/>
          <w:footerReference r:id="rId5" w:type="first"/>
          <w:footerReference r:id="rId4" w:type="default"/>
          <w:pgSz w:w="11906" w:h="16838"/>
          <w:pgMar w:top="1440" w:right="1800" w:bottom="1440" w:left="1800" w:header="851" w:footer="822" w:gutter="0"/>
          <w:pgNumType w:start="1"/>
          <w:cols w:space="720" w:num="1"/>
          <w:docGrid w:linePitch="312" w:charSpace="0"/>
        </w:sectPr>
      </w:pPr>
      <w:bookmarkStart w:id="9" w:name="_Toc628"/>
      <w:bookmarkStart w:id="10" w:name="_Toc24194"/>
    </w:p>
    <w:p w14:paraId="381A501E">
      <w:pPr>
        <w:pStyle w:val="2"/>
        <w:adjustRightInd w:val="0"/>
        <w:snapToGrid w:val="0"/>
        <w:spacing w:before="0" w:after="0" w:line="360" w:lineRule="auto"/>
        <w:jc w:val="center"/>
        <w:rPr>
          <w:rFonts w:ascii="楷体" w:hAnsi="楷体" w:eastAsia="楷体" w:cs="楷体"/>
          <w:color w:val="auto"/>
        </w:rPr>
      </w:pPr>
      <w:bookmarkStart w:id="11" w:name="_Toc506125798"/>
      <w:bookmarkStart w:id="12" w:name="_Toc17388"/>
      <w:bookmarkStart w:id="13" w:name="_Toc497396900"/>
      <w:bookmarkStart w:id="14" w:name="_Toc40084128"/>
      <w:bookmarkStart w:id="15" w:name="_Toc26278"/>
      <w:bookmarkStart w:id="16" w:name="_Toc24293"/>
      <w:bookmarkStart w:id="17" w:name="_Toc37318718"/>
      <w:bookmarkStart w:id="18" w:name="_Toc2064"/>
      <w:bookmarkStart w:id="19" w:name="_Toc10488236"/>
      <w:bookmarkStart w:id="20" w:name="_Toc14349"/>
      <w:bookmarkStart w:id="21" w:name="_Toc506124737"/>
      <w:bookmarkStart w:id="22" w:name="_Toc3138"/>
      <w:bookmarkStart w:id="23" w:name="_Toc30049"/>
      <w:r>
        <w:rPr>
          <w:rFonts w:hint="eastAsia" w:ascii="楷体" w:hAnsi="楷体" w:eastAsia="楷体" w:cs="楷体"/>
          <w:color w:val="auto"/>
        </w:rPr>
        <w:t>温馨提示</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2EEA9A0">
      <w:pPr>
        <w:numPr>
          <w:ilvl w:val="0"/>
          <w:numId w:val="1"/>
        </w:numPr>
        <w:spacing w:line="360" w:lineRule="auto"/>
        <w:rPr>
          <w:rFonts w:ascii="楷体" w:hAnsi="楷体" w:eastAsia="楷体" w:cs="楷体"/>
          <w:b/>
          <w:bCs/>
          <w:color w:val="auto"/>
          <w:sz w:val="24"/>
        </w:rPr>
      </w:pPr>
      <w:r>
        <w:rPr>
          <w:rFonts w:hint="eastAsia" w:ascii="楷体" w:hAnsi="楷体" w:eastAsia="楷体" w:cs="楷体"/>
          <w:color w:val="auto"/>
          <w:sz w:val="24"/>
        </w:rPr>
        <w:t>本项目为全流程电子化招投标项目。在线注册、发售并下载招标文件，在线制作投标文件及在线开评标。凡有意购买文件的单位，请在www.gddingxin.com电子招标平台界面免费注册。（如有疑问可拨打平台统一服务热线020-83527049或010-86397110进行咨询）。</w:t>
      </w:r>
    </w:p>
    <w:p w14:paraId="1AC1D5A0">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1、投标人须将电子投标文件中需要按招标文件要求法人签字和法人签章的页面打印并按要求签字、盖章后,再将该页扫描为图片格式，插入到电子投标文件中的相应页面，再生成完整的电子投标文件。或者办理个人签章，直接加盖文件。</w:t>
      </w:r>
    </w:p>
    <w:p w14:paraId="7E925768">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2、未按照招标文件要求签字或签章的电子投标文件为无效投标文件，其投标将被否决。</w:t>
      </w:r>
    </w:p>
    <w:p w14:paraId="24A15254">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3、开标时，请投标人准时登录平台观看开标流程并查看开标结果，招标代理机构将通过平台对成功上传的电子投标文件进行集中解密。</w:t>
      </w:r>
    </w:p>
    <w:p w14:paraId="77F04846">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4、逾期上传或者未上传投标文件的，视为无效投标。</w:t>
      </w:r>
    </w:p>
    <w:p w14:paraId="264EBB22">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5、由于平台系统故障导致电子投标文件无法在投标截止时间前正常上传，应及时通过统一服务热线联系平台技术服务人员解决。若在投标截止时间之前仍未解决的（须提供投标截止时间前三个小时之内投标操作异常的证明材料，如投标过程中出现错误或异常的系统桌面的全幅截图）；投标人上传加密的电子投标文件非由投标人的责任导致开标现场解密异常，无法正常打开的；评标现场由于网络或其他不可预知的问题出现而无法正常进行电子评标的，由招标人及评标委员会研究决定是否延期评标或重新招标。</w:t>
      </w:r>
    </w:p>
    <w:p w14:paraId="5D42B312">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6、投标人应在招标文件购买完成后尽快联系办理CA密钥事宜，以免延误投标。已办理北京CA公司签章及法人签章，且数字证书在有效期内的单位不需重复办理。</w:t>
      </w:r>
      <w:r>
        <w:rPr>
          <w:rFonts w:hint="eastAsia" w:ascii="楷体" w:hAnsi="楷体" w:eastAsia="楷体" w:cs="楷体"/>
          <w:b/>
          <w:bCs/>
          <w:color w:val="auto"/>
          <w:sz w:val="24"/>
        </w:rPr>
        <w:t>办理“粤企签”可在多地交易系统通用，详情可微信搜索“粤企签”。</w:t>
      </w:r>
    </w:p>
    <w:p w14:paraId="07BB4429">
      <w:pPr>
        <w:spacing w:line="360" w:lineRule="auto"/>
        <w:rPr>
          <w:rFonts w:ascii="楷体" w:hAnsi="楷体" w:eastAsia="楷体" w:cs="楷体"/>
          <w:color w:val="auto"/>
          <w:sz w:val="24"/>
        </w:rPr>
      </w:pPr>
    </w:p>
    <w:p w14:paraId="053B969F">
      <w:pPr>
        <w:spacing w:line="360" w:lineRule="auto"/>
        <w:rPr>
          <w:rFonts w:ascii="楷体" w:hAnsi="楷体" w:eastAsia="楷体" w:cs="楷体"/>
          <w:color w:val="auto"/>
          <w:sz w:val="24"/>
        </w:rPr>
      </w:pPr>
      <w:r>
        <w:rPr>
          <w:rFonts w:hint="eastAsia" w:ascii="楷体" w:hAnsi="楷体" w:eastAsia="楷体" w:cs="楷体"/>
          <w:color w:val="auto"/>
          <w:sz w:val="24"/>
        </w:rPr>
        <w:t>投标人操作步骤如下：</w:t>
      </w:r>
    </w:p>
    <w:p w14:paraId="0252095A">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1 登录www.gddingxin.com电子招标平台按钮进行供应商注册。</w:t>
      </w:r>
    </w:p>
    <w:p w14:paraId="5A630EED">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2 注册完成后，进入系统，点击 “寻找商机”进行项目名称查询，找到项目点击“我要参与”。</w:t>
      </w:r>
    </w:p>
    <w:p w14:paraId="2A8814F7">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3 等待项目经理审核通过后，投标人选中需要投标的包加入购物车进行标书费用支付。</w:t>
      </w:r>
    </w:p>
    <w:p w14:paraId="490C772A">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4 支付完成后，投标人可以进行招标文件下载。</w:t>
      </w:r>
    </w:p>
    <w:p w14:paraId="069324C4">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5 通过平台中的CA申请，进行CA办理（如有问题可致电平台公司咨询）。</w:t>
      </w:r>
    </w:p>
    <w:p w14:paraId="3EDC6AED">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6 CA办理完成后，登录平台，下载“环境检测工具”，安装“投标文件客户端”打开招标文件，并按照提示进行逐步填写，生成投标文件，投标文件编辑完成后通过平台进行上传。</w:t>
      </w:r>
    </w:p>
    <w:p w14:paraId="581F1B6D">
      <w:pPr>
        <w:spacing w:line="360" w:lineRule="auto"/>
        <w:ind w:firstLine="420" w:firstLineChars="175"/>
        <w:rPr>
          <w:rFonts w:ascii="楷体" w:hAnsi="楷体" w:eastAsia="楷体" w:cs="楷体"/>
          <w:color w:val="auto"/>
          <w:sz w:val="24"/>
        </w:rPr>
      </w:pPr>
      <w:r>
        <w:rPr>
          <w:rFonts w:hint="eastAsia" w:ascii="楷体" w:hAnsi="楷体" w:eastAsia="楷体" w:cs="楷体"/>
          <w:color w:val="auto"/>
          <w:sz w:val="24"/>
        </w:rPr>
        <w:t>7 评标结束后，可登录系统查看中标结果。</w:t>
      </w:r>
    </w:p>
    <w:p w14:paraId="31BD7778">
      <w:pPr>
        <w:numPr>
          <w:ilvl w:val="0"/>
          <w:numId w:val="1"/>
        </w:numPr>
        <w:spacing w:line="360" w:lineRule="auto"/>
        <w:rPr>
          <w:rFonts w:ascii="楷体" w:hAnsi="楷体" w:eastAsia="楷体" w:cs="楷体"/>
          <w:color w:val="auto"/>
          <w:sz w:val="24"/>
        </w:rPr>
      </w:pPr>
      <w:r>
        <w:rPr>
          <w:rFonts w:hint="eastAsia" w:ascii="楷体" w:hAnsi="楷体" w:eastAsia="楷体" w:cs="楷体"/>
          <w:color w:val="auto"/>
          <w:sz w:val="24"/>
        </w:rPr>
        <w:t>购买招标文件或缴交中标服务费的账户：</w:t>
      </w:r>
    </w:p>
    <w:p w14:paraId="547A7560">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账号：44050158050200000686，开户银行：中国建设银行股份有限公司广州石牌支行，收款人：广东鼎信招标采购有限公司</w:t>
      </w:r>
    </w:p>
    <w:p w14:paraId="413168E5">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招标文件有“★”的地方为实质性的指标要求，必须一一响应。若有一项带“★”的指标要求未响应或不满足，将按投标无效处理。</w:t>
      </w:r>
    </w:p>
    <w:p w14:paraId="76F79198">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请正确填写《开标一览表》，含有包组的投标项目需分开报价，制作投标文件时可分开装订也可统一装订，但都必须密封。</w:t>
      </w:r>
    </w:p>
    <w:p w14:paraId="1261FEE1">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请仔细检查《投标函》、《开标一览表》等重要格式文件是否有按要求盖公章或签名。</w:t>
      </w:r>
    </w:p>
    <w:p w14:paraId="6F712881">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投标文件应按顺序编制页码。</w:t>
      </w:r>
    </w:p>
    <w:p w14:paraId="6D151314">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招标文件如允许分公司投标的，需提供具有法人资格的总公司有效的营业执照副本复印件及对被授权人的授权书。</w:t>
      </w:r>
    </w:p>
    <w:p w14:paraId="73D9958B">
      <w:pPr>
        <w:numPr>
          <w:ilvl w:val="0"/>
          <w:numId w:val="1"/>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我公司为招标代理机构，不对投标人购买招标文件时提交的相关资料的真伪做出判断，如投标人发现相关资料被盗用或复制，建议遵循法律途径解决，追究侵权者责任。对一家投标人递交两份投标文件的，评标委员会将按招标文件中有关无效投标的规定处理。</w:t>
      </w:r>
    </w:p>
    <w:p w14:paraId="45554CC5">
      <w:pPr>
        <w:numPr>
          <w:ilvl w:val="0"/>
          <w:numId w:val="1"/>
        </w:numPr>
        <w:spacing w:line="360" w:lineRule="auto"/>
        <w:rPr>
          <w:rFonts w:ascii="楷体" w:hAnsi="楷体" w:eastAsia="楷体" w:cs="楷体"/>
          <w:color w:val="auto"/>
          <w:sz w:val="24"/>
        </w:rPr>
      </w:pPr>
      <w:r>
        <w:rPr>
          <w:rFonts w:hint="eastAsia" w:ascii="楷体" w:hAnsi="楷体" w:eastAsia="楷体" w:cs="楷体"/>
          <w:color w:val="auto"/>
          <w:sz w:val="24"/>
        </w:rPr>
        <w:t>为了提高采购效率，节约社会交易成本与时间，本司希望购买了采购文件而决定不参加本次投标的投标人，在投标文件递交截止时间的2日前，按《投标邀请函》中的联系方式，以书面形式告知采购代理机构。对您的支持与配合，谨此致谢。</w:t>
      </w:r>
    </w:p>
    <w:p w14:paraId="1434C718">
      <w:pPr>
        <w:spacing w:line="360" w:lineRule="auto"/>
        <w:jc w:val="left"/>
        <w:rPr>
          <w:rFonts w:ascii="楷体" w:hAnsi="楷体" w:eastAsia="楷体" w:cs="楷体"/>
          <w:b/>
          <w:bCs/>
          <w:color w:val="auto"/>
          <w:szCs w:val="21"/>
        </w:rPr>
      </w:pPr>
      <w:r>
        <w:rPr>
          <w:rFonts w:hint="eastAsia" w:ascii="楷体" w:hAnsi="楷体" w:eastAsia="楷体" w:cs="楷体"/>
          <w:b/>
          <w:bCs/>
          <w:color w:val="auto"/>
          <w:szCs w:val="21"/>
        </w:rPr>
        <w:t>（本提示非招标文件的组成部分，仅作善意提醒。若与招标文件有不同之处，以招标文件为准。）</w:t>
      </w:r>
    </w:p>
    <w:p w14:paraId="06185664">
      <w:pPr>
        <w:rPr>
          <w:rFonts w:ascii="楷体" w:hAnsi="楷体" w:eastAsia="楷体" w:cs="楷体"/>
          <w:color w:val="auto"/>
        </w:rPr>
        <w:sectPr>
          <w:headerReference r:id="rId6" w:type="default"/>
          <w:footerReference r:id="rId7" w:type="default"/>
          <w:pgSz w:w="11906" w:h="16838"/>
          <w:pgMar w:top="1440" w:right="1800" w:bottom="1440" w:left="1800" w:header="851" w:footer="822" w:gutter="0"/>
          <w:pgNumType w:start="1"/>
          <w:cols w:space="720" w:num="1"/>
          <w:docGrid w:linePitch="312" w:charSpace="0"/>
        </w:sectPr>
      </w:pPr>
    </w:p>
    <w:p w14:paraId="1D46A717">
      <w:pPr>
        <w:pStyle w:val="2"/>
        <w:adjustRightInd w:val="0"/>
        <w:snapToGrid w:val="0"/>
        <w:spacing w:before="0" w:after="0" w:line="360" w:lineRule="auto"/>
        <w:jc w:val="center"/>
        <w:rPr>
          <w:rFonts w:ascii="楷体" w:hAnsi="楷体" w:eastAsia="楷体" w:cs="楷体"/>
          <w:color w:val="auto"/>
        </w:rPr>
      </w:pPr>
      <w:bookmarkStart w:id="24" w:name="_Toc20643"/>
      <w:bookmarkStart w:id="25" w:name="_Toc40084129"/>
      <w:bookmarkStart w:id="26" w:name="_Toc11722"/>
      <w:bookmarkStart w:id="27" w:name="_Toc7915"/>
      <w:bookmarkStart w:id="28" w:name="_Toc497396901"/>
      <w:bookmarkStart w:id="29" w:name="_Toc22235"/>
      <w:bookmarkStart w:id="30" w:name="_Toc506124738"/>
      <w:bookmarkStart w:id="31" w:name="_Toc3959"/>
      <w:bookmarkStart w:id="32" w:name="_Toc25842"/>
      <w:bookmarkStart w:id="33" w:name="_Toc30057"/>
      <w:bookmarkStart w:id="34" w:name="_Toc37318719"/>
      <w:bookmarkStart w:id="35" w:name="_Toc10488237"/>
      <w:bookmarkStart w:id="36" w:name="_Toc506125799"/>
      <w:bookmarkStart w:id="37" w:name="_Toc7162"/>
      <w:bookmarkStart w:id="38" w:name="_Toc26380"/>
      <w:bookmarkStart w:id="39" w:name="_Toc15688"/>
      <w:r>
        <w:rPr>
          <w:rFonts w:hint="eastAsia" w:ascii="楷体" w:hAnsi="楷体" w:eastAsia="楷体" w:cs="楷体"/>
          <w:color w:val="auto"/>
        </w:rPr>
        <w:t>目录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BDA8277">
      <w:pPr>
        <w:pStyle w:val="29"/>
        <w:tabs>
          <w:tab w:val="right" w:leader="dot" w:pos="8306"/>
        </w:tabs>
        <w:adjustRightInd w:val="0"/>
        <w:snapToGrid w:val="0"/>
        <w:spacing w:before="0" w:line="360" w:lineRule="auto"/>
        <w:rPr>
          <w:rFonts w:ascii="楷体" w:hAnsi="楷体" w:eastAsia="楷体" w:cs="楷体"/>
          <w:i w:val="0"/>
          <w:color w:val="auto"/>
        </w:rPr>
      </w:pPr>
      <w:r>
        <w:rPr>
          <w:rFonts w:hint="eastAsia" w:ascii="楷体" w:hAnsi="楷体" w:eastAsia="楷体" w:cs="楷体"/>
          <w:b w:val="0"/>
          <w:bCs w:val="0"/>
          <w:i w:val="0"/>
          <w:color w:val="auto"/>
        </w:rPr>
        <w:fldChar w:fldCharType="begin"/>
      </w:r>
      <w:r>
        <w:rPr>
          <w:rFonts w:hint="eastAsia" w:ascii="楷体" w:hAnsi="楷体" w:eastAsia="楷体" w:cs="楷体"/>
          <w:b w:val="0"/>
          <w:bCs w:val="0"/>
          <w:i w:val="0"/>
          <w:color w:val="auto"/>
        </w:rPr>
        <w:instrText xml:space="preserve"> TOC \o "1-3" \h \z \u </w:instrText>
      </w:r>
      <w:r>
        <w:rPr>
          <w:rFonts w:hint="eastAsia" w:ascii="楷体" w:hAnsi="楷体" w:eastAsia="楷体" w:cs="楷体"/>
          <w:b w:val="0"/>
          <w:bCs w:val="0"/>
          <w:i w:val="0"/>
          <w:color w:val="auto"/>
        </w:rPr>
        <w:fldChar w:fldCharType="separate"/>
      </w:r>
      <w:r>
        <w:rPr>
          <w:color w:val="auto"/>
        </w:rPr>
        <w:fldChar w:fldCharType="begin"/>
      </w:r>
      <w:r>
        <w:rPr>
          <w:color w:val="auto"/>
        </w:rPr>
        <w:instrText xml:space="preserve"> HYPERLINK \l "_Toc30729" </w:instrText>
      </w:r>
      <w:r>
        <w:rPr>
          <w:color w:val="auto"/>
        </w:rPr>
        <w:fldChar w:fldCharType="separate"/>
      </w:r>
      <w:r>
        <w:rPr>
          <w:rFonts w:hint="eastAsia" w:ascii="楷体" w:hAnsi="楷体" w:eastAsia="楷体" w:cs="楷体"/>
          <w:i w:val="0"/>
          <w:color w:val="auto"/>
        </w:rPr>
        <w:t>第一章投标邀请函</w:t>
      </w:r>
      <w:r>
        <w:rPr>
          <w:rFonts w:hint="eastAsia" w:ascii="楷体" w:hAnsi="楷体" w:eastAsia="楷体" w:cs="楷体"/>
          <w:i w:val="0"/>
          <w:color w:val="auto"/>
        </w:rPr>
        <w:tab/>
      </w:r>
      <w:r>
        <w:rPr>
          <w:rFonts w:hint="eastAsia" w:ascii="楷体" w:hAnsi="楷体" w:eastAsia="楷体" w:cs="楷体"/>
          <w:i w:val="0"/>
          <w:color w:val="auto"/>
        </w:rPr>
        <w:fldChar w:fldCharType="begin"/>
      </w:r>
      <w:r>
        <w:rPr>
          <w:rFonts w:hint="eastAsia" w:ascii="楷体" w:hAnsi="楷体" w:eastAsia="楷体" w:cs="楷体"/>
          <w:i w:val="0"/>
          <w:color w:val="auto"/>
        </w:rPr>
        <w:instrText xml:space="preserve"> PAGEREF _Toc30729 \h </w:instrText>
      </w:r>
      <w:r>
        <w:rPr>
          <w:rFonts w:hint="eastAsia" w:ascii="楷体" w:hAnsi="楷体" w:eastAsia="楷体" w:cs="楷体"/>
          <w:i w:val="0"/>
          <w:color w:val="auto"/>
        </w:rPr>
        <w:fldChar w:fldCharType="separate"/>
      </w:r>
      <w:r>
        <w:rPr>
          <w:rFonts w:hint="eastAsia" w:ascii="楷体" w:hAnsi="楷体" w:eastAsia="楷体" w:cs="楷体"/>
          <w:i w:val="0"/>
          <w:color w:val="auto"/>
        </w:rPr>
        <w:t>5</w:t>
      </w:r>
      <w:r>
        <w:rPr>
          <w:rFonts w:hint="eastAsia" w:ascii="楷体" w:hAnsi="楷体" w:eastAsia="楷体" w:cs="楷体"/>
          <w:i w:val="0"/>
          <w:color w:val="auto"/>
        </w:rPr>
        <w:fldChar w:fldCharType="end"/>
      </w:r>
      <w:r>
        <w:rPr>
          <w:rFonts w:hint="eastAsia" w:ascii="楷体" w:hAnsi="楷体" w:eastAsia="楷体" w:cs="楷体"/>
          <w:i w:val="0"/>
          <w:color w:val="auto"/>
        </w:rPr>
        <w:fldChar w:fldCharType="end"/>
      </w:r>
    </w:p>
    <w:p w14:paraId="47D039BF">
      <w:pPr>
        <w:pStyle w:val="29"/>
        <w:tabs>
          <w:tab w:val="right" w:leader="dot" w:pos="8306"/>
        </w:tabs>
        <w:adjustRightInd w:val="0"/>
        <w:snapToGrid w:val="0"/>
        <w:spacing w:before="0" w:line="360" w:lineRule="auto"/>
        <w:rPr>
          <w:rFonts w:ascii="楷体" w:hAnsi="楷体" w:eastAsia="楷体" w:cs="楷体"/>
          <w:i w:val="0"/>
          <w:color w:val="auto"/>
        </w:rPr>
      </w:pPr>
      <w:r>
        <w:rPr>
          <w:color w:val="auto"/>
        </w:rPr>
        <w:fldChar w:fldCharType="begin"/>
      </w:r>
      <w:r>
        <w:rPr>
          <w:color w:val="auto"/>
        </w:rPr>
        <w:instrText xml:space="preserve"> HYPERLINK \l "_Toc22037" </w:instrText>
      </w:r>
      <w:r>
        <w:rPr>
          <w:color w:val="auto"/>
        </w:rPr>
        <w:fldChar w:fldCharType="separate"/>
      </w:r>
      <w:r>
        <w:rPr>
          <w:rFonts w:hint="eastAsia" w:ascii="楷体" w:hAnsi="楷体" w:eastAsia="楷体" w:cs="楷体"/>
          <w:i w:val="0"/>
          <w:color w:val="auto"/>
          <w:kern w:val="44"/>
        </w:rPr>
        <w:t>第二章投标人须知</w:t>
      </w:r>
      <w:r>
        <w:rPr>
          <w:rFonts w:hint="eastAsia" w:ascii="楷体" w:hAnsi="楷体" w:eastAsia="楷体" w:cs="楷体"/>
          <w:i w:val="0"/>
          <w:color w:val="auto"/>
        </w:rPr>
        <w:tab/>
      </w:r>
      <w:r>
        <w:rPr>
          <w:rFonts w:hint="eastAsia" w:ascii="楷体" w:hAnsi="楷体" w:eastAsia="楷体" w:cs="楷体"/>
          <w:i w:val="0"/>
          <w:color w:val="auto"/>
        </w:rPr>
        <w:fldChar w:fldCharType="begin"/>
      </w:r>
      <w:r>
        <w:rPr>
          <w:rFonts w:hint="eastAsia" w:ascii="楷体" w:hAnsi="楷体" w:eastAsia="楷体" w:cs="楷体"/>
          <w:i w:val="0"/>
          <w:color w:val="auto"/>
        </w:rPr>
        <w:instrText xml:space="preserve"> PAGEREF _Toc22037 \h </w:instrText>
      </w:r>
      <w:r>
        <w:rPr>
          <w:rFonts w:hint="eastAsia" w:ascii="楷体" w:hAnsi="楷体" w:eastAsia="楷体" w:cs="楷体"/>
          <w:i w:val="0"/>
          <w:color w:val="auto"/>
        </w:rPr>
        <w:fldChar w:fldCharType="separate"/>
      </w:r>
      <w:r>
        <w:rPr>
          <w:rFonts w:hint="eastAsia" w:ascii="楷体" w:hAnsi="楷体" w:eastAsia="楷体" w:cs="楷体"/>
          <w:i w:val="0"/>
          <w:color w:val="auto"/>
        </w:rPr>
        <w:t>10</w:t>
      </w:r>
      <w:r>
        <w:rPr>
          <w:rFonts w:hint="eastAsia" w:ascii="楷体" w:hAnsi="楷体" w:eastAsia="楷体" w:cs="楷体"/>
          <w:i w:val="0"/>
          <w:color w:val="auto"/>
        </w:rPr>
        <w:fldChar w:fldCharType="end"/>
      </w:r>
      <w:r>
        <w:rPr>
          <w:rFonts w:hint="eastAsia" w:ascii="楷体" w:hAnsi="楷体" w:eastAsia="楷体" w:cs="楷体"/>
          <w:i w:val="0"/>
          <w:color w:val="auto"/>
        </w:rPr>
        <w:fldChar w:fldCharType="end"/>
      </w:r>
    </w:p>
    <w:p w14:paraId="59320ADE">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"_Toc10623" </w:instrText>
      </w:r>
      <w:r>
        <w:rPr>
          <w:color w:val="auto"/>
        </w:rPr>
        <w:fldChar w:fldCharType="separate"/>
      </w:r>
      <w:r>
        <w:rPr>
          <w:rFonts w:hint="eastAsia" w:ascii="楷体" w:hAnsi="楷体" w:eastAsia="楷体" w:cs="楷体"/>
          <w:iCs/>
          <w:color w:val="auto"/>
          <w:sz w:val="24"/>
          <w:szCs w:val="24"/>
        </w:rPr>
        <w:t>（一） 总则</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_Toc10623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13</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9E44FDC">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"_Toc7641" </w:instrText>
      </w:r>
      <w:r>
        <w:rPr>
          <w:color w:val="auto"/>
        </w:rPr>
        <w:fldChar w:fldCharType="separate"/>
      </w:r>
      <w:r>
        <w:rPr>
          <w:rFonts w:hint="eastAsia" w:ascii="楷体" w:hAnsi="楷体" w:eastAsia="楷体" w:cs="楷体"/>
          <w:iCs/>
          <w:color w:val="auto"/>
          <w:sz w:val="24"/>
          <w:szCs w:val="24"/>
          <w:lang w:val="zh-CN"/>
        </w:rPr>
        <w:t>1. 招标项目与采购当事人</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_Toc7641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13</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48B632D1">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"_Toc31370" </w:instrText>
      </w:r>
      <w:r>
        <w:rPr>
          <w:color w:val="auto"/>
        </w:rPr>
        <w:fldChar w:fldCharType="separate"/>
      </w:r>
      <w:r>
        <w:rPr>
          <w:rFonts w:hint="eastAsia" w:ascii="楷体" w:hAnsi="楷体" w:eastAsia="楷体" w:cs="楷体"/>
          <w:iCs/>
          <w:color w:val="auto"/>
          <w:sz w:val="24"/>
          <w:szCs w:val="24"/>
          <w:lang w:val="zh-CN"/>
        </w:rPr>
        <w:t>2. 合格的投标人</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_Toc31370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13</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7ED68F4F">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"_Toc20781" </w:instrText>
      </w:r>
      <w:r>
        <w:rPr>
          <w:color w:val="auto"/>
        </w:rPr>
        <w:fldChar w:fldCharType="separate"/>
      </w:r>
      <w:r>
        <w:rPr>
          <w:rFonts w:hint="eastAsia" w:ascii="楷体" w:hAnsi="楷体" w:eastAsia="楷体" w:cs="楷体"/>
          <w:iCs/>
          <w:color w:val="auto"/>
          <w:sz w:val="24"/>
          <w:szCs w:val="24"/>
          <w:lang w:val="zh-CN"/>
        </w:rPr>
        <w:t>3. 合格的服务</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_Toc20781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4C349B80">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"_Toc31056" </w:instrText>
      </w:r>
      <w:r>
        <w:rPr>
          <w:color w:val="auto"/>
        </w:rPr>
        <w:fldChar w:fldCharType="separate"/>
      </w:r>
      <w:r>
        <w:rPr>
          <w:rFonts w:hint="eastAsia" w:ascii="楷体" w:hAnsi="楷体" w:eastAsia="楷体" w:cs="楷体"/>
          <w:iCs/>
          <w:color w:val="auto"/>
          <w:sz w:val="24"/>
          <w:szCs w:val="24"/>
        </w:rPr>
        <w:t>（二） 招标文件</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_Toc31056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2C0E8FB8">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"_Toc26165" </w:instrText>
      </w:r>
      <w:r>
        <w:rPr>
          <w:color w:val="auto"/>
        </w:rPr>
        <w:fldChar w:fldCharType="separate"/>
      </w:r>
      <w:r>
        <w:rPr>
          <w:rFonts w:hint="eastAsia" w:ascii="楷体" w:hAnsi="楷体" w:eastAsia="楷体" w:cs="楷体"/>
          <w:iCs/>
          <w:color w:val="auto"/>
          <w:sz w:val="24"/>
          <w:szCs w:val="24"/>
          <w:lang w:val="zh-CN"/>
        </w:rPr>
        <w:t>4. 招标文件的编制依据和组成</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_Toc26165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C730A85">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"_Toc29518" </w:instrText>
      </w:r>
      <w:r>
        <w:rPr>
          <w:color w:val="auto"/>
        </w:rPr>
        <w:fldChar w:fldCharType="separate"/>
      </w:r>
      <w:r>
        <w:rPr>
          <w:rFonts w:hint="eastAsia" w:ascii="楷体" w:hAnsi="楷体" w:eastAsia="楷体" w:cs="楷体"/>
          <w:iCs/>
          <w:color w:val="auto"/>
          <w:sz w:val="24"/>
          <w:szCs w:val="24"/>
          <w:lang w:val="zh-CN"/>
        </w:rPr>
        <w:t>5. 招标文件的澄清和修改</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_Toc29518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683A959">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"_Toc1432" </w:instrText>
      </w:r>
      <w:r>
        <w:rPr>
          <w:color w:val="auto"/>
        </w:rPr>
        <w:fldChar w:fldCharType="separate"/>
      </w:r>
      <w:r>
        <w:rPr>
          <w:rFonts w:hint="eastAsia" w:ascii="楷体" w:hAnsi="楷体" w:eastAsia="楷体" w:cs="楷体"/>
          <w:iCs/>
          <w:color w:val="auto"/>
          <w:sz w:val="24"/>
          <w:szCs w:val="24"/>
          <w:lang w:val="zh-CN"/>
        </w:rPr>
        <w:t>6. 答疑会或踏勘现场</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_Toc1432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94D7CD2">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"_Toc17190" </w:instrText>
      </w:r>
      <w:r>
        <w:rPr>
          <w:color w:val="auto"/>
        </w:rPr>
        <w:fldChar w:fldCharType="separate"/>
      </w:r>
      <w:r>
        <w:rPr>
          <w:rFonts w:hint="eastAsia" w:ascii="楷体" w:hAnsi="楷体" w:eastAsia="楷体" w:cs="楷体"/>
          <w:iCs/>
          <w:color w:val="auto"/>
          <w:sz w:val="24"/>
          <w:szCs w:val="24"/>
        </w:rPr>
        <w:t>（三） 投标文件的编制</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_Toc17190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16</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4D4FE489">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"_Toc2471" </w:instrText>
      </w:r>
      <w:r>
        <w:rPr>
          <w:color w:val="auto"/>
        </w:rPr>
        <w:fldChar w:fldCharType="separate"/>
      </w:r>
      <w:r>
        <w:rPr>
          <w:rFonts w:hint="eastAsia" w:ascii="楷体" w:hAnsi="楷体" w:eastAsia="楷体" w:cs="楷体"/>
          <w:iCs/>
          <w:color w:val="auto"/>
          <w:sz w:val="24"/>
          <w:szCs w:val="24"/>
          <w:lang w:val="zh-CN"/>
        </w:rPr>
        <w:t>7. 投标语言和计量单位</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_Toc2471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16</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5009F0C">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"_Toc25428" </w:instrText>
      </w:r>
      <w:r>
        <w:rPr>
          <w:color w:val="auto"/>
        </w:rPr>
        <w:fldChar w:fldCharType="separate"/>
      </w:r>
      <w:r>
        <w:rPr>
          <w:rFonts w:hint="eastAsia" w:ascii="楷体" w:hAnsi="楷体" w:eastAsia="楷体" w:cs="楷体"/>
          <w:iCs/>
          <w:color w:val="auto"/>
          <w:sz w:val="24"/>
          <w:szCs w:val="24"/>
          <w:lang w:val="zh-CN"/>
        </w:rPr>
        <w:t>8. 投标文件的构成</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_Toc25428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16</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2142A961">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"_Toc3759" </w:instrText>
      </w:r>
      <w:r>
        <w:rPr>
          <w:color w:val="auto"/>
        </w:rPr>
        <w:fldChar w:fldCharType="separate"/>
      </w:r>
      <w:r>
        <w:rPr>
          <w:rFonts w:hint="eastAsia" w:ascii="楷体" w:hAnsi="楷体" w:eastAsia="楷体" w:cs="楷体"/>
          <w:iCs/>
          <w:color w:val="auto"/>
          <w:sz w:val="24"/>
          <w:szCs w:val="24"/>
          <w:lang w:val="zh-CN"/>
        </w:rPr>
        <w:t>9. 投标文件编制注意事项</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_Toc3759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16</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DEB7B7D">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"_Toc25512" </w:instrText>
      </w:r>
      <w:r>
        <w:rPr>
          <w:color w:val="auto"/>
        </w:rPr>
        <w:fldChar w:fldCharType="separate"/>
      </w:r>
      <w:r>
        <w:rPr>
          <w:rFonts w:hint="eastAsia" w:ascii="楷体" w:hAnsi="楷体" w:eastAsia="楷体" w:cs="楷体"/>
          <w:iCs/>
          <w:color w:val="auto"/>
          <w:sz w:val="24"/>
          <w:szCs w:val="24"/>
          <w:lang w:val="zh-CN"/>
        </w:rPr>
        <w:t>10. 投标文件的式样和签署</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_Toc25512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17</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031F0AA">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"_Toc7953" </w:instrText>
      </w:r>
      <w:r>
        <w:rPr>
          <w:color w:val="auto"/>
        </w:rPr>
        <w:fldChar w:fldCharType="separate"/>
      </w:r>
      <w:r>
        <w:rPr>
          <w:rFonts w:hint="eastAsia" w:ascii="楷体" w:hAnsi="楷体" w:eastAsia="楷体" w:cs="楷体"/>
          <w:iCs/>
          <w:color w:val="auto"/>
          <w:sz w:val="24"/>
          <w:szCs w:val="24"/>
          <w:lang w:val="zh-CN"/>
        </w:rPr>
        <w:t>11. 投标有效期</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_Toc7953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17</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25E75625">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"_Toc16265" </w:instrText>
      </w:r>
      <w:r>
        <w:rPr>
          <w:color w:val="auto"/>
        </w:rPr>
        <w:fldChar w:fldCharType="separate"/>
      </w:r>
      <w:r>
        <w:rPr>
          <w:rFonts w:hint="eastAsia" w:ascii="楷体" w:hAnsi="楷体" w:eastAsia="楷体" w:cs="楷体"/>
          <w:iCs/>
          <w:color w:val="auto"/>
          <w:sz w:val="24"/>
          <w:szCs w:val="24"/>
          <w:lang w:val="zh-CN"/>
        </w:rPr>
        <w:t>12. 投标报价</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_Toc16265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18</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4A25FC2">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"_Toc8443" </w:instrText>
      </w:r>
      <w:r>
        <w:rPr>
          <w:color w:val="auto"/>
        </w:rPr>
        <w:fldChar w:fldCharType="separate"/>
      </w:r>
      <w:r>
        <w:rPr>
          <w:rFonts w:hint="eastAsia" w:ascii="楷体" w:hAnsi="楷体" w:eastAsia="楷体" w:cs="楷体"/>
          <w:iCs/>
          <w:color w:val="auto"/>
          <w:sz w:val="24"/>
          <w:szCs w:val="24"/>
          <w:lang w:val="zh-CN"/>
        </w:rPr>
        <w:t>13. 联合体投标</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_Toc8443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19</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8CF2ABE">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"_Toc17222" </w:instrText>
      </w:r>
      <w:r>
        <w:rPr>
          <w:color w:val="auto"/>
        </w:rPr>
        <w:fldChar w:fldCharType="separate"/>
      </w:r>
      <w:r>
        <w:rPr>
          <w:rFonts w:hint="eastAsia" w:ascii="楷体" w:hAnsi="楷体" w:eastAsia="楷体" w:cs="楷体"/>
          <w:iCs/>
          <w:color w:val="auto"/>
          <w:sz w:val="24"/>
          <w:szCs w:val="24"/>
          <w:lang w:val="zh-CN"/>
        </w:rPr>
        <w:t>14. 证明投标人合格和资格的文件</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_Toc17222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19</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7E3DD0C">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"_Toc6895" </w:instrText>
      </w:r>
      <w:r>
        <w:rPr>
          <w:color w:val="auto"/>
        </w:rPr>
        <w:fldChar w:fldCharType="separate"/>
      </w:r>
      <w:r>
        <w:rPr>
          <w:rFonts w:hint="eastAsia" w:ascii="楷体" w:hAnsi="楷体" w:eastAsia="楷体" w:cs="楷体"/>
          <w:iCs/>
          <w:color w:val="auto"/>
          <w:sz w:val="24"/>
          <w:szCs w:val="24"/>
          <w:lang w:val="zh-CN"/>
        </w:rPr>
        <w:t>15. 证明服务的合格性和符合招标文件规定的文件</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_Toc6895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19</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771FE2C5">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"_Toc24839" </w:instrText>
      </w:r>
      <w:r>
        <w:rPr>
          <w:color w:val="auto"/>
        </w:rPr>
        <w:fldChar w:fldCharType="separate"/>
      </w:r>
      <w:r>
        <w:rPr>
          <w:rFonts w:hint="eastAsia" w:ascii="楷体" w:hAnsi="楷体" w:eastAsia="楷体" w:cs="楷体"/>
          <w:iCs/>
          <w:color w:val="auto"/>
          <w:sz w:val="24"/>
          <w:szCs w:val="24"/>
          <w:lang w:val="zh-CN"/>
        </w:rPr>
        <w:t>16. 投标保证金</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_Toc24839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20</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A142C9D">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"_Toc19836" </w:instrText>
      </w:r>
      <w:r>
        <w:rPr>
          <w:color w:val="auto"/>
        </w:rPr>
        <w:fldChar w:fldCharType="separate"/>
      </w:r>
      <w:r>
        <w:rPr>
          <w:rFonts w:hint="eastAsia" w:ascii="楷体" w:hAnsi="楷体" w:eastAsia="楷体" w:cs="楷体"/>
          <w:iCs/>
          <w:color w:val="auto"/>
          <w:sz w:val="24"/>
          <w:szCs w:val="24"/>
          <w:lang w:val="zh-CN"/>
        </w:rPr>
        <w:t>17. 投标保证金的退还条件</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_Toc19836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20</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ABC412D">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"_Toc6674" </w:instrText>
      </w:r>
      <w:r>
        <w:rPr>
          <w:color w:val="auto"/>
        </w:rPr>
        <w:fldChar w:fldCharType="separate"/>
      </w:r>
      <w:r>
        <w:rPr>
          <w:rFonts w:hint="eastAsia" w:ascii="楷体" w:hAnsi="楷体" w:eastAsia="楷体" w:cs="楷体"/>
          <w:iCs/>
          <w:color w:val="auto"/>
          <w:sz w:val="24"/>
          <w:szCs w:val="24"/>
        </w:rPr>
        <w:t>（四） 投标文件的递交</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_Toc6674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20</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48E73717">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"_Toc21468" </w:instrText>
      </w:r>
      <w:r>
        <w:rPr>
          <w:color w:val="auto"/>
        </w:rPr>
        <w:fldChar w:fldCharType="separate"/>
      </w:r>
      <w:r>
        <w:rPr>
          <w:rFonts w:hint="eastAsia" w:ascii="楷体" w:hAnsi="楷体" w:eastAsia="楷体" w:cs="楷体"/>
          <w:iCs/>
          <w:color w:val="auto"/>
          <w:sz w:val="24"/>
          <w:szCs w:val="24"/>
          <w:lang w:val="zh-CN"/>
        </w:rPr>
        <w:t>18. 投标文件的密封和标记</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_Toc21468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20</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8D40FE2">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"_Toc1931" </w:instrText>
      </w:r>
      <w:r>
        <w:rPr>
          <w:color w:val="auto"/>
        </w:rPr>
        <w:fldChar w:fldCharType="separate"/>
      </w:r>
      <w:r>
        <w:rPr>
          <w:rFonts w:hint="eastAsia" w:ascii="楷体" w:hAnsi="楷体" w:eastAsia="楷体" w:cs="楷体"/>
          <w:iCs/>
          <w:color w:val="auto"/>
          <w:sz w:val="24"/>
          <w:szCs w:val="24"/>
          <w:lang w:val="zh-CN"/>
        </w:rPr>
        <w:t>19. 投标文件递交要求</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_Toc1931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21</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6CB40495">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"_Toc19019" </w:instrText>
      </w:r>
      <w:r>
        <w:rPr>
          <w:color w:val="auto"/>
        </w:rPr>
        <w:fldChar w:fldCharType="separate"/>
      </w:r>
      <w:r>
        <w:rPr>
          <w:rFonts w:hint="eastAsia" w:ascii="楷体" w:hAnsi="楷体" w:eastAsia="楷体" w:cs="楷体"/>
          <w:iCs/>
          <w:color w:val="auto"/>
          <w:sz w:val="24"/>
          <w:szCs w:val="24"/>
          <w:lang w:val="zh-CN"/>
        </w:rPr>
        <w:t>20. 投标截止</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_Toc19019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21</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C8119A3">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"_Toc9682" </w:instrText>
      </w:r>
      <w:r>
        <w:rPr>
          <w:color w:val="auto"/>
        </w:rPr>
        <w:fldChar w:fldCharType="separate"/>
      </w:r>
      <w:r>
        <w:rPr>
          <w:rFonts w:hint="eastAsia" w:ascii="楷体" w:hAnsi="楷体" w:eastAsia="楷体" w:cs="楷体"/>
          <w:iCs/>
          <w:color w:val="auto"/>
          <w:sz w:val="24"/>
          <w:szCs w:val="24"/>
          <w:lang w:val="zh-CN"/>
        </w:rPr>
        <w:t>21. 投标文件的修改和撤回</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_Toc9682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21</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39586BEF">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"_Toc12376" </w:instrText>
      </w:r>
      <w:r>
        <w:rPr>
          <w:color w:val="auto"/>
        </w:rPr>
        <w:fldChar w:fldCharType="separate"/>
      </w:r>
      <w:r>
        <w:rPr>
          <w:rFonts w:hint="eastAsia" w:ascii="楷体" w:hAnsi="楷体" w:eastAsia="楷体" w:cs="楷体"/>
          <w:iCs/>
          <w:color w:val="auto"/>
          <w:sz w:val="24"/>
          <w:szCs w:val="24"/>
        </w:rPr>
        <w:t>（五） 开标与评标</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_Toc12376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21</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2CD9411">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"_Toc24617" </w:instrText>
      </w:r>
      <w:r>
        <w:rPr>
          <w:color w:val="auto"/>
        </w:rPr>
        <w:fldChar w:fldCharType="separate"/>
      </w:r>
      <w:r>
        <w:rPr>
          <w:rFonts w:hint="eastAsia" w:ascii="楷体" w:hAnsi="楷体" w:eastAsia="楷体" w:cs="楷体"/>
          <w:iCs/>
          <w:color w:val="auto"/>
          <w:sz w:val="24"/>
          <w:szCs w:val="24"/>
          <w:lang w:val="zh-CN"/>
        </w:rPr>
        <w:t>22. 开标</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_Toc24617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21</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68B10228">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"_Toc11902" </w:instrText>
      </w:r>
      <w:r>
        <w:rPr>
          <w:color w:val="auto"/>
        </w:rPr>
        <w:fldChar w:fldCharType="separate"/>
      </w:r>
      <w:r>
        <w:rPr>
          <w:rFonts w:hint="eastAsia" w:ascii="楷体" w:hAnsi="楷体" w:eastAsia="楷体" w:cs="楷体"/>
          <w:iCs/>
          <w:color w:val="auto"/>
          <w:sz w:val="24"/>
          <w:szCs w:val="24"/>
          <w:lang w:val="zh-CN"/>
        </w:rPr>
        <w:t>23. 评标</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_Toc11902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22</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9FF029A">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"_Toc1619" </w:instrText>
      </w:r>
      <w:r>
        <w:rPr>
          <w:color w:val="auto"/>
        </w:rPr>
        <w:fldChar w:fldCharType="separate"/>
      </w:r>
      <w:r>
        <w:rPr>
          <w:rFonts w:hint="eastAsia" w:ascii="楷体" w:hAnsi="楷体" w:eastAsia="楷体" w:cs="楷体"/>
          <w:iCs/>
          <w:color w:val="auto"/>
          <w:sz w:val="24"/>
          <w:szCs w:val="24"/>
          <w:lang w:val="zh-CN"/>
        </w:rPr>
        <w:t>24. 定标原则和授标</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_Toc1619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23</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54F59E09">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"_Toc25032" </w:instrText>
      </w:r>
      <w:r>
        <w:rPr>
          <w:color w:val="auto"/>
        </w:rPr>
        <w:fldChar w:fldCharType="separate"/>
      </w:r>
      <w:r>
        <w:rPr>
          <w:rFonts w:hint="eastAsia" w:ascii="楷体" w:hAnsi="楷体" w:eastAsia="楷体" w:cs="楷体"/>
          <w:iCs/>
          <w:color w:val="auto"/>
          <w:sz w:val="24"/>
          <w:szCs w:val="24"/>
          <w:lang w:val="zh-CN"/>
        </w:rPr>
        <w:t>25. 中标通知书</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_Toc25032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CA3FA50">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"_Toc25662" </w:instrText>
      </w:r>
      <w:r>
        <w:rPr>
          <w:color w:val="auto"/>
        </w:rPr>
        <w:fldChar w:fldCharType="separate"/>
      </w:r>
      <w:r>
        <w:rPr>
          <w:rFonts w:hint="eastAsia" w:ascii="楷体" w:hAnsi="楷体" w:eastAsia="楷体" w:cs="楷体"/>
          <w:iCs/>
          <w:color w:val="auto"/>
          <w:sz w:val="24"/>
          <w:szCs w:val="24"/>
        </w:rPr>
        <w:t>（六） 异议及投诉</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_Toc25662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C8E4DE2">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"_Toc9548" </w:instrText>
      </w:r>
      <w:r>
        <w:rPr>
          <w:color w:val="auto"/>
        </w:rPr>
        <w:fldChar w:fldCharType="separate"/>
      </w:r>
      <w:r>
        <w:rPr>
          <w:rFonts w:hint="eastAsia" w:ascii="楷体" w:hAnsi="楷体" w:eastAsia="楷体" w:cs="楷体"/>
          <w:iCs/>
          <w:color w:val="auto"/>
          <w:sz w:val="24"/>
          <w:szCs w:val="24"/>
          <w:lang w:val="zh-CN"/>
        </w:rPr>
        <w:t>26. 异议</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_Toc9548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24</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1392724A">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"_Toc13312" </w:instrText>
      </w:r>
      <w:r>
        <w:rPr>
          <w:color w:val="auto"/>
        </w:rPr>
        <w:fldChar w:fldCharType="separate"/>
      </w:r>
      <w:r>
        <w:rPr>
          <w:rFonts w:hint="eastAsia" w:ascii="楷体" w:hAnsi="楷体" w:eastAsia="楷体" w:cs="楷体"/>
          <w:iCs/>
          <w:color w:val="auto"/>
          <w:sz w:val="24"/>
          <w:szCs w:val="24"/>
          <w:lang w:val="zh-CN"/>
        </w:rPr>
        <w:t>27. 投诉</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_Toc13312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699A7C96">
      <w:pPr>
        <w:pStyle w:val="35"/>
        <w:tabs>
          <w:tab w:val="right" w:leader="dot" w:pos="8306"/>
        </w:tabs>
        <w:adjustRightInd w:val="0"/>
        <w:snapToGrid w:val="0"/>
        <w:spacing w:before="0" w:line="360" w:lineRule="auto"/>
        <w:rPr>
          <w:rFonts w:ascii="楷体" w:hAnsi="楷体" w:eastAsia="楷体" w:cs="楷体"/>
          <w:iCs/>
          <w:color w:val="auto"/>
          <w:sz w:val="24"/>
          <w:szCs w:val="24"/>
        </w:rPr>
      </w:pPr>
      <w:r>
        <w:rPr>
          <w:color w:val="auto"/>
        </w:rPr>
        <w:fldChar w:fldCharType="begin"/>
      </w:r>
      <w:r>
        <w:rPr>
          <w:color w:val="auto"/>
        </w:rPr>
        <w:instrText xml:space="preserve"> HYPERLINK \l "_Toc20670" </w:instrText>
      </w:r>
      <w:r>
        <w:rPr>
          <w:color w:val="auto"/>
        </w:rPr>
        <w:fldChar w:fldCharType="separate"/>
      </w:r>
      <w:r>
        <w:rPr>
          <w:rFonts w:hint="eastAsia" w:ascii="楷体" w:hAnsi="楷体" w:eastAsia="楷体" w:cs="楷体"/>
          <w:iCs/>
          <w:color w:val="auto"/>
          <w:sz w:val="24"/>
          <w:szCs w:val="24"/>
        </w:rPr>
        <w:t>（七） 授予合同</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_Toc20670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03ADD34A">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"_Toc9383" </w:instrText>
      </w:r>
      <w:r>
        <w:rPr>
          <w:color w:val="auto"/>
        </w:rPr>
        <w:fldChar w:fldCharType="separate"/>
      </w:r>
      <w:r>
        <w:rPr>
          <w:rFonts w:hint="eastAsia" w:ascii="楷体" w:hAnsi="楷体" w:eastAsia="楷体" w:cs="楷体"/>
          <w:iCs/>
          <w:color w:val="auto"/>
          <w:sz w:val="24"/>
          <w:szCs w:val="24"/>
          <w:lang w:val="zh-CN"/>
        </w:rPr>
        <w:t>28. 合同的订立</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_Toc9383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7A22019F">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"_Toc23666" </w:instrText>
      </w:r>
      <w:r>
        <w:rPr>
          <w:color w:val="auto"/>
        </w:rPr>
        <w:fldChar w:fldCharType="separate"/>
      </w:r>
      <w:r>
        <w:rPr>
          <w:rFonts w:hint="eastAsia" w:ascii="楷体" w:hAnsi="楷体" w:eastAsia="楷体" w:cs="楷体"/>
          <w:iCs/>
          <w:color w:val="auto"/>
          <w:sz w:val="24"/>
          <w:szCs w:val="24"/>
          <w:lang w:val="zh-CN"/>
        </w:rPr>
        <w:t>29. 合同的履行</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_Toc23666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3B2B651F">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"_Toc17586" </w:instrText>
      </w:r>
      <w:r>
        <w:rPr>
          <w:color w:val="auto"/>
        </w:rPr>
        <w:fldChar w:fldCharType="separate"/>
      </w:r>
      <w:r>
        <w:rPr>
          <w:rFonts w:hint="eastAsia" w:ascii="楷体" w:hAnsi="楷体" w:eastAsia="楷体" w:cs="楷体"/>
          <w:iCs/>
          <w:color w:val="auto"/>
          <w:sz w:val="24"/>
          <w:szCs w:val="24"/>
          <w:lang w:val="zh-CN"/>
        </w:rPr>
        <w:t>30. 履约保证金</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_Toc17586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25</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465A768F">
      <w:pPr>
        <w:pStyle w:val="21"/>
        <w:tabs>
          <w:tab w:val="right" w:leader="dot" w:pos="8306"/>
        </w:tabs>
        <w:adjustRightInd w:val="0"/>
        <w:snapToGrid w:val="0"/>
        <w:spacing w:line="360" w:lineRule="auto"/>
        <w:rPr>
          <w:rFonts w:ascii="楷体" w:hAnsi="楷体" w:eastAsia="楷体" w:cs="楷体"/>
          <w:iCs/>
          <w:color w:val="auto"/>
          <w:sz w:val="24"/>
          <w:szCs w:val="24"/>
        </w:rPr>
      </w:pPr>
      <w:r>
        <w:rPr>
          <w:color w:val="auto"/>
        </w:rPr>
        <w:fldChar w:fldCharType="begin"/>
      </w:r>
      <w:r>
        <w:rPr>
          <w:color w:val="auto"/>
        </w:rPr>
        <w:instrText xml:space="preserve"> HYPERLINK \l "_Toc7803" </w:instrText>
      </w:r>
      <w:r>
        <w:rPr>
          <w:color w:val="auto"/>
        </w:rPr>
        <w:fldChar w:fldCharType="separate"/>
      </w:r>
      <w:r>
        <w:rPr>
          <w:rFonts w:hint="eastAsia" w:ascii="楷体" w:hAnsi="楷体" w:eastAsia="楷体" w:cs="楷体"/>
          <w:iCs/>
          <w:color w:val="auto"/>
          <w:sz w:val="24"/>
          <w:szCs w:val="24"/>
          <w:lang w:val="zh-CN"/>
        </w:rPr>
        <w:t>31. 招标代理服务费</w:t>
      </w:r>
      <w:r>
        <w:rPr>
          <w:rFonts w:hint="eastAsia" w:ascii="楷体" w:hAnsi="楷体" w:eastAsia="楷体" w:cs="楷体"/>
          <w:iCs/>
          <w:color w:val="auto"/>
          <w:sz w:val="24"/>
          <w:szCs w:val="24"/>
        </w:rPr>
        <w:tab/>
      </w:r>
      <w:r>
        <w:rPr>
          <w:rFonts w:hint="eastAsia" w:ascii="楷体" w:hAnsi="楷体" w:eastAsia="楷体" w:cs="楷体"/>
          <w:iCs/>
          <w:color w:val="auto"/>
          <w:sz w:val="24"/>
          <w:szCs w:val="24"/>
        </w:rPr>
        <w:fldChar w:fldCharType="begin"/>
      </w:r>
      <w:r>
        <w:rPr>
          <w:rFonts w:hint="eastAsia" w:ascii="楷体" w:hAnsi="楷体" w:eastAsia="楷体" w:cs="楷体"/>
          <w:iCs/>
          <w:color w:val="auto"/>
          <w:sz w:val="24"/>
          <w:szCs w:val="24"/>
        </w:rPr>
        <w:instrText xml:space="preserve"> PAGEREF _Toc7803 \h </w:instrText>
      </w:r>
      <w:r>
        <w:rPr>
          <w:rFonts w:hint="eastAsia" w:ascii="楷体" w:hAnsi="楷体" w:eastAsia="楷体" w:cs="楷体"/>
          <w:iCs/>
          <w:color w:val="auto"/>
          <w:sz w:val="24"/>
          <w:szCs w:val="24"/>
        </w:rPr>
        <w:fldChar w:fldCharType="separate"/>
      </w:r>
      <w:r>
        <w:rPr>
          <w:rFonts w:hint="eastAsia" w:ascii="楷体" w:hAnsi="楷体" w:eastAsia="楷体" w:cs="楷体"/>
          <w:iCs/>
          <w:color w:val="auto"/>
          <w:sz w:val="24"/>
          <w:szCs w:val="24"/>
        </w:rPr>
        <w:t>26</w:t>
      </w:r>
      <w:r>
        <w:rPr>
          <w:rFonts w:hint="eastAsia" w:ascii="楷体" w:hAnsi="楷体" w:eastAsia="楷体" w:cs="楷体"/>
          <w:iCs/>
          <w:color w:val="auto"/>
          <w:sz w:val="24"/>
          <w:szCs w:val="24"/>
        </w:rPr>
        <w:fldChar w:fldCharType="end"/>
      </w:r>
      <w:r>
        <w:rPr>
          <w:rFonts w:hint="eastAsia" w:ascii="楷体" w:hAnsi="楷体" w:eastAsia="楷体" w:cs="楷体"/>
          <w:iCs/>
          <w:color w:val="auto"/>
          <w:sz w:val="24"/>
          <w:szCs w:val="24"/>
        </w:rPr>
        <w:fldChar w:fldCharType="end"/>
      </w:r>
    </w:p>
    <w:p w14:paraId="63BF825E">
      <w:pPr>
        <w:pStyle w:val="29"/>
        <w:tabs>
          <w:tab w:val="right" w:leader="dot" w:pos="8306"/>
        </w:tabs>
        <w:adjustRightInd w:val="0"/>
        <w:snapToGrid w:val="0"/>
        <w:spacing w:before="0" w:line="360" w:lineRule="auto"/>
        <w:rPr>
          <w:rFonts w:ascii="楷体" w:hAnsi="楷体" w:eastAsia="楷体" w:cs="楷体"/>
          <w:i w:val="0"/>
          <w:color w:val="auto"/>
        </w:rPr>
      </w:pPr>
      <w:r>
        <w:rPr>
          <w:color w:val="auto"/>
        </w:rPr>
        <w:fldChar w:fldCharType="begin"/>
      </w:r>
      <w:r>
        <w:rPr>
          <w:color w:val="auto"/>
        </w:rPr>
        <w:instrText xml:space="preserve"> HYPERLINK \l "_Toc21808" </w:instrText>
      </w:r>
      <w:r>
        <w:rPr>
          <w:color w:val="auto"/>
        </w:rPr>
        <w:fldChar w:fldCharType="separate"/>
      </w:r>
      <w:r>
        <w:rPr>
          <w:rFonts w:hint="eastAsia" w:ascii="楷体" w:hAnsi="楷体" w:eastAsia="楷体" w:cs="楷体"/>
          <w:i w:val="0"/>
          <w:color w:val="auto"/>
        </w:rPr>
        <w:t>第三章评分体系与标准</w:t>
      </w:r>
      <w:r>
        <w:rPr>
          <w:rFonts w:hint="eastAsia" w:ascii="楷体" w:hAnsi="楷体" w:eastAsia="楷体" w:cs="楷体"/>
          <w:i w:val="0"/>
          <w:color w:val="auto"/>
        </w:rPr>
        <w:tab/>
      </w:r>
      <w:r>
        <w:rPr>
          <w:rFonts w:hint="eastAsia" w:ascii="楷体" w:hAnsi="楷体" w:eastAsia="楷体" w:cs="楷体"/>
          <w:i w:val="0"/>
          <w:color w:val="auto"/>
        </w:rPr>
        <w:fldChar w:fldCharType="begin"/>
      </w:r>
      <w:r>
        <w:rPr>
          <w:rFonts w:hint="eastAsia" w:ascii="楷体" w:hAnsi="楷体" w:eastAsia="楷体" w:cs="楷体"/>
          <w:i w:val="0"/>
          <w:color w:val="auto"/>
        </w:rPr>
        <w:instrText xml:space="preserve"> PAGEREF _Toc21808 \h </w:instrText>
      </w:r>
      <w:r>
        <w:rPr>
          <w:rFonts w:hint="eastAsia" w:ascii="楷体" w:hAnsi="楷体" w:eastAsia="楷体" w:cs="楷体"/>
          <w:i w:val="0"/>
          <w:color w:val="auto"/>
        </w:rPr>
        <w:fldChar w:fldCharType="separate"/>
      </w:r>
      <w:r>
        <w:rPr>
          <w:rFonts w:hint="eastAsia" w:ascii="楷体" w:hAnsi="楷体" w:eastAsia="楷体" w:cs="楷体"/>
          <w:i w:val="0"/>
          <w:color w:val="auto"/>
        </w:rPr>
        <w:t>27</w:t>
      </w:r>
      <w:r>
        <w:rPr>
          <w:rFonts w:hint="eastAsia" w:ascii="楷体" w:hAnsi="楷体" w:eastAsia="楷体" w:cs="楷体"/>
          <w:i w:val="0"/>
          <w:color w:val="auto"/>
        </w:rPr>
        <w:fldChar w:fldCharType="end"/>
      </w:r>
      <w:r>
        <w:rPr>
          <w:rFonts w:hint="eastAsia" w:ascii="楷体" w:hAnsi="楷体" w:eastAsia="楷体" w:cs="楷体"/>
          <w:i w:val="0"/>
          <w:color w:val="auto"/>
        </w:rPr>
        <w:fldChar w:fldCharType="end"/>
      </w:r>
    </w:p>
    <w:p w14:paraId="0B2F70F9">
      <w:pPr>
        <w:pStyle w:val="35"/>
        <w:tabs>
          <w:tab w:val="right" w:leader="dot" w:pos="8306"/>
        </w:tabs>
        <w:adjustRightInd w:val="0"/>
        <w:snapToGrid w:val="0"/>
        <w:spacing w:before="0" w:line="360" w:lineRule="auto"/>
        <w:rPr>
          <w:rFonts w:ascii="楷体" w:hAnsi="楷体" w:eastAsia="楷体" w:cs="楷体"/>
          <w:b w:val="0"/>
          <w:bCs w:val="0"/>
          <w:iCs/>
          <w:color w:val="auto"/>
          <w:sz w:val="24"/>
          <w:szCs w:val="24"/>
        </w:rPr>
      </w:pPr>
      <w:r>
        <w:rPr>
          <w:color w:val="auto"/>
        </w:rPr>
        <w:fldChar w:fldCharType="begin"/>
      </w:r>
      <w:r>
        <w:rPr>
          <w:color w:val="auto"/>
        </w:rPr>
        <w:instrText xml:space="preserve"> HYPERLINK \l "_Toc12756" </w:instrText>
      </w:r>
      <w:r>
        <w:rPr>
          <w:color w:val="auto"/>
        </w:rPr>
        <w:fldChar w:fldCharType="separate"/>
      </w:r>
      <w:r>
        <w:rPr>
          <w:rFonts w:hint="eastAsia" w:ascii="楷体" w:hAnsi="楷体" w:eastAsia="楷体" w:cs="楷体"/>
          <w:b w:val="0"/>
          <w:bCs w:val="0"/>
          <w:iCs/>
          <w:color w:val="auto"/>
          <w:sz w:val="24"/>
          <w:szCs w:val="24"/>
        </w:rPr>
        <w:t>（一） 评标方法</w:t>
      </w:r>
      <w:r>
        <w:rPr>
          <w:rFonts w:hint="eastAsia" w:ascii="楷体" w:hAnsi="楷体" w:eastAsia="楷体" w:cs="楷体"/>
          <w:b w:val="0"/>
          <w:bCs w:val="0"/>
          <w:iCs/>
          <w:color w:val="auto"/>
          <w:sz w:val="24"/>
          <w:szCs w:val="24"/>
        </w:rPr>
        <w:tab/>
      </w:r>
      <w:r>
        <w:rPr>
          <w:rFonts w:hint="eastAsia" w:ascii="楷体" w:hAnsi="楷体" w:eastAsia="楷体" w:cs="楷体"/>
          <w:b w:val="0"/>
          <w:bCs w:val="0"/>
          <w:iCs/>
          <w:color w:val="auto"/>
          <w:sz w:val="24"/>
          <w:szCs w:val="24"/>
        </w:rPr>
        <w:fldChar w:fldCharType="begin"/>
      </w:r>
      <w:r>
        <w:rPr>
          <w:rFonts w:hint="eastAsia" w:ascii="楷体" w:hAnsi="楷体" w:eastAsia="楷体" w:cs="楷体"/>
          <w:b w:val="0"/>
          <w:bCs w:val="0"/>
          <w:iCs/>
          <w:color w:val="auto"/>
          <w:sz w:val="24"/>
          <w:szCs w:val="24"/>
        </w:rPr>
        <w:instrText xml:space="preserve"> PAGEREF _Toc12756 \h </w:instrText>
      </w:r>
      <w:r>
        <w:rPr>
          <w:rFonts w:hint="eastAsia" w:ascii="楷体" w:hAnsi="楷体" w:eastAsia="楷体" w:cs="楷体"/>
          <w:b w:val="0"/>
          <w:bCs w:val="0"/>
          <w:iCs/>
          <w:color w:val="auto"/>
          <w:sz w:val="24"/>
          <w:szCs w:val="24"/>
        </w:rPr>
        <w:fldChar w:fldCharType="separate"/>
      </w:r>
      <w:r>
        <w:rPr>
          <w:rFonts w:hint="eastAsia" w:ascii="楷体" w:hAnsi="楷体" w:eastAsia="楷体" w:cs="楷体"/>
          <w:b w:val="0"/>
          <w:bCs w:val="0"/>
          <w:iCs/>
          <w:color w:val="auto"/>
          <w:sz w:val="24"/>
          <w:szCs w:val="24"/>
        </w:rPr>
        <w:t>28</w:t>
      </w:r>
      <w:r>
        <w:rPr>
          <w:rFonts w:hint="eastAsia" w:ascii="楷体" w:hAnsi="楷体" w:eastAsia="楷体" w:cs="楷体"/>
          <w:b w:val="0"/>
          <w:bCs w:val="0"/>
          <w:iCs/>
          <w:color w:val="auto"/>
          <w:sz w:val="24"/>
          <w:szCs w:val="24"/>
        </w:rPr>
        <w:fldChar w:fldCharType="end"/>
      </w:r>
      <w:r>
        <w:rPr>
          <w:rFonts w:hint="eastAsia" w:ascii="楷体" w:hAnsi="楷体" w:eastAsia="楷体" w:cs="楷体"/>
          <w:b w:val="0"/>
          <w:bCs w:val="0"/>
          <w:iCs/>
          <w:color w:val="auto"/>
          <w:sz w:val="24"/>
          <w:szCs w:val="24"/>
        </w:rPr>
        <w:fldChar w:fldCharType="end"/>
      </w:r>
    </w:p>
    <w:p w14:paraId="2B5272AD">
      <w:pPr>
        <w:pStyle w:val="35"/>
        <w:tabs>
          <w:tab w:val="right" w:leader="dot" w:pos="8306"/>
        </w:tabs>
        <w:adjustRightInd w:val="0"/>
        <w:snapToGrid w:val="0"/>
        <w:spacing w:before="0" w:line="360" w:lineRule="auto"/>
        <w:rPr>
          <w:rFonts w:ascii="楷体" w:hAnsi="楷体" w:eastAsia="楷体" w:cs="楷体"/>
          <w:b w:val="0"/>
          <w:bCs w:val="0"/>
          <w:iCs/>
          <w:color w:val="auto"/>
          <w:sz w:val="24"/>
          <w:szCs w:val="24"/>
        </w:rPr>
      </w:pPr>
      <w:r>
        <w:rPr>
          <w:color w:val="auto"/>
        </w:rPr>
        <w:fldChar w:fldCharType="begin"/>
      </w:r>
      <w:r>
        <w:rPr>
          <w:color w:val="auto"/>
        </w:rPr>
        <w:instrText xml:space="preserve"> HYPERLINK \l "_Toc29386" </w:instrText>
      </w:r>
      <w:r>
        <w:rPr>
          <w:color w:val="auto"/>
        </w:rPr>
        <w:fldChar w:fldCharType="separate"/>
      </w:r>
      <w:r>
        <w:rPr>
          <w:rFonts w:hint="eastAsia" w:ascii="楷体" w:hAnsi="楷体" w:eastAsia="楷体" w:cs="楷体"/>
          <w:b w:val="0"/>
          <w:bCs w:val="0"/>
          <w:iCs/>
          <w:color w:val="auto"/>
          <w:sz w:val="24"/>
          <w:szCs w:val="24"/>
        </w:rPr>
        <w:t>（二） 评标流程</w:t>
      </w:r>
      <w:r>
        <w:rPr>
          <w:rFonts w:hint="eastAsia" w:ascii="楷体" w:hAnsi="楷体" w:eastAsia="楷体" w:cs="楷体"/>
          <w:b w:val="0"/>
          <w:bCs w:val="0"/>
          <w:iCs/>
          <w:color w:val="auto"/>
          <w:sz w:val="24"/>
          <w:szCs w:val="24"/>
        </w:rPr>
        <w:tab/>
      </w:r>
      <w:r>
        <w:rPr>
          <w:rFonts w:hint="eastAsia" w:ascii="楷体" w:hAnsi="楷体" w:eastAsia="楷体" w:cs="楷体"/>
          <w:b w:val="0"/>
          <w:bCs w:val="0"/>
          <w:iCs/>
          <w:color w:val="auto"/>
          <w:sz w:val="24"/>
          <w:szCs w:val="24"/>
        </w:rPr>
        <w:fldChar w:fldCharType="begin"/>
      </w:r>
      <w:r>
        <w:rPr>
          <w:rFonts w:hint="eastAsia" w:ascii="楷体" w:hAnsi="楷体" w:eastAsia="楷体" w:cs="楷体"/>
          <w:b w:val="0"/>
          <w:bCs w:val="0"/>
          <w:iCs/>
          <w:color w:val="auto"/>
          <w:sz w:val="24"/>
          <w:szCs w:val="24"/>
        </w:rPr>
        <w:instrText xml:space="preserve"> PAGEREF _Toc29386 \h </w:instrText>
      </w:r>
      <w:r>
        <w:rPr>
          <w:rFonts w:hint="eastAsia" w:ascii="楷体" w:hAnsi="楷体" w:eastAsia="楷体" w:cs="楷体"/>
          <w:b w:val="0"/>
          <w:bCs w:val="0"/>
          <w:iCs/>
          <w:color w:val="auto"/>
          <w:sz w:val="24"/>
          <w:szCs w:val="24"/>
        </w:rPr>
        <w:fldChar w:fldCharType="separate"/>
      </w:r>
      <w:r>
        <w:rPr>
          <w:rFonts w:hint="eastAsia" w:ascii="楷体" w:hAnsi="楷体" w:eastAsia="楷体" w:cs="楷体"/>
          <w:b w:val="0"/>
          <w:bCs w:val="0"/>
          <w:iCs/>
          <w:color w:val="auto"/>
          <w:sz w:val="24"/>
          <w:szCs w:val="24"/>
        </w:rPr>
        <w:t>28</w:t>
      </w:r>
      <w:r>
        <w:rPr>
          <w:rFonts w:hint="eastAsia" w:ascii="楷体" w:hAnsi="楷体" w:eastAsia="楷体" w:cs="楷体"/>
          <w:b w:val="0"/>
          <w:bCs w:val="0"/>
          <w:iCs/>
          <w:color w:val="auto"/>
          <w:sz w:val="24"/>
          <w:szCs w:val="24"/>
        </w:rPr>
        <w:fldChar w:fldCharType="end"/>
      </w:r>
      <w:r>
        <w:rPr>
          <w:rFonts w:hint="eastAsia" w:ascii="楷体" w:hAnsi="楷体" w:eastAsia="楷体" w:cs="楷体"/>
          <w:b w:val="0"/>
          <w:bCs w:val="0"/>
          <w:iCs/>
          <w:color w:val="auto"/>
          <w:sz w:val="24"/>
          <w:szCs w:val="24"/>
        </w:rPr>
        <w:fldChar w:fldCharType="end"/>
      </w:r>
    </w:p>
    <w:p w14:paraId="097FA3E1">
      <w:pPr>
        <w:pStyle w:val="35"/>
        <w:tabs>
          <w:tab w:val="right" w:leader="dot" w:pos="8306"/>
        </w:tabs>
        <w:adjustRightInd w:val="0"/>
        <w:snapToGrid w:val="0"/>
        <w:spacing w:before="0" w:line="360" w:lineRule="auto"/>
        <w:rPr>
          <w:rFonts w:ascii="楷体" w:hAnsi="楷体" w:eastAsia="楷体" w:cs="楷体"/>
          <w:b w:val="0"/>
          <w:bCs w:val="0"/>
          <w:iCs/>
          <w:color w:val="auto"/>
          <w:sz w:val="24"/>
          <w:szCs w:val="24"/>
        </w:rPr>
      </w:pPr>
      <w:r>
        <w:rPr>
          <w:color w:val="auto"/>
        </w:rPr>
        <w:fldChar w:fldCharType="begin"/>
      </w:r>
      <w:r>
        <w:rPr>
          <w:color w:val="auto"/>
        </w:rPr>
        <w:instrText xml:space="preserve"> HYPERLINK \l "_Toc24498" </w:instrText>
      </w:r>
      <w:r>
        <w:rPr>
          <w:color w:val="auto"/>
        </w:rPr>
        <w:fldChar w:fldCharType="separate"/>
      </w:r>
      <w:r>
        <w:rPr>
          <w:rFonts w:hint="eastAsia" w:ascii="楷体" w:hAnsi="楷体" w:eastAsia="楷体" w:cs="楷体"/>
          <w:b w:val="0"/>
          <w:bCs w:val="0"/>
          <w:iCs/>
          <w:color w:val="auto"/>
          <w:sz w:val="24"/>
          <w:szCs w:val="24"/>
          <w:lang w:val="zh-CN"/>
        </w:rPr>
        <w:t>（三） 初步评审</w:t>
      </w:r>
      <w:r>
        <w:rPr>
          <w:rFonts w:hint="eastAsia" w:ascii="楷体" w:hAnsi="楷体" w:eastAsia="楷体" w:cs="楷体"/>
          <w:b w:val="0"/>
          <w:bCs w:val="0"/>
          <w:iCs/>
          <w:color w:val="auto"/>
          <w:sz w:val="24"/>
          <w:szCs w:val="24"/>
        </w:rPr>
        <w:tab/>
      </w:r>
      <w:r>
        <w:rPr>
          <w:rFonts w:hint="eastAsia" w:ascii="楷体" w:hAnsi="楷体" w:eastAsia="楷体" w:cs="楷体"/>
          <w:b w:val="0"/>
          <w:bCs w:val="0"/>
          <w:iCs/>
          <w:color w:val="auto"/>
          <w:sz w:val="24"/>
          <w:szCs w:val="24"/>
        </w:rPr>
        <w:fldChar w:fldCharType="begin"/>
      </w:r>
      <w:r>
        <w:rPr>
          <w:rFonts w:hint="eastAsia" w:ascii="楷体" w:hAnsi="楷体" w:eastAsia="楷体" w:cs="楷体"/>
          <w:b w:val="0"/>
          <w:bCs w:val="0"/>
          <w:iCs/>
          <w:color w:val="auto"/>
          <w:sz w:val="24"/>
          <w:szCs w:val="24"/>
        </w:rPr>
        <w:instrText xml:space="preserve"> PAGEREF _Toc24498 \h </w:instrText>
      </w:r>
      <w:r>
        <w:rPr>
          <w:rFonts w:hint="eastAsia" w:ascii="楷体" w:hAnsi="楷体" w:eastAsia="楷体" w:cs="楷体"/>
          <w:b w:val="0"/>
          <w:bCs w:val="0"/>
          <w:iCs/>
          <w:color w:val="auto"/>
          <w:sz w:val="24"/>
          <w:szCs w:val="24"/>
        </w:rPr>
        <w:fldChar w:fldCharType="separate"/>
      </w:r>
      <w:r>
        <w:rPr>
          <w:rFonts w:hint="eastAsia" w:ascii="楷体" w:hAnsi="楷体" w:eastAsia="楷体" w:cs="楷体"/>
          <w:b w:val="0"/>
          <w:bCs w:val="0"/>
          <w:iCs/>
          <w:color w:val="auto"/>
          <w:sz w:val="24"/>
          <w:szCs w:val="24"/>
        </w:rPr>
        <w:t>28</w:t>
      </w:r>
      <w:r>
        <w:rPr>
          <w:rFonts w:hint="eastAsia" w:ascii="楷体" w:hAnsi="楷体" w:eastAsia="楷体" w:cs="楷体"/>
          <w:b w:val="0"/>
          <w:bCs w:val="0"/>
          <w:iCs/>
          <w:color w:val="auto"/>
          <w:sz w:val="24"/>
          <w:szCs w:val="24"/>
        </w:rPr>
        <w:fldChar w:fldCharType="end"/>
      </w:r>
      <w:r>
        <w:rPr>
          <w:rFonts w:hint="eastAsia" w:ascii="楷体" w:hAnsi="楷体" w:eastAsia="楷体" w:cs="楷体"/>
          <w:b w:val="0"/>
          <w:bCs w:val="0"/>
          <w:iCs/>
          <w:color w:val="auto"/>
          <w:sz w:val="24"/>
          <w:szCs w:val="24"/>
        </w:rPr>
        <w:fldChar w:fldCharType="end"/>
      </w:r>
    </w:p>
    <w:p w14:paraId="4E7C1EAF">
      <w:pPr>
        <w:pStyle w:val="35"/>
        <w:tabs>
          <w:tab w:val="right" w:leader="dot" w:pos="8306"/>
        </w:tabs>
        <w:adjustRightInd w:val="0"/>
        <w:snapToGrid w:val="0"/>
        <w:spacing w:before="0" w:line="360" w:lineRule="auto"/>
        <w:rPr>
          <w:rFonts w:ascii="楷体" w:hAnsi="楷体" w:eastAsia="楷体" w:cs="楷体"/>
          <w:b w:val="0"/>
          <w:bCs w:val="0"/>
          <w:iCs/>
          <w:color w:val="auto"/>
          <w:sz w:val="24"/>
          <w:szCs w:val="24"/>
        </w:rPr>
      </w:pPr>
      <w:r>
        <w:rPr>
          <w:color w:val="auto"/>
        </w:rPr>
        <w:fldChar w:fldCharType="begin"/>
      </w:r>
      <w:r>
        <w:rPr>
          <w:color w:val="auto"/>
        </w:rPr>
        <w:instrText xml:space="preserve"> HYPERLINK \l "_Toc11343" </w:instrText>
      </w:r>
      <w:r>
        <w:rPr>
          <w:color w:val="auto"/>
        </w:rPr>
        <w:fldChar w:fldCharType="separate"/>
      </w:r>
      <w:r>
        <w:rPr>
          <w:rFonts w:hint="eastAsia" w:ascii="楷体" w:hAnsi="楷体" w:eastAsia="楷体" w:cs="楷体"/>
          <w:b w:val="0"/>
          <w:bCs w:val="0"/>
          <w:iCs/>
          <w:color w:val="auto"/>
          <w:sz w:val="24"/>
          <w:szCs w:val="24"/>
          <w:lang w:val="zh-CN"/>
        </w:rPr>
        <w:t>（四） 详细评审</w:t>
      </w:r>
      <w:r>
        <w:rPr>
          <w:rFonts w:hint="eastAsia" w:ascii="楷体" w:hAnsi="楷体" w:eastAsia="楷体" w:cs="楷体"/>
          <w:b w:val="0"/>
          <w:bCs w:val="0"/>
          <w:iCs/>
          <w:color w:val="auto"/>
          <w:sz w:val="24"/>
          <w:szCs w:val="24"/>
        </w:rPr>
        <w:tab/>
      </w:r>
      <w:r>
        <w:rPr>
          <w:rFonts w:hint="eastAsia" w:ascii="楷体" w:hAnsi="楷体" w:eastAsia="楷体" w:cs="楷体"/>
          <w:b w:val="0"/>
          <w:bCs w:val="0"/>
          <w:iCs/>
          <w:color w:val="auto"/>
          <w:sz w:val="24"/>
          <w:szCs w:val="24"/>
        </w:rPr>
        <w:fldChar w:fldCharType="begin"/>
      </w:r>
      <w:r>
        <w:rPr>
          <w:rFonts w:hint="eastAsia" w:ascii="楷体" w:hAnsi="楷体" w:eastAsia="楷体" w:cs="楷体"/>
          <w:b w:val="0"/>
          <w:bCs w:val="0"/>
          <w:iCs/>
          <w:color w:val="auto"/>
          <w:sz w:val="24"/>
          <w:szCs w:val="24"/>
        </w:rPr>
        <w:instrText xml:space="preserve"> PAGEREF _Toc11343 \h </w:instrText>
      </w:r>
      <w:r>
        <w:rPr>
          <w:rFonts w:hint="eastAsia" w:ascii="楷体" w:hAnsi="楷体" w:eastAsia="楷体" w:cs="楷体"/>
          <w:b w:val="0"/>
          <w:bCs w:val="0"/>
          <w:iCs/>
          <w:color w:val="auto"/>
          <w:sz w:val="24"/>
          <w:szCs w:val="24"/>
        </w:rPr>
        <w:fldChar w:fldCharType="separate"/>
      </w:r>
      <w:r>
        <w:rPr>
          <w:rFonts w:hint="eastAsia" w:ascii="楷体" w:hAnsi="楷体" w:eastAsia="楷体" w:cs="楷体"/>
          <w:b w:val="0"/>
          <w:bCs w:val="0"/>
          <w:iCs/>
          <w:color w:val="auto"/>
          <w:sz w:val="24"/>
          <w:szCs w:val="24"/>
        </w:rPr>
        <w:t>30</w:t>
      </w:r>
      <w:r>
        <w:rPr>
          <w:rFonts w:hint="eastAsia" w:ascii="楷体" w:hAnsi="楷体" w:eastAsia="楷体" w:cs="楷体"/>
          <w:b w:val="0"/>
          <w:bCs w:val="0"/>
          <w:iCs/>
          <w:color w:val="auto"/>
          <w:sz w:val="24"/>
          <w:szCs w:val="24"/>
        </w:rPr>
        <w:fldChar w:fldCharType="end"/>
      </w:r>
      <w:r>
        <w:rPr>
          <w:rFonts w:hint="eastAsia" w:ascii="楷体" w:hAnsi="楷体" w:eastAsia="楷体" w:cs="楷体"/>
          <w:b w:val="0"/>
          <w:bCs w:val="0"/>
          <w:iCs/>
          <w:color w:val="auto"/>
          <w:sz w:val="24"/>
          <w:szCs w:val="24"/>
        </w:rPr>
        <w:fldChar w:fldCharType="end"/>
      </w:r>
    </w:p>
    <w:p w14:paraId="0411B8A0">
      <w:pPr>
        <w:pStyle w:val="35"/>
        <w:tabs>
          <w:tab w:val="right" w:leader="dot" w:pos="8306"/>
        </w:tabs>
        <w:adjustRightInd w:val="0"/>
        <w:snapToGrid w:val="0"/>
        <w:spacing w:before="0" w:line="360" w:lineRule="auto"/>
        <w:rPr>
          <w:rFonts w:ascii="楷体" w:hAnsi="楷体" w:eastAsia="楷体" w:cs="楷体"/>
          <w:b w:val="0"/>
          <w:bCs w:val="0"/>
          <w:iCs/>
          <w:color w:val="auto"/>
          <w:sz w:val="24"/>
          <w:szCs w:val="24"/>
        </w:rPr>
      </w:pPr>
      <w:r>
        <w:rPr>
          <w:color w:val="auto"/>
        </w:rPr>
        <w:fldChar w:fldCharType="begin"/>
      </w:r>
      <w:r>
        <w:rPr>
          <w:color w:val="auto"/>
        </w:rPr>
        <w:instrText xml:space="preserve"> HYPERLINK \l "_Toc25704" </w:instrText>
      </w:r>
      <w:r>
        <w:rPr>
          <w:color w:val="auto"/>
        </w:rPr>
        <w:fldChar w:fldCharType="separate"/>
      </w:r>
      <w:r>
        <w:rPr>
          <w:rFonts w:hint="eastAsia" w:ascii="楷体" w:hAnsi="楷体" w:eastAsia="楷体" w:cs="楷体"/>
          <w:b w:val="0"/>
          <w:bCs w:val="0"/>
          <w:iCs/>
          <w:color w:val="auto"/>
          <w:sz w:val="24"/>
          <w:szCs w:val="24"/>
          <w:lang w:val="zh-CN"/>
        </w:rPr>
        <w:t>（五） 附表</w:t>
      </w:r>
      <w:r>
        <w:rPr>
          <w:rFonts w:hint="eastAsia" w:ascii="楷体" w:hAnsi="楷体" w:eastAsia="楷体" w:cs="楷体"/>
          <w:b w:val="0"/>
          <w:bCs w:val="0"/>
          <w:iCs/>
          <w:color w:val="auto"/>
          <w:sz w:val="24"/>
          <w:szCs w:val="24"/>
        </w:rPr>
        <w:tab/>
      </w:r>
      <w:r>
        <w:rPr>
          <w:rFonts w:hint="eastAsia" w:ascii="楷体" w:hAnsi="楷体" w:eastAsia="楷体" w:cs="楷体"/>
          <w:b w:val="0"/>
          <w:bCs w:val="0"/>
          <w:iCs/>
          <w:color w:val="auto"/>
          <w:sz w:val="24"/>
          <w:szCs w:val="24"/>
        </w:rPr>
        <w:fldChar w:fldCharType="begin"/>
      </w:r>
      <w:r>
        <w:rPr>
          <w:rFonts w:hint="eastAsia" w:ascii="楷体" w:hAnsi="楷体" w:eastAsia="楷体" w:cs="楷体"/>
          <w:b w:val="0"/>
          <w:bCs w:val="0"/>
          <w:iCs/>
          <w:color w:val="auto"/>
          <w:sz w:val="24"/>
          <w:szCs w:val="24"/>
        </w:rPr>
        <w:instrText xml:space="preserve"> PAGEREF _Toc25704 \h </w:instrText>
      </w:r>
      <w:r>
        <w:rPr>
          <w:rFonts w:hint="eastAsia" w:ascii="楷体" w:hAnsi="楷体" w:eastAsia="楷体" w:cs="楷体"/>
          <w:b w:val="0"/>
          <w:bCs w:val="0"/>
          <w:iCs/>
          <w:color w:val="auto"/>
          <w:sz w:val="24"/>
          <w:szCs w:val="24"/>
        </w:rPr>
        <w:fldChar w:fldCharType="separate"/>
      </w:r>
      <w:r>
        <w:rPr>
          <w:rFonts w:hint="eastAsia" w:ascii="楷体" w:hAnsi="楷体" w:eastAsia="楷体" w:cs="楷体"/>
          <w:b w:val="0"/>
          <w:bCs w:val="0"/>
          <w:iCs/>
          <w:color w:val="auto"/>
          <w:sz w:val="24"/>
          <w:szCs w:val="24"/>
        </w:rPr>
        <w:t>31</w:t>
      </w:r>
      <w:r>
        <w:rPr>
          <w:rFonts w:hint="eastAsia" w:ascii="楷体" w:hAnsi="楷体" w:eastAsia="楷体" w:cs="楷体"/>
          <w:b w:val="0"/>
          <w:bCs w:val="0"/>
          <w:iCs/>
          <w:color w:val="auto"/>
          <w:sz w:val="24"/>
          <w:szCs w:val="24"/>
        </w:rPr>
        <w:fldChar w:fldCharType="end"/>
      </w:r>
      <w:r>
        <w:rPr>
          <w:rFonts w:hint="eastAsia" w:ascii="楷体" w:hAnsi="楷体" w:eastAsia="楷体" w:cs="楷体"/>
          <w:b w:val="0"/>
          <w:bCs w:val="0"/>
          <w:iCs/>
          <w:color w:val="auto"/>
          <w:sz w:val="24"/>
          <w:szCs w:val="24"/>
        </w:rPr>
        <w:fldChar w:fldCharType="end"/>
      </w:r>
    </w:p>
    <w:p w14:paraId="177DCCC1">
      <w:pPr>
        <w:pStyle w:val="29"/>
        <w:tabs>
          <w:tab w:val="right" w:leader="dot" w:pos="8306"/>
        </w:tabs>
        <w:adjustRightInd w:val="0"/>
        <w:snapToGrid w:val="0"/>
        <w:spacing w:before="0" w:line="360" w:lineRule="auto"/>
        <w:rPr>
          <w:rFonts w:ascii="楷体" w:hAnsi="楷体" w:eastAsia="楷体" w:cs="楷体"/>
          <w:i w:val="0"/>
          <w:color w:val="auto"/>
        </w:rPr>
      </w:pPr>
      <w:r>
        <w:rPr>
          <w:color w:val="auto"/>
        </w:rPr>
        <w:fldChar w:fldCharType="begin"/>
      </w:r>
      <w:r>
        <w:rPr>
          <w:color w:val="auto"/>
        </w:rPr>
        <w:instrText xml:space="preserve"> HYPERLINK \l "_Toc6782" </w:instrText>
      </w:r>
      <w:r>
        <w:rPr>
          <w:color w:val="auto"/>
        </w:rPr>
        <w:fldChar w:fldCharType="separate"/>
      </w:r>
      <w:r>
        <w:rPr>
          <w:rFonts w:hint="eastAsia" w:ascii="楷体" w:hAnsi="楷体" w:eastAsia="楷体" w:cs="楷体"/>
          <w:i w:val="0"/>
          <w:color w:val="auto"/>
        </w:rPr>
        <w:t>第四章用户需求书</w:t>
      </w:r>
      <w:r>
        <w:rPr>
          <w:rFonts w:hint="eastAsia" w:ascii="楷体" w:hAnsi="楷体" w:eastAsia="楷体" w:cs="楷体"/>
          <w:i w:val="0"/>
          <w:color w:val="auto"/>
        </w:rPr>
        <w:tab/>
      </w:r>
      <w:r>
        <w:rPr>
          <w:rFonts w:hint="eastAsia" w:ascii="楷体" w:hAnsi="楷体" w:eastAsia="楷体" w:cs="楷体"/>
          <w:i w:val="0"/>
          <w:color w:val="auto"/>
        </w:rPr>
        <w:fldChar w:fldCharType="begin"/>
      </w:r>
      <w:r>
        <w:rPr>
          <w:rFonts w:hint="eastAsia" w:ascii="楷体" w:hAnsi="楷体" w:eastAsia="楷体" w:cs="楷体"/>
          <w:i w:val="0"/>
          <w:color w:val="auto"/>
        </w:rPr>
        <w:instrText xml:space="preserve"> PAGEREF _Toc6782 \h </w:instrText>
      </w:r>
      <w:r>
        <w:rPr>
          <w:rFonts w:hint="eastAsia" w:ascii="楷体" w:hAnsi="楷体" w:eastAsia="楷体" w:cs="楷体"/>
          <w:i w:val="0"/>
          <w:color w:val="auto"/>
        </w:rPr>
        <w:fldChar w:fldCharType="separate"/>
      </w:r>
      <w:r>
        <w:rPr>
          <w:rFonts w:hint="eastAsia" w:ascii="楷体" w:hAnsi="楷体" w:eastAsia="楷体" w:cs="楷体"/>
          <w:i w:val="0"/>
          <w:color w:val="auto"/>
        </w:rPr>
        <w:t>38</w:t>
      </w:r>
      <w:r>
        <w:rPr>
          <w:rFonts w:hint="eastAsia" w:ascii="楷体" w:hAnsi="楷体" w:eastAsia="楷体" w:cs="楷体"/>
          <w:i w:val="0"/>
          <w:color w:val="auto"/>
        </w:rPr>
        <w:fldChar w:fldCharType="end"/>
      </w:r>
      <w:r>
        <w:rPr>
          <w:rFonts w:hint="eastAsia" w:ascii="楷体" w:hAnsi="楷体" w:eastAsia="楷体" w:cs="楷体"/>
          <w:i w:val="0"/>
          <w:color w:val="auto"/>
        </w:rPr>
        <w:fldChar w:fldCharType="end"/>
      </w:r>
    </w:p>
    <w:p w14:paraId="575A591C">
      <w:pPr>
        <w:pStyle w:val="29"/>
        <w:tabs>
          <w:tab w:val="right" w:leader="dot" w:pos="8306"/>
        </w:tabs>
        <w:adjustRightInd w:val="0"/>
        <w:snapToGrid w:val="0"/>
        <w:spacing w:before="0" w:line="360" w:lineRule="auto"/>
        <w:rPr>
          <w:rFonts w:ascii="楷体" w:hAnsi="楷体" w:eastAsia="楷体" w:cs="楷体"/>
          <w:i w:val="0"/>
          <w:color w:val="auto"/>
        </w:rPr>
      </w:pPr>
      <w:r>
        <w:rPr>
          <w:color w:val="auto"/>
        </w:rPr>
        <w:fldChar w:fldCharType="begin"/>
      </w:r>
      <w:r>
        <w:rPr>
          <w:color w:val="auto"/>
        </w:rPr>
        <w:instrText xml:space="preserve"> HYPERLINK \l "_Toc29839" </w:instrText>
      </w:r>
      <w:r>
        <w:rPr>
          <w:color w:val="auto"/>
        </w:rPr>
        <w:fldChar w:fldCharType="separate"/>
      </w:r>
      <w:r>
        <w:rPr>
          <w:rFonts w:hint="eastAsia" w:ascii="楷体" w:hAnsi="楷体" w:eastAsia="楷体" w:cs="楷体"/>
          <w:i w:val="0"/>
          <w:color w:val="auto"/>
        </w:rPr>
        <w:t>第五章合同格式</w:t>
      </w:r>
      <w:r>
        <w:rPr>
          <w:rFonts w:hint="eastAsia" w:ascii="楷体" w:hAnsi="楷体" w:eastAsia="楷体" w:cs="楷体"/>
          <w:i w:val="0"/>
          <w:color w:val="auto"/>
        </w:rPr>
        <w:tab/>
      </w:r>
      <w:r>
        <w:rPr>
          <w:rFonts w:hint="eastAsia" w:ascii="楷体" w:hAnsi="楷体" w:eastAsia="楷体" w:cs="楷体"/>
          <w:i w:val="0"/>
          <w:color w:val="auto"/>
        </w:rPr>
        <w:fldChar w:fldCharType="begin"/>
      </w:r>
      <w:r>
        <w:rPr>
          <w:rFonts w:hint="eastAsia" w:ascii="楷体" w:hAnsi="楷体" w:eastAsia="楷体" w:cs="楷体"/>
          <w:i w:val="0"/>
          <w:color w:val="auto"/>
        </w:rPr>
        <w:instrText xml:space="preserve"> PAGEREF _Toc29839 \h </w:instrText>
      </w:r>
      <w:r>
        <w:rPr>
          <w:rFonts w:hint="eastAsia" w:ascii="楷体" w:hAnsi="楷体" w:eastAsia="楷体" w:cs="楷体"/>
          <w:i w:val="0"/>
          <w:color w:val="auto"/>
        </w:rPr>
        <w:fldChar w:fldCharType="separate"/>
      </w:r>
      <w:r>
        <w:rPr>
          <w:rFonts w:hint="eastAsia" w:ascii="楷体" w:hAnsi="楷体" w:eastAsia="楷体" w:cs="楷体"/>
          <w:i w:val="0"/>
          <w:color w:val="auto"/>
        </w:rPr>
        <w:t>48</w:t>
      </w:r>
      <w:r>
        <w:rPr>
          <w:rFonts w:hint="eastAsia" w:ascii="楷体" w:hAnsi="楷体" w:eastAsia="楷体" w:cs="楷体"/>
          <w:i w:val="0"/>
          <w:color w:val="auto"/>
        </w:rPr>
        <w:fldChar w:fldCharType="end"/>
      </w:r>
      <w:r>
        <w:rPr>
          <w:rFonts w:hint="eastAsia" w:ascii="楷体" w:hAnsi="楷体" w:eastAsia="楷体" w:cs="楷体"/>
          <w:i w:val="0"/>
          <w:color w:val="auto"/>
        </w:rPr>
        <w:fldChar w:fldCharType="end"/>
      </w:r>
    </w:p>
    <w:p w14:paraId="117291C1">
      <w:pPr>
        <w:pStyle w:val="29"/>
        <w:tabs>
          <w:tab w:val="right" w:leader="dot" w:pos="8306"/>
        </w:tabs>
        <w:adjustRightInd w:val="0"/>
        <w:snapToGrid w:val="0"/>
        <w:spacing w:before="0" w:line="360" w:lineRule="auto"/>
        <w:rPr>
          <w:rFonts w:ascii="楷体" w:hAnsi="楷体" w:eastAsia="楷体" w:cs="楷体"/>
          <w:i w:val="0"/>
          <w:color w:val="auto"/>
        </w:rPr>
      </w:pPr>
      <w:r>
        <w:rPr>
          <w:color w:val="auto"/>
        </w:rPr>
        <w:fldChar w:fldCharType="begin"/>
      </w:r>
      <w:r>
        <w:rPr>
          <w:color w:val="auto"/>
        </w:rPr>
        <w:instrText xml:space="preserve"> HYPERLINK \l "_Toc27411" </w:instrText>
      </w:r>
      <w:r>
        <w:rPr>
          <w:color w:val="auto"/>
        </w:rPr>
        <w:fldChar w:fldCharType="separate"/>
      </w:r>
      <w:r>
        <w:rPr>
          <w:rFonts w:hint="eastAsia" w:ascii="楷体" w:hAnsi="楷体" w:eastAsia="楷体" w:cs="楷体"/>
          <w:i w:val="0"/>
          <w:color w:val="auto"/>
        </w:rPr>
        <w:t>第六章投标文件格式</w:t>
      </w:r>
      <w:r>
        <w:rPr>
          <w:rFonts w:hint="eastAsia" w:ascii="楷体" w:hAnsi="楷体" w:eastAsia="楷体" w:cs="楷体"/>
          <w:i w:val="0"/>
          <w:color w:val="auto"/>
        </w:rPr>
        <w:tab/>
      </w:r>
      <w:r>
        <w:rPr>
          <w:rFonts w:hint="eastAsia" w:ascii="楷体" w:hAnsi="楷体" w:eastAsia="楷体" w:cs="楷体"/>
          <w:i w:val="0"/>
          <w:color w:val="auto"/>
        </w:rPr>
        <w:t>6</w:t>
      </w:r>
      <w:r>
        <w:rPr>
          <w:rFonts w:hint="eastAsia" w:ascii="楷体" w:hAnsi="楷体" w:eastAsia="楷体" w:cs="楷体"/>
          <w:i w:val="0"/>
          <w:color w:val="auto"/>
        </w:rPr>
        <w:fldChar w:fldCharType="end"/>
      </w:r>
      <w:r>
        <w:rPr>
          <w:rFonts w:hint="eastAsia" w:ascii="楷体" w:hAnsi="楷体" w:eastAsia="楷体" w:cs="楷体"/>
          <w:i w:val="0"/>
          <w:color w:val="auto"/>
        </w:rPr>
        <w:t>4</w:t>
      </w:r>
    </w:p>
    <w:p w14:paraId="721AF074">
      <w:pPr>
        <w:adjustRightInd w:val="0"/>
        <w:snapToGrid w:val="0"/>
        <w:spacing w:line="360" w:lineRule="auto"/>
        <w:rPr>
          <w:rFonts w:ascii="楷体" w:hAnsi="楷体" w:eastAsia="楷体" w:cs="楷体"/>
          <w:color w:val="auto"/>
        </w:rPr>
      </w:pPr>
      <w:r>
        <w:rPr>
          <w:rFonts w:hint="eastAsia" w:ascii="楷体" w:hAnsi="楷体" w:eastAsia="楷体" w:cs="楷体"/>
          <w:iCs/>
          <w:color w:val="auto"/>
          <w:sz w:val="24"/>
        </w:rPr>
        <w:fldChar w:fldCharType="end"/>
      </w:r>
      <w:r>
        <w:rPr>
          <w:rFonts w:hint="eastAsia" w:ascii="楷体" w:hAnsi="楷体" w:eastAsia="楷体" w:cs="楷体"/>
          <w:iCs/>
          <w:color w:val="auto"/>
          <w:szCs w:val="21"/>
        </w:rPr>
        <w:br w:type="page"/>
      </w:r>
      <w:bookmarkStart w:id="40" w:name="_Toc27984"/>
    </w:p>
    <w:p w14:paraId="10605633">
      <w:pPr>
        <w:pStyle w:val="34"/>
        <w:rPr>
          <w:rFonts w:ascii="楷体" w:hAnsi="楷体" w:eastAsia="楷体" w:cs="楷体"/>
          <w:color w:val="auto"/>
        </w:rPr>
      </w:pPr>
    </w:p>
    <w:p w14:paraId="22392907">
      <w:pPr>
        <w:pStyle w:val="34"/>
        <w:rPr>
          <w:rFonts w:ascii="楷体" w:hAnsi="楷体" w:eastAsia="楷体" w:cs="楷体"/>
          <w:color w:val="auto"/>
        </w:rPr>
      </w:pPr>
    </w:p>
    <w:p w14:paraId="77277A8B">
      <w:pPr>
        <w:pStyle w:val="34"/>
        <w:rPr>
          <w:rFonts w:ascii="楷体" w:hAnsi="楷体" w:eastAsia="楷体" w:cs="楷体"/>
          <w:color w:val="auto"/>
        </w:rPr>
      </w:pPr>
    </w:p>
    <w:p w14:paraId="08AE5B10">
      <w:pPr>
        <w:pStyle w:val="34"/>
        <w:rPr>
          <w:rFonts w:ascii="楷体" w:hAnsi="楷体" w:eastAsia="楷体" w:cs="楷体"/>
          <w:color w:val="auto"/>
        </w:rPr>
      </w:pPr>
    </w:p>
    <w:p w14:paraId="7FEAF7D7">
      <w:pPr>
        <w:pStyle w:val="34"/>
        <w:rPr>
          <w:rFonts w:ascii="楷体" w:hAnsi="楷体" w:eastAsia="楷体" w:cs="楷体"/>
          <w:color w:val="auto"/>
        </w:rPr>
      </w:pPr>
    </w:p>
    <w:p w14:paraId="1DCD8D9F">
      <w:pPr>
        <w:pStyle w:val="34"/>
        <w:rPr>
          <w:rFonts w:ascii="楷体" w:hAnsi="楷体" w:eastAsia="楷体" w:cs="楷体"/>
          <w:color w:val="auto"/>
        </w:rPr>
      </w:pPr>
    </w:p>
    <w:p w14:paraId="3F9F7B47">
      <w:pPr>
        <w:pStyle w:val="34"/>
        <w:rPr>
          <w:rFonts w:ascii="楷体" w:hAnsi="楷体" w:eastAsia="楷体" w:cs="楷体"/>
          <w:color w:val="auto"/>
        </w:rPr>
      </w:pPr>
    </w:p>
    <w:p w14:paraId="65F75364">
      <w:pPr>
        <w:pStyle w:val="34"/>
        <w:rPr>
          <w:rFonts w:ascii="楷体" w:hAnsi="楷体" w:eastAsia="楷体" w:cs="楷体"/>
          <w:color w:val="auto"/>
        </w:rPr>
      </w:pPr>
    </w:p>
    <w:p w14:paraId="24E28813">
      <w:pPr>
        <w:pStyle w:val="34"/>
        <w:rPr>
          <w:rFonts w:ascii="楷体" w:hAnsi="楷体" w:eastAsia="楷体" w:cs="楷体"/>
          <w:color w:val="auto"/>
        </w:rPr>
      </w:pPr>
    </w:p>
    <w:p w14:paraId="50E45389">
      <w:pPr>
        <w:pStyle w:val="34"/>
        <w:rPr>
          <w:rFonts w:ascii="楷体" w:hAnsi="楷体" w:eastAsia="楷体" w:cs="楷体"/>
          <w:color w:val="auto"/>
        </w:rPr>
      </w:pPr>
    </w:p>
    <w:p w14:paraId="401AC121">
      <w:pPr>
        <w:pStyle w:val="34"/>
        <w:rPr>
          <w:rFonts w:ascii="楷体" w:hAnsi="楷体" w:eastAsia="楷体" w:cs="楷体"/>
          <w:color w:val="auto"/>
        </w:rPr>
      </w:pPr>
    </w:p>
    <w:p w14:paraId="02A3402D">
      <w:pPr>
        <w:pStyle w:val="34"/>
        <w:rPr>
          <w:rFonts w:ascii="楷体" w:hAnsi="楷体" w:eastAsia="楷体" w:cs="楷体"/>
          <w:color w:val="auto"/>
        </w:rPr>
      </w:pPr>
    </w:p>
    <w:p w14:paraId="7DBB4893">
      <w:pPr>
        <w:pStyle w:val="34"/>
        <w:rPr>
          <w:rFonts w:ascii="楷体" w:hAnsi="楷体" w:eastAsia="楷体" w:cs="楷体"/>
          <w:color w:val="auto"/>
        </w:rPr>
      </w:pPr>
    </w:p>
    <w:p w14:paraId="223A5949">
      <w:pPr>
        <w:pStyle w:val="34"/>
        <w:rPr>
          <w:rFonts w:ascii="楷体" w:hAnsi="楷体" w:eastAsia="楷体" w:cs="楷体"/>
          <w:color w:val="auto"/>
        </w:rPr>
      </w:pPr>
    </w:p>
    <w:p w14:paraId="34BF9D98">
      <w:pPr>
        <w:pStyle w:val="34"/>
        <w:rPr>
          <w:rFonts w:ascii="楷体" w:hAnsi="楷体" w:eastAsia="楷体" w:cs="楷体"/>
          <w:color w:val="auto"/>
        </w:rPr>
      </w:pPr>
    </w:p>
    <w:p w14:paraId="293B5633">
      <w:pPr>
        <w:rPr>
          <w:rFonts w:ascii="楷体" w:hAnsi="楷体" w:eastAsia="楷体" w:cs="楷体"/>
          <w:color w:val="auto"/>
        </w:rPr>
      </w:pPr>
      <w:bookmarkStart w:id="41" w:name="_Toc21441"/>
      <w:bookmarkStart w:id="42" w:name="_Toc23625"/>
      <w:bookmarkStart w:id="43" w:name="_Toc23117"/>
    </w:p>
    <w:p w14:paraId="09627BC2">
      <w:pPr>
        <w:pStyle w:val="2"/>
        <w:jc w:val="center"/>
        <w:rPr>
          <w:rFonts w:ascii="楷体" w:hAnsi="楷体" w:eastAsia="楷体" w:cs="楷体"/>
          <w:color w:val="auto"/>
        </w:rPr>
      </w:pPr>
      <w:bookmarkStart w:id="44" w:name="_Toc30729"/>
      <w:r>
        <w:rPr>
          <w:rFonts w:hint="eastAsia" w:ascii="楷体" w:hAnsi="楷体" w:eastAsia="楷体" w:cs="楷体"/>
          <w:color w:val="auto"/>
        </w:rPr>
        <w:t>第一章</w:t>
      </w:r>
      <w:bookmarkEnd w:id="0"/>
      <w:bookmarkEnd w:id="1"/>
      <w:bookmarkEnd w:id="2"/>
      <w:bookmarkEnd w:id="3"/>
      <w:bookmarkEnd w:id="4"/>
      <w:bookmarkEnd w:id="5"/>
      <w:bookmarkEnd w:id="6"/>
      <w:bookmarkEnd w:id="7"/>
      <w:r>
        <w:rPr>
          <w:rFonts w:hint="eastAsia" w:ascii="楷体" w:hAnsi="楷体" w:eastAsia="楷体" w:cs="楷体"/>
          <w:color w:val="auto"/>
        </w:rPr>
        <w:t>投标邀请函</w:t>
      </w:r>
      <w:bookmarkEnd w:id="8"/>
      <w:bookmarkEnd w:id="40"/>
      <w:bookmarkEnd w:id="41"/>
      <w:bookmarkEnd w:id="42"/>
      <w:bookmarkEnd w:id="43"/>
      <w:bookmarkEnd w:id="44"/>
    </w:p>
    <w:p w14:paraId="3139F101">
      <w:pPr>
        <w:spacing w:after="120" w:afterLines="50"/>
        <w:jc w:val="center"/>
        <w:rPr>
          <w:rFonts w:ascii="楷体" w:hAnsi="楷体" w:eastAsia="楷体" w:cs="楷体"/>
          <w:b/>
          <w:bCs/>
          <w:color w:val="auto"/>
          <w:sz w:val="32"/>
          <w:szCs w:val="32"/>
        </w:rPr>
      </w:pPr>
      <w:r>
        <w:rPr>
          <w:rFonts w:hint="eastAsia" w:ascii="楷体" w:hAnsi="楷体" w:eastAsia="楷体" w:cs="楷体"/>
          <w:b/>
          <w:bCs/>
          <w:color w:val="auto"/>
          <w:sz w:val="32"/>
          <w:szCs w:val="32"/>
        </w:rPr>
        <w:br w:type="page"/>
      </w:r>
      <w:r>
        <w:rPr>
          <w:rFonts w:hint="eastAsia" w:ascii="楷体" w:hAnsi="楷体" w:eastAsia="楷体" w:cs="楷体"/>
          <w:b/>
          <w:bCs/>
          <w:color w:val="auto"/>
          <w:sz w:val="32"/>
          <w:szCs w:val="32"/>
        </w:rPr>
        <w:t>投标邀请函</w:t>
      </w:r>
    </w:p>
    <w:p w14:paraId="3DA9FFFD">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广东鼎信招标采购有限公司受广东烟草梅州市有限公司平远县分公司的委托，就广东烟草梅州市有限公司平远分公司车辆维修定点服务项目进行公开招标采购，欢迎符合资格条件的供应商（服务商）投标。</w:t>
      </w:r>
    </w:p>
    <w:p w14:paraId="5CDD3479">
      <w:pPr>
        <w:numPr>
          <w:ilvl w:val="0"/>
          <w:numId w:val="0"/>
        </w:numPr>
        <w:adjustRightInd w:val="0"/>
        <w:snapToGrid w:val="0"/>
        <w:spacing w:line="360" w:lineRule="auto"/>
        <w:ind w:left="-60" w:leftChars="0" w:firstLine="42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一、</w:t>
      </w:r>
      <w:r>
        <w:rPr>
          <w:rFonts w:hint="eastAsia" w:ascii="楷体" w:hAnsi="楷体" w:eastAsia="楷体" w:cs="楷体"/>
          <w:color w:val="auto"/>
          <w:sz w:val="24"/>
        </w:rPr>
        <w:t>项目编号：DXZB-2025GPA0302</w:t>
      </w:r>
    </w:p>
    <w:p w14:paraId="6A5B1147">
      <w:pPr>
        <w:numPr>
          <w:ilvl w:val="0"/>
          <w:numId w:val="0"/>
        </w:numPr>
        <w:adjustRightInd w:val="0"/>
        <w:snapToGrid w:val="0"/>
        <w:spacing w:line="360" w:lineRule="auto"/>
        <w:ind w:left="2040" w:leftChars="0" w:hanging="16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二、</w:t>
      </w:r>
      <w:r>
        <w:rPr>
          <w:rFonts w:hint="eastAsia" w:ascii="楷体" w:hAnsi="楷体" w:eastAsia="楷体" w:cs="楷体"/>
          <w:color w:val="auto"/>
          <w:sz w:val="24"/>
        </w:rPr>
        <w:t>项目名称：广东烟草梅州市有限公司平远分公司车辆维修定点服务项目</w:t>
      </w:r>
    </w:p>
    <w:p w14:paraId="4F8C4DE7">
      <w:pPr>
        <w:numPr>
          <w:ilvl w:val="0"/>
          <w:numId w:val="0"/>
        </w:numPr>
        <w:adjustRightInd w:val="0"/>
        <w:snapToGrid w:val="0"/>
        <w:spacing w:line="360" w:lineRule="auto"/>
        <w:ind w:left="-60" w:leftChars="0" w:firstLine="42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三、</w:t>
      </w:r>
      <w:r>
        <w:rPr>
          <w:rFonts w:hint="eastAsia" w:ascii="楷体" w:hAnsi="楷体" w:eastAsia="楷体" w:cs="楷体"/>
          <w:color w:val="auto"/>
          <w:sz w:val="24"/>
        </w:rPr>
        <w:t>项目内容及需求：</w:t>
      </w:r>
    </w:p>
    <w:p w14:paraId="54A61257">
      <w:pPr>
        <w:numPr>
          <w:ilvl w:val="0"/>
          <w:numId w:val="0"/>
        </w:numPr>
        <w:tabs>
          <w:tab w:val="left" w:pos="840"/>
          <w:tab w:val="left" w:pos="1080"/>
        </w:tabs>
        <w:adjustRightInd w:val="0"/>
        <w:snapToGrid w:val="0"/>
        <w:spacing w:line="360" w:lineRule="auto"/>
        <w:ind w:left="0" w:leftChars="0" w:firstLine="420" w:firstLineChars="0"/>
        <w:rPr>
          <w:rFonts w:ascii="楷体" w:hAnsi="楷体" w:eastAsia="楷体" w:cs="楷体"/>
          <w:color w:val="auto"/>
          <w:sz w:val="24"/>
        </w:rPr>
      </w:pPr>
      <w:r>
        <w:rPr>
          <w:rFonts w:hint="default" w:ascii="楷体" w:hAnsi="楷体" w:eastAsia="楷体" w:cs="楷体"/>
          <w:color w:val="auto"/>
          <w:kern w:val="2"/>
          <w:sz w:val="24"/>
          <w:szCs w:val="24"/>
          <w:lang w:val="en-US" w:eastAsia="zh-CN" w:bidi="ar-SA"/>
        </w:rPr>
        <w:t>1、</w:t>
      </w:r>
      <w:r>
        <w:rPr>
          <w:rFonts w:hint="eastAsia" w:ascii="楷体" w:hAnsi="楷体" w:eastAsia="楷体" w:cs="楷体"/>
          <w:color w:val="auto"/>
          <w:sz w:val="24"/>
        </w:rPr>
        <w:t>项目内容：</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3054"/>
        <w:gridCol w:w="2921"/>
      </w:tblGrid>
      <w:tr w14:paraId="692F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493" w:type="pct"/>
            <w:shd w:val="clear" w:color="auto" w:fill="EEECE1"/>
            <w:vAlign w:val="center"/>
          </w:tcPr>
          <w:p w14:paraId="704C0E78">
            <w:pPr>
              <w:spacing w:line="360" w:lineRule="auto"/>
              <w:jc w:val="center"/>
              <w:rPr>
                <w:rFonts w:ascii="楷体" w:hAnsi="楷体" w:eastAsia="楷体" w:cs="楷体"/>
                <w:b/>
                <w:color w:val="auto"/>
                <w:sz w:val="24"/>
              </w:rPr>
            </w:pPr>
            <w:r>
              <w:rPr>
                <w:rFonts w:hint="eastAsia" w:ascii="楷体" w:hAnsi="楷体" w:eastAsia="楷体" w:cs="楷体"/>
                <w:b/>
                <w:color w:val="auto"/>
                <w:sz w:val="24"/>
              </w:rPr>
              <w:t>招标内容</w:t>
            </w:r>
          </w:p>
        </w:tc>
        <w:tc>
          <w:tcPr>
            <w:tcW w:w="1792" w:type="pct"/>
            <w:shd w:val="clear" w:color="auto" w:fill="EEECE1"/>
            <w:vAlign w:val="center"/>
          </w:tcPr>
          <w:p w14:paraId="7A328742">
            <w:pPr>
              <w:spacing w:line="360" w:lineRule="auto"/>
              <w:jc w:val="center"/>
              <w:rPr>
                <w:rFonts w:ascii="楷体" w:hAnsi="楷体" w:eastAsia="楷体" w:cs="楷体"/>
                <w:b/>
                <w:color w:val="auto"/>
                <w:sz w:val="24"/>
              </w:rPr>
            </w:pPr>
            <w:r>
              <w:rPr>
                <w:rFonts w:hint="eastAsia" w:ascii="楷体" w:hAnsi="楷体" w:eastAsia="楷体" w:cs="楷体"/>
                <w:b/>
                <w:color w:val="auto"/>
                <w:sz w:val="24"/>
              </w:rPr>
              <w:t>预算金额</w:t>
            </w:r>
          </w:p>
        </w:tc>
        <w:tc>
          <w:tcPr>
            <w:tcW w:w="1714" w:type="pct"/>
            <w:shd w:val="clear" w:color="auto" w:fill="EEECE1"/>
            <w:vAlign w:val="center"/>
          </w:tcPr>
          <w:p w14:paraId="228F21A7">
            <w:pPr>
              <w:spacing w:line="360" w:lineRule="auto"/>
              <w:jc w:val="center"/>
              <w:rPr>
                <w:rFonts w:ascii="楷体" w:hAnsi="楷体" w:eastAsia="楷体" w:cs="楷体"/>
                <w:b/>
                <w:color w:val="auto"/>
                <w:sz w:val="24"/>
              </w:rPr>
            </w:pPr>
            <w:r>
              <w:rPr>
                <w:rFonts w:hint="eastAsia" w:ascii="楷体" w:hAnsi="楷体" w:eastAsia="楷体" w:cs="楷体"/>
                <w:b/>
                <w:color w:val="auto"/>
                <w:sz w:val="24"/>
              </w:rPr>
              <w:t>服务期</w:t>
            </w:r>
          </w:p>
        </w:tc>
      </w:tr>
      <w:tr w14:paraId="32CB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93" w:type="pct"/>
            <w:vAlign w:val="center"/>
          </w:tcPr>
          <w:p w14:paraId="6106A924">
            <w:pPr>
              <w:jc w:val="center"/>
              <w:rPr>
                <w:rFonts w:ascii="楷体" w:hAnsi="楷体" w:eastAsia="楷体" w:cs="楷体"/>
                <w:color w:val="auto"/>
                <w:sz w:val="24"/>
              </w:rPr>
            </w:pPr>
            <w:r>
              <w:rPr>
                <w:rFonts w:hint="eastAsia" w:ascii="楷体" w:hAnsi="楷体" w:eastAsia="楷体" w:cs="楷体"/>
                <w:color w:val="auto"/>
                <w:sz w:val="24"/>
              </w:rPr>
              <w:t>平远分公司车辆维修定点服务</w:t>
            </w:r>
          </w:p>
        </w:tc>
        <w:tc>
          <w:tcPr>
            <w:tcW w:w="1792" w:type="pct"/>
            <w:vAlign w:val="center"/>
          </w:tcPr>
          <w:p w14:paraId="19E99E88">
            <w:pPr>
              <w:jc w:val="center"/>
              <w:rPr>
                <w:rFonts w:ascii="楷体" w:hAnsi="楷体" w:eastAsia="楷体" w:cs="楷体"/>
                <w:color w:val="auto"/>
                <w:sz w:val="24"/>
              </w:rPr>
            </w:pPr>
            <w:r>
              <w:rPr>
                <w:rFonts w:hint="eastAsia" w:ascii="楷体" w:hAnsi="楷体" w:eastAsia="楷体" w:cs="楷体"/>
                <w:color w:val="auto"/>
                <w:sz w:val="24"/>
              </w:rPr>
              <w:t>人民币21万元/三年</w:t>
            </w:r>
          </w:p>
        </w:tc>
        <w:tc>
          <w:tcPr>
            <w:tcW w:w="1714" w:type="pct"/>
            <w:vAlign w:val="center"/>
          </w:tcPr>
          <w:p w14:paraId="4A560C81">
            <w:pPr>
              <w:jc w:val="center"/>
              <w:rPr>
                <w:rFonts w:ascii="楷体" w:hAnsi="楷体" w:eastAsia="楷体" w:cs="楷体"/>
                <w:color w:val="auto"/>
                <w:sz w:val="24"/>
              </w:rPr>
            </w:pPr>
            <w:r>
              <w:rPr>
                <w:rFonts w:hint="eastAsia" w:ascii="楷体" w:hAnsi="楷体" w:eastAsia="楷体" w:cs="楷体"/>
                <w:color w:val="auto"/>
                <w:sz w:val="24"/>
              </w:rPr>
              <w:t>2026年1月1日-2028年12月31日</w:t>
            </w:r>
          </w:p>
        </w:tc>
      </w:tr>
    </w:tbl>
    <w:p w14:paraId="25B67BD4">
      <w:pPr>
        <w:numPr>
          <w:ilvl w:val="0"/>
          <w:numId w:val="0"/>
        </w:numPr>
        <w:tabs>
          <w:tab w:val="left" w:pos="1092"/>
        </w:tabs>
        <w:adjustRightInd w:val="0"/>
        <w:snapToGrid w:val="0"/>
        <w:spacing w:line="360" w:lineRule="auto"/>
        <w:ind w:left="0" w:leftChars="0" w:firstLine="420" w:firstLineChars="0"/>
        <w:rPr>
          <w:rFonts w:ascii="楷体" w:hAnsi="楷体" w:eastAsia="楷体" w:cs="楷体"/>
          <w:color w:val="auto"/>
          <w:sz w:val="24"/>
        </w:rPr>
      </w:pPr>
      <w:r>
        <w:rPr>
          <w:rFonts w:hint="default" w:ascii="楷体" w:hAnsi="楷体" w:eastAsia="楷体" w:cs="楷体"/>
          <w:color w:val="auto"/>
          <w:kern w:val="2"/>
          <w:sz w:val="24"/>
          <w:szCs w:val="24"/>
          <w:lang w:val="en-US" w:eastAsia="zh-CN" w:bidi="ar-SA"/>
        </w:rPr>
        <w:t>2、</w:t>
      </w:r>
      <w:r>
        <w:rPr>
          <w:rFonts w:hint="eastAsia" w:ascii="楷体" w:hAnsi="楷体" w:eastAsia="楷体" w:cs="楷体"/>
          <w:color w:val="auto"/>
          <w:sz w:val="24"/>
        </w:rPr>
        <w:t>采购项目技术规格及要求：详见本招标文件《用户需求书》。</w:t>
      </w:r>
    </w:p>
    <w:p w14:paraId="5BE90976">
      <w:pPr>
        <w:numPr>
          <w:ilvl w:val="0"/>
          <w:numId w:val="0"/>
        </w:numPr>
        <w:tabs>
          <w:tab w:val="left" w:pos="1092"/>
        </w:tabs>
        <w:adjustRightInd w:val="0"/>
        <w:snapToGrid w:val="0"/>
        <w:spacing w:line="360" w:lineRule="auto"/>
        <w:ind w:left="0" w:leftChars="0" w:firstLine="420" w:firstLineChars="0"/>
        <w:rPr>
          <w:rFonts w:ascii="楷体" w:hAnsi="楷体" w:eastAsia="楷体" w:cs="楷体"/>
          <w:iCs/>
          <w:color w:val="auto"/>
          <w:sz w:val="24"/>
        </w:rPr>
      </w:pPr>
      <w:r>
        <w:rPr>
          <w:rFonts w:hint="default" w:ascii="楷体" w:hAnsi="楷体" w:eastAsia="楷体" w:cs="楷体"/>
          <w:iCs/>
          <w:color w:val="auto"/>
          <w:kern w:val="2"/>
          <w:sz w:val="24"/>
          <w:szCs w:val="24"/>
          <w:lang w:val="en-US" w:eastAsia="zh-CN" w:bidi="ar-SA"/>
        </w:rPr>
        <w:t>3、</w:t>
      </w:r>
      <w:r>
        <w:rPr>
          <w:rFonts w:hint="eastAsia" w:ascii="楷体" w:hAnsi="楷体" w:eastAsia="楷体" w:cs="楷体"/>
          <w:iCs/>
          <w:color w:val="auto"/>
          <w:sz w:val="24"/>
        </w:rPr>
        <w:t>本项目为一个整体，投标人须对全部内容进行投标，不得分拆。</w:t>
      </w:r>
    </w:p>
    <w:p w14:paraId="0DEC8578">
      <w:pPr>
        <w:numPr>
          <w:ilvl w:val="0"/>
          <w:numId w:val="0"/>
        </w:numPr>
        <w:adjustRightInd w:val="0"/>
        <w:snapToGrid w:val="0"/>
        <w:spacing w:line="360" w:lineRule="auto"/>
        <w:ind w:left="-60" w:leftChars="0" w:firstLine="42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四、</w:t>
      </w:r>
      <w:r>
        <w:rPr>
          <w:rFonts w:hint="eastAsia" w:ascii="楷体" w:hAnsi="楷体" w:eastAsia="楷体" w:cs="楷体"/>
          <w:color w:val="auto"/>
          <w:sz w:val="24"/>
        </w:rPr>
        <w:t>供应商（服务商）资格：</w:t>
      </w:r>
    </w:p>
    <w:p w14:paraId="3A0A8950">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1、在中华人民共和国境内注册具有经营资格能独立承担民事责任的法人或其他组织；</w:t>
      </w:r>
    </w:p>
    <w:p w14:paraId="3432A179">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2、单位负责人为同一人或者存在直接控股、管理关系的不同供应商，不得同时参加本招标项目投标；</w:t>
      </w:r>
    </w:p>
    <w:p w14:paraId="69F112CF">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3、参加本项招标活动前三年内，在经营活动中无严重违法记录；</w:t>
      </w:r>
    </w:p>
    <w:p w14:paraId="39563088">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4、投标人没有处于被责令停业、财产被接管、冻结、破产状态；</w:t>
      </w:r>
    </w:p>
    <w:p w14:paraId="53506A2F">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5、有依法缴纳税收和社会保障资金的良好记录（须提供开标截止之日前6个月内任意1个月依法缴纳税收和社会保障资金相关证明材料或依法免税证明）；</w:t>
      </w:r>
    </w:p>
    <w:p w14:paraId="537DF524">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6、投标人承诺在参加本次招投标活动之日前3年内（公司成立不足三年的从成立之日起计算）无下列所述不良行为记录：</w:t>
      </w:r>
    </w:p>
    <w:p w14:paraId="73420507">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6.1在“中国裁判文书网”（网址：https://wenshu.court.gov.cn/）查询近三年以来本单位已生效相关刑事判决书、刑事裁定书中不存在行贿行为记录,同时提供该网站查询结果截图及投标人无行贿行为记录的承诺函。（《承诺函》格式详见招标文件附件）。行贿行为查询指南:“进入首页-点击高级搜索-打开案件类型-选择刑事案件-在当事人栏内输入查询主体名称-全文检索处输入行贿”， 查看所有与该投标人及其法定代表人相关的刑事案件，如有行贿案件或事实，都应当截图并纳入查询结果。</w:t>
      </w:r>
    </w:p>
    <w:p w14:paraId="56DC0875">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6.2在“信用中国”网站（网址：https://www.creditchina.gov.cn/）查询政府采购严重违法失信行为记录名单、失信被执行人、重大税收违法失信主体信息，同时提供该网站查询结果截图及投标人企业无政府采购严重违法失信行为记录名单、失信被执行人、重大税收违法失信主体信息的承诺函（提供查询截图与《承诺函》，《承诺函》格式详见招标文件附件）。查询指南：在“信用中国”网站首页找到“专项查询”，点击“专项查询”跳转进入查询界面-分别点击“政府采购严重违法失信行为记录名单”、“失信被执行人”、“重大税收违法失信主体”-输入查询主体名称-查询并截图。其中，“失信被执行人”跳转至“中国执行信息公开网”（zxgk.court.gov.cn），按跳转页面查询并截图。</w:t>
      </w:r>
    </w:p>
    <w:p w14:paraId="557B56D6">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6.3 投标人未被列入“国家企业信用信息公示系统”，在“国家企业信用信息公示系统”网站（网址：http://www.gsxt.gov.cn/index.html）查询本单位没有被纳入严重违法失信企业名单以及无相关行政处罚信息，同时提供该网站查询结果截图及投标人企业无被纳入严重违法失信企业名单及相关行政处罚记录的承诺函（《承诺函》格式详见招标文件附件）。</w:t>
      </w:r>
    </w:p>
    <w:p w14:paraId="69C9FC8E">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 xml:space="preserve">注：（1）上述网站的查询结果以招标人、招标代理机构于评标当日通过“中国裁判文书网”、“信用中国”、“国家企业信用信息公示系统”等网站的查询结果为准，招标代理机构在评标当日将同时将上述网站的现场查询结果进行截图保存或下载存档保存并将查询结果提供给评审委员会，由评审委员会根据现场查询结果依法作出有关决定。如在现场查询时发现投标人相关失信记录已失效，招标代理机构和评审委员会有权要求投标人提供相关证明资料，评审委员会将根据投标人提供的补充证明资料进行评审。投标人未能按评审委员会要求提供相关证明资料的视为放弃响应。因国家法律法规规定以外的原因，投标人提供的证明材料与原投标文件的实质性内容不一致时，视为投标人放弃响应。（2）投标人为分支机构的，应同时对其所属总公司进行信用记录查询，其所属总公司存在不良行为记录的，视同投标人存在不良行为记录。 </w:t>
      </w:r>
    </w:p>
    <w:p w14:paraId="3EDB6253">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7、在烟草行业供应商不良行为数据库未查询到投标人、法定代表人、主要负责人、行贿人信息及处罚限制措施等。（以投标截止日当天招标人出具的网页查询结果截图为准）</w:t>
      </w:r>
    </w:p>
    <w:p w14:paraId="5A2C5C6F">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8、投标人必须具有交通运输部门颁发的有效期内《道路运输经营许可证》或《机动车维修经营备案表》，经营范围须包含二类或二类以上机动车维修。</w:t>
      </w:r>
    </w:p>
    <w:p w14:paraId="7F093AA4">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9、向行业内干部职工行贿，被列入烟草企业存在行贿行为供应商名单且在禁入期内的投标人，不得参加本次投标。（以招标人出具名单为准）</w:t>
      </w:r>
    </w:p>
    <w:p w14:paraId="2D34F0F0">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10、本项目不接受联合体投标，中标后不得转包、不得分包。（提供书面承诺）</w:t>
      </w:r>
    </w:p>
    <w:p w14:paraId="63C81CC9">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11、已办理投标登记并领购本项目招标文件。</w:t>
      </w:r>
    </w:p>
    <w:p w14:paraId="169B6C5B">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备注：</w:t>
      </w:r>
    </w:p>
    <w:p w14:paraId="6F567CB2">
      <w:pPr>
        <w:numPr>
          <w:ilvl w:val="0"/>
          <w:numId w:val="0"/>
        </w:numPr>
        <w:adjustRightInd w:val="0"/>
        <w:snapToGrid w:val="0"/>
        <w:spacing w:line="360" w:lineRule="auto"/>
        <w:ind w:left="0" w:leftChars="0" w:firstLine="482" w:firstLineChars="200"/>
        <w:rPr>
          <w:rFonts w:ascii="楷体" w:hAnsi="楷体" w:eastAsia="楷体" w:cs="楷体"/>
          <w:b/>
          <w:color w:val="auto"/>
          <w:sz w:val="24"/>
        </w:rPr>
      </w:pPr>
      <w:r>
        <w:rPr>
          <w:rFonts w:hint="default" w:ascii="楷体" w:hAnsi="楷体" w:eastAsia="楷体" w:cs="楷体"/>
          <w:b/>
          <w:color w:val="auto"/>
          <w:kern w:val="2"/>
          <w:sz w:val="24"/>
          <w:szCs w:val="24"/>
          <w:lang w:val="en-US" w:eastAsia="zh-CN" w:bidi="ar-SA"/>
        </w:rPr>
        <w:t>1、</w:t>
      </w:r>
      <w:r>
        <w:rPr>
          <w:rFonts w:hint="eastAsia" w:ascii="楷体" w:hAnsi="楷体" w:eastAsia="楷体" w:cs="楷体"/>
          <w:b/>
          <w:color w:val="auto"/>
          <w:sz w:val="24"/>
        </w:rPr>
        <w:t>请投标人凭</w:t>
      </w:r>
      <w:r>
        <w:rPr>
          <w:rFonts w:hint="eastAsia" w:ascii="楷体" w:hAnsi="楷体" w:eastAsia="楷体" w:cs="楷体"/>
          <w:b/>
          <w:color w:val="auto"/>
          <w:sz w:val="24"/>
          <w:u w:val="double"/>
        </w:rPr>
        <w:t>《文件售卖登记表》（采购代理机构网站—首页下载）</w:t>
      </w:r>
      <w:r>
        <w:rPr>
          <w:rFonts w:hint="eastAsia" w:ascii="楷体" w:hAnsi="楷体" w:eastAsia="楷体" w:cs="楷体"/>
          <w:b/>
          <w:color w:val="auto"/>
          <w:sz w:val="24"/>
        </w:rPr>
        <w:t>加盖公司公章至采购代理机构处现场领购招标文件。</w:t>
      </w:r>
    </w:p>
    <w:p w14:paraId="160B82A8">
      <w:pPr>
        <w:numPr>
          <w:ilvl w:val="0"/>
          <w:numId w:val="0"/>
        </w:numPr>
        <w:adjustRightInd w:val="0"/>
        <w:snapToGrid w:val="0"/>
        <w:spacing w:line="360" w:lineRule="auto"/>
        <w:ind w:left="0" w:leftChars="0" w:firstLine="480" w:firstLineChars="200"/>
        <w:rPr>
          <w:rFonts w:ascii="楷体" w:hAnsi="楷体" w:eastAsia="楷体" w:cs="楷体"/>
          <w:color w:val="auto"/>
          <w:sz w:val="24"/>
        </w:rPr>
      </w:pPr>
      <w:r>
        <w:rPr>
          <w:rFonts w:hint="default" w:ascii="楷体" w:hAnsi="楷体" w:eastAsia="楷体" w:cs="楷体"/>
          <w:color w:val="auto"/>
          <w:kern w:val="2"/>
          <w:sz w:val="24"/>
          <w:szCs w:val="24"/>
          <w:lang w:val="en-US" w:eastAsia="zh-CN" w:bidi="ar-SA"/>
        </w:rPr>
        <w:t>2、</w:t>
      </w:r>
      <w:r>
        <w:rPr>
          <w:rFonts w:hint="eastAsia" w:ascii="楷体" w:hAnsi="楷体" w:eastAsia="楷体" w:cs="楷体"/>
          <w:color w:val="auto"/>
          <w:sz w:val="24"/>
        </w:rPr>
        <w:t>招标文件发售：500元/套，线上领购招标文件者，请将资料扫描件上传至平台，经采购代理机构工作人员确认后进行购标。在任何情况下采购代理机构对邮寄过程中发生的迟交或遗失均不承担责任。</w:t>
      </w:r>
    </w:p>
    <w:p w14:paraId="1FE87CAB">
      <w:pPr>
        <w:numPr>
          <w:ilvl w:val="0"/>
          <w:numId w:val="0"/>
        </w:numPr>
        <w:adjustRightInd w:val="0"/>
        <w:snapToGrid w:val="0"/>
        <w:spacing w:line="360" w:lineRule="auto"/>
        <w:ind w:left="0" w:leftChars="0" w:firstLine="480" w:firstLineChars="200"/>
        <w:rPr>
          <w:rFonts w:ascii="楷体" w:hAnsi="楷体" w:eastAsia="楷体" w:cs="楷体"/>
          <w:color w:val="auto"/>
          <w:sz w:val="24"/>
        </w:rPr>
      </w:pPr>
      <w:r>
        <w:rPr>
          <w:rFonts w:hint="default" w:ascii="楷体" w:hAnsi="楷体" w:eastAsia="楷体" w:cs="楷体"/>
          <w:color w:val="auto"/>
          <w:kern w:val="2"/>
          <w:sz w:val="24"/>
          <w:szCs w:val="24"/>
          <w:lang w:val="en-US" w:eastAsia="zh-CN" w:bidi="ar-SA"/>
        </w:rPr>
        <w:t>3、</w:t>
      </w:r>
      <w:r>
        <w:rPr>
          <w:rFonts w:hint="eastAsia" w:ascii="楷体" w:hAnsi="楷体" w:eastAsia="楷体" w:cs="楷体"/>
          <w:color w:val="auto"/>
          <w:sz w:val="24"/>
        </w:rPr>
        <w:t>购买招标文件账户信息（采购代理机构只接受以投标人名义的汇款，不接受个人的汇款及其它款项）：</w:t>
      </w:r>
    </w:p>
    <w:p w14:paraId="5CF5F2A5">
      <w:pPr>
        <w:numPr>
          <w:ilvl w:val="0"/>
          <w:numId w:val="0"/>
        </w:numPr>
        <w:adjustRightInd w:val="0"/>
        <w:snapToGrid w:val="0"/>
        <w:spacing w:line="360" w:lineRule="auto"/>
        <w:ind w:left="0" w:leftChars="0" w:firstLine="480" w:firstLineChars="200"/>
        <w:rPr>
          <w:rFonts w:ascii="楷体" w:hAnsi="楷体" w:eastAsia="楷体" w:cs="楷体"/>
          <w:bCs/>
          <w:color w:val="auto"/>
          <w:sz w:val="24"/>
        </w:rPr>
      </w:pPr>
      <w:r>
        <w:rPr>
          <w:rFonts w:hint="default" w:ascii="楷体" w:hAnsi="楷体" w:eastAsia="楷体" w:cs="楷体"/>
          <w:bCs/>
          <w:color w:val="auto"/>
          <w:kern w:val="2"/>
          <w:sz w:val="24"/>
          <w:szCs w:val="24"/>
          <w:lang w:val="en-US" w:eastAsia="zh-CN" w:bidi="ar-SA"/>
        </w:rPr>
        <w:t>（1）</w:t>
      </w:r>
      <w:r>
        <w:rPr>
          <w:rFonts w:hint="eastAsia" w:ascii="楷体" w:hAnsi="楷体" w:eastAsia="楷体" w:cs="楷体"/>
          <w:bCs/>
          <w:color w:val="auto"/>
          <w:sz w:val="24"/>
        </w:rPr>
        <w:t>开户银行名称：中国建设银行股份有限公司广州石牌支行</w:t>
      </w:r>
    </w:p>
    <w:p w14:paraId="5454102D">
      <w:pPr>
        <w:numPr>
          <w:ilvl w:val="0"/>
          <w:numId w:val="0"/>
        </w:numPr>
        <w:adjustRightInd w:val="0"/>
        <w:snapToGrid w:val="0"/>
        <w:spacing w:line="360" w:lineRule="auto"/>
        <w:ind w:left="0" w:leftChars="0" w:firstLine="480" w:firstLineChars="200"/>
        <w:rPr>
          <w:rFonts w:ascii="楷体" w:hAnsi="楷体" w:eastAsia="楷体" w:cs="楷体"/>
          <w:bCs/>
          <w:color w:val="auto"/>
          <w:sz w:val="24"/>
        </w:rPr>
      </w:pPr>
      <w:r>
        <w:rPr>
          <w:rFonts w:hint="default" w:ascii="楷体" w:hAnsi="楷体" w:eastAsia="楷体" w:cs="楷体"/>
          <w:bCs/>
          <w:color w:val="auto"/>
          <w:kern w:val="2"/>
          <w:sz w:val="24"/>
          <w:szCs w:val="24"/>
          <w:lang w:val="en-US" w:eastAsia="zh-CN" w:bidi="ar-SA"/>
        </w:rPr>
        <w:t>（2）</w:t>
      </w:r>
      <w:r>
        <w:rPr>
          <w:rFonts w:hint="eastAsia" w:ascii="楷体" w:hAnsi="楷体" w:eastAsia="楷体" w:cs="楷体"/>
          <w:bCs/>
          <w:color w:val="auto"/>
          <w:sz w:val="24"/>
        </w:rPr>
        <w:t>单位名称：</w:t>
      </w:r>
      <w:r>
        <w:rPr>
          <w:rFonts w:hint="eastAsia" w:ascii="楷体" w:hAnsi="楷体" w:eastAsia="楷体" w:cs="楷体"/>
          <w:color w:val="auto"/>
          <w:sz w:val="24"/>
        </w:rPr>
        <w:t>广东鼎信招标采购有限公司</w:t>
      </w:r>
    </w:p>
    <w:p w14:paraId="7DBD1FD6">
      <w:pPr>
        <w:numPr>
          <w:ilvl w:val="0"/>
          <w:numId w:val="0"/>
        </w:numPr>
        <w:adjustRightInd w:val="0"/>
        <w:snapToGrid w:val="0"/>
        <w:spacing w:line="360" w:lineRule="auto"/>
        <w:ind w:left="0" w:leftChars="0" w:firstLine="480" w:firstLineChars="200"/>
        <w:rPr>
          <w:rFonts w:ascii="楷体" w:hAnsi="楷体" w:eastAsia="楷体" w:cs="楷体"/>
          <w:bCs/>
          <w:color w:val="auto"/>
          <w:sz w:val="24"/>
        </w:rPr>
      </w:pPr>
      <w:r>
        <w:rPr>
          <w:rFonts w:hint="default" w:ascii="楷体" w:hAnsi="楷体" w:eastAsia="楷体" w:cs="楷体"/>
          <w:bCs/>
          <w:color w:val="auto"/>
          <w:kern w:val="2"/>
          <w:sz w:val="24"/>
          <w:szCs w:val="24"/>
          <w:lang w:val="en-US" w:eastAsia="zh-CN" w:bidi="ar-SA"/>
        </w:rPr>
        <w:t>（3）</w:t>
      </w:r>
      <w:r>
        <w:rPr>
          <w:rFonts w:hint="eastAsia" w:ascii="楷体" w:hAnsi="楷体" w:eastAsia="楷体" w:cs="楷体"/>
          <w:bCs/>
          <w:color w:val="auto"/>
          <w:sz w:val="24"/>
        </w:rPr>
        <w:t xml:space="preserve">账号：44050158050200000686 </w:t>
      </w:r>
    </w:p>
    <w:p w14:paraId="379A088C">
      <w:pPr>
        <w:numPr>
          <w:ilvl w:val="0"/>
          <w:numId w:val="0"/>
        </w:numPr>
        <w:adjustRightInd w:val="0"/>
        <w:snapToGrid w:val="0"/>
        <w:spacing w:line="360" w:lineRule="auto"/>
        <w:ind w:left="0" w:leftChars="0" w:firstLine="480" w:firstLineChars="200"/>
        <w:rPr>
          <w:rFonts w:ascii="楷体" w:hAnsi="楷体" w:eastAsia="楷体" w:cs="楷体"/>
          <w:color w:val="auto"/>
          <w:sz w:val="24"/>
        </w:rPr>
      </w:pPr>
      <w:r>
        <w:rPr>
          <w:rFonts w:hint="default" w:ascii="楷体" w:hAnsi="楷体" w:eastAsia="楷体" w:cs="楷体"/>
          <w:color w:val="auto"/>
          <w:kern w:val="2"/>
          <w:sz w:val="24"/>
          <w:szCs w:val="24"/>
          <w:lang w:val="en-US" w:eastAsia="zh-CN" w:bidi="ar-SA"/>
        </w:rPr>
        <w:t>4、</w:t>
      </w:r>
      <w:r>
        <w:rPr>
          <w:rFonts w:hint="eastAsia" w:ascii="楷体" w:hAnsi="楷体" w:eastAsia="楷体" w:cs="楷体"/>
          <w:color w:val="auto"/>
          <w:sz w:val="24"/>
        </w:rPr>
        <w:t>采购代理机构网址：www.gddingxin.com</w:t>
      </w:r>
    </w:p>
    <w:p w14:paraId="577999B7">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五、</w:t>
      </w:r>
      <w:r>
        <w:rPr>
          <w:rFonts w:hint="eastAsia" w:ascii="楷体" w:hAnsi="楷体" w:eastAsia="楷体" w:cs="楷体"/>
          <w:color w:val="auto"/>
          <w:sz w:val="24"/>
        </w:rPr>
        <w:t>符合资格的供应商（服务商）应当在2025年</w:t>
      </w:r>
      <w:r>
        <w:rPr>
          <w:rFonts w:hint="eastAsia" w:ascii="楷体" w:hAnsi="楷体" w:eastAsia="楷体" w:cs="楷体"/>
          <w:color w:val="auto"/>
          <w:sz w:val="24"/>
          <w:lang w:val="en-US" w:eastAsia="zh-CN"/>
        </w:rPr>
        <w:t>9</w:t>
      </w:r>
      <w:r>
        <w:rPr>
          <w:rFonts w:hint="eastAsia" w:ascii="楷体" w:hAnsi="楷体" w:eastAsia="楷体" w:cs="楷体"/>
          <w:color w:val="auto"/>
          <w:sz w:val="24"/>
        </w:rPr>
        <w:t>月</w:t>
      </w:r>
      <w:r>
        <w:rPr>
          <w:rFonts w:hint="eastAsia" w:ascii="楷体" w:hAnsi="楷体" w:eastAsia="楷体" w:cs="楷体"/>
          <w:color w:val="auto"/>
          <w:sz w:val="24"/>
          <w:lang w:val="en-US" w:eastAsia="zh-CN"/>
        </w:rPr>
        <w:t>23</w:t>
      </w:r>
      <w:r>
        <w:rPr>
          <w:rFonts w:hint="eastAsia" w:ascii="楷体" w:hAnsi="楷体" w:eastAsia="楷体" w:cs="楷体"/>
          <w:color w:val="auto"/>
          <w:sz w:val="24"/>
        </w:rPr>
        <w:t>日至2025年</w:t>
      </w:r>
      <w:r>
        <w:rPr>
          <w:rFonts w:hint="eastAsia" w:ascii="楷体" w:hAnsi="楷体" w:eastAsia="楷体" w:cs="楷体"/>
          <w:color w:val="auto"/>
          <w:sz w:val="24"/>
          <w:lang w:val="en-US" w:eastAsia="zh-CN"/>
        </w:rPr>
        <w:t>9</w:t>
      </w:r>
      <w:r>
        <w:rPr>
          <w:rFonts w:hint="eastAsia" w:ascii="楷体" w:hAnsi="楷体" w:eastAsia="楷体" w:cs="楷体"/>
          <w:color w:val="auto"/>
          <w:sz w:val="24"/>
        </w:rPr>
        <w:t>月</w:t>
      </w:r>
      <w:r>
        <w:rPr>
          <w:rFonts w:hint="eastAsia" w:ascii="楷体" w:hAnsi="楷体" w:eastAsia="楷体" w:cs="楷体"/>
          <w:color w:val="auto"/>
          <w:sz w:val="24"/>
          <w:lang w:val="en-US" w:eastAsia="zh-CN"/>
        </w:rPr>
        <w:t>30</w:t>
      </w:r>
      <w:r>
        <w:rPr>
          <w:rFonts w:hint="eastAsia" w:ascii="楷体" w:hAnsi="楷体" w:eastAsia="楷体" w:cs="楷体"/>
          <w:color w:val="auto"/>
          <w:sz w:val="24"/>
        </w:rPr>
        <w:t>日期间（上午09:00至12:00,下午14:30至17:30，法定节假日除外）领购招标文件，招标文件每套售价500元/套（人民币），售后不退。</w:t>
      </w:r>
    </w:p>
    <w:p w14:paraId="6600DFB2">
      <w:pPr>
        <w:pStyle w:val="52"/>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领购方式：</w:t>
      </w:r>
    </w:p>
    <w:p w14:paraId="3ADA5245">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①现场领购：广东鼎信招标采购有限公司（详细地址：广州市越秀区东风东路699号广东港澳中心402室）</w:t>
      </w:r>
    </w:p>
    <w:p w14:paraId="0B6CDB42">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②线上领购：打开www.gddingxin.com电子招标平台供应商入口，登录平台进行领购或将报名资料扫描件发至采购代理机构邮箱（E－mail：GDdingxin@163.com），经采购代理机构工作人员确认后办理相关手续。</w:t>
      </w:r>
    </w:p>
    <w:p w14:paraId="62A78CC2">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六、</w:t>
      </w:r>
      <w:r>
        <w:rPr>
          <w:rFonts w:hint="eastAsia" w:ascii="楷体" w:hAnsi="楷体" w:eastAsia="楷体" w:cs="楷体"/>
          <w:color w:val="auto"/>
          <w:sz w:val="24"/>
        </w:rPr>
        <w:t>投标截止时间：2025年</w:t>
      </w:r>
      <w:r>
        <w:rPr>
          <w:rFonts w:hint="eastAsia" w:ascii="楷体" w:hAnsi="楷体" w:eastAsia="楷体" w:cs="楷体"/>
          <w:color w:val="auto"/>
          <w:sz w:val="24"/>
          <w:lang w:val="en-US" w:eastAsia="zh-CN"/>
        </w:rPr>
        <w:t>10</w:t>
      </w:r>
      <w:r>
        <w:rPr>
          <w:rFonts w:hint="eastAsia" w:ascii="楷体" w:hAnsi="楷体" w:eastAsia="楷体" w:cs="楷体"/>
          <w:color w:val="auto"/>
          <w:sz w:val="24"/>
        </w:rPr>
        <w:t>月</w:t>
      </w:r>
      <w:r>
        <w:rPr>
          <w:rFonts w:hint="eastAsia" w:ascii="楷体" w:hAnsi="楷体" w:eastAsia="楷体" w:cs="楷体"/>
          <w:color w:val="auto"/>
          <w:sz w:val="24"/>
          <w:lang w:val="en-US" w:eastAsia="zh-CN"/>
        </w:rPr>
        <w:t>15</w:t>
      </w:r>
      <w:r>
        <w:rPr>
          <w:rFonts w:hint="eastAsia" w:ascii="楷体" w:hAnsi="楷体" w:eastAsia="楷体" w:cs="楷体"/>
          <w:color w:val="auto"/>
          <w:sz w:val="24"/>
        </w:rPr>
        <w:t>日</w:t>
      </w:r>
      <w:r>
        <w:rPr>
          <w:rFonts w:hint="eastAsia" w:ascii="楷体" w:hAnsi="楷体" w:eastAsia="楷体" w:cs="楷体"/>
          <w:color w:val="auto"/>
          <w:sz w:val="24"/>
          <w:lang w:val="en-US" w:eastAsia="zh-CN"/>
        </w:rPr>
        <w:t>14</w:t>
      </w:r>
      <w:r>
        <w:rPr>
          <w:rFonts w:hint="eastAsia" w:ascii="楷体" w:hAnsi="楷体" w:eastAsia="楷体" w:cs="楷体"/>
          <w:color w:val="auto"/>
          <w:sz w:val="24"/>
        </w:rPr>
        <w:t>时</w:t>
      </w:r>
      <w:r>
        <w:rPr>
          <w:rFonts w:hint="eastAsia" w:ascii="楷体" w:hAnsi="楷体" w:eastAsia="楷体" w:cs="楷体"/>
          <w:color w:val="auto"/>
          <w:sz w:val="24"/>
          <w:lang w:val="en-US" w:eastAsia="zh-CN"/>
        </w:rPr>
        <w:t>30</w:t>
      </w:r>
      <w:r>
        <w:rPr>
          <w:rFonts w:hint="eastAsia" w:ascii="楷体" w:hAnsi="楷体" w:eastAsia="楷体" w:cs="楷体"/>
          <w:color w:val="auto"/>
          <w:sz w:val="24"/>
        </w:rPr>
        <w:t>分</w:t>
      </w:r>
    </w:p>
    <w:p w14:paraId="761F9701">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七、</w:t>
      </w:r>
      <w:r>
        <w:rPr>
          <w:rFonts w:hint="eastAsia" w:ascii="楷体" w:hAnsi="楷体" w:eastAsia="楷体" w:cs="楷体"/>
          <w:color w:val="auto"/>
          <w:sz w:val="24"/>
        </w:rPr>
        <w:t>提交投标文件地点：</w:t>
      </w:r>
      <w:r>
        <w:rPr>
          <w:rFonts w:hint="eastAsia" w:ascii="楷体" w:hAnsi="楷体" w:eastAsia="楷体" w:cs="楷体"/>
          <w:color w:val="auto"/>
          <w:sz w:val="26"/>
          <w:szCs w:val="26"/>
        </w:rPr>
        <w:t>电子平台</w:t>
      </w:r>
    </w:p>
    <w:p w14:paraId="437A0FF2">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八、</w:t>
      </w:r>
      <w:r>
        <w:rPr>
          <w:rFonts w:hint="eastAsia" w:ascii="楷体" w:hAnsi="楷体" w:eastAsia="楷体" w:cs="楷体"/>
          <w:color w:val="auto"/>
          <w:sz w:val="24"/>
        </w:rPr>
        <w:t>开标时间：2025年</w:t>
      </w:r>
      <w:r>
        <w:rPr>
          <w:rFonts w:hint="eastAsia" w:ascii="楷体" w:hAnsi="楷体" w:eastAsia="楷体" w:cs="楷体"/>
          <w:color w:val="auto"/>
          <w:sz w:val="24"/>
          <w:lang w:val="en-US" w:eastAsia="zh-CN"/>
        </w:rPr>
        <w:t>10</w:t>
      </w:r>
      <w:r>
        <w:rPr>
          <w:rFonts w:hint="eastAsia" w:ascii="楷体" w:hAnsi="楷体" w:eastAsia="楷体" w:cs="楷体"/>
          <w:color w:val="auto"/>
          <w:sz w:val="24"/>
        </w:rPr>
        <w:t>月</w:t>
      </w:r>
      <w:r>
        <w:rPr>
          <w:rFonts w:hint="eastAsia" w:ascii="楷体" w:hAnsi="楷体" w:eastAsia="楷体" w:cs="楷体"/>
          <w:color w:val="auto"/>
          <w:sz w:val="24"/>
          <w:lang w:val="en-US" w:eastAsia="zh-CN"/>
        </w:rPr>
        <w:t>15</w:t>
      </w:r>
      <w:r>
        <w:rPr>
          <w:rFonts w:hint="eastAsia" w:ascii="楷体" w:hAnsi="楷体" w:eastAsia="楷体" w:cs="楷体"/>
          <w:color w:val="auto"/>
          <w:sz w:val="24"/>
        </w:rPr>
        <w:t>日</w:t>
      </w:r>
      <w:r>
        <w:rPr>
          <w:rFonts w:hint="eastAsia" w:ascii="楷体" w:hAnsi="楷体" w:eastAsia="楷体" w:cs="楷体"/>
          <w:color w:val="auto"/>
          <w:sz w:val="24"/>
          <w:lang w:val="en-US" w:eastAsia="zh-CN"/>
        </w:rPr>
        <w:t>14</w:t>
      </w:r>
      <w:r>
        <w:rPr>
          <w:rFonts w:hint="eastAsia" w:ascii="楷体" w:hAnsi="楷体" w:eastAsia="楷体" w:cs="楷体"/>
          <w:color w:val="auto"/>
          <w:sz w:val="24"/>
        </w:rPr>
        <w:t>时</w:t>
      </w:r>
      <w:r>
        <w:rPr>
          <w:rFonts w:hint="eastAsia" w:ascii="楷体" w:hAnsi="楷体" w:eastAsia="楷体" w:cs="楷体"/>
          <w:color w:val="auto"/>
          <w:sz w:val="24"/>
          <w:lang w:val="en-US" w:eastAsia="zh-CN"/>
        </w:rPr>
        <w:t>30</w:t>
      </w:r>
      <w:r>
        <w:rPr>
          <w:rFonts w:hint="eastAsia" w:ascii="楷体" w:hAnsi="楷体" w:eastAsia="楷体" w:cs="楷体"/>
          <w:color w:val="auto"/>
          <w:sz w:val="24"/>
        </w:rPr>
        <w:t>分</w:t>
      </w:r>
    </w:p>
    <w:p w14:paraId="56FEF219">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九、</w:t>
      </w:r>
      <w:r>
        <w:rPr>
          <w:rFonts w:hint="eastAsia" w:ascii="楷体" w:hAnsi="楷体" w:eastAsia="楷体" w:cs="楷体"/>
          <w:color w:val="auto"/>
          <w:sz w:val="24"/>
        </w:rPr>
        <w:t>开标地点：远程电子开标</w:t>
      </w:r>
    </w:p>
    <w:p w14:paraId="2933DF26">
      <w:pPr>
        <w:numPr>
          <w:ilvl w:val="0"/>
          <w:numId w:val="0"/>
        </w:numPr>
        <w:adjustRightInd w:val="0"/>
        <w:snapToGrid w:val="0"/>
        <w:spacing w:line="360" w:lineRule="auto"/>
        <w:ind w:left="-60" w:leftChars="0" w:firstLine="480" w:firstLineChars="0"/>
        <w:rPr>
          <w:rFonts w:ascii="楷体" w:hAnsi="楷体" w:eastAsia="楷体" w:cs="楷体"/>
          <w:color w:val="auto"/>
          <w:sz w:val="24"/>
        </w:rPr>
      </w:pPr>
      <w:r>
        <w:rPr>
          <w:rFonts w:hint="eastAsia" w:ascii="楷体" w:hAnsi="楷体" w:eastAsia="楷体" w:cs="楷体"/>
          <w:color w:val="auto"/>
          <w:kern w:val="2"/>
          <w:sz w:val="24"/>
          <w:szCs w:val="24"/>
          <w:lang w:val="en-US" w:eastAsia="zh-CN" w:bidi="ar-SA"/>
        </w:rPr>
        <w:t>十、</w:t>
      </w:r>
      <w:r>
        <w:rPr>
          <w:rFonts w:hint="eastAsia" w:ascii="楷体" w:hAnsi="楷体" w:eastAsia="楷体" w:cs="楷体"/>
          <w:color w:val="auto"/>
          <w:sz w:val="24"/>
        </w:rPr>
        <w:t>联系事项</w:t>
      </w:r>
    </w:p>
    <w:p w14:paraId="14FBC932">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招标人：广东烟草梅州市有限公司平远县分公司</w:t>
      </w:r>
    </w:p>
    <w:p w14:paraId="31F42CE2">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地址：平远县大柘镇平远大道窑岃上29号</w:t>
      </w:r>
    </w:p>
    <w:p w14:paraId="5337812C">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联系人：丘工</w:t>
      </w:r>
    </w:p>
    <w:p w14:paraId="308743F5">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联系电话：0753-8896916</w:t>
      </w:r>
    </w:p>
    <w:p w14:paraId="7F3EF2CF">
      <w:pPr>
        <w:pStyle w:val="34"/>
        <w:adjustRightInd w:val="0"/>
        <w:snapToGrid w:val="0"/>
        <w:spacing w:after="0" w:line="360" w:lineRule="auto"/>
        <w:ind w:left="0" w:leftChars="0" w:firstLine="480" w:firstLineChars="200"/>
        <w:rPr>
          <w:rFonts w:ascii="楷体" w:hAnsi="楷体" w:eastAsia="楷体" w:cs="楷体"/>
          <w:color w:val="auto"/>
          <w:sz w:val="24"/>
        </w:rPr>
      </w:pPr>
    </w:p>
    <w:p w14:paraId="0CD41654">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招标代理机构：广东鼎信招标采购有限公司</w:t>
      </w:r>
    </w:p>
    <w:p w14:paraId="241B9E2A">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地址：广州市越秀区东风东路699号广东港澳中心402室</w:t>
      </w:r>
    </w:p>
    <w:p w14:paraId="1683B533">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联系人：蔡小姐、李小姐</w:t>
      </w:r>
    </w:p>
    <w:p w14:paraId="1A868E51">
      <w:pPr>
        <w:pStyle w:val="34"/>
        <w:adjustRightInd w:val="0"/>
        <w:snapToGrid w:val="0"/>
        <w:spacing w:after="0" w:line="360" w:lineRule="auto"/>
        <w:ind w:left="0" w:leftChars="0" w:firstLine="480" w:firstLineChars="200"/>
        <w:rPr>
          <w:rFonts w:ascii="楷体" w:hAnsi="楷体" w:eastAsia="楷体" w:cs="楷体"/>
          <w:color w:val="auto"/>
          <w:sz w:val="24"/>
        </w:rPr>
      </w:pPr>
      <w:r>
        <w:rPr>
          <w:rFonts w:hint="eastAsia" w:ascii="楷体" w:hAnsi="楷体" w:eastAsia="楷体" w:cs="楷体"/>
          <w:color w:val="auto"/>
          <w:sz w:val="24"/>
        </w:rPr>
        <w:t>联系电话：020-87188551、020-38939476</w:t>
      </w:r>
    </w:p>
    <w:p w14:paraId="4EE7DE48">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24739932">
      <w:pPr>
        <w:pStyle w:val="34"/>
        <w:adjustRightInd w:val="0"/>
        <w:snapToGrid w:val="0"/>
        <w:spacing w:after="0" w:line="360" w:lineRule="auto"/>
        <w:ind w:left="0" w:leftChars="0" w:firstLine="480" w:firstLineChars="200"/>
        <w:jc w:val="right"/>
        <w:rPr>
          <w:rFonts w:ascii="楷体" w:hAnsi="楷体" w:eastAsia="楷体" w:cs="楷体"/>
          <w:color w:val="auto"/>
          <w:sz w:val="24"/>
        </w:rPr>
      </w:pPr>
      <w:r>
        <w:rPr>
          <w:rFonts w:hint="eastAsia" w:ascii="楷体" w:hAnsi="楷体" w:eastAsia="楷体" w:cs="楷体"/>
          <w:color w:val="auto"/>
          <w:sz w:val="24"/>
        </w:rPr>
        <w:t>广东鼎信招标采购有限公司</w:t>
      </w:r>
    </w:p>
    <w:p w14:paraId="47319B89">
      <w:pPr>
        <w:pStyle w:val="34"/>
        <w:adjustRightInd w:val="0"/>
        <w:snapToGrid w:val="0"/>
        <w:spacing w:after="0" w:line="360" w:lineRule="auto"/>
        <w:ind w:left="0" w:leftChars="0" w:firstLine="480" w:firstLineChars="200"/>
        <w:jc w:val="right"/>
        <w:rPr>
          <w:rFonts w:ascii="楷体" w:hAnsi="楷体" w:eastAsia="楷体" w:cs="楷体"/>
          <w:color w:val="auto"/>
          <w:sz w:val="24"/>
        </w:rPr>
      </w:pPr>
      <w:r>
        <w:rPr>
          <w:rFonts w:hint="eastAsia" w:ascii="楷体" w:hAnsi="楷体" w:eastAsia="楷体" w:cs="楷体"/>
          <w:color w:val="auto"/>
          <w:sz w:val="24"/>
        </w:rPr>
        <w:t xml:space="preserve">  2025年</w:t>
      </w:r>
      <w:r>
        <w:rPr>
          <w:rFonts w:hint="eastAsia" w:ascii="楷体" w:hAnsi="楷体" w:eastAsia="楷体" w:cs="楷体"/>
          <w:color w:val="auto"/>
          <w:sz w:val="24"/>
          <w:lang w:val="en-US" w:eastAsia="zh-CN"/>
        </w:rPr>
        <w:t>9</w:t>
      </w:r>
      <w:r>
        <w:rPr>
          <w:rFonts w:hint="eastAsia" w:ascii="楷体" w:hAnsi="楷体" w:eastAsia="楷体" w:cs="楷体"/>
          <w:color w:val="auto"/>
          <w:sz w:val="24"/>
        </w:rPr>
        <w:t>月</w:t>
      </w:r>
      <w:r>
        <w:rPr>
          <w:rFonts w:hint="eastAsia" w:ascii="楷体" w:hAnsi="楷体" w:eastAsia="楷体" w:cs="楷体"/>
          <w:color w:val="auto"/>
          <w:sz w:val="24"/>
          <w:lang w:val="en-US" w:eastAsia="zh-CN"/>
        </w:rPr>
        <w:t>22</w:t>
      </w:r>
      <w:r>
        <w:rPr>
          <w:rFonts w:hint="eastAsia" w:ascii="楷体" w:hAnsi="楷体" w:eastAsia="楷体" w:cs="楷体"/>
          <w:color w:val="auto"/>
          <w:sz w:val="24"/>
        </w:rPr>
        <w:t>日</w:t>
      </w:r>
    </w:p>
    <w:p w14:paraId="1322A818">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532B5E46">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5AD8A530">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13E66CBA">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0BD573A9">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7A39C055">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1CAD5658">
      <w:pPr>
        <w:pStyle w:val="34"/>
        <w:adjustRightInd w:val="0"/>
        <w:snapToGrid w:val="0"/>
        <w:spacing w:after="0" w:line="360" w:lineRule="auto"/>
        <w:ind w:left="0" w:leftChars="0" w:firstLine="480" w:firstLineChars="200"/>
        <w:jc w:val="right"/>
        <w:rPr>
          <w:rFonts w:ascii="楷体" w:hAnsi="楷体" w:eastAsia="楷体" w:cs="楷体"/>
          <w:color w:val="auto"/>
          <w:sz w:val="24"/>
        </w:rPr>
      </w:pPr>
    </w:p>
    <w:p w14:paraId="54DE2400">
      <w:pPr>
        <w:keepNext/>
        <w:keepLines/>
        <w:tabs>
          <w:tab w:val="left" w:pos="1440"/>
        </w:tabs>
        <w:rPr>
          <w:rFonts w:ascii="楷体" w:hAnsi="楷体" w:eastAsia="楷体" w:cs="楷体"/>
          <w:color w:val="auto"/>
        </w:rPr>
      </w:pPr>
      <w:bookmarkStart w:id="45" w:name="_Toc26904"/>
      <w:bookmarkStart w:id="46" w:name="_Toc19356"/>
      <w:bookmarkStart w:id="47" w:name="_Toc23439"/>
      <w:bookmarkStart w:id="48" w:name="_Toc423021939"/>
      <w:bookmarkStart w:id="49" w:name="_Toc30196"/>
    </w:p>
    <w:p w14:paraId="7B308452">
      <w:pPr>
        <w:adjustRightInd w:val="0"/>
        <w:snapToGrid w:val="0"/>
        <w:spacing w:before="4800" w:beforeLines="2000" w:after="4800" w:afterLines="2000"/>
        <w:jc w:val="center"/>
        <w:outlineLvl w:val="0"/>
        <w:rPr>
          <w:rFonts w:ascii="楷体" w:hAnsi="楷体" w:eastAsia="楷体" w:cs="楷体"/>
          <w:color w:val="auto"/>
        </w:rPr>
      </w:pPr>
      <w:bookmarkStart w:id="50" w:name="_Toc22037"/>
      <w:r>
        <w:rPr>
          <w:rFonts w:hint="eastAsia" w:ascii="楷体" w:hAnsi="楷体" w:eastAsia="楷体" w:cs="楷体"/>
          <w:b/>
          <w:bCs/>
          <w:color w:val="auto"/>
          <w:kern w:val="44"/>
          <w:sz w:val="44"/>
          <w:szCs w:val="44"/>
        </w:rPr>
        <w:t>第二章投标人须知</w:t>
      </w:r>
      <w:bookmarkEnd w:id="45"/>
      <w:bookmarkEnd w:id="46"/>
      <w:bookmarkEnd w:id="47"/>
      <w:bookmarkEnd w:id="48"/>
      <w:bookmarkEnd w:id="49"/>
      <w:bookmarkEnd w:id="50"/>
    </w:p>
    <w:p w14:paraId="399AFF51">
      <w:pPr>
        <w:rPr>
          <w:rFonts w:ascii="楷体" w:hAnsi="楷体" w:eastAsia="楷体" w:cs="楷体"/>
          <w:color w:val="auto"/>
        </w:rPr>
      </w:pPr>
    </w:p>
    <w:p w14:paraId="6D1153D7">
      <w:pPr>
        <w:rPr>
          <w:rFonts w:ascii="楷体" w:hAnsi="楷体" w:eastAsia="楷体" w:cs="楷体"/>
          <w:color w:val="auto"/>
        </w:rPr>
      </w:pPr>
    </w:p>
    <w:p w14:paraId="6A212EE1">
      <w:pPr>
        <w:pStyle w:val="3"/>
        <w:jc w:val="center"/>
        <w:rPr>
          <w:rFonts w:ascii="楷体" w:hAnsi="楷体" w:eastAsia="楷体" w:cs="楷体"/>
          <w:color w:val="auto"/>
        </w:rPr>
      </w:pPr>
      <w:bookmarkStart w:id="51" w:name="_Toc26303"/>
      <w:bookmarkStart w:id="52" w:name="_Toc22617"/>
      <w:bookmarkStart w:id="53" w:name="_Toc21856"/>
      <w:bookmarkStart w:id="54" w:name="_Toc25435"/>
      <w:bookmarkStart w:id="55" w:name="_Toc15780"/>
      <w:r>
        <w:rPr>
          <w:rFonts w:hint="eastAsia" w:ascii="楷体" w:hAnsi="楷体" w:eastAsia="楷体" w:cs="楷体"/>
          <w:color w:val="auto"/>
        </w:rPr>
        <w:br w:type="page"/>
      </w:r>
      <w:bookmarkStart w:id="56" w:name="_Toc32756"/>
      <w:bookmarkStart w:id="57" w:name="_Toc18555"/>
      <w:r>
        <w:rPr>
          <w:rFonts w:hint="eastAsia" w:ascii="楷体" w:hAnsi="楷体" w:eastAsia="楷体" w:cs="楷体"/>
          <w:color w:val="auto"/>
        </w:rPr>
        <w:t>投标人须知前附表</w:t>
      </w:r>
      <w:bookmarkEnd w:id="51"/>
      <w:bookmarkEnd w:id="52"/>
      <w:bookmarkEnd w:id="53"/>
      <w:bookmarkEnd w:id="54"/>
      <w:bookmarkEnd w:id="55"/>
      <w:bookmarkEnd w:id="56"/>
      <w:bookmarkEnd w:id="57"/>
    </w:p>
    <w:p w14:paraId="00EB6AFD">
      <w:pPr>
        <w:spacing w:before="240" w:beforeLines="100" w:line="360" w:lineRule="auto"/>
        <w:ind w:right="-174" w:rightChars="-83" w:firstLine="480" w:firstLineChars="200"/>
        <w:rPr>
          <w:rFonts w:ascii="楷体" w:hAnsi="楷体" w:eastAsia="楷体" w:cs="楷体"/>
          <w:color w:val="auto"/>
          <w:sz w:val="24"/>
        </w:rPr>
      </w:pPr>
      <w:r>
        <w:rPr>
          <w:rFonts w:hint="eastAsia" w:ascii="楷体" w:hAnsi="楷体" w:eastAsia="楷体" w:cs="楷体"/>
          <w:color w:val="auto"/>
          <w:sz w:val="24"/>
        </w:rPr>
        <w:t>本表的条款项号是与本章《投标人须知》条款项号对应的，或增加的条款，是对本章的补充、修改和完善，如果有矛盾的话，应以本表为准。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7"/>
        <w:gridCol w:w="7270"/>
      </w:tblGrid>
      <w:tr w14:paraId="3E90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3" w:type="pct"/>
            <w:gridSpan w:val="2"/>
            <w:shd w:val="clear" w:color="auto" w:fill="EEECE1"/>
            <w:vAlign w:val="center"/>
          </w:tcPr>
          <w:p w14:paraId="3593B701">
            <w:pPr>
              <w:adjustRightInd w:val="0"/>
              <w:snapToGrid w:val="0"/>
              <w:spacing w:line="360" w:lineRule="exact"/>
              <w:jc w:val="center"/>
              <w:rPr>
                <w:rFonts w:ascii="楷体" w:hAnsi="楷体" w:eastAsia="楷体" w:cs="楷体"/>
                <w:b/>
                <w:bCs/>
                <w:color w:val="auto"/>
                <w:sz w:val="24"/>
              </w:rPr>
            </w:pPr>
            <w:r>
              <w:rPr>
                <w:rFonts w:hint="eastAsia" w:ascii="楷体" w:hAnsi="楷体" w:eastAsia="楷体" w:cs="楷体"/>
                <w:b/>
                <w:bCs/>
                <w:color w:val="auto"/>
                <w:sz w:val="24"/>
              </w:rPr>
              <w:t>条款项号</w:t>
            </w:r>
          </w:p>
        </w:tc>
        <w:tc>
          <w:tcPr>
            <w:tcW w:w="4266" w:type="pct"/>
            <w:shd w:val="clear" w:color="auto" w:fill="EEECE1"/>
            <w:vAlign w:val="center"/>
          </w:tcPr>
          <w:p w14:paraId="47193FF0">
            <w:pPr>
              <w:adjustRightInd w:val="0"/>
              <w:snapToGrid w:val="0"/>
              <w:spacing w:line="360" w:lineRule="exact"/>
              <w:jc w:val="center"/>
              <w:rPr>
                <w:rFonts w:ascii="楷体" w:hAnsi="楷体" w:eastAsia="楷体" w:cs="楷体"/>
                <w:b/>
                <w:bCs/>
                <w:color w:val="auto"/>
                <w:sz w:val="24"/>
              </w:rPr>
            </w:pPr>
            <w:r>
              <w:rPr>
                <w:rFonts w:hint="eastAsia" w:ascii="楷体" w:hAnsi="楷体" w:eastAsia="楷体" w:cs="楷体"/>
                <w:b/>
                <w:bCs/>
                <w:color w:val="auto"/>
                <w:sz w:val="24"/>
              </w:rPr>
              <w:t>内     容</w:t>
            </w:r>
          </w:p>
        </w:tc>
      </w:tr>
      <w:tr w14:paraId="1860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3997C3D9">
            <w:pPr>
              <w:adjustRightInd w:val="0"/>
              <w:snapToGrid w:val="0"/>
              <w:spacing w:line="360" w:lineRule="exact"/>
              <w:jc w:val="center"/>
              <w:rPr>
                <w:rFonts w:ascii="楷体" w:hAnsi="楷体" w:eastAsia="楷体" w:cs="楷体"/>
                <w:b/>
                <w:color w:val="auto"/>
                <w:sz w:val="24"/>
              </w:rPr>
            </w:pPr>
            <w:r>
              <w:rPr>
                <w:rFonts w:hint="eastAsia" w:ascii="楷体" w:hAnsi="楷体" w:eastAsia="楷体" w:cs="楷体"/>
                <w:b/>
                <w:color w:val="auto"/>
                <w:sz w:val="24"/>
              </w:rPr>
              <w:t>（一）总则</w:t>
            </w:r>
          </w:p>
        </w:tc>
      </w:tr>
      <w:tr w14:paraId="428C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22565B22">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1.1</w:t>
            </w:r>
          </w:p>
        </w:tc>
        <w:tc>
          <w:tcPr>
            <w:tcW w:w="4282" w:type="pct"/>
            <w:gridSpan w:val="2"/>
            <w:vAlign w:val="center"/>
          </w:tcPr>
          <w:p w14:paraId="1A808AA6">
            <w:pPr>
              <w:adjustRightInd w:val="0"/>
              <w:snapToGrid w:val="0"/>
              <w:spacing w:line="360" w:lineRule="exact"/>
              <w:rPr>
                <w:rFonts w:ascii="楷体" w:hAnsi="楷体" w:eastAsia="楷体" w:cs="楷体"/>
                <w:color w:val="auto"/>
                <w:sz w:val="24"/>
                <w:lang w:val="zh-CN"/>
              </w:rPr>
            </w:pPr>
            <w:r>
              <w:rPr>
                <w:rFonts w:hint="eastAsia" w:ascii="楷体" w:hAnsi="楷体" w:eastAsia="楷体" w:cs="楷体"/>
                <w:color w:val="auto"/>
                <w:sz w:val="24"/>
                <w:lang w:val="zh-CN"/>
              </w:rPr>
              <w:t>资金性质：企业自筹</w:t>
            </w:r>
          </w:p>
        </w:tc>
      </w:tr>
      <w:tr w14:paraId="4548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pct"/>
            <w:vAlign w:val="center"/>
          </w:tcPr>
          <w:p w14:paraId="04B7B593">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1.2</w:t>
            </w:r>
          </w:p>
        </w:tc>
        <w:tc>
          <w:tcPr>
            <w:tcW w:w="4282" w:type="pct"/>
            <w:gridSpan w:val="2"/>
            <w:vAlign w:val="center"/>
          </w:tcPr>
          <w:p w14:paraId="7163FC06">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招标人：广东烟草梅州市有限公司平远县分公司</w:t>
            </w:r>
          </w:p>
          <w:p w14:paraId="60B46A10">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地址：平远县大柘镇平远大道窑岃上29号</w:t>
            </w:r>
          </w:p>
          <w:p w14:paraId="23CE772B">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联系人：丘工</w:t>
            </w:r>
          </w:p>
          <w:p w14:paraId="22099A11">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联系电话：0753-8896916</w:t>
            </w:r>
          </w:p>
          <w:p w14:paraId="3F539615">
            <w:pPr>
              <w:adjustRightInd w:val="0"/>
              <w:snapToGrid w:val="0"/>
              <w:spacing w:line="360" w:lineRule="auto"/>
              <w:rPr>
                <w:rFonts w:ascii="楷体" w:hAnsi="楷体" w:eastAsia="楷体" w:cs="楷体"/>
                <w:color w:val="auto"/>
                <w:sz w:val="24"/>
              </w:rPr>
            </w:pPr>
          </w:p>
          <w:p w14:paraId="13F27A3F">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招标代理机构：广东鼎信招标采购有限公司</w:t>
            </w:r>
          </w:p>
          <w:p w14:paraId="63B7AF32">
            <w:p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地址：广州市越秀区东风东路699号广东港澳中心402室</w:t>
            </w:r>
          </w:p>
          <w:p w14:paraId="6C721B62">
            <w:pPr>
              <w:adjustRightInd w:val="0"/>
              <w:snapToGrid w:val="0"/>
              <w:spacing w:line="360" w:lineRule="auto"/>
              <w:rPr>
                <w:rFonts w:ascii="楷体" w:hAnsi="楷体" w:eastAsia="楷体" w:cs="楷体"/>
                <w:color w:val="auto"/>
                <w:sz w:val="24"/>
                <w:lang w:val="zh-CN"/>
              </w:rPr>
            </w:pPr>
            <w:r>
              <w:rPr>
                <w:rFonts w:hint="eastAsia" w:ascii="楷体" w:hAnsi="楷体" w:eastAsia="楷体" w:cs="楷体"/>
                <w:color w:val="auto"/>
                <w:sz w:val="24"/>
                <w:lang w:val="zh-CN"/>
              </w:rPr>
              <w:t>联系人：蔡小姐、李小姐</w:t>
            </w:r>
          </w:p>
          <w:p w14:paraId="65BC3F36">
            <w:pPr>
              <w:adjustRightInd w:val="0"/>
              <w:snapToGrid w:val="0"/>
              <w:spacing w:line="360" w:lineRule="auto"/>
              <w:rPr>
                <w:rFonts w:ascii="楷体" w:hAnsi="楷体" w:eastAsia="楷体" w:cs="楷体"/>
                <w:color w:val="auto"/>
                <w:sz w:val="24"/>
                <w:lang w:val="zh-CN"/>
              </w:rPr>
            </w:pPr>
            <w:r>
              <w:rPr>
                <w:rFonts w:hint="eastAsia" w:ascii="楷体" w:hAnsi="楷体" w:eastAsia="楷体" w:cs="楷体"/>
                <w:color w:val="auto"/>
                <w:sz w:val="24"/>
                <w:lang w:val="zh-CN"/>
              </w:rPr>
              <w:t>联系电话：020-87188551、020-38939476</w:t>
            </w:r>
          </w:p>
        </w:tc>
      </w:tr>
      <w:tr w14:paraId="15B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7E75638B">
            <w:pPr>
              <w:adjustRightInd w:val="0"/>
              <w:snapToGrid w:val="0"/>
              <w:spacing w:line="360" w:lineRule="exact"/>
              <w:jc w:val="center"/>
              <w:rPr>
                <w:rFonts w:ascii="楷体" w:hAnsi="楷体" w:eastAsia="楷体" w:cs="楷体"/>
                <w:b/>
                <w:color w:val="auto"/>
                <w:sz w:val="24"/>
              </w:rPr>
            </w:pPr>
            <w:r>
              <w:rPr>
                <w:rFonts w:hint="eastAsia" w:ascii="楷体" w:hAnsi="楷体" w:eastAsia="楷体" w:cs="楷体"/>
                <w:b/>
                <w:color w:val="auto"/>
                <w:sz w:val="24"/>
              </w:rPr>
              <w:t>（二）招标文件</w:t>
            </w:r>
          </w:p>
        </w:tc>
      </w:tr>
      <w:tr w14:paraId="7717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gridSpan w:val="2"/>
            <w:vAlign w:val="center"/>
          </w:tcPr>
          <w:p w14:paraId="39A73B6A">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6.1</w:t>
            </w:r>
          </w:p>
        </w:tc>
        <w:tc>
          <w:tcPr>
            <w:tcW w:w="4266" w:type="pct"/>
            <w:vAlign w:val="center"/>
          </w:tcPr>
          <w:p w14:paraId="4C93542F">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答疑会或踏勘现场：本项目不集中举行答疑会或踏勘现场。</w:t>
            </w:r>
          </w:p>
        </w:tc>
      </w:tr>
      <w:tr w14:paraId="289D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19B96032">
            <w:pPr>
              <w:adjustRightInd w:val="0"/>
              <w:snapToGrid w:val="0"/>
              <w:spacing w:line="360" w:lineRule="exact"/>
              <w:jc w:val="center"/>
              <w:rPr>
                <w:rFonts w:ascii="楷体" w:hAnsi="楷体" w:eastAsia="楷体" w:cs="楷体"/>
                <w:b/>
                <w:color w:val="auto"/>
                <w:sz w:val="24"/>
              </w:rPr>
            </w:pPr>
            <w:r>
              <w:rPr>
                <w:rFonts w:hint="eastAsia" w:ascii="楷体" w:hAnsi="楷体" w:eastAsia="楷体" w:cs="楷体"/>
                <w:b/>
                <w:color w:val="auto"/>
                <w:sz w:val="24"/>
              </w:rPr>
              <w:t>（三）投标文件编制要求</w:t>
            </w:r>
          </w:p>
        </w:tc>
      </w:tr>
      <w:tr w14:paraId="32D0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3C1274F0">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10.1</w:t>
            </w:r>
          </w:p>
        </w:tc>
        <w:tc>
          <w:tcPr>
            <w:tcW w:w="4266" w:type="pct"/>
            <w:vAlign w:val="center"/>
          </w:tcPr>
          <w:p w14:paraId="1B322E30">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加密电子文件1份。</w:t>
            </w:r>
            <w:r>
              <w:rPr>
                <w:rFonts w:hint="eastAsia" w:ascii="楷体" w:hAnsi="楷体" w:eastAsia="楷体" w:cs="楷体"/>
                <w:b/>
                <w:bCs/>
                <w:color w:val="auto"/>
                <w:sz w:val="24"/>
              </w:rPr>
              <w:t>（须在递交投标文件截止时间前成功上传至电子平台，电子投标文件必须签名盖章。）</w:t>
            </w:r>
          </w:p>
        </w:tc>
      </w:tr>
      <w:tr w14:paraId="7D11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40BEFF8">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11.1</w:t>
            </w:r>
          </w:p>
        </w:tc>
        <w:tc>
          <w:tcPr>
            <w:tcW w:w="4266" w:type="pct"/>
            <w:vAlign w:val="center"/>
          </w:tcPr>
          <w:p w14:paraId="0CFED8F3">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投标有效期：90天</w:t>
            </w:r>
          </w:p>
        </w:tc>
      </w:tr>
      <w:tr w14:paraId="36D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3B41D9DA">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12.8</w:t>
            </w:r>
          </w:p>
        </w:tc>
        <w:tc>
          <w:tcPr>
            <w:tcW w:w="4266" w:type="pct"/>
            <w:vAlign w:val="center"/>
          </w:tcPr>
          <w:p w14:paraId="57F0D724">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本项目不接受备选方案。</w:t>
            </w:r>
          </w:p>
        </w:tc>
      </w:tr>
      <w:tr w14:paraId="382B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7E0B855C">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12.9</w:t>
            </w:r>
          </w:p>
        </w:tc>
        <w:tc>
          <w:tcPr>
            <w:tcW w:w="4266" w:type="pct"/>
            <w:vAlign w:val="center"/>
          </w:tcPr>
          <w:p w14:paraId="1999D53A">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本项目不接受具有附加条件的报价。</w:t>
            </w:r>
          </w:p>
        </w:tc>
      </w:tr>
      <w:tr w14:paraId="6376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6207BA32">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16.1</w:t>
            </w:r>
          </w:p>
        </w:tc>
        <w:tc>
          <w:tcPr>
            <w:tcW w:w="4266" w:type="pct"/>
            <w:vAlign w:val="center"/>
          </w:tcPr>
          <w:p w14:paraId="5509D7B7">
            <w:pPr>
              <w:adjustRightInd w:val="0"/>
              <w:snapToGrid w:val="0"/>
              <w:spacing w:line="360" w:lineRule="exact"/>
              <w:rPr>
                <w:rFonts w:ascii="楷体" w:hAnsi="楷体" w:eastAsia="楷体" w:cs="楷体"/>
                <w:color w:val="auto"/>
              </w:rPr>
            </w:pPr>
            <w:r>
              <w:rPr>
                <w:rFonts w:hint="eastAsia" w:ascii="楷体" w:hAnsi="楷体" w:eastAsia="楷体" w:cs="楷体"/>
                <w:color w:val="auto"/>
                <w:sz w:val="24"/>
              </w:rPr>
              <w:t>投标保证金：不收取。</w:t>
            </w:r>
          </w:p>
        </w:tc>
      </w:tr>
      <w:tr w14:paraId="6006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5C905BFC">
            <w:pPr>
              <w:adjustRightInd w:val="0"/>
              <w:snapToGrid w:val="0"/>
              <w:spacing w:line="360" w:lineRule="exact"/>
              <w:jc w:val="center"/>
              <w:rPr>
                <w:rFonts w:ascii="楷体" w:hAnsi="楷体" w:eastAsia="楷体" w:cs="楷体"/>
                <w:color w:val="auto"/>
                <w:sz w:val="24"/>
              </w:rPr>
            </w:pPr>
            <w:r>
              <w:rPr>
                <w:rFonts w:hint="eastAsia" w:ascii="楷体" w:hAnsi="楷体" w:eastAsia="楷体" w:cs="楷体"/>
                <w:b/>
                <w:color w:val="auto"/>
                <w:sz w:val="24"/>
              </w:rPr>
              <w:t>（五）开标与评标</w:t>
            </w:r>
          </w:p>
        </w:tc>
      </w:tr>
      <w:tr w14:paraId="069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4E7FE6B">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23.1.1</w:t>
            </w:r>
          </w:p>
        </w:tc>
        <w:tc>
          <w:tcPr>
            <w:tcW w:w="4266" w:type="pct"/>
            <w:vAlign w:val="center"/>
          </w:tcPr>
          <w:p w14:paraId="03EBAFFB">
            <w:pPr>
              <w:adjustRightInd w:val="0"/>
              <w:snapToGrid w:val="0"/>
              <w:spacing w:line="360" w:lineRule="exact"/>
              <w:rPr>
                <w:rFonts w:ascii="楷体" w:hAnsi="楷体" w:eastAsia="楷体" w:cs="楷体"/>
                <w:color w:val="auto"/>
                <w:sz w:val="24"/>
              </w:rPr>
            </w:pPr>
            <w:r>
              <w:rPr>
                <w:rFonts w:hint="eastAsia" w:ascii="楷体" w:hAnsi="楷体" w:eastAsia="楷体" w:cs="楷体"/>
                <w:bCs/>
                <w:color w:val="auto"/>
                <w:sz w:val="24"/>
              </w:rPr>
              <w:t>评标委员会由</w:t>
            </w:r>
            <w:r>
              <w:rPr>
                <w:rFonts w:hint="eastAsia" w:ascii="楷体" w:hAnsi="楷体" w:eastAsia="楷体" w:cs="楷体"/>
                <w:b/>
                <w:color w:val="auto"/>
                <w:sz w:val="24"/>
                <w:u w:val="single"/>
              </w:rPr>
              <w:t>5</w:t>
            </w:r>
            <w:r>
              <w:rPr>
                <w:rFonts w:hint="eastAsia" w:ascii="楷体" w:hAnsi="楷体" w:eastAsia="楷体" w:cs="楷体"/>
                <w:bCs/>
                <w:color w:val="auto"/>
                <w:sz w:val="24"/>
              </w:rPr>
              <w:t>名单数组成，其中招标人代表</w:t>
            </w:r>
            <w:r>
              <w:rPr>
                <w:rFonts w:hint="eastAsia" w:ascii="楷体" w:hAnsi="楷体" w:eastAsia="楷体" w:cs="楷体"/>
                <w:b/>
                <w:color w:val="auto"/>
                <w:sz w:val="24"/>
                <w:u w:val="single"/>
              </w:rPr>
              <w:t>1</w:t>
            </w:r>
            <w:r>
              <w:rPr>
                <w:rFonts w:hint="eastAsia" w:ascii="楷体" w:hAnsi="楷体" w:eastAsia="楷体" w:cs="楷体"/>
                <w:bCs/>
                <w:color w:val="auto"/>
                <w:sz w:val="24"/>
              </w:rPr>
              <w:t>名，其余</w:t>
            </w:r>
            <w:r>
              <w:rPr>
                <w:rFonts w:hint="eastAsia" w:ascii="楷体" w:hAnsi="楷体" w:eastAsia="楷体" w:cs="楷体"/>
                <w:b/>
                <w:color w:val="auto"/>
                <w:sz w:val="24"/>
                <w:u w:val="single"/>
              </w:rPr>
              <w:t>4</w:t>
            </w:r>
            <w:r>
              <w:rPr>
                <w:rFonts w:hint="eastAsia" w:ascii="楷体" w:hAnsi="楷体" w:eastAsia="楷体" w:cs="楷体"/>
                <w:bCs/>
                <w:color w:val="auto"/>
                <w:sz w:val="24"/>
              </w:rPr>
              <w:t>名专家从专家库随机抽取产生。</w:t>
            </w:r>
          </w:p>
        </w:tc>
      </w:tr>
      <w:tr w14:paraId="36E1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09558BD0">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23.1.3</w:t>
            </w:r>
          </w:p>
        </w:tc>
        <w:tc>
          <w:tcPr>
            <w:tcW w:w="4266" w:type="pct"/>
            <w:vAlign w:val="center"/>
          </w:tcPr>
          <w:p w14:paraId="7D52C79E">
            <w:pPr>
              <w:adjustRightInd w:val="0"/>
              <w:snapToGrid w:val="0"/>
              <w:spacing w:line="360" w:lineRule="exact"/>
              <w:rPr>
                <w:rFonts w:ascii="楷体" w:hAnsi="楷体" w:eastAsia="楷体" w:cs="楷体"/>
                <w:bCs/>
                <w:color w:val="auto"/>
                <w:sz w:val="24"/>
              </w:rPr>
            </w:pPr>
            <w:r>
              <w:rPr>
                <w:rFonts w:hint="eastAsia" w:ascii="楷体" w:hAnsi="楷体" w:eastAsia="楷体" w:cs="楷体"/>
                <w:bCs/>
                <w:color w:val="auto"/>
                <w:sz w:val="24"/>
              </w:rPr>
              <w:t>评标方法：综合评分法</w:t>
            </w:r>
          </w:p>
        </w:tc>
      </w:tr>
      <w:tr w14:paraId="68B4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4F374DE3">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24.2</w:t>
            </w:r>
          </w:p>
        </w:tc>
        <w:tc>
          <w:tcPr>
            <w:tcW w:w="4266" w:type="pct"/>
            <w:vAlign w:val="center"/>
          </w:tcPr>
          <w:p w14:paraId="6B1FAF47">
            <w:pPr>
              <w:adjustRightInd w:val="0"/>
              <w:snapToGrid w:val="0"/>
              <w:spacing w:line="360" w:lineRule="exact"/>
              <w:rPr>
                <w:rFonts w:ascii="楷体" w:hAnsi="楷体" w:eastAsia="楷体" w:cs="楷体"/>
                <w:bCs/>
                <w:color w:val="auto"/>
                <w:sz w:val="24"/>
              </w:rPr>
            </w:pPr>
            <w:r>
              <w:rPr>
                <w:rFonts w:hint="eastAsia" w:ascii="楷体" w:hAnsi="楷体" w:eastAsia="楷体" w:cs="楷体"/>
                <w:bCs/>
                <w:color w:val="auto"/>
                <w:sz w:val="24"/>
              </w:rPr>
              <w:t>定标原则：按评审后投标人得分由高到低的顺序排列。得分相同的，按投标报价由低到高顺序排列。综合评分相同，且投标报价最低的相同的，名次由评标委员会抽签决定。推荐综合得分排名第一的投标人为第一中标候选人，排名第二的投标人为第二中标候选人，排名第三的投标人为第三中标候选人。</w:t>
            </w:r>
          </w:p>
        </w:tc>
      </w:tr>
      <w:tr w14:paraId="00D3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0BDA913F">
            <w:pPr>
              <w:adjustRightInd w:val="0"/>
              <w:snapToGrid w:val="0"/>
              <w:spacing w:line="360" w:lineRule="exact"/>
              <w:jc w:val="center"/>
              <w:rPr>
                <w:rFonts w:ascii="楷体" w:hAnsi="楷体" w:eastAsia="楷体" w:cs="楷体"/>
                <w:color w:val="auto"/>
                <w:sz w:val="24"/>
              </w:rPr>
            </w:pPr>
            <w:r>
              <w:rPr>
                <w:rFonts w:hint="eastAsia" w:ascii="楷体" w:hAnsi="楷体" w:eastAsia="楷体" w:cs="楷体"/>
                <w:b/>
                <w:color w:val="auto"/>
                <w:sz w:val="24"/>
              </w:rPr>
              <w:t>（七）授予合同</w:t>
            </w:r>
          </w:p>
        </w:tc>
      </w:tr>
      <w:tr w14:paraId="739B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211FEF3D">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30.1</w:t>
            </w:r>
          </w:p>
        </w:tc>
        <w:tc>
          <w:tcPr>
            <w:tcW w:w="4266" w:type="pct"/>
            <w:vAlign w:val="center"/>
          </w:tcPr>
          <w:p w14:paraId="538E8AEF">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履约保证金：3000元。</w:t>
            </w:r>
          </w:p>
        </w:tc>
      </w:tr>
      <w:tr w14:paraId="6288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4B232C91">
            <w:pPr>
              <w:adjustRightInd w:val="0"/>
              <w:snapToGrid w:val="0"/>
              <w:spacing w:line="360" w:lineRule="exact"/>
              <w:jc w:val="center"/>
              <w:rPr>
                <w:rFonts w:ascii="楷体" w:hAnsi="楷体" w:eastAsia="楷体" w:cs="楷体"/>
                <w:color w:val="auto"/>
                <w:sz w:val="24"/>
              </w:rPr>
            </w:pPr>
            <w:r>
              <w:rPr>
                <w:rFonts w:hint="eastAsia" w:ascii="楷体" w:hAnsi="楷体" w:eastAsia="楷体" w:cs="楷体"/>
                <w:color w:val="auto"/>
                <w:sz w:val="24"/>
              </w:rPr>
              <w:t>31.1</w:t>
            </w:r>
          </w:p>
        </w:tc>
        <w:tc>
          <w:tcPr>
            <w:tcW w:w="4266" w:type="pct"/>
            <w:vAlign w:val="center"/>
          </w:tcPr>
          <w:p w14:paraId="40A2CDF9">
            <w:pPr>
              <w:tabs>
                <w:tab w:val="left" w:pos="425"/>
              </w:tabs>
              <w:adjustRightInd w:val="0"/>
              <w:snapToGrid w:val="0"/>
              <w:spacing w:line="276" w:lineRule="auto"/>
              <w:rPr>
                <w:rFonts w:ascii="楷体" w:hAnsi="楷体" w:eastAsia="楷体" w:cs="楷体"/>
                <w:color w:val="auto"/>
                <w:sz w:val="24"/>
              </w:rPr>
            </w:pPr>
            <w:r>
              <w:rPr>
                <w:rFonts w:hint="eastAsia" w:ascii="楷体" w:hAnsi="楷体" w:eastAsia="楷体" w:cs="楷体"/>
                <w:color w:val="auto"/>
                <w:sz w:val="24"/>
              </w:rPr>
              <w:t>中标人须向招标代理机构按如下标准和规定交纳招标代理服务费：</w:t>
            </w:r>
          </w:p>
          <w:p w14:paraId="7A2D329D">
            <w:pPr>
              <w:numPr>
                <w:ilvl w:val="0"/>
                <w:numId w:val="2"/>
              </w:numPr>
              <w:adjustRightInd w:val="0"/>
              <w:snapToGrid w:val="0"/>
              <w:ind w:left="680" w:hanging="680"/>
              <w:rPr>
                <w:rFonts w:ascii="楷体" w:hAnsi="楷体" w:eastAsia="楷体" w:cs="楷体"/>
                <w:color w:val="auto"/>
                <w:sz w:val="24"/>
              </w:rPr>
            </w:pPr>
            <w:r>
              <w:rPr>
                <w:rFonts w:hint="eastAsia" w:ascii="楷体" w:hAnsi="楷体" w:eastAsia="楷体" w:cs="楷体"/>
                <w:color w:val="auto"/>
                <w:sz w:val="24"/>
              </w:rPr>
              <w:t>招标代理服务费定额收取7330元。</w:t>
            </w:r>
          </w:p>
          <w:p w14:paraId="001E66B2">
            <w:pPr>
              <w:numPr>
                <w:ilvl w:val="0"/>
                <w:numId w:val="2"/>
              </w:numPr>
              <w:adjustRightInd w:val="0"/>
              <w:snapToGrid w:val="0"/>
              <w:ind w:left="680" w:hanging="680"/>
              <w:rPr>
                <w:rFonts w:ascii="楷体" w:hAnsi="楷体" w:eastAsia="楷体" w:cs="楷体"/>
                <w:color w:val="auto"/>
                <w:sz w:val="24"/>
              </w:rPr>
            </w:pPr>
            <w:r>
              <w:rPr>
                <w:rFonts w:hint="eastAsia" w:ascii="楷体" w:hAnsi="楷体" w:eastAsia="楷体" w:cs="楷体"/>
                <w:color w:val="auto"/>
                <w:sz w:val="24"/>
              </w:rPr>
              <w:t>招标代理服务费的交纳形式：采用现金或转账付款方式。</w:t>
            </w:r>
          </w:p>
          <w:p w14:paraId="0C069EF2">
            <w:pPr>
              <w:numPr>
                <w:ilvl w:val="0"/>
                <w:numId w:val="2"/>
              </w:numPr>
              <w:adjustRightInd w:val="0"/>
              <w:snapToGrid w:val="0"/>
              <w:ind w:left="680" w:hanging="680"/>
              <w:rPr>
                <w:rFonts w:ascii="楷体" w:hAnsi="楷体" w:eastAsia="楷体" w:cs="楷体"/>
                <w:color w:val="auto"/>
                <w:sz w:val="24"/>
              </w:rPr>
            </w:pPr>
            <w:r>
              <w:rPr>
                <w:rFonts w:hint="eastAsia" w:ascii="楷体" w:hAnsi="楷体" w:eastAsia="楷体" w:cs="楷体"/>
                <w:color w:val="auto"/>
                <w:sz w:val="24"/>
              </w:rPr>
              <w:t>招标代理服务费付至：</w:t>
            </w:r>
          </w:p>
          <w:p w14:paraId="1D0ECE94">
            <w:pPr>
              <w:adjustRightInd w:val="0"/>
              <w:snapToGrid w:val="0"/>
              <w:ind w:firstLine="698" w:firstLineChars="291"/>
              <w:rPr>
                <w:rFonts w:ascii="楷体" w:hAnsi="楷体" w:eastAsia="楷体" w:cs="楷体"/>
                <w:color w:val="auto"/>
                <w:sz w:val="24"/>
              </w:rPr>
            </w:pPr>
            <w:r>
              <w:rPr>
                <w:rFonts w:hint="eastAsia" w:ascii="楷体" w:hAnsi="楷体" w:eastAsia="楷体" w:cs="楷体"/>
                <w:color w:val="auto"/>
                <w:sz w:val="24"/>
              </w:rPr>
              <w:t>收款人名称：广东鼎信招标采购有限公司</w:t>
            </w:r>
          </w:p>
          <w:p w14:paraId="281AF8C8">
            <w:pPr>
              <w:adjustRightInd w:val="0"/>
              <w:snapToGrid w:val="0"/>
              <w:ind w:firstLine="698" w:firstLineChars="291"/>
              <w:rPr>
                <w:rFonts w:ascii="楷体" w:hAnsi="楷体" w:eastAsia="楷体" w:cs="楷体"/>
                <w:color w:val="auto"/>
                <w:sz w:val="24"/>
              </w:rPr>
            </w:pPr>
            <w:r>
              <w:rPr>
                <w:rFonts w:hint="eastAsia" w:ascii="楷体" w:hAnsi="楷体" w:eastAsia="楷体" w:cs="楷体"/>
                <w:color w:val="auto"/>
                <w:sz w:val="24"/>
              </w:rPr>
              <w:t>开户银行：中国建设银行股份</w:t>
            </w:r>
            <w:bookmarkStart w:id="493" w:name="_GoBack"/>
            <w:bookmarkEnd w:id="493"/>
            <w:r>
              <w:rPr>
                <w:rFonts w:hint="eastAsia" w:ascii="楷体" w:hAnsi="楷体" w:eastAsia="楷体" w:cs="楷体"/>
                <w:color w:val="auto"/>
                <w:sz w:val="24"/>
              </w:rPr>
              <w:t>有限公司广州石牌支行</w:t>
            </w:r>
          </w:p>
          <w:p w14:paraId="409517A2">
            <w:pPr>
              <w:adjustRightInd w:val="0"/>
              <w:snapToGrid w:val="0"/>
              <w:ind w:firstLine="698" w:firstLineChars="291"/>
              <w:rPr>
                <w:rFonts w:ascii="楷体" w:hAnsi="楷体" w:eastAsia="楷体" w:cs="楷体"/>
                <w:color w:val="auto"/>
                <w:sz w:val="24"/>
              </w:rPr>
            </w:pPr>
            <w:r>
              <w:rPr>
                <w:rFonts w:hint="eastAsia" w:ascii="楷体" w:hAnsi="楷体" w:eastAsia="楷体" w:cs="楷体"/>
                <w:color w:val="auto"/>
                <w:sz w:val="24"/>
              </w:rPr>
              <w:t>账    号：44050158050200000686</w:t>
            </w:r>
          </w:p>
        </w:tc>
      </w:tr>
      <w:tr w14:paraId="4D51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6B144FAB">
            <w:pPr>
              <w:adjustRightInd w:val="0"/>
              <w:snapToGrid w:val="0"/>
              <w:spacing w:line="360" w:lineRule="exact"/>
              <w:jc w:val="center"/>
              <w:rPr>
                <w:rFonts w:ascii="楷体" w:hAnsi="楷体" w:eastAsia="楷体" w:cs="楷体"/>
                <w:b/>
                <w:bCs/>
                <w:color w:val="auto"/>
                <w:sz w:val="24"/>
              </w:rPr>
            </w:pPr>
            <w:r>
              <w:rPr>
                <w:rFonts w:hint="eastAsia" w:ascii="楷体" w:hAnsi="楷体" w:eastAsia="楷体" w:cs="楷体"/>
                <w:b/>
                <w:bCs/>
                <w:color w:val="auto"/>
                <w:sz w:val="24"/>
              </w:rPr>
              <w:t>补充条款</w:t>
            </w:r>
          </w:p>
        </w:tc>
      </w:tr>
      <w:tr w14:paraId="1BD9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gridSpan w:val="2"/>
            <w:vAlign w:val="center"/>
          </w:tcPr>
          <w:p w14:paraId="1BA0E5C9">
            <w:pPr>
              <w:adjustRightInd w:val="0"/>
              <w:snapToGrid w:val="0"/>
              <w:spacing w:line="360" w:lineRule="exact"/>
              <w:jc w:val="center"/>
              <w:rPr>
                <w:rFonts w:ascii="楷体" w:hAnsi="楷体" w:eastAsia="楷体" w:cs="楷体"/>
                <w:color w:val="auto"/>
                <w:sz w:val="24"/>
              </w:rPr>
            </w:pPr>
            <w:r>
              <w:rPr>
                <w:rFonts w:hint="eastAsia" w:ascii="楷体" w:hAnsi="楷体" w:eastAsia="楷体" w:cs="楷体"/>
                <w:bCs/>
                <w:color w:val="auto"/>
                <w:sz w:val="24"/>
              </w:rPr>
              <w:t>信息发布媒体</w:t>
            </w:r>
          </w:p>
        </w:tc>
        <w:tc>
          <w:tcPr>
            <w:tcW w:w="4266" w:type="pct"/>
            <w:vAlign w:val="center"/>
          </w:tcPr>
          <w:p w14:paraId="13F0DA5D">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中国采购与招标网（www.chinabidding.com.cn)</w:t>
            </w:r>
          </w:p>
          <w:p w14:paraId="70C5EF12">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中国招投标网（www.infobidding.com）</w:t>
            </w:r>
          </w:p>
          <w:p w14:paraId="2DFAF29F">
            <w:pPr>
              <w:adjustRightInd w:val="0"/>
              <w:snapToGrid w:val="0"/>
              <w:spacing w:line="360" w:lineRule="exact"/>
              <w:rPr>
                <w:rFonts w:ascii="楷体" w:hAnsi="楷体" w:eastAsia="楷体" w:cs="楷体"/>
                <w:color w:val="auto"/>
                <w:sz w:val="24"/>
              </w:rPr>
            </w:pPr>
            <w:r>
              <w:rPr>
                <w:rFonts w:hint="eastAsia" w:ascii="楷体" w:hAnsi="楷体" w:eastAsia="楷体" w:cs="楷体"/>
                <w:color w:val="auto"/>
                <w:sz w:val="24"/>
              </w:rPr>
              <w:t>广东鼎信招标采购有限公司网站（www.gddingxin.com）</w:t>
            </w:r>
          </w:p>
        </w:tc>
      </w:tr>
    </w:tbl>
    <w:p w14:paraId="1734614D">
      <w:pPr>
        <w:rPr>
          <w:rFonts w:ascii="楷体" w:hAnsi="楷体" w:eastAsia="楷体" w:cs="楷体"/>
          <w:color w:val="auto"/>
        </w:rPr>
      </w:pPr>
    </w:p>
    <w:p w14:paraId="2635659F">
      <w:pPr>
        <w:rPr>
          <w:rFonts w:ascii="楷体" w:hAnsi="楷体" w:eastAsia="楷体" w:cs="楷体"/>
          <w:color w:val="auto"/>
        </w:rPr>
      </w:pPr>
      <w:r>
        <w:rPr>
          <w:rFonts w:hint="eastAsia" w:ascii="楷体" w:hAnsi="楷体" w:eastAsia="楷体" w:cs="楷体"/>
          <w:color w:val="auto"/>
        </w:rPr>
        <w:br w:type="page"/>
      </w:r>
    </w:p>
    <w:p w14:paraId="23EDA82D">
      <w:pPr>
        <w:pStyle w:val="3"/>
        <w:numPr>
          <w:ilvl w:val="0"/>
          <w:numId w:val="3"/>
        </w:numPr>
        <w:jc w:val="center"/>
        <w:rPr>
          <w:rFonts w:ascii="楷体" w:hAnsi="楷体" w:eastAsia="楷体" w:cs="楷体"/>
          <w:color w:val="auto"/>
        </w:rPr>
      </w:pPr>
      <w:bookmarkStart w:id="58" w:name="_Toc7064"/>
      <w:bookmarkStart w:id="59" w:name="_Toc4284"/>
      <w:bookmarkStart w:id="60" w:name="_Toc7469"/>
      <w:bookmarkStart w:id="61" w:name="_Toc423021940"/>
      <w:bookmarkStart w:id="62" w:name="_Toc10375"/>
      <w:bookmarkStart w:id="63" w:name="_Toc10623"/>
      <w:r>
        <w:rPr>
          <w:rFonts w:hint="eastAsia" w:ascii="楷体" w:hAnsi="楷体" w:eastAsia="楷体" w:cs="楷体"/>
          <w:color w:val="auto"/>
        </w:rPr>
        <w:t>总则</w:t>
      </w:r>
      <w:bookmarkEnd w:id="58"/>
      <w:bookmarkEnd w:id="59"/>
      <w:bookmarkEnd w:id="60"/>
      <w:bookmarkEnd w:id="61"/>
      <w:bookmarkEnd w:id="62"/>
      <w:bookmarkEnd w:id="63"/>
    </w:p>
    <w:p w14:paraId="3FAED707">
      <w:pPr>
        <w:pStyle w:val="4"/>
        <w:numPr>
          <w:ilvl w:val="0"/>
          <w:numId w:val="4"/>
        </w:numPr>
        <w:ind w:hanging="5"/>
        <w:rPr>
          <w:rFonts w:ascii="楷体" w:hAnsi="楷体" w:eastAsia="楷体" w:cs="楷体"/>
          <w:color w:val="auto"/>
          <w:sz w:val="28"/>
          <w:szCs w:val="28"/>
          <w:lang w:val="zh-CN"/>
        </w:rPr>
      </w:pPr>
      <w:bookmarkStart w:id="64" w:name="_Toc22757"/>
      <w:bookmarkStart w:id="65" w:name="_Toc1400"/>
      <w:bookmarkStart w:id="66" w:name="_Toc14827"/>
      <w:bookmarkStart w:id="67" w:name="_Toc13429"/>
      <w:bookmarkStart w:id="68" w:name="_Toc7641"/>
      <w:r>
        <w:rPr>
          <w:rFonts w:hint="eastAsia" w:ascii="楷体" w:hAnsi="楷体" w:eastAsia="楷体" w:cs="楷体"/>
          <w:color w:val="auto"/>
          <w:sz w:val="28"/>
          <w:szCs w:val="28"/>
          <w:lang w:val="zh-CN"/>
        </w:rPr>
        <w:t>招标项目与采购当事人</w:t>
      </w:r>
      <w:bookmarkEnd w:id="64"/>
      <w:bookmarkEnd w:id="65"/>
      <w:bookmarkEnd w:id="66"/>
      <w:bookmarkEnd w:id="67"/>
      <w:bookmarkEnd w:id="68"/>
    </w:p>
    <w:p w14:paraId="6E0B210A">
      <w:pPr>
        <w:numPr>
          <w:ilvl w:val="1"/>
          <w:numId w:val="5"/>
        </w:numPr>
        <w:tabs>
          <w:tab w:val="left" w:pos="1050"/>
          <w:tab w:val="clear" w:pos="907"/>
        </w:tabs>
        <w:spacing w:line="360" w:lineRule="auto"/>
        <w:ind w:left="1007" w:hanging="587"/>
        <w:rPr>
          <w:rFonts w:ascii="楷体" w:hAnsi="楷体" w:eastAsia="楷体" w:cs="楷体"/>
          <w:color w:val="auto"/>
          <w:sz w:val="24"/>
          <w:lang w:val="zh-CN"/>
        </w:rPr>
      </w:pPr>
      <w:bookmarkStart w:id="69" w:name="_Toc21444"/>
      <w:r>
        <w:rPr>
          <w:rFonts w:hint="eastAsia" w:ascii="楷体" w:hAnsi="楷体" w:eastAsia="楷体" w:cs="楷体"/>
          <w:color w:val="auto"/>
          <w:sz w:val="24"/>
          <w:lang w:val="zh-CN"/>
        </w:rPr>
        <w:t>本招标文件</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中所述的招标人已经获得足以支付本次采购后所签订的合同项下的款项。</w:t>
      </w:r>
    </w:p>
    <w:p w14:paraId="28FF35A0">
      <w:pPr>
        <w:numPr>
          <w:ilvl w:val="1"/>
          <w:numId w:val="5"/>
        </w:numPr>
        <w:tabs>
          <w:tab w:val="left" w:pos="105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本次采购的招标人和招标代理机构（以下简称招标代理机构）的名称、地址、联系人、电话、传真和电子邮箱见</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w:t>
      </w:r>
    </w:p>
    <w:p w14:paraId="3F06ADD1">
      <w:pPr>
        <w:pStyle w:val="4"/>
        <w:numPr>
          <w:ilvl w:val="0"/>
          <w:numId w:val="4"/>
        </w:numPr>
        <w:ind w:hanging="5"/>
        <w:rPr>
          <w:rFonts w:ascii="楷体" w:hAnsi="楷体" w:eastAsia="楷体" w:cs="楷体"/>
          <w:color w:val="auto"/>
          <w:sz w:val="28"/>
          <w:szCs w:val="28"/>
          <w:lang w:val="zh-CN"/>
        </w:rPr>
      </w:pPr>
      <w:bookmarkStart w:id="70" w:name="_Toc13363"/>
      <w:bookmarkStart w:id="71" w:name="_Toc23656"/>
      <w:bookmarkStart w:id="72" w:name="_Toc31370"/>
      <w:bookmarkStart w:id="73" w:name="_Toc22760"/>
      <w:r>
        <w:rPr>
          <w:rFonts w:hint="eastAsia" w:ascii="楷体" w:hAnsi="楷体" w:eastAsia="楷体" w:cs="楷体"/>
          <w:color w:val="auto"/>
          <w:sz w:val="28"/>
          <w:szCs w:val="28"/>
          <w:lang w:val="zh-CN"/>
        </w:rPr>
        <w:t>合格的投标人</w:t>
      </w:r>
      <w:bookmarkEnd w:id="69"/>
      <w:bookmarkEnd w:id="70"/>
      <w:bookmarkEnd w:id="71"/>
      <w:bookmarkEnd w:id="72"/>
      <w:bookmarkEnd w:id="73"/>
    </w:p>
    <w:p w14:paraId="7F2C73A6">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投标人是响应招标、已在招标人或招标代理机构处领购招标文件并参加投标竞争的法人或其他组织。</w:t>
      </w:r>
    </w:p>
    <w:p w14:paraId="5F380806">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任何未在招标人或招标代理机构处领购招标文件的法人或其他组织均不得参加投标。</w:t>
      </w:r>
    </w:p>
    <w:p w14:paraId="0B2C44D8">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除非另有规定，凡是来自中华人民共和国的法人或其他组织均可投标。</w:t>
      </w:r>
    </w:p>
    <w:p w14:paraId="3C4CF62E">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与招标人存在利害关系可能影响招标公正性的法人或其他组织不得参加投标。</w:t>
      </w:r>
    </w:p>
    <w:p w14:paraId="6BC0C536">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接受委托参与项目前期咨询和招标文件编制的法人或其他组织不得参加受托项目的投标，也不得为该项目的投标人编制投标文件或者提供咨询。</w:t>
      </w:r>
    </w:p>
    <w:p w14:paraId="41353F91">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单位负责人为同一人或者存在控股、管理关系的不同单位，不得参加同一招标项目（或包组）的投标，共同组成联合体投标的除外。</w:t>
      </w:r>
    </w:p>
    <w:p w14:paraId="56822118">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联合体各方不得在同一招标项目（或包组）中以自己名义单独投标或者参加其他联合体投标。</w:t>
      </w:r>
    </w:p>
    <w:p w14:paraId="4862E17F">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只有在法律上和财务上独立、合法运作并独立于招标人和招标代理机构的供应商（服务商）才能参加投标。</w:t>
      </w:r>
    </w:p>
    <w:p w14:paraId="5E9C7C59">
      <w:pPr>
        <w:numPr>
          <w:ilvl w:val="1"/>
          <w:numId w:val="6"/>
        </w:numPr>
        <w:tabs>
          <w:tab w:val="left" w:pos="1060"/>
          <w:tab w:val="clear" w:pos="907"/>
        </w:tabs>
        <w:spacing w:line="360" w:lineRule="auto"/>
        <w:ind w:left="1007" w:hanging="587"/>
        <w:rPr>
          <w:rFonts w:ascii="楷体" w:hAnsi="楷体" w:eastAsia="楷体" w:cs="楷体"/>
          <w:color w:val="auto"/>
          <w:sz w:val="24"/>
          <w:lang w:val="zh-CN"/>
        </w:rPr>
      </w:pPr>
      <w:r>
        <w:rPr>
          <w:rFonts w:hint="eastAsia" w:ascii="楷体" w:hAnsi="楷体" w:eastAsia="楷体" w:cs="楷体"/>
          <w:color w:val="auto"/>
          <w:sz w:val="24"/>
          <w:lang w:val="zh-CN"/>
        </w:rPr>
        <w:t>招标文件要求的其他条款。</w:t>
      </w:r>
    </w:p>
    <w:p w14:paraId="43A19979">
      <w:pPr>
        <w:pStyle w:val="4"/>
        <w:numPr>
          <w:ilvl w:val="0"/>
          <w:numId w:val="4"/>
        </w:numPr>
        <w:ind w:hanging="5"/>
        <w:rPr>
          <w:rFonts w:ascii="楷体" w:hAnsi="楷体" w:eastAsia="楷体" w:cs="楷体"/>
          <w:color w:val="auto"/>
          <w:sz w:val="28"/>
          <w:szCs w:val="28"/>
          <w:lang w:val="zh-CN"/>
        </w:rPr>
      </w:pPr>
      <w:bookmarkStart w:id="74" w:name="_Toc20781"/>
      <w:r>
        <w:rPr>
          <w:rFonts w:hint="eastAsia" w:ascii="楷体" w:hAnsi="楷体" w:eastAsia="楷体" w:cs="楷体"/>
          <w:color w:val="auto"/>
          <w:sz w:val="28"/>
          <w:szCs w:val="28"/>
          <w:lang w:val="zh-CN"/>
        </w:rPr>
        <w:t>合格的服务</w:t>
      </w:r>
      <w:bookmarkEnd w:id="74"/>
    </w:p>
    <w:p w14:paraId="4B5A9EE5">
      <w:pPr>
        <w:numPr>
          <w:ilvl w:val="1"/>
          <w:numId w:val="7"/>
        </w:numPr>
        <w:tabs>
          <w:tab w:val="left" w:pos="1040"/>
          <w:tab w:val="left" w:pos="1260"/>
          <w:tab w:val="clear" w:pos="907"/>
        </w:tabs>
        <w:spacing w:line="360" w:lineRule="auto"/>
        <w:ind w:left="1027" w:hanging="607"/>
        <w:rPr>
          <w:rFonts w:ascii="楷体" w:hAnsi="楷体" w:eastAsia="楷体" w:cs="楷体"/>
          <w:color w:val="auto"/>
          <w:sz w:val="24"/>
          <w:lang w:val="zh-CN"/>
        </w:rPr>
      </w:pPr>
      <w:r>
        <w:rPr>
          <w:rFonts w:hint="eastAsia" w:ascii="楷体" w:hAnsi="楷体" w:eastAsia="楷体" w:cs="楷体"/>
          <w:color w:val="auto"/>
          <w:sz w:val="24"/>
          <w:lang w:val="zh-CN"/>
        </w:rPr>
        <w:t>服务是指投标人按招标文件的规定完成的全部服务内容，包括完成服务所需的货物，及须承担的技术支持、培训和其它伴随服务。</w:t>
      </w:r>
    </w:p>
    <w:p w14:paraId="2F13E87B">
      <w:pPr>
        <w:numPr>
          <w:ilvl w:val="1"/>
          <w:numId w:val="7"/>
        </w:numPr>
        <w:tabs>
          <w:tab w:val="left" w:pos="1040"/>
          <w:tab w:val="left" w:pos="1260"/>
          <w:tab w:val="clear" w:pos="907"/>
        </w:tabs>
        <w:spacing w:line="360" w:lineRule="auto"/>
        <w:ind w:left="1027" w:hanging="607"/>
        <w:rPr>
          <w:rFonts w:ascii="楷体" w:hAnsi="楷体" w:eastAsia="楷体" w:cs="楷体"/>
          <w:color w:val="auto"/>
          <w:sz w:val="24"/>
          <w:lang w:val="zh-CN"/>
        </w:rPr>
      </w:pPr>
      <w:r>
        <w:rPr>
          <w:rFonts w:hint="eastAsia" w:ascii="楷体" w:hAnsi="楷体" w:eastAsia="楷体" w:cs="楷体"/>
          <w:color w:val="auto"/>
          <w:sz w:val="24"/>
          <w:lang w:val="zh-CN"/>
        </w:rPr>
        <w:t>投标人提供的所有服务，其质量、技术等必须符合国家、行业现行法律、法规的相关标准及用户需求。</w:t>
      </w:r>
    </w:p>
    <w:p w14:paraId="77D751F0">
      <w:pPr>
        <w:numPr>
          <w:ilvl w:val="1"/>
          <w:numId w:val="7"/>
        </w:numPr>
        <w:tabs>
          <w:tab w:val="left" w:pos="1040"/>
          <w:tab w:val="left" w:pos="1260"/>
          <w:tab w:val="clear" w:pos="907"/>
        </w:tabs>
        <w:spacing w:line="360" w:lineRule="auto"/>
        <w:ind w:left="1027" w:hanging="607"/>
        <w:rPr>
          <w:rFonts w:ascii="楷体" w:hAnsi="楷体" w:eastAsia="楷体" w:cs="楷体"/>
          <w:color w:val="auto"/>
          <w:sz w:val="24"/>
          <w:lang w:val="zh-CN"/>
        </w:rPr>
      </w:pPr>
      <w:r>
        <w:rPr>
          <w:rFonts w:hint="eastAsia" w:ascii="楷体" w:hAnsi="楷体" w:eastAsia="楷体" w:cs="楷体"/>
          <w:color w:val="auto"/>
          <w:sz w:val="24"/>
          <w:lang w:val="zh-CN"/>
        </w:rPr>
        <w:t>招标人有权拒绝接受任何不合格的服务，由此产生的费用及相关后果均由供应商（服务商）自行承担。</w:t>
      </w:r>
    </w:p>
    <w:p w14:paraId="2CE4345C">
      <w:pPr>
        <w:numPr>
          <w:ilvl w:val="1"/>
          <w:numId w:val="7"/>
        </w:numPr>
        <w:tabs>
          <w:tab w:val="left" w:pos="1040"/>
          <w:tab w:val="left" w:pos="1260"/>
          <w:tab w:val="clear" w:pos="907"/>
        </w:tabs>
        <w:spacing w:line="360" w:lineRule="auto"/>
        <w:ind w:left="1027" w:hanging="607"/>
        <w:rPr>
          <w:rFonts w:ascii="楷体" w:hAnsi="楷体" w:eastAsia="楷体" w:cs="楷体"/>
          <w:color w:val="auto"/>
          <w:sz w:val="24"/>
          <w:lang w:val="zh-CN"/>
        </w:rPr>
      </w:pPr>
      <w:r>
        <w:rPr>
          <w:rFonts w:hint="eastAsia" w:ascii="楷体" w:hAnsi="楷体" w:eastAsia="楷体" w:cs="楷体"/>
          <w:color w:val="auto"/>
          <w:sz w:val="24"/>
          <w:lang w:val="zh-CN"/>
        </w:rPr>
        <w:t>投标人应保证本项目的技术、服务或其任何一部分不会产生因第三方提出侵犯其专利权、商标权或其他知识产权而引起的法律和经济纠纷。如果投标人不拥有相应的知识产权，则须在报价中包含合法获取该知识产权的相关费用，并在投标文件中附有相关证明文件。如因第三方提出其专利权、商标权或其他知识产权的侵权之诉，则一切法律责任由投标人承担。</w:t>
      </w:r>
    </w:p>
    <w:p w14:paraId="2DF4820C">
      <w:pPr>
        <w:pStyle w:val="3"/>
        <w:numPr>
          <w:ilvl w:val="0"/>
          <w:numId w:val="3"/>
        </w:numPr>
        <w:jc w:val="center"/>
        <w:rPr>
          <w:rFonts w:ascii="楷体" w:hAnsi="楷体" w:eastAsia="楷体" w:cs="楷体"/>
          <w:color w:val="auto"/>
        </w:rPr>
      </w:pPr>
      <w:bookmarkStart w:id="75" w:name="_Toc9831"/>
      <w:bookmarkStart w:id="76" w:name="_Toc15895"/>
      <w:bookmarkStart w:id="77" w:name="_Toc31056"/>
      <w:r>
        <w:rPr>
          <w:rFonts w:hint="eastAsia" w:ascii="楷体" w:hAnsi="楷体" w:eastAsia="楷体" w:cs="楷体"/>
          <w:color w:val="auto"/>
        </w:rPr>
        <w:t>招标文件</w:t>
      </w:r>
      <w:bookmarkEnd w:id="75"/>
      <w:bookmarkEnd w:id="76"/>
      <w:bookmarkEnd w:id="77"/>
    </w:p>
    <w:p w14:paraId="4B82D5A1">
      <w:pPr>
        <w:pStyle w:val="4"/>
        <w:numPr>
          <w:ilvl w:val="0"/>
          <w:numId w:val="4"/>
        </w:numPr>
        <w:ind w:hanging="5"/>
        <w:rPr>
          <w:rFonts w:ascii="楷体" w:hAnsi="楷体" w:eastAsia="楷体" w:cs="楷体"/>
          <w:color w:val="auto"/>
          <w:sz w:val="28"/>
          <w:szCs w:val="28"/>
          <w:lang w:val="zh-CN"/>
        </w:rPr>
      </w:pPr>
      <w:bookmarkStart w:id="78" w:name="_Toc7500"/>
      <w:bookmarkStart w:id="79" w:name="_Toc19169"/>
      <w:bookmarkStart w:id="80" w:name="_Toc26165"/>
      <w:bookmarkStart w:id="81" w:name="_Toc4639"/>
      <w:bookmarkStart w:id="82" w:name="_Toc11137"/>
      <w:r>
        <w:rPr>
          <w:rFonts w:hint="eastAsia" w:ascii="楷体" w:hAnsi="楷体" w:eastAsia="楷体" w:cs="楷体"/>
          <w:color w:val="auto"/>
          <w:sz w:val="28"/>
          <w:szCs w:val="28"/>
          <w:lang w:val="zh-CN"/>
        </w:rPr>
        <w:t>招标文件的编制依据和组成</w:t>
      </w:r>
      <w:bookmarkEnd w:id="78"/>
      <w:bookmarkEnd w:id="79"/>
      <w:bookmarkEnd w:id="80"/>
      <w:bookmarkEnd w:id="81"/>
      <w:bookmarkEnd w:id="82"/>
    </w:p>
    <w:p w14:paraId="1DC9640B">
      <w:pPr>
        <w:numPr>
          <w:ilvl w:val="1"/>
          <w:numId w:val="8"/>
        </w:numPr>
        <w:tabs>
          <w:tab w:val="left" w:pos="1060"/>
          <w:tab w:val="clear" w:pos="907"/>
        </w:tabs>
        <w:spacing w:line="360" w:lineRule="auto"/>
        <w:ind w:left="1047" w:hanging="627"/>
        <w:rPr>
          <w:rFonts w:ascii="楷体" w:hAnsi="楷体" w:eastAsia="楷体" w:cs="楷体"/>
          <w:color w:val="auto"/>
          <w:sz w:val="24"/>
          <w:lang w:val="zh-CN"/>
        </w:rPr>
      </w:pPr>
      <w:bookmarkStart w:id="83" w:name="_Toc413373035"/>
      <w:bookmarkStart w:id="84" w:name="_Toc413372889"/>
      <w:bookmarkStart w:id="85" w:name="_Toc413372447"/>
      <w:r>
        <w:rPr>
          <w:rFonts w:hint="eastAsia" w:ascii="楷体" w:hAnsi="楷体" w:eastAsia="楷体" w:cs="楷体"/>
          <w:color w:val="auto"/>
          <w:sz w:val="24"/>
          <w:lang w:val="zh-CN"/>
        </w:rPr>
        <w:t>本招标文件的编制依据参照</w:t>
      </w:r>
      <w:r>
        <w:rPr>
          <w:rFonts w:hint="eastAsia" w:ascii="楷体" w:hAnsi="楷体" w:eastAsia="楷体" w:cs="楷体"/>
          <w:color w:val="auto"/>
          <w:sz w:val="24"/>
        </w:rPr>
        <w:t>《中华人民共和国招标投标法》、《中华人民共和国招标投标法实施条例》</w:t>
      </w:r>
      <w:r>
        <w:rPr>
          <w:rFonts w:hint="eastAsia" w:ascii="楷体" w:hAnsi="楷体" w:eastAsia="楷体" w:cs="楷体"/>
          <w:color w:val="auto"/>
          <w:sz w:val="24"/>
          <w:lang w:val="zh-CN"/>
        </w:rPr>
        <w:t>及其配套的法规、规章、规范性文件等。</w:t>
      </w:r>
      <w:bookmarkEnd w:id="83"/>
      <w:bookmarkEnd w:id="84"/>
      <w:bookmarkEnd w:id="85"/>
    </w:p>
    <w:p w14:paraId="33A86DEA">
      <w:pPr>
        <w:numPr>
          <w:ilvl w:val="1"/>
          <w:numId w:val="8"/>
        </w:numPr>
        <w:tabs>
          <w:tab w:val="left" w:pos="1060"/>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rPr>
        <w:t>招标文件由下列文件以及在招标过程中发出的澄清、修改和补充文件组成，共六章：</w:t>
      </w:r>
    </w:p>
    <w:p w14:paraId="6353C226">
      <w:pPr>
        <w:tabs>
          <w:tab w:val="left" w:pos="1060"/>
        </w:tabs>
        <w:adjustRightInd w:val="0"/>
        <w:snapToGrid w:val="0"/>
        <w:spacing w:line="360" w:lineRule="auto"/>
        <w:ind w:firstLine="1260" w:firstLineChars="525"/>
        <w:rPr>
          <w:rFonts w:ascii="楷体" w:hAnsi="楷体" w:eastAsia="楷体" w:cs="楷体"/>
          <w:color w:val="auto"/>
          <w:sz w:val="24"/>
        </w:rPr>
      </w:pPr>
      <w:r>
        <w:rPr>
          <w:rFonts w:hint="eastAsia" w:ascii="楷体" w:hAnsi="楷体" w:eastAsia="楷体" w:cs="楷体"/>
          <w:color w:val="auto"/>
          <w:sz w:val="24"/>
        </w:rPr>
        <w:t>第一章 投标邀请函</w:t>
      </w:r>
    </w:p>
    <w:p w14:paraId="1E730568">
      <w:pPr>
        <w:adjustRightInd w:val="0"/>
        <w:snapToGrid w:val="0"/>
        <w:spacing w:line="360" w:lineRule="auto"/>
        <w:ind w:firstLine="1260" w:firstLineChars="525"/>
        <w:rPr>
          <w:rFonts w:ascii="楷体" w:hAnsi="楷体" w:eastAsia="楷体" w:cs="楷体"/>
          <w:color w:val="auto"/>
          <w:sz w:val="24"/>
        </w:rPr>
      </w:pPr>
      <w:r>
        <w:rPr>
          <w:rFonts w:hint="eastAsia" w:ascii="楷体" w:hAnsi="楷体" w:eastAsia="楷体" w:cs="楷体"/>
          <w:color w:val="auto"/>
          <w:sz w:val="24"/>
        </w:rPr>
        <w:t>第二章 投标人须知</w:t>
      </w:r>
    </w:p>
    <w:p w14:paraId="3B040C12">
      <w:pPr>
        <w:adjustRightInd w:val="0"/>
        <w:snapToGrid w:val="0"/>
        <w:spacing w:line="360" w:lineRule="auto"/>
        <w:ind w:firstLine="1260" w:firstLineChars="525"/>
        <w:rPr>
          <w:rFonts w:ascii="楷体" w:hAnsi="楷体" w:eastAsia="楷体" w:cs="楷体"/>
          <w:color w:val="auto"/>
          <w:sz w:val="24"/>
        </w:rPr>
      </w:pPr>
      <w:r>
        <w:rPr>
          <w:rFonts w:hint="eastAsia" w:ascii="楷体" w:hAnsi="楷体" w:eastAsia="楷体" w:cs="楷体"/>
          <w:color w:val="auto"/>
          <w:sz w:val="24"/>
        </w:rPr>
        <w:t>第三章 评标体系与标准</w:t>
      </w:r>
    </w:p>
    <w:p w14:paraId="13FA72CF">
      <w:pPr>
        <w:adjustRightInd w:val="0"/>
        <w:snapToGrid w:val="0"/>
        <w:spacing w:line="360" w:lineRule="auto"/>
        <w:ind w:firstLine="1260" w:firstLineChars="525"/>
        <w:rPr>
          <w:rFonts w:ascii="楷体" w:hAnsi="楷体" w:eastAsia="楷体" w:cs="楷体"/>
          <w:color w:val="auto"/>
          <w:sz w:val="24"/>
        </w:rPr>
      </w:pPr>
      <w:r>
        <w:rPr>
          <w:rFonts w:hint="eastAsia" w:ascii="楷体" w:hAnsi="楷体" w:eastAsia="楷体" w:cs="楷体"/>
          <w:color w:val="auto"/>
          <w:sz w:val="24"/>
        </w:rPr>
        <w:t>第四章 用户需求书</w:t>
      </w:r>
    </w:p>
    <w:p w14:paraId="69802C1F">
      <w:pPr>
        <w:adjustRightInd w:val="0"/>
        <w:snapToGrid w:val="0"/>
        <w:spacing w:line="360" w:lineRule="auto"/>
        <w:ind w:firstLine="1260" w:firstLineChars="525"/>
        <w:rPr>
          <w:rFonts w:ascii="楷体" w:hAnsi="楷体" w:eastAsia="楷体" w:cs="楷体"/>
          <w:color w:val="auto"/>
          <w:sz w:val="24"/>
        </w:rPr>
      </w:pPr>
      <w:r>
        <w:rPr>
          <w:rFonts w:hint="eastAsia" w:ascii="楷体" w:hAnsi="楷体" w:eastAsia="楷体" w:cs="楷体"/>
          <w:color w:val="auto"/>
          <w:sz w:val="24"/>
        </w:rPr>
        <w:t>第五章 合同格式</w:t>
      </w:r>
    </w:p>
    <w:p w14:paraId="3C8E9CC9">
      <w:pPr>
        <w:adjustRightInd w:val="0"/>
        <w:snapToGrid w:val="0"/>
        <w:spacing w:line="360" w:lineRule="auto"/>
        <w:ind w:firstLine="1260" w:firstLineChars="525"/>
        <w:rPr>
          <w:rFonts w:ascii="楷体" w:hAnsi="楷体" w:eastAsia="楷体" w:cs="楷体"/>
          <w:color w:val="auto"/>
          <w:sz w:val="24"/>
          <w:lang w:val="zh-CN"/>
        </w:rPr>
      </w:pPr>
      <w:r>
        <w:rPr>
          <w:rFonts w:hint="eastAsia" w:ascii="楷体" w:hAnsi="楷体" w:eastAsia="楷体" w:cs="楷体"/>
          <w:color w:val="auto"/>
          <w:sz w:val="24"/>
        </w:rPr>
        <w:t>第六章 投标文件格式</w:t>
      </w:r>
    </w:p>
    <w:p w14:paraId="425C74FD">
      <w:pPr>
        <w:numPr>
          <w:ilvl w:val="1"/>
          <w:numId w:val="8"/>
        </w:numPr>
        <w:tabs>
          <w:tab w:val="left" w:pos="1060"/>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rPr>
        <w:t>投标人应认真阅读招标文件中所有的事项、格式、条款和规范等要求。如果投标人没有按照招标文件的要求提交全部资料，或者投标文件没有对招标文件在各方面做出实质性响应，可能导致其投标被拒绝，或被认定为投标无效。</w:t>
      </w:r>
    </w:p>
    <w:p w14:paraId="33E41D59">
      <w:pPr>
        <w:pStyle w:val="4"/>
        <w:numPr>
          <w:ilvl w:val="0"/>
          <w:numId w:val="4"/>
        </w:numPr>
        <w:ind w:hanging="5"/>
        <w:rPr>
          <w:rFonts w:ascii="楷体" w:hAnsi="楷体" w:eastAsia="楷体" w:cs="楷体"/>
          <w:color w:val="auto"/>
          <w:sz w:val="28"/>
          <w:szCs w:val="28"/>
          <w:lang w:val="zh-CN"/>
        </w:rPr>
      </w:pPr>
      <w:bookmarkStart w:id="86" w:name="_Toc10350"/>
      <w:bookmarkStart w:id="87" w:name="_Toc14116"/>
      <w:bookmarkStart w:id="88" w:name="_Toc29518"/>
      <w:bookmarkStart w:id="89" w:name="_Toc12309"/>
      <w:bookmarkStart w:id="90" w:name="_Toc14080"/>
      <w:r>
        <w:rPr>
          <w:rFonts w:hint="eastAsia" w:ascii="楷体" w:hAnsi="楷体" w:eastAsia="楷体" w:cs="楷体"/>
          <w:color w:val="auto"/>
          <w:sz w:val="28"/>
          <w:szCs w:val="28"/>
          <w:lang w:val="zh-CN"/>
        </w:rPr>
        <w:t>招标文件的澄清和修改</w:t>
      </w:r>
      <w:bookmarkEnd w:id="86"/>
      <w:bookmarkEnd w:id="87"/>
      <w:bookmarkEnd w:id="88"/>
      <w:bookmarkEnd w:id="89"/>
      <w:bookmarkEnd w:id="90"/>
    </w:p>
    <w:p w14:paraId="0CEF702C">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招标人可以对已发出的招标文件进行必要的澄清或者修改。澄清或者修改的内容可能影响投标文件编制的，招标人应当在提交投标截止时间至少15日前，以书面形式通知所有获取招标文件的潜在投标人；不足15日的，招标人应当顺延提交投标文件的截止时间。</w:t>
      </w:r>
    </w:p>
    <w:p w14:paraId="625201B7">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潜在投标人或者其他利害关系人对招标文件有异议的，应当在投标截止时间10日前提出。招标人应当自收到异议之日起3日内作出答复。</w:t>
      </w:r>
    </w:p>
    <w:p w14:paraId="790E1023">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rPr>
        <w:t>已领购招标文件投标人在收到上述通知后，应在24小时内以书面形式向招标代理机构确认，若投标人未在24小时内书面回复确认将视为同意修改内容，并有责任履行相应的义务。</w:t>
      </w:r>
    </w:p>
    <w:p w14:paraId="339E36B3">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招标文件的修改内容为招标文件的组成部分。</w:t>
      </w:r>
    </w:p>
    <w:p w14:paraId="11369F23">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招标文件的澄清或修改均以书面形式明确的内容为准。当招标文件的澄清、修改、补充等在同一内容的表述不一致时，以最后发出的书面文件为准。</w:t>
      </w:r>
    </w:p>
    <w:p w14:paraId="6B091225">
      <w:pPr>
        <w:numPr>
          <w:ilvl w:val="1"/>
          <w:numId w:val="9"/>
        </w:numPr>
        <w:tabs>
          <w:tab w:val="left" w:pos="630"/>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4A8CEE2">
      <w:pPr>
        <w:pStyle w:val="4"/>
        <w:numPr>
          <w:ilvl w:val="0"/>
          <w:numId w:val="4"/>
        </w:numPr>
        <w:ind w:hanging="5"/>
        <w:rPr>
          <w:rFonts w:ascii="楷体" w:hAnsi="楷体" w:eastAsia="楷体" w:cs="楷体"/>
          <w:color w:val="auto"/>
          <w:sz w:val="28"/>
          <w:szCs w:val="28"/>
          <w:lang w:val="zh-CN"/>
        </w:rPr>
      </w:pPr>
      <w:bookmarkStart w:id="91" w:name="_Toc886"/>
      <w:bookmarkStart w:id="92" w:name="_Toc110"/>
      <w:bookmarkStart w:id="93" w:name="_Toc5081"/>
      <w:bookmarkStart w:id="94" w:name="_Toc1432"/>
      <w:r>
        <w:rPr>
          <w:rFonts w:hint="eastAsia" w:ascii="楷体" w:hAnsi="楷体" w:eastAsia="楷体" w:cs="楷体"/>
          <w:color w:val="auto"/>
          <w:sz w:val="28"/>
          <w:szCs w:val="28"/>
          <w:lang w:val="zh-CN"/>
        </w:rPr>
        <w:t>答疑会或踏勘现场</w:t>
      </w:r>
      <w:bookmarkEnd w:id="91"/>
      <w:bookmarkEnd w:id="92"/>
      <w:bookmarkEnd w:id="93"/>
      <w:bookmarkEnd w:id="94"/>
    </w:p>
    <w:p w14:paraId="757F07BF">
      <w:pPr>
        <w:numPr>
          <w:ilvl w:val="1"/>
          <w:numId w:val="10"/>
        </w:numPr>
        <w:tabs>
          <w:tab w:val="left" w:pos="1060"/>
          <w:tab w:val="clear" w:pos="907"/>
        </w:tabs>
        <w:spacing w:line="360" w:lineRule="auto"/>
        <w:ind w:left="1087" w:hanging="667"/>
        <w:rPr>
          <w:rFonts w:ascii="楷体" w:hAnsi="楷体" w:eastAsia="楷体" w:cs="楷体"/>
          <w:color w:val="auto"/>
          <w:sz w:val="24"/>
          <w:lang w:val="zh-CN"/>
        </w:rPr>
      </w:pPr>
      <w:bookmarkStart w:id="95" w:name="_Toc423021942"/>
      <w:bookmarkStart w:id="96" w:name="_Toc14980"/>
      <w:r>
        <w:rPr>
          <w:rFonts w:hint="eastAsia" w:ascii="楷体" w:hAnsi="楷体" w:eastAsia="楷体" w:cs="楷体"/>
          <w:color w:val="auto"/>
          <w:sz w:val="24"/>
          <w:lang w:val="zh-CN"/>
        </w:rPr>
        <w:t>除非</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中另有规定，本项目不举行集中答疑会或统一组织踏勘现场，如举行集中答疑会或踏勘现场的，则按以下规定：</w:t>
      </w:r>
    </w:p>
    <w:p w14:paraId="6D53DCBF">
      <w:pPr>
        <w:numPr>
          <w:ilvl w:val="1"/>
          <w:numId w:val="10"/>
        </w:numPr>
        <w:tabs>
          <w:tab w:val="left" w:pos="106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按</w:t>
      </w:r>
      <w:r>
        <w:rPr>
          <w:rFonts w:hint="eastAsia" w:ascii="楷体" w:hAnsi="楷体" w:eastAsia="楷体" w:cs="楷体"/>
          <w:b/>
          <w:bCs/>
          <w:color w:val="auto"/>
          <w:sz w:val="24"/>
          <w:lang w:val="zh-CN"/>
        </w:rPr>
        <w:t>投标邀请函</w:t>
      </w:r>
      <w:r>
        <w:rPr>
          <w:rFonts w:hint="eastAsia" w:ascii="楷体" w:hAnsi="楷体" w:eastAsia="楷体" w:cs="楷体"/>
          <w:color w:val="auto"/>
          <w:sz w:val="24"/>
          <w:lang w:val="zh-CN"/>
        </w:rPr>
        <w:t>中规定的日期、时间和地点组织公开答疑会或踏勘现场</w:t>
      </w:r>
      <w:r>
        <w:rPr>
          <w:rFonts w:hint="eastAsia" w:ascii="楷体" w:hAnsi="楷体" w:eastAsia="楷体" w:cs="楷体"/>
          <w:color w:val="auto"/>
          <w:sz w:val="24"/>
        </w:rPr>
        <w:t>。</w:t>
      </w:r>
    </w:p>
    <w:p w14:paraId="50F43DA4">
      <w:pPr>
        <w:spacing w:line="360" w:lineRule="auto"/>
        <w:ind w:left="1140" w:leftChars="200" w:hanging="720" w:hangingChars="300"/>
        <w:rPr>
          <w:rFonts w:ascii="楷体" w:hAnsi="楷体" w:eastAsia="楷体" w:cs="楷体"/>
          <w:color w:val="auto"/>
          <w:sz w:val="24"/>
          <w:lang w:val="zh-CN"/>
        </w:rPr>
      </w:pPr>
      <w:r>
        <w:rPr>
          <w:rFonts w:hint="eastAsia" w:ascii="楷体" w:hAnsi="楷体" w:eastAsia="楷体" w:cs="楷体"/>
          <w:color w:val="auto"/>
          <w:sz w:val="24"/>
        </w:rPr>
        <w:t>6.2.1</w:t>
      </w:r>
      <w:r>
        <w:rPr>
          <w:rFonts w:hint="eastAsia" w:ascii="楷体" w:hAnsi="楷体" w:eastAsia="楷体" w:cs="楷体"/>
          <w:color w:val="auto"/>
          <w:sz w:val="24"/>
          <w:lang w:val="zh-CN"/>
        </w:rPr>
        <w:t>投标人若对本项目提出疑问，需在答疑会召开或踏勘现场举行之日前至少一个工作日将问题清单以书面形式（加盖公章）提交至招标代理机构，投标人代表于规定的时间和地点出席答疑会或参加踏勘现场。</w:t>
      </w:r>
    </w:p>
    <w:p w14:paraId="27AE30EB">
      <w:pPr>
        <w:spacing w:line="360" w:lineRule="auto"/>
        <w:ind w:left="1140" w:leftChars="200" w:hanging="720" w:hangingChars="300"/>
        <w:rPr>
          <w:rFonts w:ascii="楷体" w:hAnsi="楷体" w:eastAsia="楷体" w:cs="楷体"/>
          <w:color w:val="auto"/>
          <w:sz w:val="24"/>
          <w:lang w:val="zh-CN"/>
        </w:rPr>
      </w:pPr>
      <w:r>
        <w:rPr>
          <w:rFonts w:hint="eastAsia" w:ascii="楷体" w:hAnsi="楷体" w:eastAsia="楷体" w:cs="楷体"/>
          <w:color w:val="auto"/>
          <w:sz w:val="24"/>
        </w:rPr>
        <w:t xml:space="preserve">6.2.2 </w:t>
      </w:r>
      <w:r>
        <w:rPr>
          <w:rFonts w:hint="eastAsia" w:ascii="楷体" w:hAnsi="楷体" w:eastAsia="楷体" w:cs="楷体"/>
          <w:color w:val="auto"/>
          <w:sz w:val="24"/>
          <w:lang w:val="zh-CN"/>
        </w:rPr>
        <w:t>已购买招标文件的投标人如不出席答疑会或参加踏勘现场视为对招标文件所有内容无任何异议。</w:t>
      </w:r>
    </w:p>
    <w:p w14:paraId="422DF8EB">
      <w:pPr>
        <w:pStyle w:val="3"/>
        <w:numPr>
          <w:ilvl w:val="0"/>
          <w:numId w:val="3"/>
        </w:numPr>
        <w:jc w:val="center"/>
        <w:rPr>
          <w:rFonts w:ascii="楷体" w:hAnsi="楷体" w:eastAsia="楷体" w:cs="楷体"/>
          <w:color w:val="auto"/>
        </w:rPr>
      </w:pPr>
      <w:bookmarkStart w:id="97" w:name="_Toc31120"/>
      <w:bookmarkStart w:id="98" w:name="_Toc20641"/>
      <w:bookmarkStart w:id="99" w:name="_Toc17190"/>
      <w:bookmarkStart w:id="100" w:name="_Toc20380"/>
      <w:r>
        <w:rPr>
          <w:rFonts w:hint="eastAsia" w:ascii="楷体" w:hAnsi="楷体" w:eastAsia="楷体" w:cs="楷体"/>
          <w:color w:val="auto"/>
        </w:rPr>
        <w:t>投标文件的编制</w:t>
      </w:r>
      <w:bookmarkEnd w:id="95"/>
      <w:bookmarkEnd w:id="96"/>
      <w:bookmarkEnd w:id="97"/>
      <w:bookmarkEnd w:id="98"/>
      <w:bookmarkEnd w:id="99"/>
      <w:bookmarkEnd w:id="100"/>
    </w:p>
    <w:p w14:paraId="471BCA13">
      <w:pPr>
        <w:pStyle w:val="4"/>
        <w:numPr>
          <w:ilvl w:val="0"/>
          <w:numId w:val="4"/>
        </w:numPr>
        <w:ind w:hanging="5"/>
        <w:rPr>
          <w:rFonts w:ascii="楷体" w:hAnsi="楷体" w:eastAsia="楷体" w:cs="楷体"/>
          <w:color w:val="auto"/>
          <w:sz w:val="28"/>
          <w:szCs w:val="28"/>
          <w:lang w:val="zh-CN"/>
        </w:rPr>
      </w:pPr>
      <w:bookmarkStart w:id="101" w:name="_Toc2471"/>
      <w:bookmarkStart w:id="102" w:name="_Toc29915"/>
      <w:bookmarkStart w:id="103" w:name="_Toc25200"/>
      <w:bookmarkStart w:id="104" w:name="_Toc22361"/>
      <w:bookmarkStart w:id="105" w:name="_Toc595"/>
      <w:r>
        <w:rPr>
          <w:rFonts w:hint="eastAsia" w:ascii="楷体" w:hAnsi="楷体" w:eastAsia="楷体" w:cs="楷体"/>
          <w:color w:val="auto"/>
          <w:sz w:val="28"/>
          <w:szCs w:val="28"/>
          <w:lang w:val="zh-CN"/>
        </w:rPr>
        <w:t>投标语言和计量单位</w:t>
      </w:r>
      <w:bookmarkEnd w:id="101"/>
      <w:bookmarkEnd w:id="102"/>
      <w:bookmarkEnd w:id="103"/>
      <w:bookmarkEnd w:id="104"/>
      <w:bookmarkEnd w:id="105"/>
    </w:p>
    <w:p w14:paraId="687B647D">
      <w:pPr>
        <w:numPr>
          <w:ilvl w:val="1"/>
          <w:numId w:val="11"/>
        </w:numPr>
        <w:tabs>
          <w:tab w:val="left" w:pos="1060"/>
          <w:tab w:val="clear" w:pos="907"/>
        </w:tabs>
        <w:spacing w:line="360" w:lineRule="auto"/>
        <w:ind w:left="1127" w:hanging="707"/>
        <w:rPr>
          <w:rFonts w:ascii="楷体" w:hAnsi="楷体" w:eastAsia="楷体" w:cs="楷体"/>
          <w:color w:val="auto"/>
          <w:sz w:val="24"/>
          <w:lang w:val="zh-CN"/>
        </w:rPr>
      </w:pPr>
      <w:r>
        <w:rPr>
          <w:rFonts w:hint="eastAsia" w:ascii="楷体" w:hAnsi="楷体" w:eastAsia="楷体" w:cs="楷体"/>
          <w:color w:val="auto"/>
          <w:sz w:val="24"/>
          <w:lang w:val="zh-CN"/>
        </w:rPr>
        <w:t>投标人提交的投标文件以及投标人与招标人或招标代理机构就有关投标的来往函件均应使用简体中文书写。投标人提供的支持文件、技术资料和印刷的文献可以用其它语言，但相应内容应附有第三方的中文翻译本，在解释投标文件时以中文翻译本为准。</w:t>
      </w:r>
    </w:p>
    <w:p w14:paraId="6DF9CE75">
      <w:pPr>
        <w:numPr>
          <w:ilvl w:val="1"/>
          <w:numId w:val="11"/>
        </w:numPr>
        <w:tabs>
          <w:tab w:val="left" w:pos="1060"/>
          <w:tab w:val="clear" w:pos="907"/>
        </w:tabs>
        <w:spacing w:line="360" w:lineRule="auto"/>
        <w:ind w:left="1127" w:hanging="707"/>
        <w:rPr>
          <w:rFonts w:ascii="楷体" w:hAnsi="楷体" w:eastAsia="楷体" w:cs="楷体"/>
          <w:color w:val="auto"/>
          <w:sz w:val="24"/>
          <w:lang w:val="zh-CN"/>
        </w:rPr>
      </w:pPr>
      <w:r>
        <w:rPr>
          <w:rFonts w:hint="eastAsia" w:ascii="楷体" w:hAnsi="楷体" w:eastAsia="楷体" w:cs="楷体"/>
          <w:color w:val="auto"/>
          <w:sz w:val="24"/>
          <w:lang w:val="zh-CN"/>
        </w:rPr>
        <w:t>除非招标文件中有特殊要求，投标文件中的计量单位应采用中华人民共和国法定计量单位。</w:t>
      </w:r>
    </w:p>
    <w:p w14:paraId="614C60BC">
      <w:pPr>
        <w:numPr>
          <w:ilvl w:val="1"/>
          <w:numId w:val="11"/>
        </w:numPr>
        <w:tabs>
          <w:tab w:val="left" w:pos="1060"/>
          <w:tab w:val="clear" w:pos="907"/>
        </w:tabs>
        <w:spacing w:line="360" w:lineRule="auto"/>
        <w:ind w:left="1127" w:hanging="707"/>
        <w:rPr>
          <w:rFonts w:ascii="楷体" w:hAnsi="楷体" w:eastAsia="楷体" w:cs="楷体"/>
          <w:color w:val="auto"/>
          <w:sz w:val="24"/>
          <w:lang w:val="zh-CN"/>
        </w:rPr>
      </w:pPr>
      <w:r>
        <w:rPr>
          <w:rFonts w:hint="eastAsia" w:ascii="楷体" w:hAnsi="楷体" w:eastAsia="楷体" w:cs="楷体"/>
          <w:color w:val="auto"/>
          <w:sz w:val="24"/>
          <w:lang w:val="zh-CN"/>
        </w:rPr>
        <w:t>除非另有说明，本招标文件中所称“日”均指日历日，投标文件中需以日历日对招标文件作出响应。评审时，对投标文件中出现的“工作日”按五个工作日折合七个日历日计算，且评标委员会可能会就日期作出对该投标人不利的折算和量化，投标人须自行承担此风险。</w:t>
      </w:r>
    </w:p>
    <w:p w14:paraId="047AA77B">
      <w:pPr>
        <w:pStyle w:val="4"/>
        <w:numPr>
          <w:ilvl w:val="0"/>
          <w:numId w:val="4"/>
        </w:numPr>
        <w:ind w:hanging="5"/>
        <w:rPr>
          <w:rFonts w:ascii="楷体" w:hAnsi="楷体" w:eastAsia="楷体" w:cs="楷体"/>
          <w:color w:val="auto"/>
          <w:sz w:val="28"/>
          <w:szCs w:val="28"/>
          <w:lang w:val="zh-CN"/>
        </w:rPr>
      </w:pPr>
      <w:bookmarkStart w:id="106" w:name="_Toc13183"/>
      <w:bookmarkStart w:id="107" w:name="_Toc11148"/>
      <w:bookmarkStart w:id="108" w:name="_Toc19765"/>
      <w:bookmarkStart w:id="109" w:name="_Toc25428"/>
      <w:bookmarkStart w:id="110" w:name="_Toc20995"/>
      <w:r>
        <w:rPr>
          <w:rFonts w:hint="eastAsia" w:ascii="楷体" w:hAnsi="楷体" w:eastAsia="楷体" w:cs="楷体"/>
          <w:color w:val="auto"/>
          <w:sz w:val="28"/>
          <w:szCs w:val="28"/>
          <w:lang w:val="zh-CN"/>
        </w:rPr>
        <w:t>投标文件的构成</w:t>
      </w:r>
      <w:bookmarkEnd w:id="106"/>
      <w:bookmarkEnd w:id="107"/>
      <w:bookmarkEnd w:id="108"/>
      <w:bookmarkEnd w:id="109"/>
      <w:bookmarkEnd w:id="110"/>
    </w:p>
    <w:p w14:paraId="0B48FA2E">
      <w:pPr>
        <w:numPr>
          <w:ilvl w:val="1"/>
          <w:numId w:val="12"/>
        </w:numPr>
        <w:tabs>
          <w:tab w:val="left" w:pos="1050"/>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rPr>
        <w:t>投标人编写的投标文件应包括自查表、初审文件、商务文件、技术文件，编排顺序可参见“第六章投标文件格式”，包括但不限于其中所列表格、文件及证明资料。</w:t>
      </w:r>
    </w:p>
    <w:p w14:paraId="4DD109DF">
      <w:pPr>
        <w:numPr>
          <w:ilvl w:val="1"/>
          <w:numId w:val="12"/>
        </w:numPr>
        <w:tabs>
          <w:tab w:val="left" w:pos="1050"/>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rPr>
        <w:t>投标文件的构成应符合法律法规及招标文件的要求。</w:t>
      </w:r>
    </w:p>
    <w:p w14:paraId="0742B93E">
      <w:pPr>
        <w:pStyle w:val="4"/>
        <w:numPr>
          <w:ilvl w:val="0"/>
          <w:numId w:val="4"/>
        </w:numPr>
        <w:ind w:hanging="5"/>
        <w:rPr>
          <w:rFonts w:ascii="楷体" w:hAnsi="楷体" w:eastAsia="楷体" w:cs="楷体"/>
          <w:color w:val="auto"/>
          <w:sz w:val="28"/>
          <w:szCs w:val="28"/>
          <w:lang w:val="zh-CN"/>
        </w:rPr>
      </w:pPr>
      <w:bookmarkStart w:id="111" w:name="_Toc3759"/>
      <w:bookmarkStart w:id="112" w:name="_Toc1487"/>
      <w:bookmarkStart w:id="113" w:name="_Toc14037"/>
      <w:bookmarkStart w:id="114" w:name="_Toc31760"/>
      <w:bookmarkStart w:id="115" w:name="_Toc8564"/>
      <w:r>
        <w:rPr>
          <w:rFonts w:hint="eastAsia" w:ascii="楷体" w:hAnsi="楷体" w:eastAsia="楷体" w:cs="楷体"/>
          <w:color w:val="auto"/>
          <w:sz w:val="28"/>
          <w:szCs w:val="28"/>
          <w:lang w:val="zh-CN"/>
        </w:rPr>
        <w:t>投标文件编制注意事项</w:t>
      </w:r>
      <w:bookmarkEnd w:id="111"/>
      <w:bookmarkEnd w:id="112"/>
      <w:bookmarkEnd w:id="113"/>
      <w:bookmarkEnd w:id="114"/>
      <w:bookmarkEnd w:id="115"/>
    </w:p>
    <w:p w14:paraId="161E502E">
      <w:pPr>
        <w:numPr>
          <w:ilvl w:val="1"/>
          <w:numId w:val="13"/>
        </w:numPr>
        <w:tabs>
          <w:tab w:val="left" w:pos="1050"/>
          <w:tab w:val="clear" w:pos="907"/>
        </w:tabs>
        <w:spacing w:line="360" w:lineRule="auto"/>
        <w:ind w:left="1067" w:hanging="647"/>
        <w:rPr>
          <w:rFonts w:ascii="楷体" w:hAnsi="楷体" w:eastAsia="楷体" w:cs="楷体"/>
          <w:b/>
          <w:bCs/>
          <w:color w:val="auto"/>
          <w:sz w:val="24"/>
          <w:u w:val="single"/>
          <w:lang w:val="zh-CN"/>
        </w:rPr>
      </w:pPr>
      <w:r>
        <w:rPr>
          <w:rFonts w:hint="eastAsia" w:ascii="楷体" w:hAnsi="楷体" w:eastAsia="楷体" w:cs="楷体"/>
          <w:color w:val="auto"/>
          <w:sz w:val="24"/>
          <w:lang w:val="zh-CN"/>
        </w:rPr>
        <w:t>投标人应完整、真实、准确地填写招标文件中提供的投标函以及招标文件中规定的其它所有内容。</w:t>
      </w:r>
    </w:p>
    <w:p w14:paraId="5CDEF0A8">
      <w:pPr>
        <w:numPr>
          <w:ilvl w:val="1"/>
          <w:numId w:val="13"/>
        </w:numPr>
        <w:tabs>
          <w:tab w:val="left" w:pos="1050"/>
          <w:tab w:val="clear" w:pos="907"/>
        </w:tabs>
        <w:spacing w:line="360" w:lineRule="auto"/>
        <w:ind w:left="1060" w:hanging="640"/>
        <w:rPr>
          <w:rFonts w:ascii="楷体" w:hAnsi="楷体" w:eastAsia="楷体" w:cs="楷体"/>
          <w:color w:val="auto"/>
          <w:sz w:val="24"/>
          <w:lang w:val="zh-CN"/>
        </w:rPr>
      </w:pPr>
      <w:r>
        <w:rPr>
          <w:rFonts w:hint="eastAsia" w:ascii="楷体" w:hAnsi="楷体" w:eastAsia="楷体" w:cs="楷体"/>
          <w:color w:val="auto"/>
          <w:sz w:val="24"/>
          <w:lang w:val="zh-CN"/>
        </w:rPr>
        <w:t>招标文件中有多个包组，投标人可对其中一个包组进行投标，但不得只对一个包组中的内容拆分制作。</w:t>
      </w:r>
    </w:p>
    <w:p w14:paraId="7EC7DFC9">
      <w:pPr>
        <w:numPr>
          <w:ilvl w:val="1"/>
          <w:numId w:val="13"/>
        </w:numPr>
        <w:tabs>
          <w:tab w:val="left" w:pos="1050"/>
          <w:tab w:val="clear" w:pos="907"/>
        </w:tabs>
        <w:spacing w:line="360" w:lineRule="auto"/>
        <w:ind w:left="1060" w:hanging="640"/>
        <w:rPr>
          <w:rFonts w:ascii="楷体" w:hAnsi="楷体" w:eastAsia="楷体" w:cs="楷体"/>
          <w:color w:val="auto"/>
          <w:sz w:val="24"/>
          <w:lang w:val="zh-CN"/>
        </w:rPr>
      </w:pPr>
      <w:r>
        <w:rPr>
          <w:rFonts w:hint="eastAsia" w:ascii="楷体" w:hAnsi="楷体" w:eastAsia="楷体" w:cs="楷体"/>
          <w:color w:val="auto"/>
          <w:sz w:val="24"/>
          <w:lang w:val="zh-CN"/>
        </w:rPr>
        <w:t>投标人必须对投标文件所提供的全部资料的真实性承担法律责任，并无条件接受招标人或招标代理机构及</w:t>
      </w:r>
      <w:r>
        <w:rPr>
          <w:rFonts w:hint="eastAsia" w:ascii="楷体" w:hAnsi="楷体" w:eastAsia="楷体" w:cs="楷体"/>
          <w:color w:val="auto"/>
          <w:sz w:val="24"/>
        </w:rPr>
        <w:t>招标人</w:t>
      </w:r>
      <w:r>
        <w:rPr>
          <w:rFonts w:hint="eastAsia" w:ascii="楷体" w:hAnsi="楷体" w:eastAsia="楷体" w:cs="楷体"/>
          <w:color w:val="auto"/>
          <w:sz w:val="24"/>
          <w:lang w:val="zh-CN"/>
        </w:rPr>
        <w:t>监督管理部门等对其中任何资料进行核实的要求。</w:t>
      </w:r>
    </w:p>
    <w:p w14:paraId="3C7EFA81">
      <w:pPr>
        <w:numPr>
          <w:ilvl w:val="1"/>
          <w:numId w:val="13"/>
        </w:numPr>
        <w:tabs>
          <w:tab w:val="left" w:pos="1050"/>
          <w:tab w:val="clear" w:pos="907"/>
        </w:tabs>
        <w:spacing w:line="360" w:lineRule="auto"/>
        <w:ind w:left="1060" w:hanging="640"/>
        <w:rPr>
          <w:rFonts w:ascii="楷体" w:hAnsi="楷体" w:eastAsia="楷体" w:cs="楷体"/>
          <w:color w:val="auto"/>
          <w:sz w:val="24"/>
          <w:lang w:val="zh-CN"/>
        </w:rPr>
      </w:pPr>
      <w:r>
        <w:rPr>
          <w:rFonts w:hint="eastAsia" w:ascii="楷体" w:hAnsi="楷体" w:eastAsia="楷体" w:cs="楷体"/>
          <w:color w:val="auto"/>
          <w:sz w:val="24"/>
          <w:lang w:val="zh-CN"/>
        </w:rPr>
        <w:t>投标人的投标文件只填写和提供了本招标文件要求的部分内容和附件，或没有提供招标文件中所要求的全部资料及数据，由此造成的后果和责任由投标人承担。</w:t>
      </w:r>
    </w:p>
    <w:p w14:paraId="5D783952">
      <w:pPr>
        <w:pStyle w:val="4"/>
        <w:numPr>
          <w:ilvl w:val="0"/>
          <w:numId w:val="4"/>
        </w:numPr>
        <w:ind w:hanging="5"/>
        <w:rPr>
          <w:rFonts w:ascii="楷体" w:hAnsi="楷体" w:eastAsia="楷体" w:cs="楷体"/>
          <w:color w:val="auto"/>
          <w:sz w:val="28"/>
          <w:szCs w:val="28"/>
          <w:lang w:val="zh-CN"/>
        </w:rPr>
      </w:pPr>
      <w:bookmarkStart w:id="116" w:name="_Toc282"/>
      <w:bookmarkStart w:id="117" w:name="_Toc17622"/>
      <w:bookmarkStart w:id="118" w:name="_Toc31650"/>
      <w:bookmarkStart w:id="119" w:name="_Toc25512"/>
      <w:bookmarkStart w:id="120" w:name="_Toc28943"/>
      <w:r>
        <w:rPr>
          <w:rFonts w:hint="eastAsia" w:ascii="楷体" w:hAnsi="楷体" w:eastAsia="楷体" w:cs="楷体"/>
          <w:color w:val="auto"/>
          <w:sz w:val="28"/>
          <w:szCs w:val="28"/>
          <w:lang w:val="zh-CN"/>
        </w:rPr>
        <w:t>投标文件的式样和签署</w:t>
      </w:r>
      <w:bookmarkEnd w:id="116"/>
      <w:bookmarkEnd w:id="117"/>
      <w:bookmarkEnd w:id="118"/>
      <w:bookmarkEnd w:id="119"/>
      <w:bookmarkEnd w:id="120"/>
    </w:p>
    <w:p w14:paraId="4B0F9D21">
      <w:pPr>
        <w:numPr>
          <w:ilvl w:val="1"/>
          <w:numId w:val="14"/>
        </w:numPr>
        <w:tabs>
          <w:tab w:val="clear" w:pos="907"/>
        </w:tabs>
        <w:spacing w:line="360" w:lineRule="auto"/>
        <w:ind w:left="1107" w:hanging="687"/>
        <w:rPr>
          <w:rFonts w:ascii="楷体" w:hAnsi="楷体" w:eastAsia="楷体" w:cs="楷体"/>
          <w:color w:val="auto"/>
          <w:sz w:val="24"/>
          <w:lang w:val="zh-CN"/>
        </w:rPr>
      </w:pPr>
      <w:r>
        <w:rPr>
          <w:rFonts w:hint="eastAsia" w:ascii="楷体" w:hAnsi="楷体" w:eastAsia="楷体" w:cs="楷体"/>
          <w:color w:val="auto"/>
          <w:sz w:val="24"/>
          <w:lang w:val="zh-CN"/>
        </w:rPr>
        <w:t>投标人应制作</w:t>
      </w:r>
      <w:r>
        <w:rPr>
          <w:rFonts w:hint="eastAsia" w:ascii="楷体" w:hAnsi="楷体" w:eastAsia="楷体" w:cs="楷体"/>
          <w:color w:val="auto"/>
          <w:sz w:val="24"/>
        </w:rPr>
        <w:t>加密</w:t>
      </w:r>
      <w:r>
        <w:rPr>
          <w:rFonts w:hint="eastAsia" w:ascii="楷体" w:hAnsi="楷体" w:eastAsia="楷体" w:cs="楷体"/>
          <w:color w:val="auto"/>
          <w:sz w:val="24"/>
          <w:lang w:val="zh-CN"/>
        </w:rPr>
        <w:t>电子文件（电子文件为</w:t>
      </w:r>
      <w:r>
        <w:rPr>
          <w:rFonts w:hint="eastAsia" w:ascii="楷体" w:hAnsi="楷体" w:eastAsia="楷体" w:cs="楷体"/>
          <w:color w:val="auto"/>
          <w:sz w:val="24"/>
        </w:rPr>
        <w:t>经过投标客户端制作并加密</w:t>
      </w:r>
      <w:r>
        <w:rPr>
          <w:rFonts w:hint="eastAsia" w:ascii="楷体" w:hAnsi="楷体" w:eastAsia="楷体" w:cs="楷体"/>
          <w:color w:val="auto"/>
          <w:sz w:val="24"/>
          <w:lang w:val="zh-CN"/>
        </w:rPr>
        <w:t>。）</w:t>
      </w:r>
    </w:p>
    <w:p w14:paraId="3753DD00">
      <w:pPr>
        <w:numPr>
          <w:ilvl w:val="1"/>
          <w:numId w:val="14"/>
        </w:numPr>
        <w:tabs>
          <w:tab w:val="clear" w:pos="907"/>
        </w:tabs>
        <w:spacing w:line="360" w:lineRule="auto"/>
        <w:ind w:left="1107" w:hanging="687"/>
        <w:rPr>
          <w:rFonts w:ascii="楷体" w:hAnsi="楷体" w:eastAsia="楷体" w:cs="楷体"/>
          <w:color w:val="auto"/>
          <w:sz w:val="24"/>
          <w:lang w:val="zh-CN"/>
        </w:rPr>
      </w:pPr>
      <w:r>
        <w:rPr>
          <w:rFonts w:hint="eastAsia" w:ascii="楷体" w:hAnsi="楷体" w:eastAsia="楷体" w:cs="楷体"/>
          <w:color w:val="auto"/>
          <w:sz w:val="24"/>
          <w:lang w:val="zh-CN"/>
        </w:rPr>
        <w:t>招标文件要求签名的由法定代表人或经其正式授权的代表签字，投标文件封面及要求盖章处须加盖投标人公章。</w:t>
      </w:r>
    </w:p>
    <w:p w14:paraId="01B51B5A">
      <w:pPr>
        <w:numPr>
          <w:ilvl w:val="1"/>
          <w:numId w:val="14"/>
        </w:numPr>
        <w:tabs>
          <w:tab w:val="clear" w:pos="907"/>
        </w:tabs>
        <w:spacing w:line="360" w:lineRule="auto"/>
        <w:ind w:left="1107" w:hanging="687"/>
        <w:rPr>
          <w:rFonts w:ascii="楷体" w:hAnsi="楷体" w:eastAsia="楷体" w:cs="楷体"/>
          <w:color w:val="auto"/>
          <w:sz w:val="24"/>
          <w:lang w:val="zh-CN"/>
        </w:rPr>
      </w:pPr>
      <w:r>
        <w:rPr>
          <w:rFonts w:hint="eastAsia" w:ascii="楷体" w:hAnsi="楷体" w:eastAsia="楷体" w:cs="楷体"/>
          <w:color w:val="auto"/>
          <w:sz w:val="24"/>
          <w:lang w:val="zh-CN"/>
        </w:rPr>
        <w:t>除对差错处做必要修改外，投标文件一般不得行间插字、涂改或增删，如有上述改动，必须由法定代表人或经其授权的代表在修改处旁边签字或加盖投标人公章。</w:t>
      </w:r>
    </w:p>
    <w:p w14:paraId="79676A9F">
      <w:pPr>
        <w:pStyle w:val="4"/>
        <w:numPr>
          <w:ilvl w:val="0"/>
          <w:numId w:val="4"/>
        </w:numPr>
        <w:ind w:hanging="5"/>
        <w:rPr>
          <w:rFonts w:ascii="楷体" w:hAnsi="楷体" w:eastAsia="楷体" w:cs="楷体"/>
          <w:color w:val="auto"/>
          <w:sz w:val="28"/>
          <w:szCs w:val="28"/>
          <w:lang w:val="zh-CN"/>
        </w:rPr>
      </w:pPr>
      <w:bookmarkStart w:id="121" w:name="_Toc12107"/>
      <w:bookmarkStart w:id="122" w:name="_Toc16164"/>
      <w:bookmarkStart w:id="123" w:name="_Toc7953"/>
      <w:bookmarkStart w:id="124" w:name="_Toc9295"/>
      <w:bookmarkStart w:id="125" w:name="_Toc28557"/>
      <w:r>
        <w:rPr>
          <w:rFonts w:hint="eastAsia" w:ascii="楷体" w:hAnsi="楷体" w:eastAsia="楷体" w:cs="楷体"/>
          <w:color w:val="auto"/>
          <w:sz w:val="28"/>
          <w:szCs w:val="28"/>
          <w:lang w:val="zh-CN"/>
        </w:rPr>
        <w:t>投标有效期</w:t>
      </w:r>
      <w:bookmarkEnd w:id="121"/>
      <w:bookmarkEnd w:id="122"/>
      <w:bookmarkEnd w:id="123"/>
      <w:bookmarkEnd w:id="124"/>
      <w:bookmarkEnd w:id="125"/>
    </w:p>
    <w:p w14:paraId="3A8AF1DB">
      <w:pPr>
        <w:numPr>
          <w:ilvl w:val="1"/>
          <w:numId w:val="15"/>
        </w:numPr>
        <w:tabs>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eastAsia="zh-TW"/>
        </w:rPr>
        <w:t>投标有效期自招标文件规定的投标文件递交截止时间起算，并按投标人须知前附表中所述期限内有效。投标有效期比规定时间短的投标将被认定为非实质性响应，视为无效投标。</w:t>
      </w:r>
    </w:p>
    <w:p w14:paraId="41AB8A05">
      <w:pPr>
        <w:numPr>
          <w:ilvl w:val="1"/>
          <w:numId w:val="15"/>
        </w:numPr>
        <w:tabs>
          <w:tab w:val="clear" w:pos="907"/>
        </w:tabs>
        <w:spacing w:line="360" w:lineRule="auto"/>
        <w:ind w:left="1047" w:hanging="627"/>
        <w:rPr>
          <w:rFonts w:ascii="楷体" w:hAnsi="楷体" w:eastAsia="楷体" w:cs="楷体"/>
          <w:color w:val="auto"/>
          <w:sz w:val="24"/>
          <w:lang w:val="zh-CN"/>
        </w:rPr>
      </w:pPr>
      <w:r>
        <w:rPr>
          <w:rFonts w:hint="eastAsia" w:ascii="楷体" w:hAnsi="楷体" w:eastAsia="楷体" w:cs="楷体"/>
          <w:color w:val="auto"/>
          <w:sz w:val="24"/>
          <w:lang w:val="zh-CN" w:eastAsia="zh-TW"/>
        </w:rPr>
        <w:t>特殊情况下</w:t>
      </w:r>
      <w:r>
        <w:rPr>
          <w:rFonts w:hint="eastAsia" w:ascii="楷体" w:hAnsi="楷体" w:eastAsia="楷体" w:cs="楷体"/>
          <w:color w:val="auto"/>
          <w:sz w:val="24"/>
          <w:lang w:val="zh-CN"/>
        </w:rPr>
        <w:t>，</w:t>
      </w:r>
      <w:r>
        <w:rPr>
          <w:rFonts w:hint="eastAsia" w:ascii="楷体" w:hAnsi="楷体" w:eastAsia="楷体" w:cs="楷体"/>
          <w:color w:val="auto"/>
          <w:sz w:val="24"/>
          <w:lang w:val="zh-CN" w:eastAsia="zh-TW"/>
        </w:rPr>
        <w:t>在原投标有效期期满之前</w:t>
      </w:r>
      <w:r>
        <w:rPr>
          <w:rFonts w:hint="eastAsia" w:ascii="楷体" w:hAnsi="楷体" w:eastAsia="楷体" w:cs="楷体"/>
          <w:color w:val="auto"/>
          <w:sz w:val="24"/>
          <w:lang w:val="zh-CN"/>
        </w:rPr>
        <w:t>，</w:t>
      </w:r>
      <w:r>
        <w:rPr>
          <w:rFonts w:hint="eastAsia" w:ascii="楷体" w:hAnsi="楷体" w:eastAsia="楷体" w:cs="楷体"/>
          <w:color w:val="auto"/>
          <w:sz w:val="24"/>
          <w:lang w:val="zh-CN" w:eastAsia="zh-TW"/>
        </w:rPr>
        <w:t>招标代理机构可要求投标人延长投标有效期。这种要求与答复均应以书面形式提交。投标人可拒绝招标代理机构的这种要求</w:t>
      </w:r>
      <w:r>
        <w:rPr>
          <w:rFonts w:hint="eastAsia" w:ascii="楷体" w:hAnsi="楷体" w:eastAsia="楷体" w:cs="楷体"/>
          <w:color w:val="auto"/>
          <w:sz w:val="24"/>
          <w:lang w:val="zh-CN"/>
        </w:rPr>
        <w:t>，</w:t>
      </w:r>
      <w:r>
        <w:rPr>
          <w:rFonts w:hint="eastAsia" w:ascii="楷体" w:hAnsi="楷体" w:eastAsia="楷体" w:cs="楷体"/>
          <w:color w:val="auto"/>
          <w:sz w:val="24"/>
          <w:lang w:val="zh-CN" w:eastAsia="zh-TW"/>
        </w:rPr>
        <w:t>但其投标在原投标有效期期满后将不再有效。同意延长投标有效期的投标人将不会被要求和允许修正其投标。</w:t>
      </w:r>
    </w:p>
    <w:p w14:paraId="74EDFC19">
      <w:pPr>
        <w:pStyle w:val="4"/>
        <w:numPr>
          <w:ilvl w:val="0"/>
          <w:numId w:val="4"/>
        </w:numPr>
        <w:ind w:hanging="5"/>
        <w:rPr>
          <w:rFonts w:ascii="楷体" w:hAnsi="楷体" w:eastAsia="楷体" w:cs="楷体"/>
          <w:color w:val="auto"/>
          <w:sz w:val="28"/>
          <w:szCs w:val="28"/>
          <w:lang w:val="zh-CN"/>
        </w:rPr>
      </w:pPr>
      <w:bookmarkStart w:id="126" w:name="_Toc483642668"/>
      <w:bookmarkStart w:id="127" w:name="_Toc22125"/>
      <w:bookmarkStart w:id="128" w:name="_Toc31267"/>
      <w:bookmarkStart w:id="129" w:name="_Toc24642"/>
      <w:bookmarkStart w:id="130" w:name="_Toc16265"/>
      <w:r>
        <w:rPr>
          <w:rFonts w:hint="eastAsia" w:ascii="楷体" w:hAnsi="楷体" w:eastAsia="楷体" w:cs="楷体"/>
          <w:color w:val="auto"/>
          <w:sz w:val="28"/>
          <w:szCs w:val="28"/>
          <w:lang w:val="zh-CN"/>
        </w:rPr>
        <w:t>投标报价</w:t>
      </w:r>
      <w:bookmarkEnd w:id="126"/>
      <w:bookmarkEnd w:id="127"/>
      <w:bookmarkEnd w:id="128"/>
      <w:bookmarkEnd w:id="129"/>
      <w:bookmarkEnd w:id="130"/>
    </w:p>
    <w:p w14:paraId="1CF55B8E">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bookmarkStart w:id="131" w:name="_Toc28304"/>
      <w:bookmarkStart w:id="132" w:name="_Toc1438"/>
      <w:bookmarkStart w:id="133" w:name="_Toc474"/>
      <w:bookmarkStart w:id="134" w:name="_Toc23285"/>
      <w:r>
        <w:rPr>
          <w:rFonts w:hint="eastAsia" w:ascii="楷体" w:hAnsi="楷体" w:eastAsia="楷体" w:cs="楷体"/>
          <w:color w:val="auto"/>
          <w:sz w:val="24"/>
          <w:lang w:val="zh-CN"/>
        </w:rPr>
        <w:t>投标人应按照“第四章　用户需求书”中规定的内容、责任范围进行报价。并按《开标一览表》的要求报</w:t>
      </w:r>
      <w:r>
        <w:rPr>
          <w:rFonts w:hint="eastAsia" w:ascii="楷体" w:hAnsi="楷体" w:eastAsia="楷体" w:cs="楷体"/>
          <w:color w:val="auto"/>
          <w:sz w:val="24"/>
        </w:rPr>
        <w:t>价</w:t>
      </w:r>
      <w:r>
        <w:rPr>
          <w:rFonts w:hint="eastAsia" w:ascii="楷体" w:hAnsi="楷体" w:eastAsia="楷体" w:cs="楷体"/>
          <w:color w:val="auto"/>
          <w:sz w:val="24"/>
          <w:lang w:val="zh-CN"/>
        </w:rPr>
        <w:t>。投标</w:t>
      </w:r>
      <w:r>
        <w:rPr>
          <w:rFonts w:hint="eastAsia" w:ascii="楷体" w:hAnsi="楷体" w:eastAsia="楷体" w:cs="楷体"/>
          <w:color w:val="auto"/>
          <w:sz w:val="24"/>
        </w:rPr>
        <w:t>报价</w:t>
      </w:r>
      <w:r>
        <w:rPr>
          <w:rFonts w:hint="eastAsia" w:ascii="楷体" w:hAnsi="楷体" w:eastAsia="楷体" w:cs="楷体"/>
          <w:color w:val="auto"/>
          <w:sz w:val="24"/>
          <w:lang w:val="zh-CN"/>
        </w:rPr>
        <w:t>中不得包含招标文件要求以外的内容，否则，在评标时不予核减。投标</w:t>
      </w:r>
      <w:r>
        <w:rPr>
          <w:rFonts w:hint="eastAsia" w:ascii="楷体" w:hAnsi="楷体" w:eastAsia="楷体" w:cs="楷体"/>
          <w:color w:val="auto"/>
          <w:sz w:val="24"/>
        </w:rPr>
        <w:t>报价</w:t>
      </w:r>
      <w:r>
        <w:rPr>
          <w:rFonts w:hint="eastAsia" w:ascii="楷体" w:hAnsi="楷体" w:eastAsia="楷体" w:cs="楷体"/>
          <w:color w:val="auto"/>
          <w:sz w:val="24"/>
          <w:lang w:val="zh-CN"/>
        </w:rPr>
        <w:t>中也不得缺漏招标文件所要求的内容，否则，将被视为包含在投标报价中。</w:t>
      </w:r>
    </w:p>
    <w:p w14:paraId="512A0E3C">
      <w:pPr>
        <w:numPr>
          <w:ilvl w:val="1"/>
          <w:numId w:val="16"/>
        </w:numPr>
        <w:tabs>
          <w:tab w:val="left" w:pos="1100"/>
          <w:tab w:val="left" w:pos="1220"/>
          <w:tab w:val="clear" w:pos="907"/>
        </w:tabs>
        <w:spacing w:line="360" w:lineRule="auto"/>
        <w:ind w:left="1088" w:hanging="669"/>
        <w:rPr>
          <w:rFonts w:ascii="楷体" w:hAnsi="楷体" w:eastAsia="楷体" w:cs="楷体"/>
          <w:color w:val="auto"/>
          <w:sz w:val="24"/>
          <w:lang w:val="zh-CN"/>
        </w:rPr>
      </w:pPr>
      <w:r>
        <w:rPr>
          <w:rFonts w:hint="eastAsia" w:ascii="楷体" w:hAnsi="楷体" w:eastAsia="楷体" w:cs="楷体"/>
          <w:color w:val="auto"/>
          <w:sz w:val="24"/>
          <w:lang w:val="zh-CN"/>
        </w:rPr>
        <w:t>投标总价是在投标人可以独立完成本项目，并满足预期实施效果和符合自身合法利益的前提下，通过准确核算后所报出的全部服务所需的包干费用，包括履行合同所有相关服务所需的费用、保险费、各种税费、其他一切隐含及不可预见的费用等。</w:t>
      </w:r>
    </w:p>
    <w:p w14:paraId="0A4811D5">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投标明细报价表内容应包含：</w:t>
      </w:r>
    </w:p>
    <w:p w14:paraId="69524BF4">
      <w:pPr>
        <w:numPr>
          <w:ilvl w:val="2"/>
          <w:numId w:val="17"/>
        </w:numPr>
        <w:tabs>
          <w:tab w:val="clear" w:pos="907"/>
        </w:tabs>
        <w:spacing w:line="360" w:lineRule="auto"/>
        <w:ind w:left="1088" w:hanging="669"/>
        <w:rPr>
          <w:rFonts w:ascii="楷体" w:hAnsi="楷体" w:eastAsia="楷体" w:cs="楷体"/>
          <w:color w:val="auto"/>
          <w:sz w:val="24"/>
          <w:lang w:val="zh-CN"/>
        </w:rPr>
      </w:pPr>
      <w:r>
        <w:rPr>
          <w:rFonts w:hint="eastAsia" w:ascii="楷体" w:hAnsi="楷体" w:eastAsia="楷体" w:cs="楷体"/>
          <w:color w:val="auto"/>
          <w:sz w:val="24"/>
          <w:lang w:val="zh-CN"/>
        </w:rPr>
        <w:t>招标文件要求的全部服务所需的费用；</w:t>
      </w:r>
    </w:p>
    <w:p w14:paraId="028F04AB">
      <w:pPr>
        <w:numPr>
          <w:ilvl w:val="2"/>
          <w:numId w:val="17"/>
        </w:numPr>
        <w:tabs>
          <w:tab w:val="clear" w:pos="907"/>
        </w:tabs>
        <w:spacing w:line="360" w:lineRule="auto"/>
        <w:ind w:left="1088" w:hanging="669"/>
        <w:rPr>
          <w:rFonts w:ascii="楷体" w:hAnsi="楷体" w:eastAsia="楷体" w:cs="楷体"/>
          <w:color w:val="auto"/>
          <w:sz w:val="24"/>
          <w:lang w:val="zh-CN"/>
        </w:rPr>
      </w:pPr>
      <w:r>
        <w:rPr>
          <w:rFonts w:hint="eastAsia" w:ascii="楷体" w:hAnsi="楷体" w:eastAsia="楷体" w:cs="楷体"/>
          <w:color w:val="auto"/>
          <w:sz w:val="24"/>
          <w:lang w:val="zh-CN"/>
        </w:rPr>
        <w:t>投标报价均应包含所有的税费；</w:t>
      </w:r>
    </w:p>
    <w:p w14:paraId="7C822278">
      <w:pPr>
        <w:numPr>
          <w:ilvl w:val="2"/>
          <w:numId w:val="17"/>
        </w:numPr>
        <w:tabs>
          <w:tab w:val="clear" w:pos="907"/>
        </w:tabs>
        <w:spacing w:line="360" w:lineRule="auto"/>
        <w:ind w:left="1088" w:hanging="669"/>
        <w:rPr>
          <w:rFonts w:ascii="楷体" w:hAnsi="楷体" w:eastAsia="楷体" w:cs="楷体"/>
          <w:color w:val="auto"/>
          <w:sz w:val="24"/>
          <w:lang w:val="zh-CN"/>
        </w:rPr>
      </w:pPr>
      <w:r>
        <w:rPr>
          <w:rFonts w:hint="eastAsia" w:ascii="楷体" w:hAnsi="楷体" w:eastAsia="楷体" w:cs="楷体"/>
          <w:color w:val="auto"/>
          <w:sz w:val="24"/>
          <w:lang w:val="zh-CN"/>
        </w:rPr>
        <w:t>其他一切隐含及不可预见的费用。</w:t>
      </w:r>
    </w:p>
    <w:p w14:paraId="3C89805B">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本项目采用</w:t>
      </w:r>
      <w:r>
        <w:rPr>
          <w:rFonts w:hint="eastAsia" w:ascii="楷体" w:hAnsi="楷体" w:eastAsia="楷体" w:cs="楷体"/>
          <w:color w:val="auto"/>
          <w:sz w:val="24"/>
        </w:rPr>
        <w:t>单价</w:t>
      </w:r>
      <w:r>
        <w:rPr>
          <w:rFonts w:hint="eastAsia" w:ascii="楷体" w:hAnsi="楷体" w:eastAsia="楷体" w:cs="楷体"/>
          <w:color w:val="auto"/>
          <w:sz w:val="24"/>
          <w:lang w:val="zh-CN"/>
        </w:rPr>
        <w:t>包干，中标人不得在中标后提出任何增加费用要求，投标人在投标时应充分考虑相关风险性因素。</w:t>
      </w:r>
    </w:p>
    <w:p w14:paraId="197C8678">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对于报价免费的内容须标明“免费”。</w:t>
      </w:r>
    </w:p>
    <w:p w14:paraId="2E12F7B7">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投标人根据本须知第1</w:t>
      </w:r>
      <w:r>
        <w:rPr>
          <w:rFonts w:hint="eastAsia" w:ascii="楷体" w:hAnsi="楷体" w:eastAsia="楷体" w:cs="楷体"/>
          <w:color w:val="auto"/>
          <w:sz w:val="24"/>
        </w:rPr>
        <w:t>2</w:t>
      </w:r>
      <w:r>
        <w:rPr>
          <w:rFonts w:hint="eastAsia" w:ascii="楷体" w:hAnsi="楷体" w:eastAsia="楷体" w:cs="楷体"/>
          <w:color w:val="auto"/>
          <w:sz w:val="24"/>
          <w:lang w:val="zh-CN"/>
        </w:rPr>
        <w:t>.2条的规定将投标报价分成几部分，只是为了方便对投标文件进行比较，并不限制招标人以上述任何条件订立合同的权力。</w:t>
      </w:r>
    </w:p>
    <w:p w14:paraId="5D7F3D43">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投标人所报的投标价在合同执行过程中是固定不变的，不得以任何理由予以变更。任何包含价格调整要求的投标将被认为是非实质性响应投标而被拒绝。</w:t>
      </w:r>
    </w:p>
    <w:p w14:paraId="0EAC92FF">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除</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中另有规定外，本次招标不接受选择性报价，否则将被视为无效投标。</w:t>
      </w:r>
    </w:p>
    <w:p w14:paraId="3A0D2749">
      <w:pPr>
        <w:numPr>
          <w:ilvl w:val="1"/>
          <w:numId w:val="16"/>
        </w:numPr>
        <w:tabs>
          <w:tab w:val="left" w:pos="1100"/>
          <w:tab w:val="left" w:pos="1220"/>
          <w:tab w:val="clear" w:pos="907"/>
        </w:tabs>
        <w:spacing w:line="360" w:lineRule="auto"/>
        <w:ind w:left="1087" w:hanging="667"/>
        <w:rPr>
          <w:rFonts w:ascii="楷体" w:hAnsi="楷体" w:eastAsia="楷体" w:cs="楷体"/>
          <w:color w:val="auto"/>
          <w:sz w:val="24"/>
          <w:lang w:val="zh-CN"/>
        </w:rPr>
      </w:pPr>
      <w:r>
        <w:rPr>
          <w:rFonts w:hint="eastAsia" w:ascii="楷体" w:hAnsi="楷体" w:eastAsia="楷体" w:cs="楷体"/>
          <w:color w:val="auto"/>
          <w:sz w:val="24"/>
          <w:lang w:val="zh-CN"/>
        </w:rPr>
        <w:t>除</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中另有规定外，本次招标不接受具有附加条件的报价，否则将被视为无效投标。</w:t>
      </w:r>
    </w:p>
    <w:p w14:paraId="55382B5C">
      <w:pPr>
        <w:pStyle w:val="4"/>
        <w:numPr>
          <w:ilvl w:val="0"/>
          <w:numId w:val="4"/>
        </w:numPr>
        <w:ind w:hanging="5"/>
        <w:rPr>
          <w:rFonts w:ascii="楷体" w:hAnsi="楷体" w:eastAsia="楷体" w:cs="楷体"/>
          <w:color w:val="auto"/>
          <w:sz w:val="28"/>
          <w:szCs w:val="28"/>
          <w:lang w:val="zh-CN"/>
        </w:rPr>
      </w:pPr>
      <w:bookmarkStart w:id="135" w:name="_Toc8443"/>
      <w:r>
        <w:rPr>
          <w:rFonts w:hint="eastAsia" w:ascii="楷体" w:hAnsi="楷体" w:eastAsia="楷体" w:cs="楷体"/>
          <w:color w:val="auto"/>
          <w:sz w:val="28"/>
          <w:szCs w:val="28"/>
          <w:lang w:val="zh-CN"/>
        </w:rPr>
        <w:t>联合体投标</w:t>
      </w:r>
      <w:bookmarkEnd w:id="131"/>
      <w:bookmarkEnd w:id="132"/>
      <w:bookmarkEnd w:id="133"/>
      <w:bookmarkEnd w:id="134"/>
      <w:bookmarkEnd w:id="135"/>
    </w:p>
    <w:p w14:paraId="28496F2C">
      <w:pPr>
        <w:numPr>
          <w:ilvl w:val="1"/>
          <w:numId w:val="18"/>
        </w:numPr>
        <w:tabs>
          <w:tab w:val="left" w:pos="1060"/>
        </w:tabs>
        <w:spacing w:line="360" w:lineRule="auto"/>
        <w:ind w:hanging="487"/>
        <w:rPr>
          <w:rFonts w:ascii="楷体" w:hAnsi="楷体" w:eastAsia="楷体" w:cs="楷体"/>
          <w:color w:val="auto"/>
          <w:sz w:val="24"/>
          <w:lang w:val="zh-CN" w:eastAsia="zh-TW"/>
        </w:rPr>
      </w:pPr>
      <w:r>
        <w:rPr>
          <w:rFonts w:hint="eastAsia" w:ascii="楷体" w:hAnsi="楷体" w:eastAsia="楷体" w:cs="楷体"/>
          <w:color w:val="auto"/>
          <w:sz w:val="24"/>
          <w:lang w:val="zh-CN" w:eastAsia="zh-TW"/>
        </w:rPr>
        <w:t>除非投标邀请函中另有规定，本项目</w:t>
      </w:r>
      <w:r>
        <w:rPr>
          <w:rFonts w:hint="eastAsia" w:ascii="楷体" w:hAnsi="楷体" w:eastAsia="楷体" w:cs="楷体"/>
          <w:color w:val="auto"/>
          <w:sz w:val="24"/>
        </w:rPr>
        <w:t>不允许</w:t>
      </w:r>
      <w:r>
        <w:rPr>
          <w:rFonts w:hint="eastAsia" w:ascii="楷体" w:hAnsi="楷体" w:eastAsia="楷体" w:cs="楷体"/>
          <w:color w:val="auto"/>
          <w:sz w:val="24"/>
          <w:lang w:val="zh-CN" w:eastAsia="zh-TW"/>
        </w:rPr>
        <w:t>联合体投标。</w:t>
      </w:r>
    </w:p>
    <w:p w14:paraId="49CF05AC">
      <w:pPr>
        <w:numPr>
          <w:ilvl w:val="1"/>
          <w:numId w:val="18"/>
        </w:numPr>
        <w:tabs>
          <w:tab w:val="left" w:pos="1060"/>
        </w:tabs>
        <w:spacing w:line="360" w:lineRule="auto"/>
        <w:ind w:hanging="487"/>
        <w:rPr>
          <w:rFonts w:ascii="楷体" w:hAnsi="楷体" w:eastAsia="楷体" w:cs="楷体"/>
          <w:color w:val="auto"/>
          <w:sz w:val="24"/>
          <w:lang w:val="zh-CN" w:eastAsia="zh-TW"/>
        </w:rPr>
      </w:pPr>
      <w:r>
        <w:rPr>
          <w:rFonts w:hint="eastAsia" w:ascii="楷体" w:hAnsi="楷体" w:eastAsia="楷体" w:cs="楷体"/>
          <w:color w:val="auto"/>
          <w:sz w:val="24"/>
          <w:lang w:val="zh-CN" w:eastAsia="zh-TW"/>
        </w:rPr>
        <w:t>若投标邀请函中允许联合体投标的，则必须满足：</w:t>
      </w:r>
    </w:p>
    <w:p w14:paraId="09BD85D3">
      <w:pPr>
        <w:numPr>
          <w:ilvl w:val="2"/>
          <w:numId w:val="19"/>
        </w:numPr>
        <w:tabs>
          <w:tab w:val="clear" w:pos="907"/>
        </w:tabs>
        <w:spacing w:line="360" w:lineRule="auto"/>
        <w:ind w:left="1476" w:leftChars="200" w:hanging="1056" w:hangingChars="440"/>
        <w:rPr>
          <w:rFonts w:ascii="楷体" w:hAnsi="楷体" w:eastAsia="楷体" w:cs="楷体"/>
          <w:color w:val="auto"/>
          <w:sz w:val="24"/>
          <w:lang w:val="zh-CN"/>
        </w:rPr>
      </w:pPr>
      <w:r>
        <w:rPr>
          <w:rFonts w:hint="eastAsia" w:ascii="楷体" w:hAnsi="楷体" w:eastAsia="楷体" w:cs="楷体"/>
          <w:color w:val="auto"/>
          <w:sz w:val="24"/>
          <w:lang w:val="zh-CN"/>
        </w:rPr>
        <w:t>以联合体形式参加投标的，联合体各方均须符合投标邀请函“投标人资格要求”的一般规定，并至少有一方符合“投标人资格要求”的特殊条款要求。</w:t>
      </w:r>
    </w:p>
    <w:p w14:paraId="6905B7B9">
      <w:pPr>
        <w:numPr>
          <w:ilvl w:val="2"/>
          <w:numId w:val="19"/>
        </w:numPr>
        <w:tabs>
          <w:tab w:val="clear" w:pos="907"/>
        </w:tabs>
        <w:spacing w:line="360" w:lineRule="auto"/>
        <w:ind w:left="1476" w:leftChars="200" w:hanging="1056" w:hangingChars="440"/>
        <w:rPr>
          <w:rFonts w:ascii="楷体" w:hAnsi="楷体" w:eastAsia="楷体" w:cs="楷体"/>
          <w:color w:val="auto"/>
          <w:sz w:val="24"/>
          <w:lang w:val="zh-CN"/>
        </w:rPr>
      </w:pPr>
      <w:r>
        <w:rPr>
          <w:rFonts w:hint="eastAsia" w:ascii="楷体" w:hAnsi="楷体" w:eastAsia="楷体" w:cs="楷体"/>
          <w:color w:val="auto"/>
          <w:sz w:val="24"/>
          <w:lang w:val="zh-CN"/>
        </w:rPr>
        <w:t>联合体投标的，必须提供各方签订的共同投标协议，明确约定牵头人及各方承担的工作和相应的责任。联合体各方签订共同投标协议后，不得再以自己的名义单独在同一项目（或包组）中投标，也不得组成新的联合体参加同一项目（或包组）投标。</w:t>
      </w:r>
    </w:p>
    <w:p w14:paraId="0B8F5FB8">
      <w:pPr>
        <w:numPr>
          <w:ilvl w:val="2"/>
          <w:numId w:val="19"/>
        </w:numPr>
        <w:tabs>
          <w:tab w:val="clear" w:pos="907"/>
        </w:tabs>
        <w:spacing w:line="360" w:lineRule="auto"/>
        <w:ind w:left="1476" w:leftChars="200" w:hanging="1056" w:hangingChars="440"/>
        <w:rPr>
          <w:rFonts w:ascii="楷体" w:hAnsi="楷体" w:eastAsia="楷体" w:cs="楷体"/>
          <w:color w:val="auto"/>
          <w:sz w:val="24"/>
          <w:lang w:val="zh-CN"/>
        </w:rPr>
      </w:pPr>
      <w:r>
        <w:rPr>
          <w:rFonts w:hint="eastAsia" w:ascii="楷体" w:hAnsi="楷体" w:eastAsia="楷体" w:cs="楷体"/>
          <w:color w:val="auto"/>
          <w:sz w:val="24"/>
          <w:lang w:val="zh-CN"/>
        </w:rPr>
        <w:t>联合体中标的，联合体各方应当共同与招标人签订合同。</w:t>
      </w:r>
    </w:p>
    <w:p w14:paraId="494EB2CB">
      <w:pPr>
        <w:pStyle w:val="4"/>
        <w:numPr>
          <w:ilvl w:val="0"/>
          <w:numId w:val="4"/>
        </w:numPr>
        <w:ind w:hanging="5"/>
        <w:rPr>
          <w:rFonts w:ascii="楷体" w:hAnsi="楷体" w:eastAsia="楷体" w:cs="楷体"/>
          <w:color w:val="auto"/>
          <w:sz w:val="28"/>
          <w:szCs w:val="28"/>
          <w:lang w:val="zh-CN"/>
        </w:rPr>
      </w:pPr>
      <w:bookmarkStart w:id="136" w:name="_Toc18435"/>
      <w:bookmarkStart w:id="137" w:name="_Toc15181"/>
      <w:bookmarkStart w:id="138" w:name="_Toc26934"/>
      <w:bookmarkStart w:id="139" w:name="_Toc11591"/>
      <w:bookmarkStart w:id="140" w:name="_Toc17222"/>
      <w:r>
        <w:rPr>
          <w:rFonts w:hint="eastAsia" w:ascii="楷体" w:hAnsi="楷体" w:eastAsia="楷体" w:cs="楷体"/>
          <w:color w:val="auto"/>
          <w:sz w:val="28"/>
          <w:szCs w:val="28"/>
          <w:lang w:val="zh-CN"/>
        </w:rPr>
        <w:t>证明投标人合格和资格的文件</w:t>
      </w:r>
      <w:bookmarkEnd w:id="136"/>
      <w:bookmarkEnd w:id="137"/>
      <w:bookmarkEnd w:id="138"/>
      <w:bookmarkEnd w:id="139"/>
      <w:bookmarkEnd w:id="140"/>
    </w:p>
    <w:p w14:paraId="7A9E75FA">
      <w:pPr>
        <w:numPr>
          <w:ilvl w:val="1"/>
          <w:numId w:val="20"/>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投标人应提交证明其有资格参加投标和中标后有能力履行合同的文件，并作为其投标文件的一部分。</w:t>
      </w:r>
    </w:p>
    <w:p w14:paraId="54F0DE47">
      <w:pPr>
        <w:numPr>
          <w:ilvl w:val="1"/>
          <w:numId w:val="20"/>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投标人提交的证明其中标后能履行合同的资格证明文件应包括下列文件：</w:t>
      </w:r>
    </w:p>
    <w:p w14:paraId="3F4C8258">
      <w:pPr>
        <w:numPr>
          <w:ilvl w:val="2"/>
          <w:numId w:val="21"/>
        </w:numPr>
        <w:spacing w:line="360" w:lineRule="auto"/>
        <w:ind w:hanging="487"/>
        <w:rPr>
          <w:rFonts w:ascii="楷体" w:hAnsi="楷体" w:eastAsia="楷体" w:cs="楷体"/>
          <w:color w:val="auto"/>
          <w:sz w:val="24"/>
          <w:lang w:val="zh-CN"/>
        </w:rPr>
      </w:pPr>
      <w:r>
        <w:rPr>
          <w:rFonts w:hint="eastAsia" w:ascii="楷体" w:hAnsi="楷体" w:eastAsia="楷体" w:cs="楷体"/>
          <w:color w:val="auto"/>
          <w:sz w:val="24"/>
          <w:lang w:val="zh-CN"/>
        </w:rPr>
        <w:t>证明投标人已具备履行合同所需的财务、技术和生产能力的文件。</w:t>
      </w:r>
    </w:p>
    <w:p w14:paraId="416F10C6">
      <w:pPr>
        <w:numPr>
          <w:ilvl w:val="2"/>
          <w:numId w:val="21"/>
        </w:numPr>
        <w:spacing w:line="360" w:lineRule="auto"/>
        <w:ind w:hanging="487"/>
        <w:rPr>
          <w:rFonts w:ascii="楷体" w:hAnsi="楷体" w:eastAsia="楷体" w:cs="楷体"/>
          <w:color w:val="auto"/>
          <w:sz w:val="24"/>
          <w:lang w:val="zh-CN"/>
        </w:rPr>
      </w:pPr>
      <w:r>
        <w:rPr>
          <w:rFonts w:hint="eastAsia" w:ascii="楷体" w:hAnsi="楷体" w:eastAsia="楷体" w:cs="楷体"/>
          <w:color w:val="auto"/>
          <w:sz w:val="24"/>
          <w:lang w:val="zh-CN"/>
        </w:rPr>
        <w:t>证明投标人满足招标文件业绩要求的文件。</w:t>
      </w:r>
    </w:p>
    <w:p w14:paraId="650431FC">
      <w:pPr>
        <w:pStyle w:val="4"/>
        <w:numPr>
          <w:ilvl w:val="0"/>
          <w:numId w:val="4"/>
        </w:numPr>
        <w:ind w:hanging="5"/>
        <w:rPr>
          <w:rFonts w:ascii="楷体" w:hAnsi="楷体" w:eastAsia="楷体" w:cs="楷体"/>
          <w:color w:val="auto"/>
          <w:sz w:val="28"/>
          <w:szCs w:val="28"/>
          <w:lang w:val="zh-CN"/>
        </w:rPr>
      </w:pPr>
      <w:bookmarkStart w:id="141" w:name="_Toc6895"/>
      <w:r>
        <w:rPr>
          <w:rFonts w:hint="eastAsia" w:ascii="楷体" w:hAnsi="楷体" w:eastAsia="楷体" w:cs="楷体"/>
          <w:color w:val="auto"/>
          <w:sz w:val="28"/>
          <w:szCs w:val="28"/>
          <w:lang w:val="zh-CN"/>
        </w:rPr>
        <w:t>证明服务的合格性和符合招标文件规定的文件</w:t>
      </w:r>
      <w:bookmarkEnd w:id="141"/>
    </w:p>
    <w:p w14:paraId="020CEBAB">
      <w:pPr>
        <w:numPr>
          <w:ilvl w:val="1"/>
          <w:numId w:val="22"/>
        </w:numPr>
        <w:tabs>
          <w:tab w:val="left" w:pos="1180"/>
          <w:tab w:val="clear" w:pos="907"/>
        </w:tabs>
        <w:spacing w:line="360" w:lineRule="auto"/>
        <w:ind w:left="1173" w:leftChars="227" w:hanging="696" w:hangingChars="290"/>
        <w:rPr>
          <w:rFonts w:ascii="楷体" w:hAnsi="楷体" w:eastAsia="楷体" w:cs="楷体"/>
          <w:color w:val="auto"/>
          <w:sz w:val="24"/>
          <w:lang w:val="zh-CN" w:eastAsia="zh-TW"/>
        </w:rPr>
      </w:pPr>
      <w:bookmarkStart w:id="142" w:name="_Toc15333"/>
      <w:bookmarkStart w:id="143" w:name="_Toc32378"/>
      <w:bookmarkStart w:id="144" w:name="_Toc10352"/>
      <w:bookmarkStart w:id="145" w:name="_Toc27575"/>
      <w:r>
        <w:rPr>
          <w:rFonts w:hint="eastAsia" w:ascii="楷体" w:hAnsi="楷体" w:eastAsia="楷体" w:cs="楷体"/>
          <w:color w:val="auto"/>
          <w:sz w:val="24"/>
          <w:lang w:val="zh-CN" w:eastAsia="zh-TW"/>
        </w:rPr>
        <w:t>投标人应提交证明文件，证明其拟投标的服务的合格性符合招标文件规定。该证明文件作为投标文件的一部分。</w:t>
      </w:r>
    </w:p>
    <w:p w14:paraId="563A2AB0">
      <w:pPr>
        <w:numPr>
          <w:ilvl w:val="1"/>
          <w:numId w:val="22"/>
        </w:numPr>
        <w:tabs>
          <w:tab w:val="left" w:pos="1180"/>
          <w:tab w:val="clear" w:pos="907"/>
        </w:tabs>
        <w:spacing w:line="360" w:lineRule="auto"/>
        <w:ind w:left="1173" w:leftChars="227" w:hanging="696" w:hangingChars="290"/>
        <w:rPr>
          <w:rFonts w:ascii="楷体" w:hAnsi="楷体" w:eastAsia="楷体" w:cs="楷体"/>
          <w:color w:val="auto"/>
          <w:sz w:val="24"/>
          <w:lang w:val="zh-CN" w:eastAsia="zh-TW"/>
        </w:rPr>
      </w:pPr>
      <w:r>
        <w:rPr>
          <w:rFonts w:hint="eastAsia" w:ascii="楷体" w:hAnsi="楷体" w:eastAsia="楷体" w:cs="楷体"/>
          <w:color w:val="auto"/>
          <w:sz w:val="24"/>
          <w:lang w:val="zh-CN" w:eastAsia="zh-TW"/>
        </w:rPr>
        <w:t>证明服务与招标文件的要求相一致的文件，可以是文字资料、图纸和数据，它包括：</w:t>
      </w:r>
    </w:p>
    <w:p w14:paraId="5F2A8B0F">
      <w:pPr>
        <w:numPr>
          <w:ilvl w:val="2"/>
          <w:numId w:val="23"/>
        </w:numPr>
        <w:spacing w:line="360" w:lineRule="auto"/>
        <w:ind w:hanging="487"/>
        <w:rPr>
          <w:rFonts w:ascii="楷体" w:hAnsi="楷体" w:eastAsia="楷体" w:cs="楷体"/>
          <w:color w:val="auto"/>
          <w:sz w:val="24"/>
          <w:lang w:val="zh-CN"/>
        </w:rPr>
      </w:pPr>
      <w:r>
        <w:rPr>
          <w:rFonts w:hint="eastAsia" w:ascii="楷体" w:hAnsi="楷体" w:eastAsia="楷体" w:cs="楷体"/>
          <w:color w:val="auto"/>
          <w:sz w:val="24"/>
          <w:lang w:val="zh-CN" w:eastAsia="zh-TW"/>
        </w:rPr>
        <w:t>服务的主要内容、方案、质量、标准等。</w:t>
      </w:r>
    </w:p>
    <w:p w14:paraId="7834ED60">
      <w:pPr>
        <w:numPr>
          <w:ilvl w:val="2"/>
          <w:numId w:val="23"/>
        </w:numPr>
        <w:tabs>
          <w:tab w:val="clear" w:pos="907"/>
        </w:tabs>
        <w:spacing w:line="360" w:lineRule="auto"/>
        <w:ind w:left="1267" w:hanging="847"/>
        <w:rPr>
          <w:rFonts w:ascii="楷体" w:hAnsi="楷体" w:eastAsia="楷体" w:cs="楷体"/>
          <w:color w:val="auto"/>
          <w:sz w:val="24"/>
          <w:lang w:val="zh-CN"/>
        </w:rPr>
      </w:pPr>
      <w:r>
        <w:rPr>
          <w:rFonts w:hint="eastAsia" w:ascii="楷体" w:hAnsi="楷体" w:eastAsia="楷体" w:cs="楷体"/>
          <w:color w:val="auto"/>
          <w:sz w:val="24"/>
          <w:lang w:val="zh-CN"/>
        </w:rPr>
        <w:t>对照招标文件的服务内容与要求，逐条说明所提供服务已对招标文件的服务内容与要求作出了实质性响应，并申明与服务内容与要求的偏差和例外。特别是对有具体参数要求的指标，投标人须提供投标服务的具体参数值。</w:t>
      </w:r>
    </w:p>
    <w:p w14:paraId="15889A20">
      <w:pPr>
        <w:pStyle w:val="4"/>
        <w:numPr>
          <w:ilvl w:val="0"/>
          <w:numId w:val="4"/>
        </w:numPr>
        <w:ind w:hanging="5"/>
        <w:rPr>
          <w:rFonts w:ascii="楷体" w:hAnsi="楷体" w:eastAsia="楷体" w:cs="楷体"/>
          <w:color w:val="auto"/>
          <w:sz w:val="28"/>
          <w:szCs w:val="28"/>
          <w:lang w:val="zh-CN"/>
        </w:rPr>
      </w:pPr>
      <w:bookmarkStart w:id="146" w:name="_Toc24839"/>
      <w:r>
        <w:rPr>
          <w:rFonts w:hint="eastAsia" w:ascii="楷体" w:hAnsi="楷体" w:eastAsia="楷体" w:cs="楷体"/>
          <w:color w:val="auto"/>
          <w:sz w:val="28"/>
          <w:szCs w:val="28"/>
          <w:lang w:val="zh-CN"/>
        </w:rPr>
        <w:t>投标保证金</w:t>
      </w:r>
      <w:bookmarkEnd w:id="142"/>
      <w:bookmarkEnd w:id="143"/>
      <w:bookmarkEnd w:id="144"/>
      <w:bookmarkEnd w:id="145"/>
      <w:bookmarkEnd w:id="146"/>
      <w:r>
        <w:rPr>
          <w:rFonts w:hint="eastAsia" w:ascii="楷体" w:hAnsi="楷体" w:eastAsia="楷体" w:cs="楷体"/>
          <w:color w:val="auto"/>
          <w:sz w:val="28"/>
          <w:szCs w:val="28"/>
          <w:lang w:val="zh-CN"/>
        </w:rPr>
        <w:t>（</w:t>
      </w:r>
      <w:r>
        <w:rPr>
          <w:rFonts w:hint="eastAsia" w:ascii="楷体" w:hAnsi="楷体" w:eastAsia="楷体" w:cs="楷体"/>
          <w:color w:val="auto"/>
          <w:sz w:val="28"/>
          <w:szCs w:val="28"/>
        </w:rPr>
        <w:t>本项目不适用</w:t>
      </w:r>
      <w:r>
        <w:rPr>
          <w:rFonts w:hint="eastAsia" w:ascii="楷体" w:hAnsi="楷体" w:eastAsia="楷体" w:cs="楷体"/>
          <w:color w:val="auto"/>
          <w:sz w:val="28"/>
          <w:szCs w:val="28"/>
          <w:lang w:val="zh-CN"/>
        </w:rPr>
        <w:t>）</w:t>
      </w:r>
    </w:p>
    <w:p w14:paraId="596568C8">
      <w:pPr>
        <w:numPr>
          <w:ilvl w:val="1"/>
          <w:numId w:val="24"/>
        </w:numPr>
        <w:tabs>
          <w:tab w:val="left" w:pos="1100"/>
        </w:tabs>
        <w:spacing w:line="360" w:lineRule="auto"/>
        <w:ind w:left="1137" w:leftChars="227" w:hanging="660" w:hangingChars="275"/>
        <w:rPr>
          <w:rFonts w:ascii="楷体" w:hAnsi="楷体" w:eastAsia="楷体" w:cs="楷体"/>
          <w:color w:val="auto"/>
          <w:sz w:val="24"/>
          <w:lang w:val="zh-CN" w:eastAsia="zh-TW"/>
        </w:rPr>
      </w:pPr>
      <w:r>
        <w:rPr>
          <w:rFonts w:hint="eastAsia" w:ascii="楷体" w:hAnsi="楷体" w:eastAsia="楷体" w:cs="楷体"/>
          <w:color w:val="auto"/>
          <w:sz w:val="24"/>
          <w:lang w:val="zh-CN" w:eastAsia="zh-TW"/>
        </w:rPr>
        <w:t>投标人须按</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eastAsia="zh-TW"/>
        </w:rPr>
        <w:t>中规定的金额和交纳期限向招标代理机构交纳投标保证金，并作为其投标文件的组成部分。</w:t>
      </w:r>
    </w:p>
    <w:p w14:paraId="3C502C7F">
      <w:pPr>
        <w:pStyle w:val="4"/>
        <w:numPr>
          <w:ilvl w:val="0"/>
          <w:numId w:val="4"/>
        </w:numPr>
        <w:ind w:hanging="5"/>
        <w:rPr>
          <w:rFonts w:ascii="楷体" w:hAnsi="楷体" w:eastAsia="楷体" w:cs="楷体"/>
          <w:color w:val="auto"/>
          <w:sz w:val="28"/>
          <w:szCs w:val="28"/>
          <w:lang w:val="zh-CN"/>
        </w:rPr>
      </w:pPr>
      <w:bookmarkStart w:id="147" w:name="_Toc25961"/>
      <w:bookmarkStart w:id="148" w:name="_Toc10451"/>
      <w:bookmarkStart w:id="149" w:name="_Toc24733"/>
      <w:bookmarkStart w:id="150" w:name="_Toc19836"/>
      <w:bookmarkStart w:id="151" w:name="_Toc6362"/>
      <w:r>
        <w:rPr>
          <w:rFonts w:hint="eastAsia" w:ascii="楷体" w:hAnsi="楷体" w:eastAsia="楷体" w:cs="楷体"/>
          <w:color w:val="auto"/>
          <w:sz w:val="28"/>
          <w:szCs w:val="28"/>
          <w:lang w:val="zh-CN"/>
        </w:rPr>
        <w:t>投标保证金的退还条件</w:t>
      </w:r>
      <w:bookmarkEnd w:id="147"/>
      <w:bookmarkEnd w:id="148"/>
      <w:bookmarkEnd w:id="149"/>
      <w:bookmarkEnd w:id="150"/>
      <w:bookmarkEnd w:id="151"/>
      <w:r>
        <w:rPr>
          <w:rFonts w:hint="eastAsia" w:ascii="楷体" w:hAnsi="楷体" w:eastAsia="楷体" w:cs="楷体"/>
          <w:color w:val="auto"/>
          <w:sz w:val="28"/>
          <w:szCs w:val="28"/>
          <w:lang w:val="zh-CN"/>
        </w:rPr>
        <w:t>（</w:t>
      </w:r>
      <w:r>
        <w:rPr>
          <w:rFonts w:hint="eastAsia" w:ascii="楷体" w:hAnsi="楷体" w:eastAsia="楷体" w:cs="楷体"/>
          <w:color w:val="auto"/>
          <w:sz w:val="28"/>
          <w:szCs w:val="28"/>
        </w:rPr>
        <w:t>本项目不适用</w:t>
      </w:r>
      <w:r>
        <w:rPr>
          <w:rFonts w:hint="eastAsia" w:ascii="楷体" w:hAnsi="楷体" w:eastAsia="楷体" w:cs="楷体"/>
          <w:color w:val="auto"/>
          <w:sz w:val="28"/>
          <w:szCs w:val="28"/>
          <w:lang w:val="zh-CN"/>
        </w:rPr>
        <w:t>）</w:t>
      </w:r>
    </w:p>
    <w:p w14:paraId="47EDDAC2">
      <w:pPr>
        <w:numPr>
          <w:ilvl w:val="1"/>
          <w:numId w:val="25"/>
        </w:numPr>
        <w:tabs>
          <w:tab w:val="clear" w:pos="907"/>
        </w:tabs>
        <w:spacing w:line="360" w:lineRule="auto"/>
        <w:ind w:left="1133" w:leftChars="229" w:hanging="652" w:hangingChars="272"/>
        <w:rPr>
          <w:rFonts w:ascii="楷体" w:hAnsi="楷体" w:eastAsia="楷体" w:cs="楷体"/>
          <w:color w:val="auto"/>
          <w:sz w:val="24"/>
          <w:lang w:val="zh-CN" w:eastAsia="zh-TW"/>
        </w:rPr>
      </w:pPr>
      <w:r>
        <w:rPr>
          <w:rFonts w:hint="eastAsia" w:ascii="楷体" w:hAnsi="楷体" w:eastAsia="楷体" w:cs="楷体"/>
          <w:color w:val="auto"/>
          <w:sz w:val="24"/>
          <w:lang w:val="zh-CN" w:eastAsia="zh-TW"/>
        </w:rPr>
        <w:t>如无质疑或投诉，未中标的投标人保证金，在中标通知书发出后五个工作日内退还；如有质疑或投诉，招标人或采购代理机构将在质疑或投诉处理完毕后退还。</w:t>
      </w:r>
    </w:p>
    <w:p w14:paraId="1690D3A0">
      <w:pPr>
        <w:numPr>
          <w:ilvl w:val="1"/>
          <w:numId w:val="25"/>
        </w:numPr>
        <w:tabs>
          <w:tab w:val="left" w:pos="1180"/>
        </w:tabs>
        <w:spacing w:line="360" w:lineRule="auto"/>
        <w:ind w:left="1133" w:leftChars="229" w:hanging="652" w:hangingChars="272"/>
        <w:rPr>
          <w:rFonts w:ascii="楷体" w:hAnsi="楷体" w:eastAsia="楷体" w:cs="楷体"/>
          <w:color w:val="auto"/>
          <w:sz w:val="24"/>
          <w:lang w:val="zh-CN" w:eastAsia="zh-TW"/>
        </w:rPr>
      </w:pPr>
      <w:r>
        <w:rPr>
          <w:rFonts w:hint="eastAsia" w:ascii="楷体" w:hAnsi="楷体" w:eastAsia="楷体" w:cs="楷体"/>
          <w:color w:val="auto"/>
          <w:sz w:val="24"/>
          <w:lang w:val="zh-CN" w:eastAsia="zh-TW"/>
        </w:rPr>
        <w:t>中标人的投标保证金，在中标人与招标人签订采购合同，并将合同原件送采购代理机构备案后五个工作日内退还。</w:t>
      </w:r>
    </w:p>
    <w:p w14:paraId="2E220D87">
      <w:pPr>
        <w:numPr>
          <w:ilvl w:val="1"/>
          <w:numId w:val="25"/>
        </w:numPr>
        <w:tabs>
          <w:tab w:val="left" w:pos="1180"/>
        </w:tabs>
        <w:spacing w:line="360" w:lineRule="auto"/>
        <w:ind w:left="0" w:firstLine="480" w:firstLineChars="200"/>
        <w:rPr>
          <w:rFonts w:ascii="楷体" w:hAnsi="楷体" w:eastAsia="楷体" w:cs="楷体"/>
          <w:color w:val="auto"/>
          <w:sz w:val="24"/>
          <w:lang w:val="zh-CN" w:eastAsia="zh-TW"/>
        </w:rPr>
      </w:pPr>
      <w:bookmarkStart w:id="152" w:name="_Toc11559"/>
      <w:r>
        <w:rPr>
          <w:rFonts w:hint="eastAsia" w:ascii="楷体" w:hAnsi="楷体" w:eastAsia="楷体" w:cs="楷体"/>
          <w:color w:val="auto"/>
          <w:sz w:val="24"/>
          <w:lang w:val="zh-CN" w:eastAsia="zh-TW"/>
        </w:rPr>
        <w:t>下列任一情况发生时，投标保证金将不予退还</w:t>
      </w:r>
      <w:bookmarkEnd w:id="152"/>
      <w:r>
        <w:rPr>
          <w:rFonts w:hint="eastAsia" w:ascii="楷体" w:hAnsi="楷体" w:eastAsia="楷体" w:cs="楷体"/>
          <w:color w:val="auto"/>
          <w:sz w:val="24"/>
          <w:lang w:val="zh-CN" w:eastAsia="zh-TW"/>
        </w:rPr>
        <w:t>：</w:t>
      </w:r>
    </w:p>
    <w:p w14:paraId="52C241FE">
      <w:pPr>
        <w:tabs>
          <w:tab w:val="left" w:pos="907"/>
        </w:tabs>
        <w:spacing w:line="360" w:lineRule="auto"/>
        <w:ind w:left="-237" w:leftChars="-113" w:firstLine="720" w:firstLineChars="300"/>
        <w:rPr>
          <w:rFonts w:ascii="楷体" w:hAnsi="楷体" w:eastAsia="楷体" w:cs="楷体"/>
          <w:color w:val="auto"/>
          <w:sz w:val="24"/>
          <w:lang w:val="zh-CN" w:eastAsia="zh-TW"/>
        </w:rPr>
      </w:pPr>
      <w:r>
        <w:rPr>
          <w:rFonts w:hint="eastAsia" w:ascii="楷体" w:hAnsi="楷体" w:eastAsia="楷体" w:cs="楷体"/>
          <w:color w:val="auto"/>
          <w:sz w:val="24"/>
        </w:rPr>
        <w:t>17.3.1</w:t>
      </w:r>
      <w:r>
        <w:rPr>
          <w:rFonts w:hint="eastAsia" w:ascii="楷体" w:hAnsi="楷体" w:eastAsia="楷体" w:cs="楷体"/>
          <w:color w:val="auto"/>
          <w:sz w:val="24"/>
          <w:lang w:val="zh-CN" w:eastAsia="zh-TW"/>
        </w:rPr>
        <w:t>投标人在招标文件规定的投标有效期内撤回其投标的；</w:t>
      </w:r>
    </w:p>
    <w:p w14:paraId="4146969D">
      <w:pPr>
        <w:tabs>
          <w:tab w:val="left" w:pos="907"/>
        </w:tabs>
        <w:spacing w:line="360" w:lineRule="auto"/>
        <w:ind w:left="-237" w:leftChars="-113" w:firstLine="720" w:firstLineChars="300"/>
        <w:rPr>
          <w:rFonts w:ascii="楷体" w:hAnsi="楷体" w:eastAsia="楷体" w:cs="楷体"/>
          <w:color w:val="auto"/>
          <w:sz w:val="24"/>
          <w:lang w:val="zh-CN"/>
        </w:rPr>
      </w:pPr>
      <w:r>
        <w:rPr>
          <w:rFonts w:hint="eastAsia" w:ascii="楷体" w:hAnsi="楷体" w:eastAsia="楷体" w:cs="楷体"/>
          <w:color w:val="auto"/>
          <w:sz w:val="24"/>
          <w:lang w:val="zh-CN" w:eastAsia="zh-TW"/>
        </w:rPr>
        <w:t>17.3.2中标人中标后无正当理由放弃中标或在规定期限内未按本须知规定</w:t>
      </w:r>
    </w:p>
    <w:p w14:paraId="36BFF585">
      <w:pPr>
        <w:tabs>
          <w:tab w:val="left" w:pos="907"/>
        </w:tabs>
        <w:spacing w:line="360" w:lineRule="auto"/>
        <w:ind w:left="-237" w:leftChars="-113" w:firstLine="720" w:firstLineChars="300"/>
        <w:rPr>
          <w:rFonts w:ascii="楷体" w:hAnsi="楷体" w:eastAsia="楷体" w:cs="楷体"/>
          <w:color w:val="auto"/>
          <w:sz w:val="24"/>
          <w:lang w:val="zh-CN" w:eastAsia="zh-TW"/>
        </w:rPr>
      </w:pPr>
      <w:r>
        <w:rPr>
          <w:rFonts w:hint="eastAsia" w:ascii="楷体" w:hAnsi="楷体" w:eastAsia="楷体" w:cs="楷体"/>
          <w:color w:val="auto"/>
          <w:sz w:val="24"/>
          <w:lang w:val="zh-CN" w:eastAsia="zh-TW"/>
        </w:rPr>
        <w:t>签订合同的；</w:t>
      </w:r>
    </w:p>
    <w:p w14:paraId="13DAC074">
      <w:pPr>
        <w:tabs>
          <w:tab w:val="left" w:pos="907"/>
        </w:tabs>
        <w:spacing w:line="360" w:lineRule="auto"/>
        <w:ind w:left="-237" w:leftChars="-113" w:firstLine="720" w:firstLineChars="300"/>
        <w:rPr>
          <w:rFonts w:ascii="楷体" w:hAnsi="楷体" w:eastAsia="楷体" w:cs="楷体"/>
          <w:color w:val="auto"/>
          <w:sz w:val="24"/>
          <w:lang w:val="zh-CN" w:eastAsia="zh-TW"/>
        </w:rPr>
      </w:pPr>
      <w:r>
        <w:rPr>
          <w:rFonts w:hint="eastAsia" w:ascii="楷体" w:hAnsi="楷体" w:eastAsia="楷体" w:cs="楷体"/>
          <w:color w:val="auto"/>
          <w:sz w:val="24"/>
        </w:rPr>
        <w:t>17.3.3</w:t>
      </w:r>
      <w:r>
        <w:rPr>
          <w:rFonts w:hint="eastAsia" w:ascii="楷体" w:hAnsi="楷体" w:eastAsia="楷体" w:cs="楷体"/>
          <w:color w:val="auto"/>
          <w:sz w:val="24"/>
          <w:lang w:val="zh-CN" w:eastAsia="zh-TW"/>
        </w:rPr>
        <w:t>中标人在规定期限内未按本须知规定提供履约保证金的；</w:t>
      </w:r>
    </w:p>
    <w:p w14:paraId="125B6E1E">
      <w:pPr>
        <w:tabs>
          <w:tab w:val="left" w:pos="907"/>
        </w:tabs>
        <w:spacing w:line="360" w:lineRule="auto"/>
        <w:ind w:left="-237" w:leftChars="-113" w:firstLine="720" w:firstLineChars="300"/>
        <w:rPr>
          <w:rFonts w:ascii="楷体" w:hAnsi="楷体" w:eastAsia="楷体" w:cs="楷体"/>
          <w:color w:val="auto"/>
          <w:sz w:val="24"/>
          <w:lang w:val="zh-CN" w:eastAsia="zh-TW"/>
        </w:rPr>
      </w:pPr>
      <w:r>
        <w:rPr>
          <w:rFonts w:hint="eastAsia" w:ascii="楷体" w:hAnsi="楷体" w:eastAsia="楷体" w:cs="楷体"/>
          <w:color w:val="auto"/>
          <w:sz w:val="24"/>
        </w:rPr>
        <w:t>17.3.4</w:t>
      </w:r>
      <w:r>
        <w:rPr>
          <w:rFonts w:hint="eastAsia" w:ascii="楷体" w:hAnsi="楷体" w:eastAsia="楷体" w:cs="楷体"/>
          <w:color w:val="auto"/>
          <w:sz w:val="24"/>
          <w:lang w:val="zh-CN" w:eastAsia="zh-TW"/>
        </w:rPr>
        <w:t>中标人未按本须知规定缴交招标代理服务费的；</w:t>
      </w:r>
    </w:p>
    <w:p w14:paraId="4010AA6F">
      <w:pPr>
        <w:tabs>
          <w:tab w:val="left" w:pos="907"/>
        </w:tabs>
        <w:spacing w:line="360" w:lineRule="auto"/>
        <w:ind w:left="1201" w:leftChars="229" w:hanging="720" w:hangingChars="300"/>
        <w:rPr>
          <w:rFonts w:ascii="楷体" w:hAnsi="楷体" w:eastAsia="楷体" w:cs="楷体"/>
          <w:color w:val="auto"/>
          <w:sz w:val="24"/>
          <w:lang w:val="zh-CN" w:eastAsia="zh-TW"/>
        </w:rPr>
      </w:pPr>
      <w:r>
        <w:rPr>
          <w:rFonts w:hint="eastAsia" w:ascii="楷体" w:hAnsi="楷体" w:eastAsia="楷体" w:cs="楷体"/>
          <w:color w:val="auto"/>
          <w:sz w:val="24"/>
        </w:rPr>
        <w:t>17.3.5</w:t>
      </w:r>
      <w:r>
        <w:rPr>
          <w:rFonts w:hint="eastAsia" w:ascii="楷体" w:hAnsi="楷体" w:eastAsia="楷体" w:cs="楷体"/>
          <w:color w:val="auto"/>
          <w:sz w:val="24"/>
          <w:lang w:val="zh-CN" w:eastAsia="zh-TW"/>
        </w:rPr>
        <w:t>投标人捏造事实、提供虚假材料或者以非法手段取得证明材料进行异议投诉的。</w:t>
      </w:r>
    </w:p>
    <w:p w14:paraId="1999283B">
      <w:pPr>
        <w:pStyle w:val="3"/>
        <w:numPr>
          <w:ilvl w:val="0"/>
          <w:numId w:val="3"/>
        </w:numPr>
        <w:jc w:val="center"/>
        <w:rPr>
          <w:rFonts w:ascii="楷体" w:hAnsi="楷体" w:eastAsia="楷体" w:cs="楷体"/>
          <w:color w:val="auto"/>
        </w:rPr>
      </w:pPr>
      <w:bookmarkStart w:id="153" w:name="_Toc10947"/>
      <w:bookmarkStart w:id="154" w:name="_Toc423021944"/>
      <w:bookmarkStart w:id="155" w:name="_Toc19319"/>
      <w:bookmarkStart w:id="156" w:name="_Toc25191"/>
      <w:bookmarkStart w:id="157" w:name="_Toc6674"/>
      <w:bookmarkStart w:id="158" w:name="_Toc6785"/>
      <w:r>
        <w:rPr>
          <w:rFonts w:hint="eastAsia" w:ascii="楷体" w:hAnsi="楷体" w:eastAsia="楷体" w:cs="楷体"/>
          <w:color w:val="auto"/>
        </w:rPr>
        <w:t>投标文件的递交</w:t>
      </w:r>
      <w:bookmarkEnd w:id="153"/>
      <w:bookmarkEnd w:id="154"/>
      <w:bookmarkEnd w:id="155"/>
      <w:bookmarkEnd w:id="156"/>
      <w:bookmarkEnd w:id="157"/>
      <w:bookmarkEnd w:id="158"/>
    </w:p>
    <w:p w14:paraId="27871124">
      <w:pPr>
        <w:pStyle w:val="4"/>
        <w:numPr>
          <w:ilvl w:val="0"/>
          <w:numId w:val="4"/>
        </w:numPr>
        <w:ind w:hanging="5"/>
        <w:rPr>
          <w:rFonts w:ascii="楷体" w:hAnsi="楷体" w:eastAsia="楷体" w:cs="楷体"/>
          <w:color w:val="auto"/>
          <w:sz w:val="28"/>
          <w:szCs w:val="28"/>
          <w:lang w:val="zh-CN"/>
        </w:rPr>
      </w:pPr>
      <w:bookmarkStart w:id="159" w:name="_Toc21468"/>
      <w:bookmarkStart w:id="160" w:name="_Toc32088"/>
      <w:bookmarkStart w:id="161" w:name="_Toc19918"/>
      <w:bookmarkStart w:id="162" w:name="_Toc5144"/>
      <w:bookmarkStart w:id="163" w:name="_Toc26978"/>
      <w:r>
        <w:rPr>
          <w:rFonts w:hint="eastAsia" w:ascii="楷体" w:hAnsi="楷体" w:eastAsia="楷体" w:cs="楷体"/>
          <w:color w:val="auto"/>
          <w:sz w:val="28"/>
          <w:szCs w:val="28"/>
          <w:lang w:val="zh-CN"/>
        </w:rPr>
        <w:t>投标文件的密封和标记</w:t>
      </w:r>
      <w:bookmarkEnd w:id="159"/>
      <w:bookmarkEnd w:id="160"/>
      <w:bookmarkEnd w:id="161"/>
      <w:bookmarkEnd w:id="162"/>
      <w:bookmarkEnd w:id="163"/>
    </w:p>
    <w:p w14:paraId="3588DA26">
      <w:pPr>
        <w:numPr>
          <w:ilvl w:val="1"/>
          <w:numId w:val="26"/>
        </w:numPr>
        <w:tabs>
          <w:tab w:val="clear" w:pos="907"/>
        </w:tabs>
        <w:spacing w:line="360" w:lineRule="auto"/>
        <w:ind w:left="1247" w:hanging="827"/>
        <w:rPr>
          <w:rFonts w:ascii="楷体" w:hAnsi="楷体" w:eastAsia="楷体" w:cs="楷体"/>
          <w:b/>
          <w:bCs/>
          <w:color w:val="auto"/>
          <w:sz w:val="24"/>
          <w:u w:val="single"/>
          <w:lang w:val="zh-CN" w:eastAsia="zh-TW"/>
        </w:rPr>
      </w:pPr>
      <w:r>
        <w:rPr>
          <w:rFonts w:hint="eastAsia" w:ascii="楷体" w:hAnsi="楷体" w:eastAsia="楷体" w:cs="楷体"/>
          <w:color w:val="auto"/>
          <w:sz w:val="24"/>
        </w:rPr>
        <w:t>电子投标文件应使用投标客户端进行制作并加密。</w:t>
      </w:r>
    </w:p>
    <w:p w14:paraId="35A7B204">
      <w:pPr>
        <w:pStyle w:val="4"/>
        <w:numPr>
          <w:ilvl w:val="0"/>
          <w:numId w:val="4"/>
        </w:numPr>
        <w:ind w:hanging="5"/>
        <w:rPr>
          <w:rFonts w:ascii="楷体" w:hAnsi="楷体" w:eastAsia="楷体" w:cs="楷体"/>
          <w:color w:val="auto"/>
          <w:sz w:val="28"/>
          <w:szCs w:val="28"/>
          <w:lang w:val="zh-CN"/>
        </w:rPr>
      </w:pPr>
      <w:bookmarkStart w:id="164" w:name="_Toc29751"/>
      <w:bookmarkStart w:id="165" w:name="_Toc27599"/>
      <w:bookmarkStart w:id="166" w:name="_Toc10783"/>
      <w:bookmarkStart w:id="167" w:name="_Toc22553"/>
      <w:bookmarkStart w:id="168" w:name="_Toc1931"/>
      <w:r>
        <w:rPr>
          <w:rFonts w:hint="eastAsia" w:ascii="楷体" w:hAnsi="楷体" w:eastAsia="楷体" w:cs="楷体"/>
          <w:color w:val="auto"/>
          <w:sz w:val="28"/>
          <w:szCs w:val="28"/>
          <w:lang w:val="zh-CN"/>
        </w:rPr>
        <w:t>投标文件递交要求</w:t>
      </w:r>
      <w:bookmarkEnd w:id="164"/>
      <w:bookmarkEnd w:id="165"/>
      <w:bookmarkEnd w:id="166"/>
      <w:bookmarkEnd w:id="167"/>
      <w:bookmarkEnd w:id="168"/>
    </w:p>
    <w:p w14:paraId="28AFC856">
      <w:pPr>
        <w:numPr>
          <w:ilvl w:val="1"/>
          <w:numId w:val="27"/>
        </w:numPr>
        <w:tabs>
          <w:tab w:val="left" w:pos="630"/>
          <w:tab w:val="left" w:pos="1180"/>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rPr>
        <w:t>电子</w:t>
      </w:r>
      <w:r>
        <w:rPr>
          <w:rFonts w:hint="eastAsia" w:ascii="楷体" w:hAnsi="楷体" w:eastAsia="楷体" w:cs="楷体"/>
          <w:color w:val="auto"/>
          <w:sz w:val="24"/>
          <w:lang w:val="zh-CN" w:eastAsia="zh-TW"/>
        </w:rPr>
        <w:t>投标文件须在递交投标文件截止时间前成功上传至电子平台，电子投标文件必须签名盖章。</w:t>
      </w:r>
    </w:p>
    <w:p w14:paraId="7322E72C">
      <w:pPr>
        <w:pStyle w:val="4"/>
        <w:numPr>
          <w:ilvl w:val="0"/>
          <w:numId w:val="4"/>
        </w:numPr>
        <w:ind w:hanging="5"/>
        <w:rPr>
          <w:rFonts w:ascii="楷体" w:hAnsi="楷体" w:eastAsia="楷体" w:cs="楷体"/>
          <w:color w:val="auto"/>
          <w:sz w:val="28"/>
          <w:szCs w:val="28"/>
          <w:lang w:val="zh-CN"/>
        </w:rPr>
      </w:pPr>
      <w:bookmarkStart w:id="169" w:name="_Toc22077"/>
      <w:bookmarkStart w:id="170" w:name="_Toc24470"/>
      <w:bookmarkStart w:id="171" w:name="_Toc26492"/>
      <w:bookmarkStart w:id="172" w:name="_Toc5514"/>
      <w:bookmarkStart w:id="173" w:name="_Toc19019"/>
      <w:r>
        <w:rPr>
          <w:rFonts w:hint="eastAsia" w:ascii="楷体" w:hAnsi="楷体" w:eastAsia="楷体" w:cs="楷体"/>
          <w:color w:val="auto"/>
          <w:sz w:val="28"/>
          <w:szCs w:val="28"/>
          <w:lang w:val="zh-CN"/>
        </w:rPr>
        <w:t>投标截止</w:t>
      </w:r>
      <w:bookmarkEnd w:id="169"/>
      <w:bookmarkEnd w:id="170"/>
      <w:bookmarkEnd w:id="171"/>
      <w:bookmarkEnd w:id="172"/>
      <w:bookmarkEnd w:id="173"/>
    </w:p>
    <w:p w14:paraId="59AFF7FD">
      <w:pPr>
        <w:numPr>
          <w:ilvl w:val="1"/>
          <w:numId w:val="28"/>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投标人应在不迟于</w:t>
      </w:r>
      <w:r>
        <w:rPr>
          <w:rFonts w:hint="eastAsia" w:ascii="楷体" w:hAnsi="楷体" w:eastAsia="楷体" w:cs="楷体"/>
          <w:b/>
          <w:bCs/>
          <w:color w:val="auto"/>
          <w:sz w:val="24"/>
          <w:lang w:val="zh-CN" w:eastAsia="zh-TW"/>
        </w:rPr>
        <w:t>投标邀请函</w:t>
      </w:r>
      <w:r>
        <w:rPr>
          <w:rFonts w:hint="eastAsia" w:ascii="楷体" w:hAnsi="楷体" w:eastAsia="楷体" w:cs="楷体"/>
          <w:color w:val="auto"/>
          <w:sz w:val="24"/>
          <w:lang w:val="zh-CN" w:eastAsia="zh-TW"/>
        </w:rPr>
        <w:t>中规定的截止日期和时间将投标文件递交至招标代理机构，递交地点应是</w:t>
      </w:r>
      <w:r>
        <w:rPr>
          <w:rFonts w:hint="eastAsia" w:ascii="楷体" w:hAnsi="楷体" w:eastAsia="楷体" w:cs="楷体"/>
          <w:b/>
          <w:bCs/>
          <w:color w:val="auto"/>
          <w:sz w:val="24"/>
          <w:lang w:val="zh-CN" w:eastAsia="zh-TW"/>
        </w:rPr>
        <w:t>投标邀请函</w:t>
      </w:r>
      <w:r>
        <w:rPr>
          <w:rFonts w:hint="eastAsia" w:ascii="楷体" w:hAnsi="楷体" w:eastAsia="楷体" w:cs="楷体"/>
          <w:color w:val="auto"/>
          <w:sz w:val="24"/>
          <w:lang w:val="zh-CN" w:eastAsia="zh-TW"/>
        </w:rPr>
        <w:t>中指明的地址。</w:t>
      </w:r>
    </w:p>
    <w:p w14:paraId="18C74852">
      <w:pPr>
        <w:numPr>
          <w:ilvl w:val="1"/>
          <w:numId w:val="28"/>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招标人或招标代理机构因修改招标文件，可酌情延长投标截止时间，但应发布公告并书面通知所有购买招标文件的潜在投标人。在此情况下，招标人或招标代理机构和投标人受投标截止时间制约的所有权利和义务均延长至新的投标截止时间。</w:t>
      </w:r>
    </w:p>
    <w:p w14:paraId="15D5B96C">
      <w:pPr>
        <w:numPr>
          <w:ilvl w:val="1"/>
          <w:numId w:val="28"/>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招标代理机构将拒绝接收在招标文件规定的投标截止时间之后收到的任何投标文件。</w:t>
      </w:r>
    </w:p>
    <w:p w14:paraId="15D354E5">
      <w:pPr>
        <w:pStyle w:val="4"/>
        <w:numPr>
          <w:ilvl w:val="0"/>
          <w:numId w:val="4"/>
        </w:numPr>
        <w:ind w:hanging="5"/>
        <w:rPr>
          <w:rFonts w:ascii="楷体" w:hAnsi="楷体" w:eastAsia="楷体" w:cs="楷体"/>
          <w:color w:val="auto"/>
          <w:sz w:val="28"/>
          <w:szCs w:val="28"/>
          <w:lang w:val="zh-CN"/>
        </w:rPr>
      </w:pPr>
      <w:bookmarkStart w:id="174" w:name="_Toc9165"/>
      <w:bookmarkStart w:id="175" w:name="_Toc1816"/>
      <w:bookmarkStart w:id="176" w:name="_Toc9682"/>
      <w:bookmarkStart w:id="177" w:name="_Toc1809"/>
      <w:bookmarkStart w:id="178" w:name="_Toc32355"/>
      <w:r>
        <w:rPr>
          <w:rFonts w:hint="eastAsia" w:ascii="楷体" w:hAnsi="楷体" w:eastAsia="楷体" w:cs="楷体"/>
          <w:color w:val="auto"/>
          <w:sz w:val="28"/>
          <w:szCs w:val="28"/>
          <w:lang w:val="zh-CN"/>
        </w:rPr>
        <w:t>投标文件的修改和撤回</w:t>
      </w:r>
      <w:bookmarkEnd w:id="174"/>
      <w:bookmarkEnd w:id="175"/>
      <w:bookmarkEnd w:id="176"/>
      <w:bookmarkEnd w:id="177"/>
      <w:bookmarkEnd w:id="178"/>
    </w:p>
    <w:p w14:paraId="5A7D3B51">
      <w:pPr>
        <w:numPr>
          <w:ilvl w:val="1"/>
          <w:numId w:val="29"/>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投标人在投标截止时间前，可以对其递交的投标文件进行补充、修改或撤回，但应书面通知招标代理机构。补充、修改的内容应当按招标文件的要求签署、盖章，并作为投标文件的组成部分。</w:t>
      </w:r>
    </w:p>
    <w:p w14:paraId="3566CA3F">
      <w:pPr>
        <w:numPr>
          <w:ilvl w:val="1"/>
          <w:numId w:val="29"/>
        </w:numPr>
        <w:tabs>
          <w:tab w:val="left" w:pos="1220"/>
        </w:tabs>
        <w:spacing w:line="360" w:lineRule="auto"/>
        <w:ind w:hanging="487"/>
        <w:rPr>
          <w:rFonts w:ascii="楷体" w:hAnsi="楷体" w:eastAsia="楷体" w:cs="楷体"/>
          <w:color w:val="auto"/>
          <w:sz w:val="24"/>
          <w:lang w:val="zh-CN" w:eastAsia="zh-TW"/>
        </w:rPr>
      </w:pPr>
      <w:r>
        <w:rPr>
          <w:rFonts w:hint="eastAsia" w:ascii="楷体" w:hAnsi="楷体" w:eastAsia="楷体" w:cs="楷体"/>
          <w:color w:val="auto"/>
          <w:sz w:val="24"/>
          <w:lang w:val="zh-CN" w:eastAsia="zh-TW"/>
        </w:rPr>
        <w:t>在投标截止时间之后，投标人不得对其投标文件做任何修改。</w:t>
      </w:r>
    </w:p>
    <w:p w14:paraId="3CBD2569">
      <w:pPr>
        <w:numPr>
          <w:ilvl w:val="1"/>
          <w:numId w:val="29"/>
        </w:numPr>
        <w:tabs>
          <w:tab w:val="clear" w:pos="907"/>
        </w:tabs>
        <w:spacing w:line="360" w:lineRule="auto"/>
        <w:ind w:left="1247" w:hanging="827"/>
        <w:rPr>
          <w:rFonts w:ascii="楷体" w:hAnsi="楷体" w:eastAsia="楷体" w:cs="楷体"/>
          <w:color w:val="auto"/>
          <w:sz w:val="24"/>
          <w:lang w:val="zh-CN" w:eastAsia="zh-TW"/>
        </w:rPr>
      </w:pPr>
      <w:r>
        <w:rPr>
          <w:rFonts w:hint="eastAsia" w:ascii="楷体" w:hAnsi="楷体" w:eastAsia="楷体" w:cs="楷体"/>
          <w:color w:val="auto"/>
          <w:sz w:val="24"/>
          <w:lang w:val="zh-CN" w:eastAsia="zh-TW"/>
        </w:rPr>
        <w:t>从投标截止期至招标文件规定的投标有效期期满的这段时间内，投标人不得撤回其投标。</w:t>
      </w:r>
    </w:p>
    <w:p w14:paraId="0F05D253">
      <w:pPr>
        <w:numPr>
          <w:ilvl w:val="1"/>
          <w:numId w:val="29"/>
        </w:numPr>
        <w:tabs>
          <w:tab w:val="left" w:pos="1220"/>
        </w:tabs>
        <w:spacing w:line="360" w:lineRule="auto"/>
        <w:ind w:hanging="487"/>
        <w:rPr>
          <w:rFonts w:ascii="楷体" w:hAnsi="楷体" w:eastAsia="楷体" w:cs="楷体"/>
          <w:color w:val="auto"/>
          <w:sz w:val="24"/>
          <w:lang w:val="zh-CN" w:eastAsia="zh-TW"/>
        </w:rPr>
      </w:pPr>
      <w:r>
        <w:rPr>
          <w:rFonts w:hint="eastAsia" w:ascii="楷体" w:hAnsi="楷体" w:eastAsia="楷体" w:cs="楷体"/>
          <w:color w:val="auto"/>
          <w:sz w:val="24"/>
          <w:lang w:val="zh-CN" w:eastAsia="zh-TW"/>
        </w:rPr>
        <w:t>除非招标文件另有规定或说明，投标文件一律不予退还。</w:t>
      </w:r>
    </w:p>
    <w:p w14:paraId="5457A143">
      <w:pPr>
        <w:pStyle w:val="3"/>
        <w:numPr>
          <w:ilvl w:val="0"/>
          <w:numId w:val="3"/>
        </w:numPr>
        <w:jc w:val="center"/>
        <w:rPr>
          <w:rFonts w:ascii="楷体" w:hAnsi="楷体" w:eastAsia="楷体" w:cs="楷体"/>
          <w:color w:val="auto"/>
        </w:rPr>
      </w:pPr>
      <w:bookmarkStart w:id="179" w:name="_Toc21950"/>
      <w:bookmarkStart w:id="180" w:name="_Toc423021945"/>
      <w:bookmarkStart w:id="181" w:name="_Toc32255"/>
      <w:bookmarkStart w:id="182" w:name="_Toc12376"/>
      <w:bookmarkStart w:id="183" w:name="_Toc30765"/>
      <w:bookmarkStart w:id="184" w:name="_Toc1851"/>
      <w:r>
        <w:rPr>
          <w:rFonts w:hint="eastAsia" w:ascii="楷体" w:hAnsi="楷体" w:eastAsia="楷体" w:cs="楷体"/>
          <w:color w:val="auto"/>
        </w:rPr>
        <w:t>开标与评标</w:t>
      </w:r>
      <w:bookmarkEnd w:id="179"/>
      <w:bookmarkEnd w:id="180"/>
      <w:bookmarkEnd w:id="181"/>
      <w:bookmarkEnd w:id="182"/>
      <w:bookmarkEnd w:id="183"/>
      <w:bookmarkEnd w:id="184"/>
    </w:p>
    <w:p w14:paraId="1471806F">
      <w:pPr>
        <w:pStyle w:val="4"/>
        <w:numPr>
          <w:ilvl w:val="0"/>
          <w:numId w:val="4"/>
        </w:numPr>
        <w:ind w:hanging="5"/>
        <w:rPr>
          <w:rFonts w:ascii="楷体" w:hAnsi="楷体" w:eastAsia="楷体" w:cs="楷体"/>
          <w:color w:val="auto"/>
          <w:sz w:val="28"/>
          <w:szCs w:val="28"/>
          <w:lang w:val="zh-CN"/>
        </w:rPr>
      </w:pPr>
      <w:bookmarkStart w:id="185" w:name="_Toc19097"/>
      <w:bookmarkStart w:id="186" w:name="_Toc24617"/>
      <w:bookmarkStart w:id="187" w:name="_Toc20889"/>
      <w:bookmarkStart w:id="188" w:name="_Toc24164"/>
      <w:bookmarkStart w:id="189" w:name="_Toc15366"/>
      <w:r>
        <w:rPr>
          <w:rFonts w:hint="eastAsia" w:ascii="楷体" w:hAnsi="楷体" w:eastAsia="楷体" w:cs="楷体"/>
          <w:color w:val="auto"/>
          <w:sz w:val="28"/>
          <w:szCs w:val="28"/>
          <w:lang w:val="zh-CN"/>
        </w:rPr>
        <w:t>开标</w:t>
      </w:r>
      <w:bookmarkEnd w:id="185"/>
      <w:bookmarkEnd w:id="186"/>
      <w:bookmarkEnd w:id="187"/>
      <w:bookmarkEnd w:id="188"/>
      <w:bookmarkEnd w:id="189"/>
    </w:p>
    <w:p w14:paraId="363EBB75">
      <w:pPr>
        <w:numPr>
          <w:ilvl w:val="1"/>
          <w:numId w:val="30"/>
        </w:numPr>
        <w:tabs>
          <w:tab w:val="left" w:pos="1120"/>
        </w:tabs>
        <w:spacing w:line="360" w:lineRule="auto"/>
        <w:ind w:left="1077" w:leftChars="227" w:hanging="600" w:hangingChars="250"/>
        <w:rPr>
          <w:rFonts w:ascii="楷体" w:hAnsi="楷体" w:eastAsia="楷体" w:cs="楷体"/>
          <w:color w:val="auto"/>
          <w:sz w:val="24"/>
          <w:lang w:val="zh-CN"/>
        </w:rPr>
      </w:pPr>
      <w:r>
        <w:rPr>
          <w:rFonts w:hint="eastAsia" w:ascii="楷体" w:hAnsi="楷体" w:eastAsia="楷体" w:cs="楷体"/>
          <w:color w:val="auto"/>
          <w:sz w:val="24"/>
          <w:lang w:val="zh-CN" w:eastAsia="zh-TW"/>
        </w:rPr>
        <w:t>招标代理机构按</w:t>
      </w:r>
      <w:r>
        <w:rPr>
          <w:rFonts w:hint="eastAsia" w:ascii="楷体" w:hAnsi="楷体" w:eastAsia="楷体" w:cs="楷体"/>
          <w:b/>
          <w:bCs/>
          <w:color w:val="auto"/>
          <w:sz w:val="24"/>
          <w:lang w:val="zh-CN" w:eastAsia="zh-TW"/>
        </w:rPr>
        <w:t>投标邀请函</w:t>
      </w:r>
      <w:r>
        <w:rPr>
          <w:rFonts w:hint="eastAsia" w:ascii="楷体" w:hAnsi="楷体" w:eastAsia="楷体" w:cs="楷体"/>
          <w:color w:val="auto"/>
          <w:sz w:val="24"/>
          <w:lang w:val="zh-CN" w:eastAsia="zh-TW"/>
        </w:rPr>
        <w:t>中规定的日期、时间和地点组织公开开标。</w:t>
      </w:r>
    </w:p>
    <w:p w14:paraId="2602EC8A">
      <w:pPr>
        <w:numPr>
          <w:ilvl w:val="1"/>
          <w:numId w:val="30"/>
        </w:numPr>
        <w:tabs>
          <w:tab w:val="left" w:pos="1120"/>
        </w:tabs>
        <w:spacing w:line="360" w:lineRule="auto"/>
        <w:ind w:left="1077" w:leftChars="227" w:hanging="600" w:hangingChars="250"/>
        <w:rPr>
          <w:rFonts w:ascii="楷体" w:hAnsi="楷体" w:eastAsia="楷体" w:cs="楷体"/>
          <w:color w:val="auto"/>
          <w:sz w:val="24"/>
          <w:lang w:val="zh-CN"/>
        </w:rPr>
      </w:pPr>
      <w:r>
        <w:rPr>
          <w:rFonts w:hint="eastAsia" w:ascii="楷体" w:hAnsi="楷体" w:eastAsia="楷体" w:cs="楷体"/>
          <w:color w:val="auto"/>
          <w:sz w:val="24"/>
          <w:lang w:val="zh-CN"/>
        </w:rPr>
        <w:t>开标由招标代理机构主持，招标人、投标人和有关方面代表参加。评标委员会专家成员不参加开标会议。</w:t>
      </w:r>
    </w:p>
    <w:p w14:paraId="2C3D7F6D">
      <w:pPr>
        <w:numPr>
          <w:ilvl w:val="1"/>
          <w:numId w:val="30"/>
        </w:numPr>
        <w:tabs>
          <w:tab w:val="left" w:pos="1120"/>
        </w:tabs>
        <w:spacing w:line="360" w:lineRule="auto"/>
        <w:ind w:left="1077" w:leftChars="227" w:hanging="600" w:hangingChars="250"/>
        <w:rPr>
          <w:rFonts w:ascii="楷体" w:hAnsi="楷体" w:eastAsia="楷体" w:cs="楷体"/>
          <w:color w:val="auto"/>
          <w:sz w:val="24"/>
          <w:lang w:val="zh-CN"/>
        </w:rPr>
      </w:pPr>
      <w:r>
        <w:rPr>
          <w:rFonts w:hint="eastAsia" w:ascii="楷体" w:hAnsi="楷体" w:eastAsia="楷体" w:cs="楷体"/>
          <w:color w:val="auto"/>
          <w:sz w:val="24"/>
          <w:lang w:val="zh-CN" w:eastAsia="zh-TW"/>
        </w:rPr>
        <w:t>开标</w:t>
      </w:r>
      <w:r>
        <w:rPr>
          <w:rFonts w:hint="eastAsia" w:ascii="楷体" w:hAnsi="楷体" w:eastAsia="楷体" w:cs="楷体"/>
          <w:color w:val="auto"/>
          <w:sz w:val="24"/>
          <w:lang w:val="zh-CN"/>
        </w:rPr>
        <w:t>前，按</w:t>
      </w:r>
      <w:r>
        <w:rPr>
          <w:rFonts w:hint="eastAsia" w:ascii="楷体" w:hAnsi="楷体" w:eastAsia="楷体" w:cs="楷体"/>
          <w:color w:val="auto"/>
          <w:sz w:val="24"/>
          <w:lang w:val="zh-CN" w:eastAsia="zh-TW"/>
        </w:rPr>
        <w:t>签到顺序递交投标文件的</w:t>
      </w:r>
      <w:r>
        <w:rPr>
          <w:rFonts w:hint="eastAsia" w:ascii="楷体" w:hAnsi="楷体" w:eastAsia="楷体" w:cs="楷体"/>
          <w:b/>
          <w:bCs/>
          <w:color w:val="auto"/>
          <w:sz w:val="24"/>
          <w:lang w:val="zh-CN" w:eastAsia="zh-TW"/>
        </w:rPr>
        <w:t>前三名</w:t>
      </w:r>
      <w:r>
        <w:rPr>
          <w:rFonts w:hint="eastAsia" w:ascii="楷体" w:hAnsi="楷体" w:eastAsia="楷体" w:cs="楷体"/>
          <w:color w:val="auto"/>
          <w:sz w:val="24"/>
          <w:lang w:val="zh-CN"/>
        </w:rPr>
        <w:t>授权</w:t>
      </w:r>
      <w:r>
        <w:rPr>
          <w:rFonts w:hint="eastAsia" w:ascii="楷体" w:hAnsi="楷体" w:eastAsia="楷体" w:cs="楷体"/>
          <w:color w:val="auto"/>
          <w:sz w:val="24"/>
          <w:lang w:val="zh-CN" w:eastAsia="zh-TW"/>
        </w:rPr>
        <w:t>代表</w:t>
      </w:r>
      <w:r>
        <w:rPr>
          <w:rFonts w:hint="eastAsia" w:ascii="楷体" w:hAnsi="楷体" w:eastAsia="楷体" w:cs="楷体"/>
          <w:color w:val="auto"/>
          <w:sz w:val="24"/>
          <w:lang w:val="zh-CN"/>
        </w:rPr>
        <w:t>检查所有</w:t>
      </w:r>
      <w:r>
        <w:rPr>
          <w:rFonts w:hint="eastAsia" w:ascii="楷体" w:hAnsi="楷体" w:eastAsia="楷体" w:cs="楷体"/>
          <w:color w:val="auto"/>
          <w:sz w:val="24"/>
          <w:lang w:val="zh-CN" w:eastAsia="zh-TW"/>
        </w:rPr>
        <w:t>投标文件的密封情况</w:t>
      </w:r>
      <w:r>
        <w:rPr>
          <w:rFonts w:hint="eastAsia" w:ascii="楷体" w:hAnsi="楷体" w:eastAsia="楷体" w:cs="楷体"/>
          <w:color w:val="auto"/>
          <w:sz w:val="24"/>
          <w:lang w:val="zh-CN"/>
        </w:rPr>
        <w:t>。经确认密封完好后，由招标代理机构工作人员当众对电子投标文件进行集中解密、解封，并宣读投标人名称、投标价格、价格折扣、投标文件的其他主要内容和招标文件允许提供的备选投标方案，以及招标代理机构认为合适的其他内容。（如采用</w:t>
      </w:r>
      <w:r>
        <w:rPr>
          <w:rFonts w:hint="eastAsia" w:ascii="楷体" w:hAnsi="楷体" w:eastAsia="楷体" w:cs="楷体"/>
          <w:color w:val="auto"/>
          <w:sz w:val="24"/>
        </w:rPr>
        <w:t>远程电子开标，不需要进行密封情况检查</w:t>
      </w:r>
      <w:r>
        <w:rPr>
          <w:rFonts w:hint="eastAsia" w:ascii="楷体" w:hAnsi="楷体" w:eastAsia="楷体" w:cs="楷体"/>
          <w:color w:val="auto"/>
          <w:sz w:val="24"/>
          <w:lang w:val="zh-CN"/>
        </w:rPr>
        <w:t>）。</w:t>
      </w:r>
    </w:p>
    <w:p w14:paraId="4118EDAA">
      <w:pPr>
        <w:numPr>
          <w:ilvl w:val="1"/>
          <w:numId w:val="30"/>
        </w:numPr>
        <w:tabs>
          <w:tab w:val="left" w:pos="1120"/>
        </w:tabs>
        <w:spacing w:line="360" w:lineRule="auto"/>
        <w:ind w:left="1077" w:leftChars="227" w:hanging="600" w:hangingChars="250"/>
        <w:rPr>
          <w:rFonts w:ascii="楷体" w:hAnsi="楷体" w:eastAsia="楷体" w:cs="楷体"/>
          <w:color w:val="auto"/>
          <w:sz w:val="24"/>
          <w:lang w:val="zh-CN" w:eastAsia="zh-TW"/>
        </w:rPr>
      </w:pPr>
      <w:r>
        <w:rPr>
          <w:rFonts w:hint="eastAsia" w:ascii="楷体" w:hAnsi="楷体" w:eastAsia="楷体" w:cs="楷体"/>
          <w:color w:val="auto"/>
          <w:sz w:val="24"/>
          <w:lang w:val="zh-CN" w:eastAsia="zh-TW"/>
        </w:rPr>
        <w:t>未宣读的投标价格、价格折扣和招标文件允许提供的备选投标方案等实质内容，评标时不予考虑。</w:t>
      </w:r>
    </w:p>
    <w:p w14:paraId="40F9C085">
      <w:pPr>
        <w:numPr>
          <w:ilvl w:val="1"/>
          <w:numId w:val="30"/>
        </w:numPr>
        <w:tabs>
          <w:tab w:val="left" w:pos="1120"/>
          <w:tab w:val="left" w:pos="1220"/>
        </w:tabs>
        <w:spacing w:line="360" w:lineRule="auto"/>
        <w:ind w:left="1259" w:leftChars="228" w:hanging="780" w:hangingChars="325"/>
        <w:rPr>
          <w:rFonts w:ascii="楷体" w:hAnsi="楷体" w:eastAsia="楷体" w:cs="楷体"/>
          <w:bCs/>
          <w:color w:val="auto"/>
          <w:sz w:val="24"/>
          <w:lang w:val="zh-CN"/>
        </w:rPr>
      </w:pPr>
      <w:r>
        <w:rPr>
          <w:rFonts w:hint="eastAsia" w:ascii="楷体" w:hAnsi="楷体" w:eastAsia="楷体" w:cs="楷体"/>
          <w:color w:val="auto"/>
          <w:sz w:val="24"/>
          <w:lang w:val="zh-CN"/>
        </w:rPr>
        <w:t>招标代理机构将做开标记录，并由投标人代表及有关人员签字确认。</w:t>
      </w:r>
    </w:p>
    <w:p w14:paraId="69FB636C">
      <w:pPr>
        <w:numPr>
          <w:ilvl w:val="1"/>
          <w:numId w:val="30"/>
        </w:numPr>
        <w:tabs>
          <w:tab w:val="left" w:pos="1120"/>
        </w:tabs>
        <w:spacing w:line="360" w:lineRule="auto"/>
        <w:ind w:left="1077" w:leftChars="227" w:hanging="600" w:hangingChars="250"/>
        <w:rPr>
          <w:rFonts w:ascii="楷体" w:hAnsi="楷体" w:eastAsia="楷体" w:cs="楷体"/>
          <w:color w:val="auto"/>
          <w:sz w:val="24"/>
          <w:lang w:val="zh-CN" w:eastAsia="zh-TW"/>
        </w:rPr>
      </w:pPr>
      <w:r>
        <w:rPr>
          <w:rFonts w:hint="eastAsia" w:ascii="楷体" w:hAnsi="楷体" w:eastAsia="楷体" w:cs="楷体"/>
          <w:color w:val="auto"/>
          <w:sz w:val="24"/>
          <w:lang w:val="zh-CN" w:eastAsia="zh-TW"/>
        </w:rPr>
        <w:t>开标时，投标文件中开标一览表内容与投标明细报价表（</w:t>
      </w:r>
      <w:r>
        <w:rPr>
          <w:rFonts w:hint="eastAsia" w:ascii="楷体" w:hAnsi="楷体" w:eastAsia="楷体" w:cs="楷体"/>
          <w:color w:val="auto"/>
          <w:sz w:val="24"/>
        </w:rPr>
        <w:t>如有</w:t>
      </w:r>
      <w:r>
        <w:rPr>
          <w:rFonts w:hint="eastAsia" w:ascii="楷体" w:hAnsi="楷体" w:eastAsia="楷体" w:cs="楷体"/>
          <w:color w:val="auto"/>
          <w:sz w:val="24"/>
          <w:lang w:val="zh-CN" w:eastAsia="zh-TW"/>
        </w:rPr>
        <w:t>）内容不一致的，以开标一览表为准。</w:t>
      </w:r>
    </w:p>
    <w:p w14:paraId="1A01407F">
      <w:pPr>
        <w:numPr>
          <w:ilvl w:val="1"/>
          <w:numId w:val="30"/>
        </w:numPr>
        <w:tabs>
          <w:tab w:val="left" w:pos="1120"/>
        </w:tabs>
        <w:spacing w:line="360" w:lineRule="auto"/>
        <w:ind w:left="1077" w:leftChars="227" w:hanging="600" w:hangingChars="250"/>
        <w:rPr>
          <w:rFonts w:ascii="楷体" w:hAnsi="楷体" w:eastAsia="楷体" w:cs="楷体"/>
          <w:color w:val="auto"/>
          <w:sz w:val="24"/>
          <w:lang w:val="zh-CN" w:eastAsia="zh-TW"/>
        </w:rPr>
      </w:pPr>
      <w:r>
        <w:rPr>
          <w:rFonts w:hint="eastAsia" w:ascii="楷体" w:hAnsi="楷体" w:eastAsia="楷体" w:cs="楷体"/>
          <w:color w:val="auto"/>
          <w:sz w:val="24"/>
          <w:lang w:val="zh-CN" w:eastAsia="zh-TW"/>
        </w:rPr>
        <w:t>在招标文件要求提交投标文件截止时间前收到的所有投标文件不足三家时，不予以拆封、宣读，将作流标处理。投标人递交的投标文件原封退还。</w:t>
      </w:r>
    </w:p>
    <w:p w14:paraId="06B3A193">
      <w:pPr>
        <w:pStyle w:val="4"/>
        <w:numPr>
          <w:ilvl w:val="0"/>
          <w:numId w:val="4"/>
        </w:numPr>
        <w:ind w:hanging="5"/>
        <w:rPr>
          <w:rFonts w:ascii="楷体" w:hAnsi="楷体" w:eastAsia="楷体" w:cs="楷体"/>
          <w:color w:val="auto"/>
          <w:sz w:val="28"/>
          <w:szCs w:val="28"/>
          <w:lang w:val="zh-CN"/>
        </w:rPr>
      </w:pPr>
      <w:bookmarkStart w:id="190" w:name="_Toc31826"/>
      <w:bookmarkStart w:id="191" w:name="_Toc17883"/>
      <w:bookmarkStart w:id="192" w:name="_Toc22210"/>
      <w:bookmarkStart w:id="193" w:name="_Toc11902"/>
      <w:bookmarkStart w:id="194" w:name="_Toc13947"/>
      <w:r>
        <w:rPr>
          <w:rFonts w:hint="eastAsia" w:ascii="楷体" w:hAnsi="楷体" w:eastAsia="楷体" w:cs="楷体"/>
          <w:color w:val="auto"/>
          <w:sz w:val="28"/>
          <w:szCs w:val="28"/>
          <w:lang w:val="zh-CN"/>
        </w:rPr>
        <w:t>评标</w:t>
      </w:r>
      <w:bookmarkEnd w:id="190"/>
      <w:bookmarkEnd w:id="191"/>
      <w:bookmarkEnd w:id="192"/>
      <w:bookmarkEnd w:id="193"/>
      <w:bookmarkEnd w:id="194"/>
    </w:p>
    <w:p w14:paraId="4A853345">
      <w:pPr>
        <w:numPr>
          <w:ilvl w:val="1"/>
          <w:numId w:val="31"/>
        </w:numPr>
        <w:tabs>
          <w:tab w:val="left" w:pos="1100"/>
          <w:tab w:val="left" w:pos="1220"/>
        </w:tabs>
        <w:spacing w:line="360" w:lineRule="auto"/>
        <w:ind w:left="1060" w:leftChars="228" w:hanging="581" w:hangingChars="241"/>
        <w:rPr>
          <w:rFonts w:ascii="楷体" w:hAnsi="楷体" w:eastAsia="楷体" w:cs="楷体"/>
          <w:b/>
          <w:bCs/>
          <w:color w:val="auto"/>
          <w:sz w:val="24"/>
          <w:lang w:val="zh-CN"/>
        </w:rPr>
      </w:pPr>
      <w:r>
        <w:rPr>
          <w:rFonts w:hint="eastAsia" w:ascii="楷体" w:hAnsi="楷体" w:eastAsia="楷体" w:cs="楷体"/>
          <w:b/>
          <w:bCs/>
          <w:color w:val="auto"/>
          <w:sz w:val="24"/>
          <w:lang w:val="zh-CN"/>
        </w:rPr>
        <w:t>评标委员会</w:t>
      </w:r>
    </w:p>
    <w:p w14:paraId="4312090C">
      <w:pPr>
        <w:numPr>
          <w:ilvl w:val="2"/>
          <w:numId w:val="32"/>
        </w:numPr>
        <w:tabs>
          <w:tab w:val="left" w:pos="1300"/>
        </w:tabs>
        <w:spacing w:line="360" w:lineRule="auto"/>
        <w:ind w:left="1254" w:leftChars="227" w:hanging="777" w:hangingChars="324"/>
        <w:rPr>
          <w:rFonts w:ascii="楷体" w:hAnsi="楷体" w:eastAsia="楷体" w:cs="楷体"/>
          <w:color w:val="auto"/>
          <w:sz w:val="24"/>
          <w:lang w:val="zh-CN"/>
        </w:rPr>
      </w:pPr>
      <w:r>
        <w:rPr>
          <w:rFonts w:hint="eastAsia" w:ascii="楷体" w:hAnsi="楷体" w:eastAsia="楷体" w:cs="楷体"/>
          <w:color w:val="auto"/>
          <w:sz w:val="24"/>
          <w:lang w:val="zh-CN"/>
        </w:rPr>
        <w:t>本项目评标由依照法律、法规、规章、规范性文件规定组建的评标委员会负责。评标委员会成员由招标人代表和技术、经济等方面的专家组成。招标人代表人数、专家人数及专业构成按</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的规定确定。</w:t>
      </w:r>
    </w:p>
    <w:p w14:paraId="4EEAA1D7">
      <w:pPr>
        <w:numPr>
          <w:ilvl w:val="2"/>
          <w:numId w:val="32"/>
        </w:numPr>
        <w:tabs>
          <w:tab w:val="left" w:pos="1300"/>
        </w:tabs>
        <w:spacing w:line="360" w:lineRule="auto"/>
        <w:ind w:left="1269" w:leftChars="226" w:hanging="794" w:hangingChars="331"/>
        <w:rPr>
          <w:rFonts w:ascii="楷体" w:hAnsi="楷体" w:eastAsia="楷体" w:cs="楷体"/>
          <w:color w:val="auto"/>
          <w:sz w:val="24"/>
          <w:lang w:val="zh-CN"/>
        </w:rPr>
      </w:pPr>
      <w:r>
        <w:rPr>
          <w:rFonts w:hint="eastAsia" w:ascii="楷体" w:hAnsi="楷体" w:eastAsia="楷体" w:cs="楷体"/>
          <w:color w:val="auto"/>
          <w:sz w:val="24"/>
          <w:lang w:val="zh-CN"/>
        </w:rPr>
        <w:t>评标委员会名单在评审结果确定前严格保密。评审专家有下列情形之一的，受到邀请应主动提出回避，采购当事人也可以要求该评审专家回避：</w:t>
      </w:r>
    </w:p>
    <w:p w14:paraId="4A132726">
      <w:pPr>
        <w:numPr>
          <w:ilvl w:val="0"/>
          <w:numId w:val="33"/>
        </w:numPr>
        <w:tabs>
          <w:tab w:val="left" w:pos="851"/>
          <w:tab w:val="left" w:pos="993"/>
          <w:tab w:val="left" w:pos="1134"/>
        </w:tabs>
        <w:spacing w:line="360" w:lineRule="auto"/>
        <w:rPr>
          <w:rFonts w:ascii="楷体" w:hAnsi="楷体" w:eastAsia="楷体" w:cs="楷体"/>
          <w:color w:val="auto"/>
          <w:sz w:val="24"/>
        </w:rPr>
      </w:pPr>
      <w:r>
        <w:rPr>
          <w:rFonts w:hint="eastAsia" w:ascii="楷体" w:hAnsi="楷体" w:eastAsia="楷体" w:cs="楷体"/>
          <w:color w:val="auto"/>
          <w:sz w:val="24"/>
        </w:rPr>
        <w:t>三年内曾在参加该招标项目供应商（服务商）中任职或担任顾问的；</w:t>
      </w:r>
    </w:p>
    <w:p w14:paraId="0D32D222">
      <w:pPr>
        <w:numPr>
          <w:ilvl w:val="0"/>
          <w:numId w:val="33"/>
        </w:numPr>
        <w:tabs>
          <w:tab w:val="left" w:pos="993"/>
          <w:tab w:val="left" w:pos="1134"/>
        </w:tabs>
        <w:spacing w:line="360" w:lineRule="auto"/>
        <w:ind w:left="1097" w:hanging="700"/>
        <w:rPr>
          <w:rFonts w:ascii="楷体" w:hAnsi="楷体" w:eastAsia="楷体" w:cs="楷体"/>
          <w:color w:val="auto"/>
          <w:sz w:val="24"/>
        </w:rPr>
      </w:pPr>
      <w:r>
        <w:rPr>
          <w:rFonts w:hint="eastAsia" w:ascii="楷体" w:hAnsi="楷体" w:eastAsia="楷体" w:cs="楷体"/>
          <w:color w:val="auto"/>
          <w:sz w:val="24"/>
        </w:rPr>
        <w:t>配偶或直系亲属在参加该招标项目的供应商（服务商）中任职或担任顾问的；</w:t>
      </w:r>
    </w:p>
    <w:p w14:paraId="36EDBA60">
      <w:pPr>
        <w:numPr>
          <w:ilvl w:val="0"/>
          <w:numId w:val="33"/>
        </w:numPr>
        <w:tabs>
          <w:tab w:val="left" w:pos="993"/>
          <w:tab w:val="left" w:pos="1134"/>
        </w:tabs>
        <w:spacing w:line="360" w:lineRule="auto"/>
        <w:ind w:left="1097" w:hanging="700"/>
        <w:rPr>
          <w:rFonts w:ascii="楷体" w:hAnsi="楷体" w:eastAsia="楷体" w:cs="楷体"/>
          <w:color w:val="auto"/>
          <w:sz w:val="24"/>
        </w:rPr>
      </w:pPr>
      <w:r>
        <w:rPr>
          <w:rFonts w:hint="eastAsia" w:ascii="楷体" w:hAnsi="楷体" w:eastAsia="楷体" w:cs="楷体"/>
          <w:color w:val="auto"/>
          <w:sz w:val="24"/>
        </w:rPr>
        <w:t>与参加该招标项目供应商（服务商）发生过法律纠纷的；</w:t>
      </w:r>
    </w:p>
    <w:p w14:paraId="4EAA8A92">
      <w:pPr>
        <w:numPr>
          <w:ilvl w:val="0"/>
          <w:numId w:val="33"/>
        </w:numPr>
        <w:tabs>
          <w:tab w:val="left" w:pos="993"/>
          <w:tab w:val="left" w:pos="1134"/>
        </w:tabs>
        <w:spacing w:line="360" w:lineRule="auto"/>
        <w:ind w:left="1097" w:hanging="700"/>
        <w:rPr>
          <w:rFonts w:ascii="楷体" w:hAnsi="楷体" w:eastAsia="楷体" w:cs="楷体"/>
          <w:color w:val="auto"/>
          <w:sz w:val="24"/>
        </w:rPr>
      </w:pPr>
      <w:r>
        <w:rPr>
          <w:rFonts w:hint="eastAsia" w:ascii="楷体" w:hAnsi="楷体" w:eastAsia="楷体" w:cs="楷体"/>
          <w:color w:val="auto"/>
          <w:sz w:val="24"/>
        </w:rPr>
        <w:t>评标委员会中，同一任职单位评审专家超过二名的；</w:t>
      </w:r>
    </w:p>
    <w:p w14:paraId="5CC77588">
      <w:pPr>
        <w:numPr>
          <w:ilvl w:val="0"/>
          <w:numId w:val="33"/>
        </w:numPr>
        <w:tabs>
          <w:tab w:val="left" w:pos="993"/>
          <w:tab w:val="left" w:pos="1134"/>
        </w:tabs>
        <w:spacing w:line="360" w:lineRule="auto"/>
        <w:ind w:left="1097" w:hanging="700"/>
        <w:rPr>
          <w:rFonts w:ascii="楷体" w:hAnsi="楷体" w:eastAsia="楷体" w:cs="楷体"/>
          <w:color w:val="auto"/>
          <w:sz w:val="24"/>
        </w:rPr>
      </w:pPr>
      <w:r>
        <w:rPr>
          <w:rFonts w:hint="eastAsia" w:ascii="楷体" w:hAnsi="楷体" w:eastAsia="楷体" w:cs="楷体"/>
          <w:color w:val="auto"/>
          <w:sz w:val="24"/>
        </w:rPr>
        <w:t>任职单位与招标人或参与该招标项目供应商（服务商）存在行政隶属关系的；</w:t>
      </w:r>
    </w:p>
    <w:p w14:paraId="0BA3103E">
      <w:pPr>
        <w:numPr>
          <w:ilvl w:val="0"/>
          <w:numId w:val="33"/>
        </w:numPr>
        <w:tabs>
          <w:tab w:val="left" w:pos="851"/>
          <w:tab w:val="left" w:pos="993"/>
          <w:tab w:val="left" w:pos="1134"/>
        </w:tabs>
        <w:spacing w:line="360" w:lineRule="auto"/>
        <w:rPr>
          <w:rFonts w:ascii="楷体" w:hAnsi="楷体" w:eastAsia="楷体" w:cs="楷体"/>
          <w:color w:val="auto"/>
          <w:sz w:val="24"/>
        </w:rPr>
      </w:pPr>
      <w:r>
        <w:rPr>
          <w:rFonts w:hint="eastAsia" w:ascii="楷体" w:hAnsi="楷体" w:eastAsia="楷体" w:cs="楷体"/>
          <w:color w:val="auto"/>
          <w:sz w:val="24"/>
        </w:rPr>
        <w:t>参与招标文件论证或进口产品论证的；</w:t>
      </w:r>
    </w:p>
    <w:p w14:paraId="502A84CB">
      <w:pPr>
        <w:numPr>
          <w:ilvl w:val="0"/>
          <w:numId w:val="33"/>
        </w:numPr>
        <w:tabs>
          <w:tab w:val="left" w:pos="851"/>
          <w:tab w:val="left" w:pos="993"/>
          <w:tab w:val="left" w:pos="1134"/>
        </w:tabs>
        <w:spacing w:line="360" w:lineRule="auto"/>
        <w:rPr>
          <w:rFonts w:ascii="楷体" w:hAnsi="楷体" w:eastAsia="楷体" w:cs="楷体"/>
          <w:color w:val="auto"/>
          <w:sz w:val="24"/>
        </w:rPr>
      </w:pPr>
      <w:r>
        <w:rPr>
          <w:rFonts w:hint="eastAsia" w:ascii="楷体" w:hAnsi="楷体" w:eastAsia="楷体" w:cs="楷体"/>
          <w:color w:val="auto"/>
          <w:sz w:val="24"/>
        </w:rPr>
        <w:t>法律、法规、规章规定应当回避以及其他可能影响公正评审的。</w:t>
      </w:r>
    </w:p>
    <w:p w14:paraId="239D2968">
      <w:pPr>
        <w:numPr>
          <w:ilvl w:val="2"/>
          <w:numId w:val="32"/>
        </w:numPr>
        <w:tabs>
          <w:tab w:val="left" w:pos="1300"/>
        </w:tabs>
        <w:spacing w:line="360" w:lineRule="auto"/>
        <w:ind w:left="1269" w:leftChars="226" w:hanging="794" w:hangingChars="331"/>
        <w:rPr>
          <w:rFonts w:ascii="楷体" w:hAnsi="楷体" w:eastAsia="楷体" w:cs="楷体"/>
          <w:color w:val="auto"/>
          <w:sz w:val="24"/>
          <w:lang w:val="zh-CN"/>
        </w:rPr>
      </w:pPr>
      <w:r>
        <w:rPr>
          <w:rFonts w:hint="eastAsia" w:ascii="楷体" w:hAnsi="楷体" w:eastAsia="楷体" w:cs="楷体"/>
          <w:color w:val="auto"/>
          <w:sz w:val="24"/>
          <w:lang w:val="zh-CN"/>
        </w:rPr>
        <w:t>评标委员会将按照投标人须知前附表中确定的评标方法和本招标文件第三章规定的评分体系与标准进行评标。</w:t>
      </w:r>
    </w:p>
    <w:p w14:paraId="7762D6B7">
      <w:pPr>
        <w:numPr>
          <w:ilvl w:val="1"/>
          <w:numId w:val="31"/>
        </w:numPr>
        <w:tabs>
          <w:tab w:val="left" w:pos="1100"/>
          <w:tab w:val="left" w:pos="1220"/>
        </w:tabs>
        <w:spacing w:line="360" w:lineRule="auto"/>
        <w:ind w:left="1060" w:leftChars="228" w:hanging="581" w:hangingChars="241"/>
        <w:rPr>
          <w:rFonts w:ascii="楷体" w:hAnsi="楷体" w:eastAsia="楷体" w:cs="楷体"/>
          <w:color w:val="auto"/>
          <w:sz w:val="24"/>
          <w:lang w:val="zh-CN"/>
        </w:rPr>
      </w:pPr>
      <w:r>
        <w:rPr>
          <w:rFonts w:hint="eastAsia" w:ascii="楷体" w:hAnsi="楷体" w:eastAsia="楷体" w:cs="楷体"/>
          <w:b/>
          <w:bCs/>
          <w:color w:val="auto"/>
          <w:sz w:val="24"/>
          <w:lang w:val="zh-CN"/>
        </w:rPr>
        <w:t>评标细则：</w:t>
      </w:r>
      <w:r>
        <w:rPr>
          <w:rFonts w:hint="eastAsia" w:ascii="楷体" w:hAnsi="楷体" w:eastAsia="楷体" w:cs="楷体"/>
          <w:color w:val="auto"/>
          <w:sz w:val="24"/>
          <w:lang w:val="zh-CN"/>
        </w:rPr>
        <w:t>详见本招标文件“第三章评分体系与标准”。</w:t>
      </w:r>
    </w:p>
    <w:p w14:paraId="5C76EE35">
      <w:pPr>
        <w:pStyle w:val="4"/>
        <w:numPr>
          <w:ilvl w:val="0"/>
          <w:numId w:val="4"/>
        </w:numPr>
        <w:ind w:hanging="5"/>
        <w:rPr>
          <w:rFonts w:ascii="楷体" w:hAnsi="楷体" w:eastAsia="楷体" w:cs="楷体"/>
          <w:color w:val="auto"/>
          <w:sz w:val="28"/>
          <w:szCs w:val="28"/>
          <w:lang w:val="zh-CN"/>
        </w:rPr>
      </w:pPr>
      <w:bookmarkStart w:id="195" w:name="_Toc15766"/>
      <w:bookmarkStart w:id="196" w:name="_Toc6186"/>
      <w:bookmarkStart w:id="197" w:name="_Toc1619"/>
      <w:bookmarkStart w:id="198" w:name="_Toc24123"/>
      <w:bookmarkStart w:id="199" w:name="_Toc4914"/>
      <w:r>
        <w:rPr>
          <w:rFonts w:hint="eastAsia" w:ascii="楷体" w:hAnsi="楷体" w:eastAsia="楷体" w:cs="楷体"/>
          <w:color w:val="auto"/>
          <w:sz w:val="28"/>
          <w:szCs w:val="28"/>
          <w:lang w:val="zh-CN"/>
        </w:rPr>
        <w:t>定标原则和授标</w:t>
      </w:r>
      <w:bookmarkEnd w:id="195"/>
      <w:bookmarkEnd w:id="196"/>
      <w:bookmarkEnd w:id="197"/>
      <w:bookmarkEnd w:id="198"/>
      <w:bookmarkEnd w:id="199"/>
    </w:p>
    <w:p w14:paraId="2AB004EF">
      <w:pPr>
        <w:numPr>
          <w:ilvl w:val="1"/>
          <w:numId w:val="34"/>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评标委员会按照招标文件确定的评标方法、步骤、标准，对投标文件进行评审，提出书面评标报告。</w:t>
      </w:r>
    </w:p>
    <w:p w14:paraId="20B30AB9">
      <w:pPr>
        <w:numPr>
          <w:ilvl w:val="1"/>
          <w:numId w:val="34"/>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采用综合评分法的，按评审后投标人得分由高到低的顺序排列。得分相同的，按投标报价由低到高顺序排列。综合评分相同，且投标报价</w:t>
      </w:r>
      <w:r>
        <w:rPr>
          <w:rFonts w:hint="eastAsia" w:ascii="楷体" w:hAnsi="楷体" w:eastAsia="楷体" w:cs="楷体"/>
          <w:color w:val="auto"/>
          <w:sz w:val="24"/>
        </w:rPr>
        <w:t>最低的</w:t>
      </w:r>
      <w:r>
        <w:rPr>
          <w:rFonts w:hint="eastAsia" w:ascii="楷体" w:hAnsi="楷体" w:eastAsia="楷体" w:cs="楷体"/>
          <w:color w:val="auto"/>
          <w:sz w:val="24"/>
          <w:lang w:val="zh-CN"/>
        </w:rPr>
        <w:t>相同的，名次由评标委员会抽签决定。除</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另有规定，推荐综合得分排名第一的投标人为第一中标候选人，排名第二的投标人为第二中标候选人，排名第三的投标人为第三中标候选人。</w:t>
      </w:r>
    </w:p>
    <w:p w14:paraId="038AF564">
      <w:pPr>
        <w:numPr>
          <w:ilvl w:val="1"/>
          <w:numId w:val="34"/>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评标委员会提交评标报告和推荐中标意见报招标人确认，招标人在收到评标报告后的法定时间内，按照评标报告中推荐的中标候选人顺序确定中标人，也可以事先授权评标委员会直接确定中标人。</w:t>
      </w:r>
    </w:p>
    <w:p w14:paraId="2E67FB1B">
      <w:pPr>
        <w:numPr>
          <w:ilvl w:val="1"/>
          <w:numId w:val="34"/>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定标后，招标人将就规定的内容在信息媒体上公示三</w:t>
      </w:r>
      <w:r>
        <w:rPr>
          <w:rFonts w:hint="eastAsia" w:ascii="楷体" w:hAnsi="楷体" w:eastAsia="楷体" w:cs="楷体"/>
          <w:color w:val="auto"/>
          <w:sz w:val="24"/>
        </w:rPr>
        <w:t>个工作日</w:t>
      </w:r>
      <w:r>
        <w:rPr>
          <w:rFonts w:hint="eastAsia" w:ascii="楷体" w:hAnsi="楷体" w:eastAsia="楷体" w:cs="楷体"/>
          <w:color w:val="auto"/>
          <w:sz w:val="24"/>
          <w:lang w:val="zh-CN"/>
        </w:rPr>
        <w:t>。</w:t>
      </w:r>
    </w:p>
    <w:p w14:paraId="3037D7FF">
      <w:pPr>
        <w:numPr>
          <w:ilvl w:val="1"/>
          <w:numId w:val="34"/>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7D28AB1">
      <w:pPr>
        <w:pStyle w:val="4"/>
        <w:numPr>
          <w:ilvl w:val="0"/>
          <w:numId w:val="4"/>
        </w:numPr>
        <w:ind w:hanging="5"/>
        <w:rPr>
          <w:rFonts w:ascii="楷体" w:hAnsi="楷体" w:eastAsia="楷体" w:cs="楷体"/>
          <w:color w:val="auto"/>
          <w:sz w:val="28"/>
          <w:szCs w:val="28"/>
          <w:lang w:val="zh-CN"/>
        </w:rPr>
      </w:pPr>
      <w:bookmarkStart w:id="200" w:name="_Toc4553"/>
      <w:bookmarkStart w:id="201" w:name="_Toc25032"/>
      <w:bookmarkStart w:id="202" w:name="_Toc67"/>
      <w:bookmarkStart w:id="203" w:name="_Toc7028"/>
      <w:bookmarkStart w:id="204" w:name="_Toc18578"/>
      <w:r>
        <w:rPr>
          <w:rFonts w:hint="eastAsia" w:ascii="楷体" w:hAnsi="楷体" w:eastAsia="楷体" w:cs="楷体"/>
          <w:color w:val="auto"/>
          <w:sz w:val="28"/>
          <w:szCs w:val="28"/>
          <w:lang w:val="zh-CN"/>
        </w:rPr>
        <w:t>中标通知书</w:t>
      </w:r>
      <w:bookmarkEnd w:id="200"/>
      <w:bookmarkEnd w:id="201"/>
      <w:bookmarkEnd w:id="202"/>
      <w:bookmarkEnd w:id="203"/>
      <w:bookmarkEnd w:id="204"/>
    </w:p>
    <w:p w14:paraId="391964F3">
      <w:pPr>
        <w:numPr>
          <w:ilvl w:val="1"/>
          <w:numId w:val="35"/>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公示期满后，招标代理机构在信息媒体发布中标公告，并同时向中标人发放《中标通知书》。（</w:t>
      </w:r>
      <w:r>
        <w:rPr>
          <w:rFonts w:hint="eastAsia" w:ascii="楷体" w:hAnsi="楷体" w:eastAsia="楷体" w:cs="楷体"/>
          <w:color w:val="auto"/>
          <w:sz w:val="24"/>
        </w:rPr>
        <w:t>招标人保留在中标通知书发出前，核实中标候选人是否有能力履行合同的权利，包括对中标候选人在投标文件中提供的资格证明文件、实施能力等进行核实或现场调查，中标候选人应配合核实调查工作。如果调查通过，则按招标程序授予中标候选人中标通知书；如在核实、调查过程中发现中标候选人存在提供虚假资料信息谋求中标等违法违规行为的，招标人有权取消该中标候选人的中标资格。</w:t>
      </w:r>
      <w:r>
        <w:rPr>
          <w:rFonts w:hint="eastAsia" w:ascii="楷体" w:hAnsi="楷体" w:eastAsia="楷体" w:cs="楷体"/>
          <w:color w:val="auto"/>
          <w:sz w:val="24"/>
          <w:lang w:val="zh-CN"/>
        </w:rPr>
        <w:t>）</w:t>
      </w:r>
    </w:p>
    <w:p w14:paraId="6D860441">
      <w:pPr>
        <w:numPr>
          <w:ilvl w:val="1"/>
          <w:numId w:val="35"/>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《中标通知书》对中标人和招标人具有同等法律效力。</w:t>
      </w:r>
    </w:p>
    <w:p w14:paraId="7CE3D011">
      <w:pPr>
        <w:numPr>
          <w:ilvl w:val="1"/>
          <w:numId w:val="35"/>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《中标通知书》将作为授予合同资格的合法依据，是合同的一个组成部分。</w:t>
      </w:r>
    </w:p>
    <w:p w14:paraId="48805A74">
      <w:pPr>
        <w:pStyle w:val="3"/>
        <w:numPr>
          <w:ilvl w:val="0"/>
          <w:numId w:val="3"/>
        </w:numPr>
        <w:jc w:val="center"/>
        <w:rPr>
          <w:rFonts w:ascii="楷体" w:hAnsi="楷体" w:eastAsia="楷体" w:cs="楷体"/>
          <w:color w:val="auto"/>
        </w:rPr>
      </w:pPr>
      <w:bookmarkStart w:id="205" w:name="_Toc25662"/>
      <w:bookmarkStart w:id="206" w:name="_Toc21329"/>
      <w:bookmarkStart w:id="207" w:name="_Toc7013"/>
      <w:bookmarkStart w:id="208" w:name="_Toc32640"/>
      <w:r>
        <w:rPr>
          <w:rFonts w:hint="eastAsia" w:ascii="楷体" w:hAnsi="楷体" w:eastAsia="楷体" w:cs="楷体"/>
          <w:color w:val="auto"/>
        </w:rPr>
        <w:t>异议及投诉</w:t>
      </w:r>
      <w:bookmarkEnd w:id="205"/>
      <w:bookmarkEnd w:id="206"/>
      <w:bookmarkEnd w:id="207"/>
      <w:bookmarkEnd w:id="208"/>
    </w:p>
    <w:p w14:paraId="5E593420">
      <w:pPr>
        <w:pStyle w:val="4"/>
        <w:numPr>
          <w:ilvl w:val="0"/>
          <w:numId w:val="4"/>
        </w:numPr>
        <w:ind w:hanging="5"/>
        <w:rPr>
          <w:rFonts w:ascii="楷体" w:hAnsi="楷体" w:eastAsia="楷体" w:cs="楷体"/>
          <w:color w:val="auto"/>
          <w:sz w:val="28"/>
          <w:szCs w:val="28"/>
          <w:lang w:val="zh-CN"/>
        </w:rPr>
      </w:pPr>
      <w:bookmarkStart w:id="209" w:name="_Toc2438"/>
      <w:bookmarkStart w:id="210" w:name="_Toc7531"/>
      <w:bookmarkStart w:id="211" w:name="_Toc9548"/>
      <w:bookmarkStart w:id="212" w:name="_Toc3005"/>
      <w:r>
        <w:rPr>
          <w:rFonts w:hint="eastAsia" w:ascii="楷体" w:hAnsi="楷体" w:eastAsia="楷体" w:cs="楷体"/>
          <w:color w:val="auto"/>
          <w:sz w:val="28"/>
          <w:szCs w:val="28"/>
          <w:lang w:val="zh-CN"/>
        </w:rPr>
        <w:t>异议</w:t>
      </w:r>
      <w:bookmarkEnd w:id="209"/>
      <w:bookmarkEnd w:id="210"/>
      <w:bookmarkEnd w:id="211"/>
      <w:bookmarkEnd w:id="212"/>
    </w:p>
    <w:p w14:paraId="2F8AC6BB">
      <w:pPr>
        <w:numPr>
          <w:ilvl w:val="1"/>
          <w:numId w:val="36"/>
        </w:numPr>
        <w:tabs>
          <w:tab w:val="left" w:pos="1200"/>
        </w:tabs>
        <w:spacing w:line="360" w:lineRule="auto"/>
        <w:ind w:left="1259" w:leftChars="228" w:hanging="780" w:hangingChars="325"/>
        <w:rPr>
          <w:rFonts w:ascii="楷体" w:hAnsi="楷体" w:eastAsia="楷体" w:cs="楷体"/>
          <w:color w:val="auto"/>
          <w:sz w:val="24"/>
        </w:rPr>
      </w:pPr>
      <w:r>
        <w:rPr>
          <w:rFonts w:hint="eastAsia" w:ascii="楷体" w:hAnsi="楷体" w:eastAsia="楷体" w:cs="楷体"/>
          <w:color w:val="auto"/>
          <w:sz w:val="24"/>
        </w:rPr>
        <w:t>投标人或者其他利害关系人对依法必须进行招标的项目的评标结果有异议的，应当在中标候选人公示期间，以书面形式向招标人或招标代理机构提出异议，逾期异议无效。</w:t>
      </w:r>
    </w:p>
    <w:p w14:paraId="570A2F3B">
      <w:pPr>
        <w:numPr>
          <w:ilvl w:val="1"/>
          <w:numId w:val="36"/>
        </w:numPr>
        <w:tabs>
          <w:tab w:val="left" w:pos="1200"/>
        </w:tabs>
        <w:spacing w:line="360" w:lineRule="auto"/>
        <w:ind w:left="1259" w:leftChars="228" w:hanging="780" w:hangingChars="325"/>
        <w:rPr>
          <w:rFonts w:ascii="楷体" w:hAnsi="楷体" w:eastAsia="楷体" w:cs="楷体"/>
          <w:color w:val="auto"/>
          <w:sz w:val="24"/>
        </w:rPr>
      </w:pPr>
      <w:r>
        <w:rPr>
          <w:rFonts w:hint="eastAsia" w:ascii="楷体" w:hAnsi="楷体" w:eastAsia="楷体" w:cs="楷体"/>
          <w:color w:val="auto"/>
          <w:sz w:val="24"/>
        </w:rPr>
        <w:t>异议函应当署名。异议供应商（服务商）为自然人的，应当由本人签字；异议供应商（服务商）为法人或者其他组织的，应当由法定代表人或者主要负责人签字并加盖公章。异议内容不得含有虚伪、恶意成份。依照“谁主张、谁举证”的原则，提出异议者必须同时提交相关确凿的证据材料和注明证据的确切来源，证据来源必须合法。招标代理机构有权将异议函转发给异议事项相关关联方，请其作出解释说明，并对异议内容的真实性承担责任。</w:t>
      </w:r>
    </w:p>
    <w:p w14:paraId="14884266">
      <w:pPr>
        <w:numPr>
          <w:ilvl w:val="1"/>
          <w:numId w:val="36"/>
        </w:numPr>
        <w:tabs>
          <w:tab w:val="left" w:pos="1200"/>
        </w:tabs>
        <w:spacing w:line="360" w:lineRule="auto"/>
        <w:ind w:left="1259" w:leftChars="228" w:hanging="780" w:hangingChars="325"/>
        <w:rPr>
          <w:rFonts w:ascii="楷体" w:hAnsi="楷体" w:eastAsia="楷体" w:cs="楷体"/>
          <w:color w:val="auto"/>
          <w:sz w:val="24"/>
        </w:rPr>
      </w:pPr>
      <w:r>
        <w:rPr>
          <w:rFonts w:hint="eastAsia" w:ascii="楷体" w:hAnsi="楷体" w:eastAsia="楷体" w:cs="楷体"/>
          <w:color w:val="auto"/>
          <w:sz w:val="24"/>
        </w:rPr>
        <w:t>异议内容必须以书面形式向招标人或招标代理机构提出，投标人以电话、传真或电邮形式提交的异议属于无效异议。</w:t>
      </w:r>
    </w:p>
    <w:p w14:paraId="46DF08F5">
      <w:pPr>
        <w:pStyle w:val="4"/>
        <w:numPr>
          <w:ilvl w:val="0"/>
          <w:numId w:val="4"/>
        </w:numPr>
        <w:ind w:hanging="5"/>
        <w:rPr>
          <w:rFonts w:ascii="楷体" w:hAnsi="楷体" w:eastAsia="楷体" w:cs="楷体"/>
          <w:color w:val="auto"/>
          <w:sz w:val="28"/>
          <w:szCs w:val="28"/>
          <w:lang w:val="zh-CN"/>
        </w:rPr>
      </w:pPr>
      <w:bookmarkStart w:id="213" w:name="_Toc1415"/>
      <w:bookmarkStart w:id="214" w:name="_Toc4832"/>
      <w:bookmarkStart w:id="215" w:name="_Toc13312"/>
      <w:bookmarkStart w:id="216" w:name="_Toc25587"/>
      <w:bookmarkStart w:id="217" w:name="_Toc20615"/>
      <w:bookmarkStart w:id="218" w:name="_Toc27632"/>
      <w:r>
        <w:rPr>
          <w:rFonts w:hint="eastAsia" w:ascii="楷体" w:hAnsi="楷体" w:eastAsia="楷体" w:cs="楷体"/>
          <w:color w:val="auto"/>
          <w:sz w:val="28"/>
          <w:szCs w:val="28"/>
          <w:lang w:val="zh-CN"/>
        </w:rPr>
        <w:t>投诉</w:t>
      </w:r>
      <w:bookmarkEnd w:id="213"/>
      <w:bookmarkEnd w:id="214"/>
      <w:bookmarkEnd w:id="215"/>
      <w:bookmarkEnd w:id="216"/>
      <w:bookmarkEnd w:id="217"/>
      <w:bookmarkEnd w:id="218"/>
    </w:p>
    <w:p w14:paraId="618FB3CE">
      <w:pPr>
        <w:numPr>
          <w:ilvl w:val="1"/>
          <w:numId w:val="37"/>
        </w:numPr>
        <w:tabs>
          <w:tab w:val="left" w:pos="1220"/>
        </w:tabs>
        <w:spacing w:line="360" w:lineRule="auto"/>
        <w:ind w:left="1259" w:leftChars="228" w:hanging="780" w:hangingChars="325"/>
        <w:rPr>
          <w:rFonts w:ascii="楷体" w:hAnsi="楷体" w:eastAsia="楷体" w:cs="楷体"/>
          <w:color w:val="auto"/>
          <w:sz w:val="24"/>
        </w:rPr>
      </w:pPr>
      <w:r>
        <w:rPr>
          <w:rFonts w:hint="eastAsia" w:ascii="楷体" w:hAnsi="楷体" w:eastAsia="楷体" w:cs="楷体"/>
          <w:color w:val="auto"/>
          <w:sz w:val="24"/>
        </w:rPr>
        <w:t>供应商（服务商）对招标人、招标代理机构的异议答复不满意，或者招标人、招标代理机构未在规定期限内作出答复的，可以在答复期满后10日内向招标人的监督部门提起投诉。</w:t>
      </w:r>
    </w:p>
    <w:p w14:paraId="4DAFE951">
      <w:pPr>
        <w:pStyle w:val="3"/>
        <w:numPr>
          <w:ilvl w:val="0"/>
          <w:numId w:val="3"/>
        </w:numPr>
        <w:jc w:val="center"/>
        <w:rPr>
          <w:rFonts w:ascii="楷体" w:hAnsi="楷体" w:eastAsia="楷体" w:cs="楷体"/>
          <w:color w:val="auto"/>
        </w:rPr>
      </w:pPr>
      <w:bookmarkStart w:id="219" w:name="_Toc6940"/>
      <w:bookmarkStart w:id="220" w:name="_Toc4037"/>
      <w:bookmarkStart w:id="221" w:name="_Toc5622"/>
      <w:bookmarkStart w:id="222" w:name="_Toc13810"/>
      <w:bookmarkStart w:id="223" w:name="_Toc20670"/>
      <w:bookmarkStart w:id="224" w:name="_Toc423021947"/>
      <w:r>
        <w:rPr>
          <w:rFonts w:hint="eastAsia" w:ascii="楷体" w:hAnsi="楷体" w:eastAsia="楷体" w:cs="楷体"/>
          <w:color w:val="auto"/>
        </w:rPr>
        <w:t>授予合同</w:t>
      </w:r>
      <w:bookmarkEnd w:id="219"/>
      <w:bookmarkEnd w:id="220"/>
      <w:bookmarkEnd w:id="221"/>
      <w:bookmarkEnd w:id="222"/>
      <w:bookmarkEnd w:id="223"/>
      <w:bookmarkEnd w:id="224"/>
    </w:p>
    <w:p w14:paraId="40441A9F">
      <w:pPr>
        <w:pStyle w:val="4"/>
        <w:numPr>
          <w:ilvl w:val="0"/>
          <w:numId w:val="4"/>
        </w:numPr>
        <w:ind w:hanging="5"/>
        <w:rPr>
          <w:rFonts w:ascii="楷体" w:hAnsi="楷体" w:eastAsia="楷体" w:cs="楷体"/>
          <w:color w:val="auto"/>
          <w:sz w:val="28"/>
          <w:szCs w:val="28"/>
          <w:lang w:val="zh-CN"/>
        </w:rPr>
      </w:pPr>
      <w:bookmarkStart w:id="225" w:name="_Toc9383"/>
      <w:bookmarkStart w:id="226" w:name="_Toc16893"/>
      <w:bookmarkStart w:id="227" w:name="_Toc1594"/>
      <w:bookmarkStart w:id="228" w:name="_Toc31689"/>
      <w:bookmarkStart w:id="229" w:name="_Toc30723"/>
      <w:r>
        <w:rPr>
          <w:rFonts w:hint="eastAsia" w:ascii="楷体" w:hAnsi="楷体" w:eastAsia="楷体" w:cs="楷体"/>
          <w:color w:val="auto"/>
          <w:sz w:val="28"/>
          <w:szCs w:val="28"/>
          <w:lang w:val="zh-CN"/>
        </w:rPr>
        <w:t>合同的订立</w:t>
      </w:r>
      <w:bookmarkEnd w:id="225"/>
      <w:bookmarkEnd w:id="226"/>
      <w:bookmarkEnd w:id="227"/>
      <w:bookmarkEnd w:id="228"/>
      <w:bookmarkEnd w:id="229"/>
    </w:p>
    <w:p w14:paraId="4E6C6C68">
      <w:pPr>
        <w:numPr>
          <w:ilvl w:val="1"/>
          <w:numId w:val="38"/>
        </w:numPr>
        <w:tabs>
          <w:tab w:val="left" w:pos="1220"/>
        </w:tabs>
        <w:spacing w:line="360" w:lineRule="auto"/>
        <w:ind w:left="1273" w:leftChars="227" w:hanging="796" w:hangingChars="332"/>
        <w:rPr>
          <w:rFonts w:ascii="楷体" w:hAnsi="楷体" w:eastAsia="楷体" w:cs="楷体"/>
          <w:color w:val="auto"/>
          <w:sz w:val="24"/>
          <w:lang w:val="zh-CN"/>
        </w:rPr>
      </w:pPr>
      <w:r>
        <w:rPr>
          <w:rFonts w:hint="eastAsia" w:ascii="楷体" w:hAnsi="楷体" w:eastAsia="楷体" w:cs="楷体"/>
          <w:color w:val="auto"/>
          <w:sz w:val="24"/>
          <w:lang w:val="zh-CN"/>
        </w:rPr>
        <w:t>招标人与中标人（服务商）自中标通知书发出之日起三十日内，按招标文件要求和中标人（服务商）投标文件承诺签订书面合同，但不得超出招标文件和中标人（服务商）投标文件的范围、也不得再行订立背离合同实质性内容的其他协议。</w:t>
      </w:r>
    </w:p>
    <w:p w14:paraId="1BA4A4D8">
      <w:pPr>
        <w:numPr>
          <w:ilvl w:val="1"/>
          <w:numId w:val="38"/>
        </w:numPr>
        <w:tabs>
          <w:tab w:val="left" w:pos="1220"/>
        </w:tabs>
        <w:spacing w:line="360" w:lineRule="auto"/>
        <w:ind w:left="1273" w:leftChars="227" w:hanging="796" w:hangingChars="332"/>
        <w:rPr>
          <w:rFonts w:ascii="楷体" w:hAnsi="楷体" w:eastAsia="楷体" w:cs="楷体"/>
          <w:color w:val="auto"/>
          <w:sz w:val="24"/>
          <w:lang w:val="zh-CN"/>
        </w:rPr>
      </w:pPr>
      <w:r>
        <w:rPr>
          <w:rFonts w:hint="eastAsia" w:ascii="楷体" w:hAnsi="楷体" w:eastAsia="楷体" w:cs="楷体"/>
          <w:color w:val="auto"/>
          <w:sz w:val="24"/>
          <w:lang w:val="zh-CN"/>
        </w:rPr>
        <w:t>招标文件、中标人的投标文件及其澄清文件等，均为签订合同的依据。</w:t>
      </w:r>
    </w:p>
    <w:p w14:paraId="11D5EFBC">
      <w:pPr>
        <w:pStyle w:val="4"/>
        <w:numPr>
          <w:ilvl w:val="0"/>
          <w:numId w:val="4"/>
        </w:numPr>
        <w:ind w:hanging="5"/>
        <w:rPr>
          <w:rFonts w:ascii="楷体" w:hAnsi="楷体" w:eastAsia="楷体" w:cs="楷体"/>
          <w:color w:val="auto"/>
          <w:sz w:val="28"/>
          <w:szCs w:val="28"/>
          <w:lang w:val="zh-CN"/>
        </w:rPr>
      </w:pPr>
      <w:bookmarkStart w:id="230" w:name="_Toc28839"/>
      <w:bookmarkStart w:id="231" w:name="_Toc23666"/>
      <w:bookmarkStart w:id="232" w:name="_Toc29"/>
      <w:bookmarkStart w:id="233" w:name="_Toc12285"/>
      <w:bookmarkStart w:id="234" w:name="_Toc5486"/>
      <w:r>
        <w:rPr>
          <w:rFonts w:hint="eastAsia" w:ascii="楷体" w:hAnsi="楷体" w:eastAsia="楷体" w:cs="楷体"/>
          <w:color w:val="auto"/>
          <w:sz w:val="28"/>
          <w:szCs w:val="28"/>
          <w:lang w:val="zh-CN"/>
        </w:rPr>
        <w:t>合同的履行</w:t>
      </w:r>
      <w:bookmarkEnd w:id="230"/>
      <w:bookmarkEnd w:id="231"/>
      <w:bookmarkEnd w:id="232"/>
      <w:bookmarkEnd w:id="233"/>
      <w:bookmarkEnd w:id="234"/>
    </w:p>
    <w:p w14:paraId="79FC10F9">
      <w:pPr>
        <w:numPr>
          <w:ilvl w:val="1"/>
          <w:numId w:val="39"/>
        </w:numPr>
        <w:tabs>
          <w:tab w:val="left" w:pos="1200"/>
          <w:tab w:val="left" w:pos="1260"/>
        </w:tabs>
        <w:spacing w:line="360" w:lineRule="auto"/>
        <w:ind w:left="1273" w:leftChars="227" w:hanging="796" w:hangingChars="332"/>
        <w:rPr>
          <w:rFonts w:ascii="楷体" w:hAnsi="楷体" w:eastAsia="楷体" w:cs="楷体"/>
          <w:color w:val="auto"/>
          <w:sz w:val="24"/>
          <w:lang w:val="zh-CN"/>
        </w:rPr>
      </w:pPr>
      <w:r>
        <w:rPr>
          <w:rFonts w:hint="eastAsia" w:ascii="楷体" w:hAnsi="楷体" w:eastAsia="楷体" w:cs="楷体"/>
          <w:color w:val="auto"/>
          <w:sz w:val="24"/>
          <w:lang w:val="zh-CN"/>
        </w:rPr>
        <w:t>书面合同订立后，合同各方不得擅自变更、中止或者终止合同。书面合同需要变更的，招标人应将有关合同变更内容，以书面形式报招标人相关部门备案；因特殊情况需要中止或终止合同的，招标人应将中止或终止合同的理由以及采取的相应措施，以书面形式报招标人相关部门备案。</w:t>
      </w:r>
    </w:p>
    <w:p w14:paraId="15A1E44D">
      <w:pPr>
        <w:numPr>
          <w:ilvl w:val="1"/>
          <w:numId w:val="39"/>
        </w:numPr>
        <w:tabs>
          <w:tab w:val="left" w:pos="1200"/>
          <w:tab w:val="left" w:pos="1260"/>
        </w:tabs>
        <w:spacing w:line="360" w:lineRule="auto"/>
        <w:ind w:left="1273" w:leftChars="227" w:hanging="796" w:hangingChars="332"/>
        <w:rPr>
          <w:rFonts w:ascii="楷体" w:hAnsi="楷体" w:eastAsia="楷体" w:cs="楷体"/>
          <w:color w:val="auto"/>
          <w:sz w:val="24"/>
          <w:lang w:val="zh-CN"/>
        </w:rPr>
      </w:pPr>
      <w:r>
        <w:rPr>
          <w:rFonts w:hint="eastAsia" w:ascii="楷体" w:hAnsi="楷体" w:eastAsia="楷体" w:cs="楷体"/>
          <w:color w:val="auto"/>
          <w:sz w:val="24"/>
          <w:lang w:val="zh-CN"/>
        </w:rPr>
        <w:t>合同履行中，招标人需追加与合同标的相同</w:t>
      </w:r>
      <w:r>
        <w:rPr>
          <w:rFonts w:hint="eastAsia" w:ascii="楷体" w:hAnsi="楷体" w:eastAsia="楷体" w:cs="楷体"/>
          <w:color w:val="auto"/>
          <w:sz w:val="24"/>
        </w:rPr>
        <w:t>的</w:t>
      </w:r>
      <w:r>
        <w:rPr>
          <w:rFonts w:hint="eastAsia" w:ascii="楷体" w:hAnsi="楷体" w:eastAsia="楷体" w:cs="楷体"/>
          <w:color w:val="auto"/>
          <w:sz w:val="24"/>
          <w:lang w:val="zh-CN"/>
        </w:rPr>
        <w:t>服务的，在不改变合同其他条款的前提下，可以与中标人签订补充合同，但所签补充合同的采购金额不得超过原合同采购金额的百分之十。签订补充合同的必须按规定备案。</w:t>
      </w:r>
    </w:p>
    <w:p w14:paraId="437DFAA2">
      <w:pPr>
        <w:pStyle w:val="4"/>
        <w:numPr>
          <w:ilvl w:val="0"/>
          <w:numId w:val="4"/>
        </w:numPr>
        <w:ind w:hanging="5"/>
        <w:rPr>
          <w:rFonts w:ascii="楷体" w:hAnsi="楷体" w:eastAsia="楷体" w:cs="楷体"/>
          <w:color w:val="auto"/>
          <w:sz w:val="28"/>
          <w:szCs w:val="28"/>
          <w:lang w:val="zh-CN"/>
        </w:rPr>
      </w:pPr>
      <w:bookmarkStart w:id="235" w:name="_Toc12849"/>
      <w:bookmarkStart w:id="236" w:name="_Toc4411"/>
      <w:bookmarkStart w:id="237" w:name="_Toc19633"/>
      <w:bookmarkStart w:id="238" w:name="_Toc1536"/>
      <w:bookmarkStart w:id="239" w:name="_Toc17586"/>
      <w:r>
        <w:rPr>
          <w:rFonts w:hint="eastAsia" w:ascii="楷体" w:hAnsi="楷体" w:eastAsia="楷体" w:cs="楷体"/>
          <w:color w:val="auto"/>
          <w:sz w:val="28"/>
          <w:szCs w:val="28"/>
          <w:lang w:val="zh-CN"/>
        </w:rPr>
        <w:t>履约保证金</w:t>
      </w:r>
      <w:bookmarkEnd w:id="235"/>
      <w:bookmarkEnd w:id="236"/>
      <w:bookmarkEnd w:id="237"/>
      <w:bookmarkEnd w:id="238"/>
      <w:bookmarkEnd w:id="239"/>
    </w:p>
    <w:p w14:paraId="7C0FC1BE">
      <w:pPr>
        <w:numPr>
          <w:ilvl w:val="1"/>
          <w:numId w:val="40"/>
        </w:numPr>
        <w:tabs>
          <w:tab w:val="left" w:pos="1220"/>
        </w:tabs>
        <w:spacing w:line="360" w:lineRule="auto"/>
        <w:ind w:left="1259" w:leftChars="228" w:hanging="780" w:hangingChars="325"/>
        <w:rPr>
          <w:rFonts w:ascii="楷体" w:hAnsi="楷体" w:eastAsia="楷体" w:cs="楷体"/>
          <w:color w:val="auto"/>
          <w:sz w:val="24"/>
          <w:lang w:val="zh-CN"/>
        </w:rPr>
      </w:pPr>
      <w:r>
        <w:rPr>
          <w:rFonts w:hint="eastAsia" w:ascii="楷体" w:hAnsi="楷体" w:eastAsia="楷体" w:cs="楷体"/>
          <w:color w:val="auto"/>
          <w:sz w:val="24"/>
          <w:lang w:val="zh-CN"/>
        </w:rPr>
        <w:t>招标文件要求中标人提交履约保证金的，中标人应按照</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规定的金额，以银行转账的形式向招标人提交。</w:t>
      </w:r>
    </w:p>
    <w:p w14:paraId="3EE2292F">
      <w:pPr>
        <w:rPr>
          <w:rFonts w:ascii="楷体" w:hAnsi="楷体" w:eastAsia="楷体" w:cs="楷体"/>
          <w:color w:val="auto"/>
        </w:rPr>
      </w:pPr>
      <w:bookmarkStart w:id="240" w:name="_Toc183316709"/>
      <w:bookmarkStart w:id="241" w:name="_Toc372468300"/>
      <w:bookmarkStart w:id="242" w:name="_Toc182886647"/>
      <w:bookmarkStart w:id="243" w:name="_Toc30599"/>
      <w:bookmarkStart w:id="244" w:name="_Toc423021950"/>
    </w:p>
    <w:p w14:paraId="69E89D73">
      <w:pPr>
        <w:pStyle w:val="4"/>
        <w:numPr>
          <w:ilvl w:val="0"/>
          <w:numId w:val="4"/>
        </w:numPr>
        <w:ind w:hanging="5"/>
        <w:rPr>
          <w:rFonts w:ascii="楷体" w:hAnsi="楷体" w:eastAsia="楷体" w:cs="楷体"/>
          <w:color w:val="auto"/>
          <w:sz w:val="28"/>
          <w:szCs w:val="28"/>
          <w:lang w:val="zh-CN"/>
        </w:rPr>
      </w:pPr>
      <w:bookmarkStart w:id="245" w:name="_Toc2287"/>
      <w:bookmarkStart w:id="246" w:name="_Toc7803"/>
      <w:bookmarkStart w:id="247" w:name="_Toc7020"/>
      <w:bookmarkStart w:id="248" w:name="_Toc30046"/>
      <w:bookmarkStart w:id="249" w:name="_Toc10914"/>
      <w:bookmarkStart w:id="250" w:name="_Toc14343"/>
      <w:r>
        <w:rPr>
          <w:rFonts w:hint="eastAsia" w:ascii="楷体" w:hAnsi="楷体" w:eastAsia="楷体" w:cs="楷体"/>
          <w:color w:val="auto"/>
          <w:sz w:val="28"/>
          <w:szCs w:val="28"/>
          <w:lang w:val="zh-CN"/>
        </w:rPr>
        <w:t>招标代理服务费</w:t>
      </w:r>
      <w:bookmarkEnd w:id="245"/>
      <w:bookmarkEnd w:id="246"/>
      <w:bookmarkEnd w:id="247"/>
      <w:bookmarkEnd w:id="248"/>
      <w:bookmarkEnd w:id="249"/>
      <w:bookmarkEnd w:id="250"/>
    </w:p>
    <w:p w14:paraId="5A240537">
      <w:pPr>
        <w:numPr>
          <w:ilvl w:val="1"/>
          <w:numId w:val="41"/>
        </w:numPr>
        <w:tabs>
          <w:tab w:val="left" w:pos="1140"/>
        </w:tabs>
        <w:spacing w:line="360" w:lineRule="auto"/>
        <w:ind w:left="1175" w:leftChars="227" w:hanging="698" w:hangingChars="291"/>
        <w:rPr>
          <w:rFonts w:ascii="楷体" w:hAnsi="楷体" w:eastAsia="楷体" w:cs="楷体"/>
          <w:color w:val="auto"/>
          <w:sz w:val="24"/>
          <w:lang w:val="zh-CN"/>
        </w:rPr>
      </w:pPr>
      <w:r>
        <w:rPr>
          <w:rFonts w:hint="eastAsia" w:ascii="楷体" w:hAnsi="楷体" w:eastAsia="楷体" w:cs="楷体"/>
          <w:color w:val="auto"/>
          <w:sz w:val="24"/>
          <w:lang w:val="zh-CN"/>
        </w:rPr>
        <w:t>中标人应按照</w:t>
      </w:r>
      <w:r>
        <w:rPr>
          <w:rFonts w:hint="eastAsia" w:ascii="楷体" w:hAnsi="楷体" w:eastAsia="楷体" w:cs="楷体"/>
          <w:b/>
          <w:bCs/>
          <w:color w:val="auto"/>
          <w:sz w:val="24"/>
          <w:lang w:val="zh-CN"/>
        </w:rPr>
        <w:t>投标人须知前附表</w:t>
      </w:r>
      <w:r>
        <w:rPr>
          <w:rFonts w:hint="eastAsia" w:ascii="楷体" w:hAnsi="楷体" w:eastAsia="楷体" w:cs="楷体"/>
          <w:color w:val="auto"/>
          <w:sz w:val="24"/>
          <w:lang w:val="zh-CN"/>
        </w:rPr>
        <w:t>中的规定交纳招标代理服务费。</w:t>
      </w:r>
    </w:p>
    <w:p w14:paraId="79EBD6F3">
      <w:pPr>
        <w:rPr>
          <w:rFonts w:ascii="楷体" w:hAnsi="楷体" w:eastAsia="楷体" w:cs="楷体"/>
          <w:color w:val="auto"/>
        </w:rPr>
      </w:pPr>
      <w:bookmarkStart w:id="251" w:name="_Toc15414"/>
      <w:bookmarkStart w:id="252" w:name="_Toc15552"/>
      <w:bookmarkStart w:id="253" w:name="_Toc2412"/>
    </w:p>
    <w:p w14:paraId="2F2F82ED">
      <w:pPr>
        <w:keepNext/>
        <w:keepLines/>
        <w:tabs>
          <w:tab w:val="left" w:pos="1440"/>
        </w:tabs>
        <w:adjustRightInd w:val="0"/>
        <w:snapToGrid w:val="0"/>
        <w:spacing w:before="5280" w:beforeLines="2200" w:after="5280" w:afterLines="2200"/>
        <w:jc w:val="center"/>
        <w:rPr>
          <w:rFonts w:ascii="楷体" w:hAnsi="楷体" w:eastAsia="楷体" w:cs="楷体"/>
          <w:color w:val="auto"/>
        </w:rPr>
      </w:pPr>
      <w:bookmarkStart w:id="254" w:name="_Toc21808"/>
    </w:p>
    <w:p w14:paraId="1D3D47B3">
      <w:pPr>
        <w:pStyle w:val="2"/>
        <w:adjustRightInd w:val="0"/>
        <w:snapToGrid w:val="0"/>
        <w:spacing w:before="5280" w:beforeLines="2200" w:after="5280" w:afterLines="2200" w:line="240" w:lineRule="auto"/>
        <w:jc w:val="center"/>
        <w:rPr>
          <w:rFonts w:ascii="楷体" w:hAnsi="楷体" w:eastAsia="楷体" w:cs="楷体"/>
          <w:color w:val="auto"/>
        </w:rPr>
      </w:pPr>
      <w:r>
        <w:rPr>
          <w:rFonts w:hint="eastAsia" w:ascii="楷体" w:hAnsi="楷体" w:eastAsia="楷体" w:cs="楷体"/>
          <w:color w:val="auto"/>
        </w:rPr>
        <w:t>第三章</w:t>
      </w:r>
      <w:bookmarkEnd w:id="240"/>
      <w:bookmarkEnd w:id="241"/>
      <w:bookmarkEnd w:id="242"/>
      <w:r>
        <w:rPr>
          <w:rFonts w:hint="eastAsia" w:ascii="楷体" w:hAnsi="楷体" w:eastAsia="楷体" w:cs="楷体"/>
          <w:color w:val="auto"/>
        </w:rPr>
        <w:t>评分体系与标准</w:t>
      </w:r>
      <w:bookmarkEnd w:id="243"/>
      <w:bookmarkEnd w:id="244"/>
      <w:bookmarkEnd w:id="251"/>
      <w:bookmarkEnd w:id="252"/>
      <w:bookmarkEnd w:id="253"/>
      <w:bookmarkEnd w:id="254"/>
    </w:p>
    <w:p w14:paraId="0FB9AB6E">
      <w:pPr>
        <w:jc w:val="center"/>
        <w:rPr>
          <w:rFonts w:ascii="楷体" w:hAnsi="楷体" w:eastAsia="楷体" w:cs="楷体"/>
          <w:b/>
          <w:bCs/>
          <w:color w:val="auto"/>
          <w:sz w:val="32"/>
          <w:szCs w:val="32"/>
        </w:rPr>
      </w:pPr>
      <w:r>
        <w:rPr>
          <w:rFonts w:hint="eastAsia" w:ascii="楷体" w:hAnsi="楷体" w:eastAsia="楷体" w:cs="楷体"/>
          <w:b/>
          <w:bCs/>
          <w:color w:val="auto"/>
          <w:sz w:val="32"/>
          <w:szCs w:val="32"/>
        </w:rPr>
        <w:br w:type="page"/>
      </w:r>
      <w:r>
        <w:rPr>
          <w:rFonts w:hint="eastAsia" w:ascii="楷体" w:hAnsi="楷体" w:eastAsia="楷体" w:cs="楷体"/>
          <w:b/>
          <w:bCs/>
          <w:color w:val="auto"/>
          <w:sz w:val="32"/>
          <w:szCs w:val="32"/>
        </w:rPr>
        <w:t>评分体系与标准</w:t>
      </w:r>
    </w:p>
    <w:p w14:paraId="48F2492E">
      <w:pPr>
        <w:pStyle w:val="3"/>
        <w:numPr>
          <w:ilvl w:val="0"/>
          <w:numId w:val="42"/>
        </w:numPr>
        <w:adjustRightInd w:val="0"/>
        <w:snapToGrid w:val="0"/>
        <w:spacing w:before="0" w:after="0" w:line="360" w:lineRule="auto"/>
        <w:jc w:val="left"/>
        <w:rPr>
          <w:rFonts w:ascii="楷体" w:hAnsi="楷体" w:eastAsia="楷体" w:cs="楷体"/>
          <w:color w:val="auto"/>
          <w:sz w:val="24"/>
          <w:szCs w:val="24"/>
        </w:rPr>
      </w:pPr>
      <w:bookmarkStart w:id="255" w:name="_Toc5450"/>
      <w:bookmarkStart w:id="256" w:name="_Toc12756"/>
      <w:bookmarkStart w:id="257" w:name="_Toc24056"/>
      <w:bookmarkStart w:id="258" w:name="_Toc19963"/>
      <w:bookmarkStart w:id="259" w:name="_Toc23501"/>
      <w:bookmarkStart w:id="260" w:name="_Toc16529"/>
      <w:bookmarkStart w:id="261" w:name="_Toc18113"/>
      <w:r>
        <w:rPr>
          <w:rFonts w:hint="eastAsia" w:ascii="楷体" w:hAnsi="楷体" w:eastAsia="楷体" w:cs="楷体"/>
          <w:color w:val="auto"/>
          <w:sz w:val="24"/>
          <w:szCs w:val="24"/>
        </w:rPr>
        <w:t>评标方法</w:t>
      </w:r>
      <w:bookmarkEnd w:id="255"/>
      <w:bookmarkEnd w:id="256"/>
      <w:bookmarkEnd w:id="257"/>
      <w:bookmarkEnd w:id="258"/>
      <w:bookmarkEnd w:id="259"/>
      <w:bookmarkEnd w:id="260"/>
      <w:bookmarkEnd w:id="261"/>
    </w:p>
    <w:p w14:paraId="32914A5A">
      <w:pPr>
        <w:adjustRightInd w:val="0"/>
        <w:snapToGrid w:val="0"/>
        <w:spacing w:line="360" w:lineRule="auto"/>
        <w:ind w:firstLine="638" w:firstLineChars="266"/>
        <w:rPr>
          <w:rFonts w:ascii="楷体" w:hAnsi="楷体" w:eastAsia="楷体" w:cs="楷体"/>
          <w:bCs/>
          <w:color w:val="auto"/>
          <w:sz w:val="24"/>
        </w:rPr>
      </w:pPr>
      <w:r>
        <w:rPr>
          <w:rFonts w:hint="eastAsia" w:ascii="楷体" w:hAnsi="楷体" w:eastAsia="楷体" w:cs="楷体"/>
          <w:bCs/>
          <w:color w:val="auto"/>
          <w:sz w:val="24"/>
        </w:rPr>
        <w:t>本次评标采用综合评分法，即在最大限度地满足招标文件实质性要求前提下，按照招标文件中规定的各项因素进行综合评审后，以评标总得分最高的投标人作为中标候选供应商（服务商）或者中标人（服务商）的评标方法。</w:t>
      </w:r>
    </w:p>
    <w:p w14:paraId="39C727F8">
      <w:pPr>
        <w:pStyle w:val="3"/>
        <w:numPr>
          <w:ilvl w:val="0"/>
          <w:numId w:val="42"/>
        </w:numPr>
        <w:adjustRightInd w:val="0"/>
        <w:snapToGrid w:val="0"/>
        <w:spacing w:before="0" w:after="0" w:line="360" w:lineRule="auto"/>
        <w:jc w:val="left"/>
        <w:rPr>
          <w:rFonts w:ascii="楷体" w:hAnsi="楷体" w:eastAsia="楷体" w:cs="楷体"/>
          <w:color w:val="auto"/>
          <w:sz w:val="24"/>
          <w:szCs w:val="24"/>
        </w:rPr>
      </w:pPr>
      <w:bookmarkStart w:id="262" w:name="_Toc3659"/>
      <w:bookmarkStart w:id="263" w:name="_Toc29992"/>
      <w:bookmarkStart w:id="264" w:name="_Toc30198"/>
      <w:bookmarkStart w:id="265" w:name="_Toc613"/>
      <w:bookmarkStart w:id="266" w:name="_Toc5726"/>
      <w:bookmarkStart w:id="267" w:name="_Toc23511"/>
      <w:bookmarkStart w:id="268" w:name="_Toc29386"/>
      <w:r>
        <w:rPr>
          <w:rFonts w:hint="eastAsia" w:ascii="楷体" w:hAnsi="楷体" w:eastAsia="楷体" w:cs="楷体"/>
          <w:color w:val="auto"/>
          <w:sz w:val="24"/>
          <w:szCs w:val="24"/>
        </w:rPr>
        <w:t>评标流程</w:t>
      </w:r>
      <w:bookmarkEnd w:id="262"/>
      <w:bookmarkEnd w:id="263"/>
      <w:bookmarkEnd w:id="264"/>
      <w:bookmarkEnd w:id="265"/>
      <w:bookmarkEnd w:id="266"/>
      <w:bookmarkEnd w:id="267"/>
      <w:bookmarkEnd w:id="268"/>
    </w:p>
    <w:p w14:paraId="197EEBF3">
      <w:pPr>
        <w:numPr>
          <w:ilvl w:val="1"/>
          <w:numId w:val="43"/>
        </w:numPr>
        <w:tabs>
          <w:tab w:val="left" w:pos="1220"/>
        </w:tabs>
        <w:adjustRightInd w:val="0"/>
        <w:snapToGrid w:val="0"/>
        <w:spacing w:line="360" w:lineRule="auto"/>
        <w:ind w:hanging="267"/>
        <w:rPr>
          <w:rFonts w:ascii="楷体" w:hAnsi="楷体" w:eastAsia="楷体" w:cs="楷体"/>
          <w:color w:val="auto"/>
          <w:sz w:val="24"/>
          <w:lang w:val="zh-CN"/>
        </w:rPr>
      </w:pPr>
      <w:r>
        <w:rPr>
          <w:rFonts w:hint="eastAsia" w:ascii="楷体" w:hAnsi="楷体" w:eastAsia="楷体" w:cs="楷体"/>
          <w:color w:val="auto"/>
          <w:sz w:val="24"/>
          <w:lang w:val="zh-CN"/>
        </w:rPr>
        <w:t>投标文件初步审查</w:t>
      </w:r>
    </w:p>
    <w:p w14:paraId="03B8CE62">
      <w:pPr>
        <w:numPr>
          <w:ilvl w:val="1"/>
          <w:numId w:val="43"/>
        </w:numPr>
        <w:tabs>
          <w:tab w:val="left" w:pos="1220"/>
        </w:tabs>
        <w:adjustRightInd w:val="0"/>
        <w:snapToGrid w:val="0"/>
        <w:spacing w:line="360" w:lineRule="auto"/>
        <w:ind w:hanging="267"/>
        <w:rPr>
          <w:rFonts w:ascii="楷体" w:hAnsi="楷体" w:eastAsia="楷体" w:cs="楷体"/>
          <w:color w:val="auto"/>
          <w:sz w:val="24"/>
          <w:lang w:val="zh-CN"/>
        </w:rPr>
      </w:pPr>
      <w:r>
        <w:rPr>
          <w:rFonts w:hint="eastAsia" w:ascii="楷体" w:hAnsi="楷体" w:eastAsia="楷体" w:cs="楷体"/>
          <w:color w:val="auto"/>
          <w:sz w:val="24"/>
          <w:lang w:val="zh-CN"/>
        </w:rPr>
        <w:t>投标文件详细评审（商务评审、技术评审及价格评审）</w:t>
      </w:r>
    </w:p>
    <w:p w14:paraId="2BDB91AB">
      <w:pPr>
        <w:numPr>
          <w:ilvl w:val="1"/>
          <w:numId w:val="43"/>
        </w:numPr>
        <w:tabs>
          <w:tab w:val="left" w:pos="1220"/>
        </w:tabs>
        <w:adjustRightInd w:val="0"/>
        <w:snapToGrid w:val="0"/>
        <w:spacing w:line="360" w:lineRule="auto"/>
        <w:ind w:hanging="267"/>
        <w:rPr>
          <w:rFonts w:ascii="楷体" w:hAnsi="楷体" w:eastAsia="楷体" w:cs="楷体"/>
          <w:color w:val="auto"/>
          <w:sz w:val="24"/>
          <w:lang w:val="zh-CN"/>
        </w:rPr>
      </w:pPr>
      <w:bookmarkStart w:id="269" w:name="JudgeBidwfDesc"/>
      <w:bookmarkEnd w:id="269"/>
      <w:r>
        <w:rPr>
          <w:rFonts w:hint="eastAsia" w:ascii="楷体" w:hAnsi="楷体" w:eastAsia="楷体" w:cs="楷体"/>
          <w:color w:val="auto"/>
          <w:sz w:val="24"/>
          <w:lang w:val="zh-CN"/>
        </w:rPr>
        <w:t>综合评分汇总及中标推荐</w:t>
      </w:r>
    </w:p>
    <w:p w14:paraId="401E739B">
      <w:pPr>
        <w:pStyle w:val="3"/>
        <w:numPr>
          <w:ilvl w:val="0"/>
          <w:numId w:val="42"/>
        </w:numPr>
        <w:adjustRightInd w:val="0"/>
        <w:snapToGrid w:val="0"/>
        <w:spacing w:before="0" w:after="0" w:line="360" w:lineRule="auto"/>
        <w:jc w:val="left"/>
        <w:rPr>
          <w:rFonts w:ascii="楷体" w:hAnsi="楷体" w:eastAsia="楷体" w:cs="楷体"/>
          <w:color w:val="auto"/>
          <w:sz w:val="24"/>
          <w:szCs w:val="24"/>
          <w:lang w:val="zh-CN"/>
        </w:rPr>
      </w:pPr>
      <w:bookmarkStart w:id="270" w:name="_Toc24498"/>
      <w:bookmarkStart w:id="271" w:name="_Toc7167"/>
      <w:bookmarkStart w:id="272" w:name="_Toc30393"/>
      <w:bookmarkStart w:id="273" w:name="_Toc29707"/>
      <w:bookmarkStart w:id="274" w:name="_Toc18958"/>
      <w:bookmarkStart w:id="275" w:name="_Toc29918"/>
      <w:bookmarkStart w:id="276" w:name="_Toc332"/>
      <w:r>
        <w:rPr>
          <w:rFonts w:hint="eastAsia" w:ascii="楷体" w:hAnsi="楷体" w:eastAsia="楷体" w:cs="楷体"/>
          <w:color w:val="auto"/>
          <w:sz w:val="24"/>
          <w:szCs w:val="24"/>
          <w:lang w:val="zh-CN"/>
        </w:rPr>
        <w:t>初步评审</w:t>
      </w:r>
      <w:bookmarkEnd w:id="270"/>
      <w:bookmarkEnd w:id="271"/>
      <w:bookmarkEnd w:id="272"/>
      <w:bookmarkEnd w:id="273"/>
      <w:bookmarkEnd w:id="274"/>
      <w:bookmarkEnd w:id="275"/>
      <w:bookmarkEnd w:id="276"/>
    </w:p>
    <w:p w14:paraId="11546FF0">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投标文件的初审即为资格及符合性审查。评标委员会根据《资格性审查及符合性审查表》（见附表</w:t>
      </w:r>
      <w:r>
        <w:rPr>
          <w:rFonts w:hint="eastAsia" w:ascii="楷体" w:hAnsi="楷体" w:eastAsia="楷体" w:cs="楷体"/>
          <w:color w:val="auto"/>
          <w:sz w:val="24"/>
        </w:rPr>
        <w:t>1</w:t>
      </w:r>
      <w:r>
        <w:rPr>
          <w:rFonts w:hint="eastAsia" w:ascii="楷体" w:hAnsi="楷体" w:eastAsia="楷体" w:cs="楷体"/>
          <w:color w:val="auto"/>
          <w:sz w:val="24"/>
          <w:lang w:val="zh-CN"/>
        </w:rPr>
        <w:t xml:space="preserve">）内容逐条审查每份投标文件是否实质上响应了招标文件的要求，主要审查投标文件是否完整、有关资格证明文件是否齐全有效、文件签署是否合格、是否按招标文件的规定密封和标记、投标有效期是否满足要求等。 </w:t>
      </w:r>
    </w:p>
    <w:p w14:paraId="5B192C07">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只有全部满足《资格性审查及符合性审查表》所列各项要求的投标才是有效投标，只要不满足《资格性审查及符合性审查表》所列各项要求之一的，将被认定为无效投标。对投标有效性认定意见不一致的，评标委员会将按简单多数原则表决决定。通过本阶段资格性和符合性审查的为有效投标，有资格进入详细评审；反之为无效投标，无资格进入详细评审。</w:t>
      </w:r>
    </w:p>
    <w:p w14:paraId="6E63C3B7">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投标文件中的缺漏项将按以下方法修正：以所有投标报价中该项最高报价核算其缺漏项金额，缺漏项金额大于或等于其投标总价的1%时，视为重大投标漏项，该投标作废标处理；缺漏项金额小于其投标总价的1%时，评标委员会将视为其投标总价已包括缺漏项内容，若其中标，有关该内容的合同价格不予调整，但评标时将对该投标作不利的评标价调整或评审分数量化。如果投标人不接受对其错误的修正，其投标将被拒绝。</w:t>
      </w:r>
    </w:p>
    <w:p w14:paraId="1DED9E32">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投标人的投标报价明显低于其他投标报价，评标委员会将要求该投标人做出书面说明并提供相关证明材料。投标人不能合理说明理由或者不能提供相关证明材料的，评标委员会将认定该投标人以低于成本报价竞标，其投标作无效投标处理。</w:t>
      </w:r>
    </w:p>
    <w:p w14:paraId="71A71975">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对于投标文件中不构成实质性偏差的不正规、不一致或不规则，评标委员会可以接受，但这种接受不能损害或影响任何投标人的相对排序。</w:t>
      </w:r>
    </w:p>
    <w:p w14:paraId="7CA0193D">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在详细评标之前，评标委员会将审查每份投标文件是否实质上响应了招标文件的要求。实质上响应的投标文件应该是与招标文件要求的关键条款、条件和规格相符或优于，没有实质偏离的投标文件。评标委员会决定投标的响应性只根据投标文件本身的内容，而不依据外部的证据，但投标有不真实、不正确的内容时除外。</w:t>
      </w:r>
    </w:p>
    <w:p w14:paraId="780696A3">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评标委员会在对投标人进行资格性审查和符合性审查时，发现投标人有下列情形之一的，视为投标人实质上没有响应招标文件的要求，将作废标处理。投标人不得通过修正或撤销不合要求的偏离或保留从而使其投标成为实质上响应的投标。</w:t>
      </w:r>
    </w:p>
    <w:p w14:paraId="22055E96">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投标文件没有投标人加盖公章、投标人法定代表人或经其正式授权的代表签名或盖章的；</w:t>
      </w:r>
    </w:p>
    <w:p w14:paraId="45224C83">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投标文件未编制目录、未按顺序编制页码的；</w:t>
      </w:r>
    </w:p>
    <w:p w14:paraId="7A846591">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投标文件提供虚假材料的；</w:t>
      </w:r>
    </w:p>
    <w:p w14:paraId="1EFCD49B">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投标文件未完全满足招标文件带“★”号的条款或指标的；</w:t>
      </w:r>
    </w:p>
    <w:p w14:paraId="63A37402">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投标人没有按招标文件的要求提交相关证件、证明文件、合同和其他文件的原件、复印件或提交的原件与复印件不一致的；</w:t>
      </w:r>
    </w:p>
    <w:p w14:paraId="4FE42545">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投标人报价不确定或超过招标文件中列出的采购预算（最高限价）的；</w:t>
      </w:r>
    </w:p>
    <w:p w14:paraId="481D13EC">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投标人未按招标文件要求交纳投标保证金的；</w:t>
      </w:r>
    </w:p>
    <w:p w14:paraId="0358EF63">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联合体投标未提交联合体各方共同投标协议的；</w:t>
      </w:r>
    </w:p>
    <w:p w14:paraId="167229AA">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投标人投标报价低于企业的成本价的；</w:t>
      </w:r>
    </w:p>
    <w:p w14:paraId="656CD93F">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评审期间，投标人没有按评标委员会的要求提交经授权代表签字的澄清、说明、补正或改变了投标文件的实质性内容的；</w:t>
      </w:r>
    </w:p>
    <w:p w14:paraId="6E7B7038">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投标人对招标人、评标委员会、招标代理机构及其工作人员施加影响，有碍公平、公正的；</w:t>
      </w:r>
    </w:p>
    <w:p w14:paraId="7A8C022A">
      <w:pPr>
        <w:numPr>
          <w:ilvl w:val="0"/>
          <w:numId w:val="45"/>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法律、法规和招标文件规定的其他无效情形。</w:t>
      </w:r>
    </w:p>
    <w:p w14:paraId="562473F8">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如发生下列情形之一的，本项目废标：</w:t>
      </w:r>
    </w:p>
    <w:p w14:paraId="41E1FF3C">
      <w:pPr>
        <w:numPr>
          <w:ilvl w:val="0"/>
          <w:numId w:val="46"/>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符合专业条件的供应商（服务商）或者对招标文件作实质响应的供应商（服务商）不足三家的；</w:t>
      </w:r>
    </w:p>
    <w:p w14:paraId="1C290BD2">
      <w:pPr>
        <w:numPr>
          <w:ilvl w:val="0"/>
          <w:numId w:val="46"/>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出现影响采购公正的违法、违规行为的；</w:t>
      </w:r>
    </w:p>
    <w:p w14:paraId="4E1BCA5F">
      <w:pPr>
        <w:numPr>
          <w:ilvl w:val="0"/>
          <w:numId w:val="46"/>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投标人的报价均超过了采购预算，招标人不能支付的；</w:t>
      </w:r>
    </w:p>
    <w:p w14:paraId="065F2B94">
      <w:pPr>
        <w:numPr>
          <w:ilvl w:val="0"/>
          <w:numId w:val="46"/>
        </w:numPr>
        <w:tabs>
          <w:tab w:val="left" w:pos="975"/>
          <w:tab w:val="left" w:pos="1240"/>
        </w:tabs>
        <w:adjustRightInd w:val="0"/>
        <w:snapToGrid w:val="0"/>
        <w:spacing w:line="360" w:lineRule="auto"/>
        <w:ind w:left="1296" w:leftChars="303" w:hanging="660"/>
        <w:rPr>
          <w:rFonts w:ascii="楷体" w:hAnsi="楷体" w:eastAsia="楷体" w:cs="楷体"/>
          <w:color w:val="auto"/>
          <w:sz w:val="24"/>
        </w:rPr>
      </w:pPr>
      <w:r>
        <w:rPr>
          <w:rFonts w:hint="eastAsia" w:ascii="楷体" w:hAnsi="楷体" w:eastAsia="楷体" w:cs="楷体"/>
          <w:color w:val="auto"/>
          <w:sz w:val="24"/>
        </w:rPr>
        <w:t>因重大变故，采购任务取消的。</w:t>
      </w:r>
    </w:p>
    <w:p w14:paraId="161EF3CF">
      <w:pPr>
        <w:numPr>
          <w:ilvl w:val="1"/>
          <w:numId w:val="44"/>
        </w:numPr>
        <w:tabs>
          <w:tab w:val="clear" w:pos="907"/>
        </w:tabs>
        <w:adjustRightInd w:val="0"/>
        <w:snapToGrid w:val="0"/>
        <w:spacing w:line="360" w:lineRule="auto"/>
        <w:ind w:left="1187" w:hanging="547"/>
        <w:rPr>
          <w:rFonts w:ascii="楷体" w:hAnsi="楷体" w:eastAsia="楷体" w:cs="楷体"/>
          <w:color w:val="auto"/>
          <w:sz w:val="24"/>
          <w:lang w:val="zh-CN"/>
        </w:rPr>
      </w:pPr>
      <w:r>
        <w:rPr>
          <w:rFonts w:hint="eastAsia" w:ascii="楷体" w:hAnsi="楷体" w:eastAsia="楷体" w:cs="楷体"/>
          <w:color w:val="auto"/>
          <w:sz w:val="24"/>
          <w:lang w:val="zh-CN"/>
        </w:rPr>
        <w:t>投标文件的澄清</w:t>
      </w:r>
    </w:p>
    <w:p w14:paraId="5F862372">
      <w:pPr>
        <w:numPr>
          <w:ilvl w:val="0"/>
          <w:numId w:val="47"/>
        </w:numPr>
        <w:tabs>
          <w:tab w:val="left" w:pos="975"/>
          <w:tab w:val="left" w:pos="1240"/>
        </w:tabs>
        <w:adjustRightInd w:val="0"/>
        <w:snapToGrid w:val="0"/>
        <w:spacing w:line="360" w:lineRule="auto"/>
        <w:ind w:left="1296" w:leftChars="303" w:hanging="660"/>
        <w:rPr>
          <w:rFonts w:ascii="楷体" w:hAnsi="楷体" w:eastAsia="楷体" w:cs="楷体"/>
          <w:color w:val="auto"/>
          <w:sz w:val="24"/>
          <w:lang w:val="zh-CN"/>
        </w:rPr>
      </w:pPr>
      <w:r>
        <w:rPr>
          <w:rFonts w:hint="eastAsia" w:ascii="楷体" w:hAnsi="楷体" w:eastAsia="楷体" w:cs="楷体"/>
          <w:color w:val="auto"/>
          <w:sz w:val="24"/>
          <w:lang w:val="zh-CN"/>
        </w:rPr>
        <w:t>评标期间，对投标文件中含义不明确、同类问题表述不一致或者有明显文字和计算错误的内容，评标委员会可以书面形式（应当由评标委员会集体签字）要求投标人作出必要的澄清、说明或者补正，但不得超出投标文件的范围或者改变投标文件的实质性内容。投标人的澄清、说明或者补正应当采用书面形式，由其法定代表人或授权代表签字或盖章，并不得超出投标文件的范围或者改变投标文件的实质性内容。</w:t>
      </w:r>
    </w:p>
    <w:p w14:paraId="791B57AC">
      <w:pPr>
        <w:numPr>
          <w:ilvl w:val="0"/>
          <w:numId w:val="47"/>
        </w:numPr>
        <w:tabs>
          <w:tab w:val="left" w:pos="975"/>
          <w:tab w:val="left" w:pos="1240"/>
        </w:tabs>
        <w:adjustRightInd w:val="0"/>
        <w:snapToGrid w:val="0"/>
        <w:spacing w:line="360" w:lineRule="auto"/>
        <w:ind w:left="1296" w:leftChars="303" w:hanging="660"/>
        <w:rPr>
          <w:rFonts w:ascii="楷体" w:hAnsi="楷体" w:eastAsia="楷体" w:cs="楷体"/>
          <w:color w:val="auto"/>
          <w:sz w:val="24"/>
          <w:lang w:val="zh-CN"/>
        </w:rPr>
      </w:pPr>
      <w:r>
        <w:rPr>
          <w:rFonts w:hint="eastAsia" w:ascii="楷体" w:hAnsi="楷体" w:eastAsia="楷体" w:cs="楷体"/>
          <w:color w:val="auto"/>
          <w:sz w:val="24"/>
          <w:lang w:val="zh-CN"/>
        </w:rPr>
        <w:t>投标人的澄清文件是其投标文件的组成部分。</w:t>
      </w:r>
    </w:p>
    <w:p w14:paraId="0E61609C">
      <w:pPr>
        <w:pStyle w:val="3"/>
        <w:numPr>
          <w:ilvl w:val="0"/>
          <w:numId w:val="42"/>
        </w:numPr>
        <w:adjustRightInd w:val="0"/>
        <w:snapToGrid w:val="0"/>
        <w:spacing w:before="0" w:after="0" w:line="360" w:lineRule="auto"/>
        <w:jc w:val="left"/>
        <w:rPr>
          <w:rFonts w:ascii="楷体" w:hAnsi="楷体" w:eastAsia="楷体" w:cs="楷体"/>
          <w:color w:val="auto"/>
          <w:sz w:val="24"/>
          <w:szCs w:val="24"/>
          <w:lang w:val="zh-CN"/>
        </w:rPr>
      </w:pPr>
      <w:bookmarkStart w:id="277" w:name="_Toc26291"/>
      <w:bookmarkStart w:id="278" w:name="_Toc23079"/>
      <w:bookmarkStart w:id="279" w:name="_Toc152"/>
      <w:bookmarkStart w:id="280" w:name="_Toc25270"/>
      <w:bookmarkStart w:id="281" w:name="_Toc8047"/>
      <w:bookmarkStart w:id="282" w:name="_Toc11343"/>
      <w:bookmarkStart w:id="283" w:name="_Toc13133"/>
      <w:r>
        <w:rPr>
          <w:rFonts w:hint="eastAsia" w:ascii="楷体" w:hAnsi="楷体" w:eastAsia="楷体" w:cs="楷体"/>
          <w:color w:val="auto"/>
          <w:sz w:val="24"/>
          <w:szCs w:val="24"/>
          <w:lang w:val="zh-CN"/>
        </w:rPr>
        <w:t>详细评审</w:t>
      </w:r>
      <w:bookmarkEnd w:id="277"/>
      <w:bookmarkEnd w:id="278"/>
      <w:bookmarkEnd w:id="279"/>
      <w:bookmarkEnd w:id="280"/>
      <w:bookmarkEnd w:id="281"/>
      <w:bookmarkEnd w:id="282"/>
      <w:bookmarkEnd w:id="283"/>
    </w:p>
    <w:p w14:paraId="36DC6205">
      <w:pPr>
        <w:numPr>
          <w:ilvl w:val="1"/>
          <w:numId w:val="48"/>
        </w:numPr>
        <w:tabs>
          <w:tab w:val="clear" w:pos="907"/>
        </w:tabs>
        <w:adjustRightInd w:val="0"/>
        <w:snapToGrid w:val="0"/>
        <w:spacing w:line="360" w:lineRule="auto"/>
        <w:ind w:left="1207" w:hanging="567"/>
        <w:rPr>
          <w:rFonts w:ascii="楷体" w:hAnsi="楷体" w:eastAsia="楷体" w:cs="楷体"/>
          <w:color w:val="auto"/>
          <w:sz w:val="24"/>
          <w:lang w:val="zh-CN"/>
        </w:rPr>
      </w:pPr>
      <w:r>
        <w:rPr>
          <w:rFonts w:hint="eastAsia" w:ascii="楷体" w:hAnsi="楷体" w:eastAsia="楷体" w:cs="楷体"/>
          <w:color w:val="auto"/>
          <w:sz w:val="24"/>
          <w:lang w:val="zh-CN"/>
        </w:rPr>
        <w:t>详细评审是对通过初审的有效投标人进行技术和商务方面的评分。评分总值最高为100分，各分项的分值分配见附表</w:t>
      </w:r>
      <w:r>
        <w:rPr>
          <w:rFonts w:hint="eastAsia" w:ascii="楷体" w:hAnsi="楷体" w:eastAsia="楷体" w:cs="楷体"/>
          <w:color w:val="auto"/>
          <w:sz w:val="24"/>
        </w:rPr>
        <w:t>2</w:t>
      </w:r>
      <w:r>
        <w:rPr>
          <w:rFonts w:hint="eastAsia" w:ascii="楷体" w:hAnsi="楷体" w:eastAsia="楷体" w:cs="楷体"/>
          <w:color w:val="auto"/>
          <w:sz w:val="24"/>
          <w:lang w:val="zh-CN"/>
        </w:rPr>
        <w:t>。</w:t>
      </w:r>
    </w:p>
    <w:p w14:paraId="72DA6FC8">
      <w:pPr>
        <w:numPr>
          <w:ilvl w:val="1"/>
          <w:numId w:val="48"/>
        </w:numPr>
        <w:tabs>
          <w:tab w:val="clear" w:pos="907"/>
        </w:tabs>
        <w:adjustRightInd w:val="0"/>
        <w:snapToGrid w:val="0"/>
        <w:spacing w:line="360" w:lineRule="auto"/>
        <w:ind w:left="1207" w:hanging="567"/>
        <w:rPr>
          <w:rFonts w:ascii="楷体" w:hAnsi="楷体" w:eastAsia="楷体" w:cs="楷体"/>
          <w:color w:val="auto"/>
          <w:sz w:val="24"/>
          <w:shd w:val="clear" w:color="auto" w:fill="FFFFFF"/>
          <w:lang w:val="zh-CN"/>
        </w:rPr>
      </w:pPr>
      <w:r>
        <w:rPr>
          <w:rFonts w:hint="eastAsia" w:ascii="楷体" w:hAnsi="楷体" w:eastAsia="楷体" w:cs="楷体"/>
          <w:color w:val="auto"/>
          <w:sz w:val="24"/>
          <w:shd w:val="clear" w:color="auto" w:fill="FFFFFF"/>
          <w:lang w:val="zh-CN"/>
        </w:rPr>
        <w:t>商务评审：见附表</w:t>
      </w:r>
      <w:r>
        <w:rPr>
          <w:rFonts w:hint="eastAsia" w:ascii="楷体" w:hAnsi="楷体" w:eastAsia="楷体" w:cs="楷体"/>
          <w:color w:val="auto"/>
          <w:sz w:val="24"/>
          <w:shd w:val="clear" w:color="auto" w:fill="FFFFFF"/>
        </w:rPr>
        <w:t>3</w:t>
      </w:r>
    </w:p>
    <w:p w14:paraId="42BF05EC">
      <w:pPr>
        <w:numPr>
          <w:ilvl w:val="1"/>
          <w:numId w:val="48"/>
        </w:numPr>
        <w:tabs>
          <w:tab w:val="clear" w:pos="907"/>
        </w:tabs>
        <w:adjustRightInd w:val="0"/>
        <w:snapToGrid w:val="0"/>
        <w:spacing w:line="360" w:lineRule="auto"/>
        <w:ind w:left="1207" w:hanging="567"/>
        <w:rPr>
          <w:rFonts w:ascii="楷体" w:hAnsi="楷体" w:eastAsia="楷体" w:cs="楷体"/>
          <w:color w:val="auto"/>
          <w:sz w:val="24"/>
          <w:lang w:val="zh-CN"/>
        </w:rPr>
      </w:pPr>
      <w:r>
        <w:rPr>
          <w:rFonts w:hint="eastAsia" w:ascii="楷体" w:hAnsi="楷体" w:eastAsia="楷体" w:cs="楷体"/>
          <w:color w:val="auto"/>
          <w:sz w:val="24"/>
          <w:shd w:val="clear" w:color="auto" w:fill="FFFFFF"/>
          <w:lang w:val="zh-CN"/>
        </w:rPr>
        <w:t>技术评审：见附表</w:t>
      </w:r>
      <w:r>
        <w:rPr>
          <w:rFonts w:hint="eastAsia" w:ascii="楷体" w:hAnsi="楷体" w:eastAsia="楷体" w:cs="楷体"/>
          <w:color w:val="auto"/>
          <w:sz w:val="24"/>
          <w:shd w:val="clear" w:color="auto" w:fill="FFFFFF"/>
        </w:rPr>
        <w:t>4</w:t>
      </w:r>
    </w:p>
    <w:p w14:paraId="763A1E2D">
      <w:pPr>
        <w:numPr>
          <w:ilvl w:val="1"/>
          <w:numId w:val="48"/>
        </w:numPr>
        <w:tabs>
          <w:tab w:val="clear" w:pos="907"/>
        </w:tabs>
        <w:adjustRightInd w:val="0"/>
        <w:snapToGrid w:val="0"/>
        <w:spacing w:line="360" w:lineRule="auto"/>
        <w:ind w:left="1207" w:hanging="567"/>
        <w:rPr>
          <w:rFonts w:ascii="楷体" w:hAnsi="楷体" w:eastAsia="楷体" w:cs="楷体"/>
          <w:color w:val="auto"/>
          <w:sz w:val="24"/>
          <w:lang w:val="zh-CN"/>
        </w:rPr>
      </w:pPr>
      <w:r>
        <w:rPr>
          <w:rFonts w:hint="eastAsia" w:ascii="楷体" w:hAnsi="楷体" w:eastAsia="楷体" w:cs="楷体"/>
          <w:color w:val="auto"/>
          <w:sz w:val="24"/>
          <w:lang w:val="zh-CN"/>
        </w:rPr>
        <w:t>价格</w:t>
      </w:r>
      <w:r>
        <w:rPr>
          <w:rFonts w:hint="eastAsia" w:ascii="楷体" w:hAnsi="楷体" w:eastAsia="楷体" w:cs="楷体"/>
          <w:color w:val="auto"/>
          <w:sz w:val="24"/>
          <w:shd w:val="clear" w:color="auto" w:fill="FFFFFF"/>
          <w:lang w:val="zh-CN"/>
        </w:rPr>
        <w:t>评审：</w:t>
      </w:r>
      <w:r>
        <w:rPr>
          <w:rFonts w:hint="eastAsia" w:ascii="楷体" w:hAnsi="楷体" w:eastAsia="楷体" w:cs="楷体"/>
          <w:color w:val="auto"/>
          <w:sz w:val="24"/>
          <w:lang w:val="zh-CN"/>
        </w:rPr>
        <w:t>评标委员会对各个有效投标人的投标报价进行校核、评审或作出必要的修正，并按价格评分办法计算其价格评分。</w:t>
      </w:r>
    </w:p>
    <w:p w14:paraId="005F32BE">
      <w:pPr>
        <w:numPr>
          <w:ilvl w:val="0"/>
          <w:numId w:val="49"/>
        </w:numPr>
        <w:tabs>
          <w:tab w:val="clear" w:pos="1077"/>
        </w:tabs>
        <w:adjustRightInd w:val="0"/>
        <w:snapToGrid w:val="0"/>
        <w:spacing w:line="360" w:lineRule="auto"/>
        <w:ind w:left="1277" w:hanging="637"/>
        <w:rPr>
          <w:rFonts w:ascii="楷体" w:hAnsi="楷体" w:eastAsia="楷体" w:cs="楷体"/>
          <w:color w:val="auto"/>
          <w:sz w:val="24"/>
          <w:lang w:val="zh-CN"/>
        </w:rPr>
      </w:pPr>
      <w:r>
        <w:rPr>
          <w:rFonts w:hint="eastAsia" w:ascii="楷体" w:hAnsi="楷体" w:eastAsia="楷体" w:cs="楷体"/>
          <w:color w:val="auto"/>
          <w:sz w:val="24"/>
          <w:lang w:val="zh-CN"/>
        </w:rPr>
        <w:t>投标报价的校核及对报价错误的处理与修正原则：评标委员会详细分析、核准供应商（服务商）价格表，检查其是否存在计算上或累加上的算术错误，并按以下原则进行修正：</w:t>
      </w:r>
    </w:p>
    <w:p w14:paraId="3CE39C52">
      <w:pPr>
        <w:numPr>
          <w:ilvl w:val="0"/>
          <w:numId w:val="50"/>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投标文件的大写金额与小写金额不一致的，以大写金额为准。</w:t>
      </w:r>
    </w:p>
    <w:p w14:paraId="424300A6">
      <w:pPr>
        <w:numPr>
          <w:ilvl w:val="0"/>
          <w:numId w:val="50"/>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总价金额与按单价汇总金额不一致的，以单价金额计算结果为准。</w:t>
      </w:r>
    </w:p>
    <w:p w14:paraId="63134C5D">
      <w:pPr>
        <w:numPr>
          <w:ilvl w:val="0"/>
          <w:numId w:val="50"/>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单价金额小数点有明显错位的，以总价为准，并修改单价。</w:t>
      </w:r>
    </w:p>
    <w:p w14:paraId="51EB93DB">
      <w:pPr>
        <w:tabs>
          <w:tab w:val="left" w:pos="1134"/>
        </w:tabs>
        <w:adjustRightInd w:val="0"/>
        <w:snapToGrid w:val="0"/>
        <w:spacing w:line="360" w:lineRule="auto"/>
        <w:ind w:left="239" w:leftChars="114" w:firstLine="482" w:firstLineChars="200"/>
        <w:rPr>
          <w:rFonts w:ascii="楷体" w:hAnsi="楷体" w:eastAsia="楷体" w:cs="楷体"/>
          <w:color w:val="auto"/>
          <w:sz w:val="24"/>
        </w:rPr>
      </w:pPr>
      <w:r>
        <w:rPr>
          <w:rFonts w:hint="eastAsia" w:ascii="楷体" w:hAnsi="楷体" w:eastAsia="楷体" w:cs="楷体"/>
          <w:b/>
          <w:color w:val="auto"/>
          <w:sz w:val="24"/>
        </w:rPr>
        <w:t>同时出现两种以上不一致的，按照上述规定的顺序修正。修正后的报价经投标人确认后产生约束力，投标人不确认的，其投标无效。</w:t>
      </w:r>
    </w:p>
    <w:p w14:paraId="5F5F6421">
      <w:pPr>
        <w:numPr>
          <w:ilvl w:val="0"/>
          <w:numId w:val="49"/>
        </w:numPr>
        <w:tabs>
          <w:tab w:val="clear" w:pos="1077"/>
        </w:tabs>
        <w:adjustRightInd w:val="0"/>
        <w:snapToGrid w:val="0"/>
        <w:spacing w:line="360" w:lineRule="auto"/>
        <w:ind w:left="1277" w:hanging="637"/>
        <w:rPr>
          <w:rFonts w:ascii="楷体" w:hAnsi="楷体" w:eastAsia="楷体" w:cs="楷体"/>
          <w:color w:val="auto"/>
          <w:sz w:val="24"/>
          <w:lang w:val="zh-CN"/>
        </w:rPr>
      </w:pPr>
      <w:r>
        <w:rPr>
          <w:rFonts w:hint="eastAsia" w:ascii="楷体" w:hAnsi="楷体" w:eastAsia="楷体" w:cs="楷体"/>
          <w:color w:val="auto"/>
          <w:sz w:val="24"/>
          <w:lang w:val="zh-CN"/>
        </w:rPr>
        <w:t>投标报价缺漏项的处理：对投标</w:t>
      </w:r>
      <w:r>
        <w:rPr>
          <w:rFonts w:hint="eastAsia" w:ascii="楷体" w:hAnsi="楷体" w:eastAsia="楷体" w:cs="楷体"/>
          <w:color w:val="auto"/>
          <w:sz w:val="24"/>
        </w:rPr>
        <w:t>服务</w:t>
      </w:r>
      <w:r>
        <w:rPr>
          <w:rFonts w:hint="eastAsia" w:ascii="楷体" w:hAnsi="楷体" w:eastAsia="楷体" w:cs="楷体"/>
          <w:color w:val="auto"/>
          <w:sz w:val="24"/>
          <w:lang w:val="zh-CN"/>
        </w:rPr>
        <w:t>投标报价缺漏项的，评标委员会将以其他投标人对应项的最高投标报价补充计入其评标总价；若其中标，有关该内容的合同价格不予调整。</w:t>
      </w:r>
    </w:p>
    <w:p w14:paraId="44B781D4">
      <w:pPr>
        <w:numPr>
          <w:ilvl w:val="0"/>
          <w:numId w:val="49"/>
        </w:numPr>
        <w:tabs>
          <w:tab w:val="clear" w:pos="1077"/>
        </w:tabs>
        <w:adjustRightInd w:val="0"/>
        <w:snapToGrid w:val="0"/>
        <w:spacing w:line="360" w:lineRule="auto"/>
        <w:ind w:left="1277" w:hanging="637"/>
        <w:rPr>
          <w:rFonts w:ascii="楷体" w:hAnsi="楷体" w:eastAsia="楷体" w:cs="楷体"/>
          <w:color w:val="auto"/>
          <w:sz w:val="24"/>
          <w:lang w:val="zh-CN"/>
        </w:rPr>
      </w:pPr>
      <w:r>
        <w:rPr>
          <w:rFonts w:hint="eastAsia" w:ascii="楷体" w:hAnsi="楷体" w:eastAsia="楷体" w:cs="楷体"/>
          <w:color w:val="auto"/>
          <w:sz w:val="24"/>
          <w:lang w:val="zh-CN"/>
        </w:rPr>
        <w:t>评标价的确定：按上述条款校核修正后的价格为评标价。</w:t>
      </w:r>
    </w:p>
    <w:p w14:paraId="1D058B70">
      <w:pPr>
        <w:numPr>
          <w:ilvl w:val="0"/>
          <w:numId w:val="49"/>
        </w:numPr>
        <w:tabs>
          <w:tab w:val="clear" w:pos="1077"/>
        </w:tabs>
        <w:adjustRightInd w:val="0"/>
        <w:snapToGrid w:val="0"/>
        <w:spacing w:line="360" w:lineRule="auto"/>
        <w:ind w:left="1277" w:hanging="637"/>
        <w:rPr>
          <w:rFonts w:ascii="楷体" w:hAnsi="楷体" w:eastAsia="楷体" w:cs="楷体"/>
          <w:color w:val="auto"/>
          <w:sz w:val="24"/>
          <w:lang w:val="zh-CN"/>
        </w:rPr>
      </w:pPr>
      <w:r>
        <w:rPr>
          <w:rFonts w:hint="eastAsia" w:ascii="楷体" w:hAnsi="楷体" w:eastAsia="楷体" w:cs="楷体"/>
          <w:color w:val="auto"/>
          <w:sz w:val="24"/>
          <w:lang w:val="zh-CN"/>
        </w:rPr>
        <w:t>中标价的确定：中标价将根据投标人的报价及招标文件评标办法按照下述原则修正，但无论如何修正，中标价不能大于投标人的报价。</w:t>
      </w:r>
    </w:p>
    <w:p w14:paraId="6C17E0DD">
      <w:pPr>
        <w:numPr>
          <w:ilvl w:val="0"/>
          <w:numId w:val="51"/>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以投标报价总表中的投标总价大写表述为准；</w:t>
      </w:r>
    </w:p>
    <w:p w14:paraId="25728D28">
      <w:pPr>
        <w:numPr>
          <w:ilvl w:val="0"/>
          <w:numId w:val="51"/>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单价与数量之积与合价不一致时以小者为准；</w:t>
      </w:r>
    </w:p>
    <w:p w14:paraId="6BDBBD3C">
      <w:pPr>
        <w:numPr>
          <w:ilvl w:val="0"/>
          <w:numId w:val="51"/>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缺项、漏项时视为包含在其他项目中；</w:t>
      </w:r>
    </w:p>
    <w:p w14:paraId="79554A7B">
      <w:pPr>
        <w:numPr>
          <w:ilvl w:val="0"/>
          <w:numId w:val="51"/>
        </w:numPr>
        <w:tabs>
          <w:tab w:val="left" w:pos="1134"/>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其他情况按照靠小不靠大的原则予以修正调整。</w:t>
      </w:r>
    </w:p>
    <w:p w14:paraId="4BA50B01">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按照上述原则修正后的总价如果超出投标人的报价，则将中标价调整至投标人的报价；如果总价小于投标人的报价，则修正后的总价为中标价。</w:t>
      </w:r>
    </w:p>
    <w:p w14:paraId="1410FA2E">
      <w:pPr>
        <w:numPr>
          <w:ilvl w:val="0"/>
          <w:numId w:val="49"/>
        </w:numPr>
        <w:tabs>
          <w:tab w:val="clear" w:pos="1077"/>
        </w:tabs>
        <w:adjustRightInd w:val="0"/>
        <w:snapToGrid w:val="0"/>
        <w:spacing w:line="360" w:lineRule="auto"/>
        <w:ind w:left="1277" w:hanging="637"/>
        <w:rPr>
          <w:rFonts w:ascii="楷体" w:hAnsi="楷体" w:eastAsia="楷体" w:cs="楷体"/>
          <w:color w:val="auto"/>
          <w:sz w:val="24"/>
          <w:lang w:val="zh-CN"/>
        </w:rPr>
      </w:pPr>
      <w:r>
        <w:rPr>
          <w:rFonts w:hint="eastAsia" w:ascii="楷体" w:hAnsi="楷体" w:eastAsia="楷体" w:cs="楷体"/>
          <w:color w:val="auto"/>
          <w:sz w:val="24"/>
          <w:lang w:val="zh-CN"/>
        </w:rPr>
        <w:t>计算价格评分：详见附表</w:t>
      </w:r>
      <w:r>
        <w:rPr>
          <w:rFonts w:hint="eastAsia" w:ascii="楷体" w:hAnsi="楷体" w:eastAsia="楷体" w:cs="楷体"/>
          <w:color w:val="auto"/>
          <w:sz w:val="24"/>
        </w:rPr>
        <w:t>5</w:t>
      </w:r>
      <w:r>
        <w:rPr>
          <w:rFonts w:hint="eastAsia" w:ascii="楷体" w:hAnsi="楷体" w:eastAsia="楷体" w:cs="楷体"/>
          <w:color w:val="auto"/>
          <w:sz w:val="24"/>
          <w:lang w:val="zh-CN"/>
        </w:rPr>
        <w:t>：价格评审</w:t>
      </w:r>
    </w:p>
    <w:p w14:paraId="1585FFD8">
      <w:pPr>
        <w:numPr>
          <w:ilvl w:val="1"/>
          <w:numId w:val="48"/>
        </w:numPr>
        <w:tabs>
          <w:tab w:val="clear" w:pos="907"/>
        </w:tabs>
        <w:adjustRightInd w:val="0"/>
        <w:snapToGrid w:val="0"/>
        <w:spacing w:line="360" w:lineRule="auto"/>
        <w:ind w:left="1207" w:hanging="567"/>
        <w:rPr>
          <w:rFonts w:ascii="楷体" w:hAnsi="楷体" w:eastAsia="楷体" w:cs="楷体"/>
          <w:color w:val="auto"/>
          <w:sz w:val="24"/>
          <w:lang w:val="zh-CN"/>
        </w:rPr>
      </w:pPr>
      <w:r>
        <w:rPr>
          <w:rFonts w:hint="eastAsia" w:ascii="楷体" w:hAnsi="楷体" w:eastAsia="楷体" w:cs="楷体"/>
          <w:color w:val="auto"/>
          <w:sz w:val="24"/>
          <w:lang w:val="zh-CN"/>
        </w:rPr>
        <w:t>评标总得分及其统计</w:t>
      </w:r>
    </w:p>
    <w:p w14:paraId="6E5978BE">
      <w:pPr>
        <w:numPr>
          <w:ilvl w:val="0"/>
          <w:numId w:val="52"/>
        </w:numPr>
        <w:tabs>
          <w:tab w:val="clear" w:pos="1077"/>
        </w:tabs>
        <w:adjustRightInd w:val="0"/>
        <w:snapToGrid w:val="0"/>
        <w:spacing w:line="360" w:lineRule="auto"/>
        <w:ind w:left="1297" w:hanging="657"/>
        <w:rPr>
          <w:rFonts w:ascii="楷体" w:hAnsi="楷体" w:eastAsia="楷体" w:cs="楷体"/>
          <w:color w:val="auto"/>
          <w:sz w:val="24"/>
          <w:lang w:val="zh-CN"/>
        </w:rPr>
      </w:pPr>
      <w:r>
        <w:rPr>
          <w:rFonts w:hint="eastAsia" w:ascii="楷体" w:hAnsi="楷体" w:eastAsia="楷体" w:cs="楷体"/>
          <w:color w:val="auto"/>
          <w:sz w:val="24"/>
          <w:lang w:val="zh-CN"/>
        </w:rPr>
        <w:t>按照评标程序、评分标准及权重分配的规定，评标委员会各成员分别就各个有效投标人的技术商务状况及其对招标文件要求的响应情况进行评分，将各评委评分的算术平均值作为该投标人的技术商务评分。然后，根据比价原则评出价格评分。将技术商务评分和价格评分相加得出评标总得分（评标总得分分值按四舍五入原则精确到小数点后两位数）。</w:t>
      </w:r>
    </w:p>
    <w:p w14:paraId="55472EC5">
      <w:pPr>
        <w:numPr>
          <w:ilvl w:val="1"/>
          <w:numId w:val="48"/>
        </w:numPr>
        <w:tabs>
          <w:tab w:val="clear" w:pos="907"/>
        </w:tabs>
        <w:adjustRightInd w:val="0"/>
        <w:snapToGrid w:val="0"/>
        <w:spacing w:line="360" w:lineRule="auto"/>
        <w:ind w:left="1207" w:hanging="567"/>
        <w:rPr>
          <w:rFonts w:ascii="楷体" w:hAnsi="楷体" w:eastAsia="楷体" w:cs="楷体"/>
          <w:color w:val="auto"/>
          <w:sz w:val="24"/>
          <w:lang w:val="zh-CN"/>
        </w:rPr>
      </w:pPr>
      <w:r>
        <w:rPr>
          <w:rFonts w:hint="eastAsia" w:ascii="楷体" w:hAnsi="楷体" w:eastAsia="楷体" w:cs="楷体"/>
          <w:color w:val="auto"/>
          <w:sz w:val="24"/>
          <w:lang w:val="zh-CN"/>
        </w:rPr>
        <w:t>推荐意见</w:t>
      </w:r>
    </w:p>
    <w:p w14:paraId="533D8830">
      <w:pPr>
        <w:tabs>
          <w:tab w:val="left" w:pos="1220"/>
        </w:tabs>
        <w:adjustRightInd w:val="0"/>
        <w:snapToGrid w:val="0"/>
        <w:spacing w:line="360" w:lineRule="auto"/>
        <w:ind w:firstLine="480" w:firstLineChars="200"/>
        <w:rPr>
          <w:rFonts w:ascii="楷体" w:hAnsi="楷体" w:eastAsia="楷体" w:cs="楷体"/>
          <w:color w:val="auto"/>
          <w:sz w:val="24"/>
          <w:lang w:val="zh-CN"/>
        </w:rPr>
      </w:pPr>
      <w:r>
        <w:rPr>
          <w:rFonts w:hint="eastAsia" w:ascii="楷体" w:hAnsi="楷体" w:eastAsia="楷体" w:cs="楷体"/>
          <w:color w:val="auto"/>
          <w:sz w:val="24"/>
          <w:lang w:val="zh-CN"/>
        </w:rPr>
        <w:t>详见本招标文件第二章投标人须知第</w:t>
      </w:r>
      <w:r>
        <w:rPr>
          <w:rFonts w:hint="eastAsia" w:ascii="楷体" w:hAnsi="楷体" w:eastAsia="楷体" w:cs="楷体"/>
          <w:color w:val="auto"/>
          <w:sz w:val="24"/>
        </w:rPr>
        <w:t>24款相关内容。</w:t>
      </w:r>
    </w:p>
    <w:p w14:paraId="18B20B82">
      <w:pPr>
        <w:pStyle w:val="3"/>
        <w:numPr>
          <w:ilvl w:val="0"/>
          <w:numId w:val="42"/>
        </w:numPr>
        <w:adjustRightInd w:val="0"/>
        <w:snapToGrid w:val="0"/>
        <w:spacing w:before="0" w:after="0" w:line="360" w:lineRule="auto"/>
        <w:jc w:val="left"/>
        <w:rPr>
          <w:rFonts w:ascii="楷体" w:hAnsi="楷体" w:eastAsia="楷体" w:cs="楷体"/>
          <w:color w:val="auto"/>
          <w:sz w:val="24"/>
          <w:szCs w:val="24"/>
          <w:lang w:val="zh-CN"/>
        </w:rPr>
      </w:pPr>
      <w:bookmarkStart w:id="284" w:name="_Toc12509"/>
      <w:bookmarkStart w:id="285" w:name="_Toc30220"/>
      <w:bookmarkStart w:id="286" w:name="_Toc11968"/>
      <w:bookmarkStart w:id="287" w:name="_Toc25704"/>
      <w:bookmarkStart w:id="288" w:name="_Toc9215"/>
      <w:bookmarkStart w:id="289" w:name="_Toc25275"/>
      <w:bookmarkStart w:id="290" w:name="_Toc17517"/>
      <w:r>
        <w:rPr>
          <w:rFonts w:hint="eastAsia" w:ascii="楷体" w:hAnsi="楷体" w:eastAsia="楷体" w:cs="楷体"/>
          <w:color w:val="auto"/>
          <w:sz w:val="24"/>
          <w:szCs w:val="24"/>
          <w:lang w:val="zh-CN"/>
        </w:rPr>
        <w:t>附表</w:t>
      </w:r>
      <w:bookmarkEnd w:id="284"/>
      <w:bookmarkEnd w:id="285"/>
      <w:bookmarkEnd w:id="286"/>
      <w:bookmarkEnd w:id="287"/>
      <w:bookmarkEnd w:id="288"/>
      <w:bookmarkEnd w:id="289"/>
      <w:bookmarkEnd w:id="290"/>
    </w:p>
    <w:p w14:paraId="10F429F1">
      <w:pPr>
        <w:numPr>
          <w:ilvl w:val="1"/>
          <w:numId w:val="53"/>
        </w:numPr>
        <w:tabs>
          <w:tab w:val="left" w:pos="1220"/>
        </w:tabs>
        <w:adjustRightInd w:val="0"/>
        <w:snapToGrid w:val="0"/>
        <w:spacing w:line="360" w:lineRule="auto"/>
        <w:ind w:hanging="267"/>
        <w:rPr>
          <w:rFonts w:ascii="楷体" w:hAnsi="楷体" w:eastAsia="楷体" w:cs="楷体"/>
          <w:color w:val="auto"/>
          <w:sz w:val="24"/>
          <w:lang w:val="zh-CN"/>
        </w:rPr>
      </w:pPr>
      <w:bookmarkStart w:id="291" w:name="_Toc23661"/>
      <w:r>
        <w:rPr>
          <w:rFonts w:hint="eastAsia" w:ascii="楷体" w:hAnsi="楷体" w:eastAsia="楷体" w:cs="楷体"/>
          <w:color w:val="auto"/>
          <w:sz w:val="24"/>
          <w:lang w:val="zh-CN"/>
        </w:rPr>
        <w:t>附表</w:t>
      </w:r>
      <w:r>
        <w:rPr>
          <w:rFonts w:hint="eastAsia" w:ascii="楷体" w:hAnsi="楷体" w:eastAsia="楷体" w:cs="楷体"/>
          <w:color w:val="auto"/>
          <w:sz w:val="24"/>
        </w:rPr>
        <w:t>1：</w:t>
      </w:r>
      <w:r>
        <w:rPr>
          <w:rFonts w:hint="eastAsia" w:ascii="楷体" w:hAnsi="楷体" w:eastAsia="楷体" w:cs="楷体"/>
          <w:color w:val="auto"/>
          <w:sz w:val="24"/>
          <w:lang w:val="zh-CN"/>
        </w:rPr>
        <w:t>资格性审查及符合性审查表</w:t>
      </w:r>
    </w:p>
    <w:p w14:paraId="6DE3005E">
      <w:pPr>
        <w:numPr>
          <w:ilvl w:val="1"/>
          <w:numId w:val="53"/>
        </w:numPr>
        <w:tabs>
          <w:tab w:val="left" w:pos="1220"/>
        </w:tabs>
        <w:adjustRightInd w:val="0"/>
        <w:snapToGrid w:val="0"/>
        <w:spacing w:line="360" w:lineRule="auto"/>
        <w:ind w:hanging="267"/>
        <w:rPr>
          <w:rFonts w:ascii="楷体" w:hAnsi="楷体" w:eastAsia="楷体" w:cs="楷体"/>
          <w:color w:val="auto"/>
          <w:sz w:val="24"/>
          <w:lang w:val="zh-CN"/>
        </w:rPr>
      </w:pPr>
      <w:r>
        <w:rPr>
          <w:rFonts w:hint="eastAsia" w:ascii="楷体" w:hAnsi="楷体" w:eastAsia="楷体" w:cs="楷体"/>
          <w:color w:val="auto"/>
          <w:sz w:val="24"/>
          <w:lang w:val="zh-CN"/>
        </w:rPr>
        <w:t>附表</w:t>
      </w:r>
      <w:r>
        <w:rPr>
          <w:rFonts w:hint="eastAsia" w:ascii="楷体" w:hAnsi="楷体" w:eastAsia="楷体" w:cs="楷体"/>
          <w:color w:val="auto"/>
          <w:sz w:val="24"/>
        </w:rPr>
        <w:t>2：</w:t>
      </w:r>
      <w:r>
        <w:rPr>
          <w:rFonts w:hint="eastAsia" w:ascii="楷体" w:hAnsi="楷体" w:eastAsia="楷体" w:cs="楷体"/>
          <w:color w:val="auto"/>
          <w:sz w:val="24"/>
          <w:lang w:val="zh-CN"/>
        </w:rPr>
        <w:t>商务技术及价格权重分配</w:t>
      </w:r>
    </w:p>
    <w:p w14:paraId="1342D389">
      <w:pPr>
        <w:numPr>
          <w:ilvl w:val="1"/>
          <w:numId w:val="53"/>
        </w:numPr>
        <w:tabs>
          <w:tab w:val="left" w:pos="1220"/>
        </w:tabs>
        <w:adjustRightInd w:val="0"/>
        <w:snapToGrid w:val="0"/>
        <w:spacing w:line="360" w:lineRule="auto"/>
        <w:ind w:hanging="267"/>
        <w:rPr>
          <w:rFonts w:ascii="楷体" w:hAnsi="楷体" w:eastAsia="楷体" w:cs="楷体"/>
          <w:color w:val="auto"/>
          <w:sz w:val="24"/>
          <w:lang w:val="zh-CN"/>
        </w:rPr>
      </w:pPr>
      <w:r>
        <w:rPr>
          <w:rFonts w:hint="eastAsia" w:ascii="楷体" w:hAnsi="楷体" w:eastAsia="楷体" w:cs="楷体"/>
          <w:color w:val="auto"/>
          <w:sz w:val="24"/>
          <w:lang w:val="zh-CN"/>
        </w:rPr>
        <w:t>附表</w:t>
      </w:r>
      <w:r>
        <w:rPr>
          <w:rFonts w:hint="eastAsia" w:ascii="楷体" w:hAnsi="楷体" w:eastAsia="楷体" w:cs="楷体"/>
          <w:color w:val="auto"/>
          <w:sz w:val="24"/>
        </w:rPr>
        <w:t>3：</w:t>
      </w:r>
      <w:r>
        <w:rPr>
          <w:rFonts w:hint="eastAsia" w:ascii="楷体" w:hAnsi="楷体" w:eastAsia="楷体" w:cs="楷体"/>
          <w:color w:val="auto"/>
          <w:sz w:val="24"/>
          <w:lang w:val="zh-CN"/>
        </w:rPr>
        <w:t>商务评审表</w:t>
      </w:r>
    </w:p>
    <w:p w14:paraId="1210FFA7">
      <w:pPr>
        <w:numPr>
          <w:ilvl w:val="1"/>
          <w:numId w:val="53"/>
        </w:numPr>
        <w:tabs>
          <w:tab w:val="left" w:pos="1220"/>
        </w:tabs>
        <w:adjustRightInd w:val="0"/>
        <w:snapToGrid w:val="0"/>
        <w:spacing w:line="360" w:lineRule="auto"/>
        <w:ind w:hanging="267"/>
        <w:rPr>
          <w:rFonts w:ascii="楷体" w:hAnsi="楷体" w:eastAsia="楷体" w:cs="楷体"/>
          <w:color w:val="auto"/>
          <w:sz w:val="24"/>
          <w:lang w:val="zh-CN"/>
        </w:rPr>
      </w:pPr>
      <w:r>
        <w:rPr>
          <w:rFonts w:hint="eastAsia" w:ascii="楷体" w:hAnsi="楷体" w:eastAsia="楷体" w:cs="楷体"/>
          <w:color w:val="auto"/>
          <w:sz w:val="24"/>
          <w:lang w:val="zh-CN"/>
        </w:rPr>
        <w:t>附表</w:t>
      </w:r>
      <w:r>
        <w:rPr>
          <w:rFonts w:hint="eastAsia" w:ascii="楷体" w:hAnsi="楷体" w:eastAsia="楷体" w:cs="楷体"/>
          <w:color w:val="auto"/>
          <w:sz w:val="24"/>
        </w:rPr>
        <w:t>4：</w:t>
      </w:r>
      <w:r>
        <w:rPr>
          <w:rFonts w:hint="eastAsia" w:ascii="楷体" w:hAnsi="楷体" w:eastAsia="楷体" w:cs="楷体"/>
          <w:color w:val="auto"/>
          <w:sz w:val="24"/>
          <w:lang w:val="zh-CN"/>
        </w:rPr>
        <w:t>技术评审表</w:t>
      </w:r>
    </w:p>
    <w:p w14:paraId="08FD3ADA">
      <w:pPr>
        <w:numPr>
          <w:ilvl w:val="1"/>
          <w:numId w:val="53"/>
        </w:numPr>
        <w:tabs>
          <w:tab w:val="left" w:pos="1220"/>
          <w:tab w:val="clear" w:pos="907"/>
        </w:tabs>
        <w:adjustRightInd w:val="0"/>
        <w:snapToGrid w:val="0"/>
        <w:spacing w:line="360" w:lineRule="auto"/>
        <w:ind w:left="7" w:firstLine="633"/>
        <w:rPr>
          <w:rFonts w:ascii="楷体" w:hAnsi="楷体" w:eastAsia="楷体" w:cs="楷体"/>
          <w:b/>
          <w:color w:val="auto"/>
          <w:sz w:val="24"/>
        </w:rPr>
      </w:pPr>
      <w:r>
        <w:rPr>
          <w:rFonts w:hint="eastAsia" w:ascii="楷体" w:hAnsi="楷体" w:eastAsia="楷体" w:cs="楷体"/>
          <w:color w:val="auto"/>
          <w:sz w:val="24"/>
          <w:lang w:val="zh-CN"/>
        </w:rPr>
        <w:t>附表</w:t>
      </w:r>
      <w:r>
        <w:rPr>
          <w:rFonts w:hint="eastAsia" w:ascii="楷体" w:hAnsi="楷体" w:eastAsia="楷体" w:cs="楷体"/>
          <w:color w:val="auto"/>
          <w:sz w:val="24"/>
        </w:rPr>
        <w:t>5：</w:t>
      </w:r>
      <w:r>
        <w:rPr>
          <w:rFonts w:hint="eastAsia" w:ascii="楷体" w:hAnsi="楷体" w:eastAsia="楷体" w:cs="楷体"/>
          <w:color w:val="auto"/>
          <w:sz w:val="24"/>
          <w:lang w:val="zh-CN"/>
        </w:rPr>
        <w:t>价格评审</w:t>
      </w:r>
      <w:r>
        <w:rPr>
          <w:rFonts w:hint="eastAsia" w:ascii="楷体" w:hAnsi="楷体" w:eastAsia="楷体" w:cs="楷体"/>
          <w:b/>
          <w:color w:val="auto"/>
          <w:sz w:val="24"/>
        </w:rPr>
        <w:br w:type="page"/>
      </w:r>
      <w:r>
        <w:rPr>
          <w:rFonts w:hint="eastAsia" w:ascii="楷体" w:hAnsi="楷体" w:eastAsia="楷体" w:cs="楷体"/>
          <w:b/>
          <w:color w:val="auto"/>
          <w:sz w:val="24"/>
        </w:rPr>
        <w:t>附表1：资格性审查及符合性审查表</w:t>
      </w:r>
      <w:bookmarkEnd w:id="29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76"/>
        <w:gridCol w:w="2209"/>
        <w:gridCol w:w="3780"/>
      </w:tblGrid>
      <w:tr w14:paraId="5C7D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7" w:type="dxa"/>
            <w:gridSpan w:val="2"/>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1BF265FB">
            <w:pPr>
              <w:jc w:val="center"/>
              <w:rPr>
                <w:rFonts w:ascii="楷体" w:hAnsi="楷体" w:eastAsia="楷体" w:cs="楷体"/>
                <w:b/>
                <w:color w:val="auto"/>
                <w:sz w:val="24"/>
                <w:lang w:eastAsia="en-US"/>
              </w:rPr>
            </w:pPr>
            <w:r>
              <w:rPr>
                <w:rFonts w:hint="eastAsia" w:ascii="楷体" w:hAnsi="楷体" w:eastAsia="楷体" w:cs="楷体"/>
                <w:b/>
                <w:color w:val="auto"/>
                <w:sz w:val="24"/>
                <w:lang w:eastAsia="en-US"/>
              </w:rPr>
              <w:t>条款号</w:t>
            </w:r>
          </w:p>
        </w:tc>
        <w:tc>
          <w:tcPr>
            <w:tcW w:w="2209" w:type="dxa"/>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166AE7E5">
            <w:pPr>
              <w:jc w:val="center"/>
              <w:rPr>
                <w:rFonts w:ascii="楷体" w:hAnsi="楷体" w:eastAsia="楷体" w:cs="楷体"/>
                <w:b/>
                <w:color w:val="auto"/>
                <w:sz w:val="24"/>
                <w:lang w:eastAsia="en-US"/>
              </w:rPr>
            </w:pPr>
            <w:r>
              <w:rPr>
                <w:rFonts w:hint="eastAsia" w:ascii="楷体" w:hAnsi="楷体" w:eastAsia="楷体" w:cs="楷体"/>
                <w:b/>
                <w:color w:val="auto"/>
                <w:sz w:val="24"/>
                <w:lang w:eastAsia="en-US"/>
              </w:rPr>
              <w:t>评审因素</w:t>
            </w:r>
          </w:p>
        </w:tc>
        <w:tc>
          <w:tcPr>
            <w:tcW w:w="3780" w:type="dxa"/>
            <w:tcBorders>
              <w:top w:val="single" w:color="000000" w:sz="4" w:space="0"/>
              <w:left w:val="single" w:color="000000" w:sz="4" w:space="0"/>
              <w:bottom w:val="single" w:color="000000" w:sz="4" w:space="0"/>
              <w:right w:val="single" w:color="000000" w:sz="4" w:space="0"/>
            </w:tcBorders>
            <w:shd w:val="clear" w:color="auto" w:fill="EAEAEA"/>
            <w:noWrap/>
            <w:vAlign w:val="center"/>
          </w:tcPr>
          <w:p w14:paraId="3D520DDE">
            <w:pPr>
              <w:jc w:val="center"/>
              <w:rPr>
                <w:rFonts w:ascii="楷体" w:hAnsi="楷体" w:eastAsia="楷体" w:cs="楷体"/>
                <w:color w:val="auto"/>
                <w:sz w:val="24"/>
                <w:lang w:eastAsia="en-US"/>
              </w:rPr>
            </w:pPr>
            <w:r>
              <w:rPr>
                <w:rFonts w:hint="eastAsia" w:ascii="楷体" w:hAnsi="楷体" w:eastAsia="楷体" w:cs="楷体"/>
                <w:b/>
                <w:color w:val="auto"/>
                <w:sz w:val="24"/>
                <w:lang w:eastAsia="en-US"/>
              </w:rPr>
              <w:t>评审标准</w:t>
            </w:r>
          </w:p>
        </w:tc>
      </w:tr>
      <w:tr w14:paraId="77BB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480DABFF">
            <w:pPr>
              <w:jc w:val="center"/>
              <w:rPr>
                <w:rFonts w:ascii="楷体" w:hAnsi="楷体" w:eastAsia="楷体" w:cs="楷体"/>
                <w:color w:val="auto"/>
                <w:sz w:val="24"/>
                <w:lang w:eastAsia="en-US"/>
              </w:rPr>
            </w:pPr>
            <w:r>
              <w:rPr>
                <w:rFonts w:hint="eastAsia" w:ascii="楷体" w:hAnsi="楷体" w:eastAsia="楷体" w:cs="楷体"/>
                <w:color w:val="auto"/>
                <w:sz w:val="24"/>
                <w:lang w:eastAsia="en-US"/>
              </w:rPr>
              <w:t>1</w:t>
            </w: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05C9D6D9">
            <w:pPr>
              <w:jc w:val="center"/>
              <w:rPr>
                <w:rFonts w:ascii="楷体" w:hAnsi="楷体" w:eastAsia="楷体" w:cs="楷体"/>
                <w:color w:val="auto"/>
                <w:sz w:val="24"/>
                <w:lang w:eastAsia="en-US"/>
              </w:rPr>
            </w:pPr>
            <w:r>
              <w:rPr>
                <w:rFonts w:hint="eastAsia" w:ascii="楷体" w:hAnsi="楷体" w:eastAsia="楷体" w:cs="楷体"/>
                <w:color w:val="auto"/>
                <w:sz w:val="24"/>
                <w:lang w:eastAsia="en-US"/>
              </w:rPr>
              <w:t>资格性审查</w:t>
            </w: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1A2FB723">
            <w:pPr>
              <w:jc w:val="center"/>
              <w:rPr>
                <w:rFonts w:ascii="楷体" w:hAnsi="楷体" w:eastAsia="楷体" w:cs="楷体"/>
                <w:color w:val="auto"/>
                <w:sz w:val="24"/>
                <w:lang w:eastAsia="en-US"/>
              </w:rPr>
            </w:pPr>
            <w:r>
              <w:rPr>
                <w:rFonts w:hint="eastAsia" w:ascii="楷体" w:hAnsi="楷体" w:eastAsia="楷体" w:cs="楷体"/>
                <w:color w:val="auto"/>
                <w:sz w:val="24"/>
                <w:lang w:eastAsia="en-US"/>
              </w:rPr>
              <w:t>合格投标人</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1173D48">
            <w:pPr>
              <w:jc w:val="left"/>
              <w:rPr>
                <w:rFonts w:ascii="楷体" w:hAnsi="楷体" w:eastAsia="楷体" w:cs="楷体"/>
                <w:color w:val="auto"/>
                <w:sz w:val="24"/>
              </w:rPr>
            </w:pPr>
            <w:r>
              <w:rPr>
                <w:rFonts w:hint="eastAsia" w:ascii="楷体" w:hAnsi="楷体" w:eastAsia="楷体" w:cs="楷体"/>
                <w:color w:val="auto"/>
                <w:sz w:val="24"/>
              </w:rPr>
              <w:t>详见投标邀请函中“供应商（服务商）资格”相应条款</w:t>
            </w:r>
          </w:p>
        </w:tc>
      </w:tr>
      <w:tr w14:paraId="716B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restart"/>
            <w:tcBorders>
              <w:top w:val="single" w:color="000000" w:sz="4" w:space="0"/>
              <w:left w:val="single" w:color="000000" w:sz="4" w:space="0"/>
              <w:bottom w:val="single" w:color="000000" w:sz="4" w:space="0"/>
              <w:right w:val="single" w:color="000000" w:sz="4" w:space="0"/>
            </w:tcBorders>
            <w:noWrap/>
            <w:vAlign w:val="center"/>
          </w:tcPr>
          <w:p w14:paraId="035BBF15">
            <w:pPr>
              <w:jc w:val="center"/>
              <w:rPr>
                <w:rFonts w:ascii="楷体" w:hAnsi="楷体" w:eastAsia="楷体" w:cs="楷体"/>
                <w:color w:val="auto"/>
                <w:sz w:val="24"/>
                <w:lang w:eastAsia="en-US"/>
              </w:rPr>
            </w:pPr>
            <w:r>
              <w:rPr>
                <w:rFonts w:hint="eastAsia" w:ascii="楷体" w:hAnsi="楷体" w:eastAsia="楷体" w:cs="楷体"/>
                <w:color w:val="auto"/>
                <w:sz w:val="24"/>
                <w:lang w:eastAsia="en-US"/>
              </w:rPr>
              <w:t>2</w:t>
            </w:r>
          </w:p>
        </w:tc>
        <w:tc>
          <w:tcPr>
            <w:tcW w:w="1576" w:type="dxa"/>
            <w:vMerge w:val="restart"/>
            <w:tcBorders>
              <w:top w:val="single" w:color="000000" w:sz="4" w:space="0"/>
              <w:left w:val="single" w:color="000000" w:sz="4" w:space="0"/>
              <w:bottom w:val="single" w:color="000000" w:sz="4" w:space="0"/>
              <w:right w:val="single" w:color="000000" w:sz="4" w:space="0"/>
            </w:tcBorders>
            <w:noWrap/>
            <w:vAlign w:val="center"/>
          </w:tcPr>
          <w:p w14:paraId="18100AA9">
            <w:pPr>
              <w:jc w:val="center"/>
              <w:rPr>
                <w:rFonts w:ascii="楷体" w:hAnsi="楷体" w:eastAsia="楷体" w:cs="楷体"/>
                <w:color w:val="auto"/>
                <w:sz w:val="24"/>
                <w:lang w:eastAsia="en-US"/>
              </w:rPr>
            </w:pPr>
            <w:r>
              <w:rPr>
                <w:rFonts w:hint="eastAsia" w:ascii="楷体" w:hAnsi="楷体" w:eastAsia="楷体" w:cs="楷体"/>
                <w:color w:val="auto"/>
                <w:sz w:val="24"/>
                <w:lang w:eastAsia="en-US"/>
              </w:rPr>
              <w:t>符合性审查</w:t>
            </w: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8FF6DE5">
            <w:pPr>
              <w:jc w:val="center"/>
              <w:rPr>
                <w:rFonts w:ascii="楷体" w:hAnsi="楷体" w:eastAsia="楷体" w:cs="楷体"/>
                <w:color w:val="auto"/>
                <w:sz w:val="24"/>
                <w:lang w:eastAsia="en-US"/>
              </w:rPr>
            </w:pPr>
            <w:r>
              <w:rPr>
                <w:rFonts w:hint="eastAsia" w:ascii="楷体" w:hAnsi="楷体" w:eastAsia="楷体" w:cs="楷体"/>
                <w:color w:val="auto"/>
                <w:sz w:val="24"/>
                <w:lang w:eastAsia="en-US"/>
              </w:rPr>
              <w:t>投标函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003D363">
            <w:pPr>
              <w:jc w:val="left"/>
              <w:rPr>
                <w:rFonts w:ascii="楷体" w:hAnsi="楷体" w:eastAsia="楷体" w:cs="楷体"/>
                <w:color w:val="auto"/>
                <w:sz w:val="24"/>
              </w:rPr>
            </w:pPr>
            <w:r>
              <w:rPr>
                <w:rFonts w:hint="eastAsia" w:ascii="楷体" w:hAnsi="楷体" w:eastAsia="楷体" w:cs="楷体"/>
                <w:color w:val="auto"/>
                <w:sz w:val="24"/>
              </w:rPr>
              <w:t>按对应格式文件填写、签署、盖章</w:t>
            </w:r>
          </w:p>
        </w:tc>
      </w:tr>
      <w:tr w14:paraId="7B99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22B58D86">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3AC259DF">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4A75ECA">
            <w:pPr>
              <w:jc w:val="center"/>
              <w:rPr>
                <w:rFonts w:ascii="楷体" w:hAnsi="楷体" w:eastAsia="楷体" w:cs="楷体"/>
                <w:color w:val="auto"/>
                <w:sz w:val="24"/>
              </w:rPr>
            </w:pPr>
            <w:r>
              <w:rPr>
                <w:rFonts w:hint="eastAsia" w:ascii="楷体" w:hAnsi="楷体" w:eastAsia="楷体" w:cs="楷体"/>
                <w:color w:val="auto"/>
                <w:sz w:val="24"/>
              </w:rPr>
              <w:t>法定代表人证明书及法定代表人授权委托书</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C1D6FDC">
            <w:pPr>
              <w:jc w:val="left"/>
              <w:rPr>
                <w:rFonts w:ascii="楷体" w:hAnsi="楷体" w:eastAsia="楷体" w:cs="楷体"/>
                <w:color w:val="auto"/>
                <w:sz w:val="24"/>
              </w:rPr>
            </w:pPr>
            <w:r>
              <w:rPr>
                <w:rFonts w:hint="eastAsia" w:ascii="楷体" w:hAnsi="楷体" w:eastAsia="楷体" w:cs="楷体"/>
                <w:color w:val="auto"/>
                <w:sz w:val="24"/>
              </w:rPr>
              <w:t>按对应格式文件签署、盖章</w:t>
            </w:r>
          </w:p>
        </w:tc>
      </w:tr>
      <w:tr w14:paraId="63DD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07293121">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2685A7C4">
            <w:pPr>
              <w:jc w:val="center"/>
              <w:rPr>
                <w:rFonts w:ascii="楷体" w:hAnsi="楷体" w:eastAsia="楷体" w:cs="楷体"/>
                <w:color w:val="auto"/>
                <w:sz w:val="24"/>
              </w:rPr>
            </w:pPr>
          </w:p>
        </w:tc>
        <w:tc>
          <w:tcPr>
            <w:tcW w:w="2209" w:type="dxa"/>
            <w:vMerge w:val="restart"/>
            <w:tcBorders>
              <w:top w:val="single" w:color="000000" w:sz="4" w:space="0"/>
              <w:left w:val="single" w:color="000000" w:sz="4" w:space="0"/>
              <w:right w:val="single" w:color="000000" w:sz="4" w:space="0"/>
            </w:tcBorders>
            <w:noWrap/>
            <w:vAlign w:val="center"/>
          </w:tcPr>
          <w:p w14:paraId="61F674C4">
            <w:pPr>
              <w:jc w:val="center"/>
              <w:rPr>
                <w:rFonts w:ascii="楷体" w:hAnsi="楷体" w:eastAsia="楷体" w:cs="楷体"/>
                <w:color w:val="auto"/>
                <w:sz w:val="24"/>
                <w:lang w:eastAsia="en-US"/>
              </w:rPr>
            </w:pPr>
            <w:r>
              <w:rPr>
                <w:rFonts w:hint="eastAsia" w:ascii="楷体" w:hAnsi="楷体" w:eastAsia="楷体" w:cs="楷体"/>
                <w:color w:val="auto"/>
                <w:sz w:val="24"/>
                <w:lang w:eastAsia="en-US"/>
              </w:rPr>
              <w:t>报价要求</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C9264C8">
            <w:pPr>
              <w:jc w:val="left"/>
              <w:rPr>
                <w:rFonts w:ascii="楷体" w:hAnsi="楷体" w:eastAsia="楷体" w:cs="楷体"/>
                <w:color w:val="auto"/>
                <w:sz w:val="24"/>
              </w:rPr>
            </w:pPr>
            <w:r>
              <w:rPr>
                <w:rFonts w:hint="eastAsia" w:ascii="楷体" w:hAnsi="楷体" w:eastAsia="楷体" w:cs="楷体"/>
                <w:color w:val="auto"/>
                <w:sz w:val="24"/>
              </w:rPr>
              <w:t>投标报价是固定价且是唯一的，投标报价未超出最高限价。</w:t>
            </w:r>
          </w:p>
        </w:tc>
      </w:tr>
      <w:tr w14:paraId="52C2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03F7BDBE">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29161AD3">
            <w:pPr>
              <w:jc w:val="center"/>
              <w:rPr>
                <w:rFonts w:ascii="楷体" w:hAnsi="楷体" w:eastAsia="楷体" w:cs="楷体"/>
                <w:color w:val="auto"/>
                <w:sz w:val="24"/>
              </w:rPr>
            </w:pPr>
          </w:p>
        </w:tc>
        <w:tc>
          <w:tcPr>
            <w:tcW w:w="2209" w:type="dxa"/>
            <w:vMerge w:val="continue"/>
            <w:tcBorders>
              <w:left w:val="single" w:color="000000" w:sz="4" w:space="0"/>
              <w:right w:val="single" w:color="000000" w:sz="4" w:space="0"/>
            </w:tcBorders>
            <w:noWrap/>
            <w:vAlign w:val="center"/>
          </w:tcPr>
          <w:p w14:paraId="6369BEED">
            <w:pPr>
              <w:jc w:val="center"/>
              <w:rPr>
                <w:rFonts w:ascii="楷体" w:hAnsi="楷体" w:eastAsia="楷体" w:cs="楷体"/>
                <w:color w:val="auto"/>
                <w:sz w:val="24"/>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0E9BE86">
            <w:pPr>
              <w:rPr>
                <w:rFonts w:ascii="楷体" w:hAnsi="楷体" w:eastAsia="楷体" w:cs="楷体"/>
                <w:color w:val="auto"/>
                <w:sz w:val="24"/>
              </w:rPr>
            </w:pPr>
            <w:r>
              <w:rPr>
                <w:rFonts w:hint="eastAsia" w:ascii="楷体" w:hAnsi="楷体" w:eastAsia="楷体" w:cs="楷体"/>
                <w:color w:val="auto"/>
                <w:sz w:val="24"/>
              </w:rPr>
              <w:t>投标人的报价明显低于其他通过符合性审查投标人的报价，评标委员会有权要求投标人在规定时间内提供书面说明或提供相关证明材料，否则视为无效投标。</w:t>
            </w:r>
          </w:p>
        </w:tc>
      </w:tr>
      <w:tr w14:paraId="299A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016C95D8">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60156E89">
            <w:pPr>
              <w:jc w:val="center"/>
              <w:rPr>
                <w:rFonts w:ascii="楷体" w:hAnsi="楷体" w:eastAsia="楷体" w:cs="楷体"/>
                <w:color w:val="auto"/>
                <w:sz w:val="24"/>
              </w:rPr>
            </w:pPr>
          </w:p>
        </w:tc>
        <w:tc>
          <w:tcPr>
            <w:tcW w:w="2209" w:type="dxa"/>
            <w:vMerge w:val="continue"/>
            <w:tcBorders>
              <w:left w:val="single" w:color="000000" w:sz="4" w:space="0"/>
              <w:bottom w:val="single" w:color="000000" w:sz="4" w:space="0"/>
              <w:right w:val="single" w:color="000000" w:sz="4" w:space="0"/>
            </w:tcBorders>
            <w:noWrap/>
            <w:vAlign w:val="center"/>
          </w:tcPr>
          <w:p w14:paraId="62BC832F">
            <w:pPr>
              <w:jc w:val="center"/>
              <w:rPr>
                <w:rFonts w:ascii="楷体" w:hAnsi="楷体" w:eastAsia="楷体" w:cs="楷体"/>
                <w:color w:val="auto"/>
                <w:sz w:val="24"/>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14FD902">
            <w:pPr>
              <w:jc w:val="left"/>
              <w:rPr>
                <w:rFonts w:ascii="楷体" w:hAnsi="楷体" w:eastAsia="楷体" w:cs="楷体"/>
                <w:color w:val="auto"/>
                <w:sz w:val="24"/>
              </w:rPr>
            </w:pPr>
            <w:r>
              <w:rPr>
                <w:rFonts w:hint="eastAsia" w:ascii="楷体" w:hAnsi="楷体" w:eastAsia="楷体" w:cs="楷体"/>
                <w:color w:val="auto"/>
                <w:sz w:val="24"/>
              </w:rPr>
              <w:t>招标文件不接受提交备选方案。</w:t>
            </w:r>
          </w:p>
        </w:tc>
      </w:tr>
      <w:tr w14:paraId="5A09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3217EB9B">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4B3A2C55">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5F7900D4">
            <w:pPr>
              <w:jc w:val="center"/>
              <w:rPr>
                <w:rFonts w:ascii="楷体" w:hAnsi="楷体" w:eastAsia="楷体" w:cs="楷体"/>
                <w:color w:val="auto"/>
                <w:sz w:val="24"/>
                <w:lang w:eastAsia="en-US"/>
              </w:rPr>
            </w:pPr>
            <w:r>
              <w:rPr>
                <w:rFonts w:hint="eastAsia" w:ascii="楷体" w:hAnsi="楷体" w:eastAsia="楷体" w:cs="楷体"/>
                <w:color w:val="auto"/>
                <w:sz w:val="24"/>
                <w:lang w:eastAsia="en-US"/>
              </w:rPr>
              <w:t>投标文件的完整性</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7DE1070">
            <w:pPr>
              <w:jc w:val="left"/>
              <w:rPr>
                <w:rFonts w:ascii="楷体" w:hAnsi="楷体" w:eastAsia="楷体" w:cs="楷体"/>
                <w:color w:val="auto"/>
                <w:sz w:val="24"/>
              </w:rPr>
            </w:pPr>
            <w:r>
              <w:rPr>
                <w:rFonts w:hint="eastAsia" w:ascii="楷体" w:hAnsi="楷体" w:eastAsia="楷体" w:cs="楷体"/>
                <w:color w:val="auto"/>
                <w:sz w:val="24"/>
              </w:rPr>
              <w:t>投标文件完整且编排有序，投标内容基本完整，无重大错漏，并按要求密封、签署、盖章。</w:t>
            </w:r>
          </w:p>
        </w:tc>
      </w:tr>
      <w:tr w14:paraId="4645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14C4E266">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7ECD1515">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1ABE3CAF">
            <w:pPr>
              <w:jc w:val="center"/>
              <w:rPr>
                <w:rFonts w:ascii="楷体" w:hAnsi="楷体" w:eastAsia="楷体" w:cs="楷体"/>
                <w:color w:val="auto"/>
                <w:sz w:val="24"/>
              </w:rPr>
            </w:pPr>
            <w:r>
              <w:rPr>
                <w:rFonts w:hint="eastAsia" w:ascii="楷体" w:hAnsi="楷体" w:eastAsia="楷体" w:cs="楷体"/>
                <w:color w:val="auto"/>
                <w:sz w:val="24"/>
              </w:rPr>
              <w:t>服务期</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D16230A">
            <w:pPr>
              <w:jc w:val="left"/>
              <w:rPr>
                <w:rFonts w:ascii="楷体" w:hAnsi="楷体" w:eastAsia="楷体" w:cs="楷体"/>
                <w:color w:val="auto"/>
                <w:sz w:val="24"/>
                <w:lang w:eastAsia="en-US"/>
              </w:rPr>
            </w:pPr>
            <w:r>
              <w:rPr>
                <w:rFonts w:hint="eastAsia" w:ascii="楷体" w:hAnsi="楷体" w:eastAsia="楷体" w:cs="楷体"/>
                <w:color w:val="auto"/>
                <w:sz w:val="24"/>
                <w:lang w:eastAsia="en-US"/>
              </w:rPr>
              <w:t>满足招标文件要求</w:t>
            </w:r>
          </w:p>
        </w:tc>
      </w:tr>
      <w:tr w14:paraId="5E54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3E1B6484">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1256834B">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4F1F7956">
            <w:pPr>
              <w:jc w:val="center"/>
              <w:rPr>
                <w:rFonts w:ascii="楷体" w:hAnsi="楷体" w:eastAsia="楷体" w:cs="楷体"/>
                <w:color w:val="auto"/>
                <w:sz w:val="24"/>
              </w:rPr>
            </w:pPr>
            <w:r>
              <w:rPr>
                <w:rFonts w:hint="eastAsia" w:ascii="楷体" w:hAnsi="楷体" w:eastAsia="楷体" w:cs="楷体"/>
                <w:color w:val="auto"/>
                <w:sz w:val="24"/>
              </w:rPr>
              <w:t>“★”号条款</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B98DD0F">
            <w:pPr>
              <w:jc w:val="left"/>
              <w:rPr>
                <w:rFonts w:ascii="楷体" w:hAnsi="楷体" w:eastAsia="楷体" w:cs="楷体"/>
                <w:color w:val="auto"/>
                <w:sz w:val="24"/>
                <w:lang w:eastAsia="en-US"/>
              </w:rPr>
            </w:pPr>
            <w:r>
              <w:rPr>
                <w:rFonts w:hint="eastAsia" w:ascii="楷体" w:hAnsi="楷体" w:eastAsia="楷体" w:cs="楷体"/>
                <w:color w:val="auto"/>
                <w:sz w:val="24"/>
                <w:lang w:eastAsia="en-US"/>
              </w:rPr>
              <w:t>满足招标文件要求</w:t>
            </w:r>
          </w:p>
        </w:tc>
      </w:tr>
      <w:tr w14:paraId="66E0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3F4D1E22">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7282BBCE">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7C8CF4F8">
            <w:pPr>
              <w:jc w:val="center"/>
              <w:rPr>
                <w:rFonts w:ascii="楷体" w:hAnsi="楷体" w:eastAsia="楷体" w:cs="楷体"/>
                <w:color w:val="auto"/>
                <w:sz w:val="24"/>
                <w:lang w:eastAsia="en-US"/>
              </w:rPr>
            </w:pPr>
            <w:r>
              <w:rPr>
                <w:rFonts w:hint="eastAsia" w:ascii="楷体" w:hAnsi="楷体" w:eastAsia="楷体" w:cs="楷体"/>
                <w:color w:val="auto"/>
                <w:sz w:val="24"/>
                <w:lang w:eastAsia="en-US"/>
              </w:rPr>
              <w:t>投标有效期</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E1AA4F9">
            <w:pPr>
              <w:jc w:val="left"/>
              <w:rPr>
                <w:rFonts w:ascii="楷体" w:hAnsi="楷体" w:eastAsia="楷体" w:cs="楷体"/>
                <w:color w:val="auto"/>
                <w:sz w:val="24"/>
                <w:lang w:eastAsia="en-US"/>
              </w:rPr>
            </w:pPr>
            <w:r>
              <w:rPr>
                <w:rFonts w:hint="eastAsia" w:ascii="楷体" w:hAnsi="楷体" w:eastAsia="楷体" w:cs="楷体"/>
                <w:color w:val="auto"/>
                <w:sz w:val="24"/>
                <w:lang w:eastAsia="en-US"/>
              </w:rPr>
              <w:t>投标截止日起90天</w:t>
            </w:r>
          </w:p>
        </w:tc>
      </w:tr>
      <w:tr w14:paraId="0DB0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30B3AB32">
            <w:pPr>
              <w:jc w:val="center"/>
              <w:rPr>
                <w:rFonts w:ascii="楷体" w:hAnsi="楷体" w:eastAsia="楷体" w:cs="楷体"/>
                <w:color w:val="auto"/>
                <w:sz w:val="24"/>
                <w:lang w:eastAsia="en-US"/>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44716852">
            <w:pPr>
              <w:jc w:val="center"/>
              <w:rPr>
                <w:rFonts w:ascii="楷体" w:hAnsi="楷体" w:eastAsia="楷体" w:cs="楷体"/>
                <w:color w:val="auto"/>
                <w:sz w:val="24"/>
                <w:lang w:eastAsia="en-US"/>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7B009864">
            <w:pPr>
              <w:jc w:val="center"/>
              <w:rPr>
                <w:rFonts w:ascii="楷体" w:hAnsi="楷体" w:eastAsia="楷体" w:cs="楷体"/>
                <w:color w:val="auto"/>
                <w:sz w:val="24"/>
              </w:rPr>
            </w:pPr>
            <w:r>
              <w:rPr>
                <w:rFonts w:hint="eastAsia" w:ascii="楷体" w:hAnsi="楷体" w:eastAsia="楷体" w:cs="楷体"/>
                <w:color w:val="auto"/>
                <w:sz w:val="24"/>
              </w:rPr>
              <w:t>招标代理服务费支付承诺书</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7B27C34">
            <w:pPr>
              <w:jc w:val="left"/>
              <w:rPr>
                <w:rFonts w:ascii="楷体" w:hAnsi="楷体" w:eastAsia="楷体" w:cs="楷体"/>
                <w:color w:val="auto"/>
                <w:sz w:val="24"/>
              </w:rPr>
            </w:pPr>
            <w:r>
              <w:rPr>
                <w:rFonts w:hint="eastAsia" w:ascii="楷体" w:hAnsi="楷体" w:eastAsia="楷体" w:cs="楷体"/>
                <w:color w:val="auto"/>
                <w:sz w:val="24"/>
              </w:rPr>
              <w:t>已按招标文件要求提交招标代理服务费支付承诺书</w:t>
            </w:r>
          </w:p>
        </w:tc>
      </w:tr>
      <w:tr w14:paraId="3D4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noWrap/>
            <w:vAlign w:val="center"/>
          </w:tcPr>
          <w:p w14:paraId="7B2AF3FF">
            <w:pPr>
              <w:jc w:val="center"/>
              <w:rPr>
                <w:rFonts w:ascii="楷体" w:hAnsi="楷体" w:eastAsia="楷体" w:cs="楷体"/>
                <w:color w:val="auto"/>
                <w:sz w:val="24"/>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14:paraId="50820FEB">
            <w:pPr>
              <w:jc w:val="center"/>
              <w:rPr>
                <w:rFonts w:ascii="楷体" w:hAnsi="楷体" w:eastAsia="楷体" w:cs="楷体"/>
                <w:color w:val="auto"/>
                <w:sz w:val="24"/>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14:paraId="14F0DACC">
            <w:pPr>
              <w:jc w:val="center"/>
              <w:rPr>
                <w:rFonts w:ascii="楷体" w:hAnsi="楷体" w:eastAsia="楷体" w:cs="楷体"/>
                <w:color w:val="auto"/>
                <w:sz w:val="24"/>
                <w:lang w:eastAsia="en-US"/>
              </w:rPr>
            </w:pPr>
            <w:r>
              <w:rPr>
                <w:rFonts w:hint="eastAsia" w:ascii="楷体" w:hAnsi="楷体" w:eastAsia="楷体" w:cs="楷体"/>
                <w:color w:val="auto"/>
                <w:sz w:val="24"/>
                <w:lang w:eastAsia="en-US"/>
              </w:rPr>
              <w:t>其他要求</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78F8DB5">
            <w:pPr>
              <w:jc w:val="left"/>
              <w:rPr>
                <w:rFonts w:ascii="楷体" w:hAnsi="楷体" w:eastAsia="楷体" w:cs="楷体"/>
                <w:color w:val="auto"/>
                <w:sz w:val="24"/>
              </w:rPr>
            </w:pPr>
            <w:r>
              <w:rPr>
                <w:rFonts w:hint="eastAsia" w:ascii="楷体" w:hAnsi="楷体" w:eastAsia="楷体" w:cs="楷体"/>
                <w:color w:val="auto"/>
                <w:sz w:val="24"/>
              </w:rPr>
              <w:t>没有出现法律、法规和招标文件规定的其他投标无效情形</w:t>
            </w:r>
          </w:p>
        </w:tc>
      </w:tr>
    </w:tbl>
    <w:p w14:paraId="02D587F7">
      <w:pPr>
        <w:spacing w:line="360" w:lineRule="auto"/>
        <w:rPr>
          <w:rFonts w:ascii="楷体" w:hAnsi="楷体" w:eastAsia="楷体" w:cs="楷体"/>
          <w:color w:val="auto"/>
          <w:sz w:val="24"/>
        </w:rPr>
      </w:pPr>
      <w:r>
        <w:rPr>
          <w:rFonts w:hint="eastAsia" w:ascii="楷体" w:hAnsi="楷体" w:eastAsia="楷体" w:cs="楷体"/>
          <w:color w:val="auto"/>
          <w:sz w:val="24"/>
        </w:rPr>
        <w:t>备注：1、每一项符合的打“○”，不符合的打“×”。2、“结论”一栏填写“通过”或“不通过”；任何一项出现“×”的，结论为不通过。不通过的为无效投标。3、汇总时出现不同意见的，评标委员会按简单多数原则表决决定。</w:t>
      </w:r>
    </w:p>
    <w:p w14:paraId="4C203F83">
      <w:pPr>
        <w:tabs>
          <w:tab w:val="left" w:pos="360"/>
          <w:tab w:val="left" w:pos="1030"/>
        </w:tabs>
        <w:spacing w:before="240" w:beforeLines="100" w:line="360" w:lineRule="auto"/>
        <w:rPr>
          <w:rFonts w:ascii="楷体" w:hAnsi="楷体" w:eastAsia="楷体" w:cs="楷体"/>
          <w:b/>
          <w:color w:val="auto"/>
          <w:sz w:val="24"/>
        </w:rPr>
      </w:pPr>
      <w:r>
        <w:rPr>
          <w:rFonts w:hint="eastAsia" w:ascii="楷体" w:hAnsi="楷体" w:eastAsia="楷体" w:cs="楷体"/>
          <w:b/>
          <w:color w:val="auto"/>
          <w:sz w:val="24"/>
        </w:rPr>
        <w:br w:type="page"/>
      </w:r>
      <w:bookmarkStart w:id="292" w:name="_Toc10825"/>
      <w:bookmarkStart w:id="293" w:name="_Toc5954"/>
      <w:r>
        <w:rPr>
          <w:rFonts w:hint="eastAsia" w:ascii="楷体" w:hAnsi="楷体" w:eastAsia="楷体" w:cs="楷体"/>
          <w:b/>
          <w:color w:val="auto"/>
          <w:sz w:val="24"/>
        </w:rPr>
        <w:t>附表2：商务技术及价格分值分配</w:t>
      </w:r>
      <w:bookmarkEnd w:id="292"/>
      <w:bookmarkEnd w:id="293"/>
    </w:p>
    <w:tbl>
      <w:tblPr>
        <w:tblStyle w:val="43"/>
        <w:tblW w:w="83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1766"/>
        <w:gridCol w:w="1781"/>
        <w:gridCol w:w="1892"/>
        <w:gridCol w:w="1272"/>
      </w:tblGrid>
      <w:tr w14:paraId="286C4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658" w:type="dxa"/>
            <w:shd w:val="clear" w:color="auto" w:fill="EAEAEA"/>
            <w:vAlign w:val="center"/>
          </w:tcPr>
          <w:p w14:paraId="6EB355EA">
            <w:pPr>
              <w:spacing w:before="72" w:after="72"/>
              <w:jc w:val="center"/>
              <w:rPr>
                <w:rFonts w:ascii="楷体" w:hAnsi="楷体" w:eastAsia="楷体" w:cs="楷体"/>
                <w:b/>
                <w:bCs/>
                <w:color w:val="auto"/>
                <w:sz w:val="24"/>
              </w:rPr>
            </w:pPr>
            <w:bookmarkStart w:id="294" w:name="_Toc17151"/>
            <w:r>
              <w:rPr>
                <w:rFonts w:hint="eastAsia" w:ascii="楷体" w:hAnsi="楷体" w:eastAsia="楷体" w:cs="楷体"/>
                <w:b/>
                <w:bCs/>
                <w:color w:val="auto"/>
                <w:sz w:val="24"/>
              </w:rPr>
              <w:t>评分项目</w:t>
            </w:r>
          </w:p>
        </w:tc>
        <w:tc>
          <w:tcPr>
            <w:tcW w:w="1766" w:type="dxa"/>
            <w:shd w:val="clear" w:color="auto" w:fill="EAEAEA"/>
            <w:vAlign w:val="center"/>
          </w:tcPr>
          <w:p w14:paraId="52C07B46">
            <w:pPr>
              <w:spacing w:before="72" w:after="72"/>
              <w:jc w:val="center"/>
              <w:rPr>
                <w:rFonts w:ascii="楷体" w:hAnsi="楷体" w:eastAsia="楷体" w:cs="楷体"/>
                <w:b/>
                <w:bCs/>
                <w:color w:val="auto"/>
                <w:sz w:val="24"/>
              </w:rPr>
            </w:pPr>
            <w:r>
              <w:rPr>
                <w:rFonts w:hint="eastAsia" w:ascii="楷体" w:hAnsi="楷体" w:eastAsia="楷体" w:cs="楷体"/>
                <w:b/>
                <w:bCs/>
                <w:color w:val="auto"/>
                <w:sz w:val="24"/>
              </w:rPr>
              <w:t>商务</w:t>
            </w:r>
          </w:p>
        </w:tc>
        <w:tc>
          <w:tcPr>
            <w:tcW w:w="1781" w:type="dxa"/>
            <w:shd w:val="clear" w:color="auto" w:fill="EAEAEA"/>
            <w:vAlign w:val="center"/>
          </w:tcPr>
          <w:p w14:paraId="18648431">
            <w:pPr>
              <w:spacing w:before="72" w:after="72"/>
              <w:jc w:val="center"/>
              <w:rPr>
                <w:rFonts w:ascii="楷体" w:hAnsi="楷体" w:eastAsia="楷体" w:cs="楷体"/>
                <w:b/>
                <w:bCs/>
                <w:color w:val="auto"/>
                <w:sz w:val="24"/>
              </w:rPr>
            </w:pPr>
            <w:r>
              <w:rPr>
                <w:rFonts w:hint="eastAsia" w:ascii="楷体" w:hAnsi="楷体" w:eastAsia="楷体" w:cs="楷体"/>
                <w:b/>
                <w:bCs/>
                <w:color w:val="auto"/>
                <w:sz w:val="24"/>
              </w:rPr>
              <w:t>技术</w:t>
            </w:r>
          </w:p>
        </w:tc>
        <w:tc>
          <w:tcPr>
            <w:tcW w:w="1892" w:type="dxa"/>
            <w:shd w:val="clear" w:color="auto" w:fill="EAEAEA"/>
            <w:vAlign w:val="center"/>
          </w:tcPr>
          <w:p w14:paraId="11C45362">
            <w:pPr>
              <w:spacing w:before="72" w:after="72"/>
              <w:jc w:val="center"/>
              <w:rPr>
                <w:rFonts w:ascii="楷体" w:hAnsi="楷体" w:eastAsia="楷体" w:cs="楷体"/>
                <w:b/>
                <w:bCs/>
                <w:color w:val="auto"/>
                <w:sz w:val="24"/>
              </w:rPr>
            </w:pPr>
            <w:r>
              <w:rPr>
                <w:rFonts w:hint="eastAsia" w:ascii="楷体" w:hAnsi="楷体" w:eastAsia="楷体" w:cs="楷体"/>
                <w:b/>
                <w:bCs/>
                <w:color w:val="auto"/>
                <w:sz w:val="24"/>
              </w:rPr>
              <w:t>价格</w:t>
            </w:r>
          </w:p>
        </w:tc>
        <w:tc>
          <w:tcPr>
            <w:tcW w:w="1272" w:type="dxa"/>
            <w:shd w:val="clear" w:color="auto" w:fill="EAEAEA"/>
            <w:vAlign w:val="center"/>
          </w:tcPr>
          <w:p w14:paraId="2BF94C9B">
            <w:pPr>
              <w:spacing w:before="72" w:after="72"/>
              <w:jc w:val="center"/>
              <w:rPr>
                <w:rFonts w:ascii="楷体" w:hAnsi="楷体" w:eastAsia="楷体" w:cs="楷体"/>
                <w:b/>
                <w:bCs/>
                <w:color w:val="auto"/>
                <w:sz w:val="24"/>
              </w:rPr>
            </w:pPr>
            <w:r>
              <w:rPr>
                <w:rFonts w:hint="eastAsia" w:ascii="楷体" w:hAnsi="楷体" w:eastAsia="楷体" w:cs="楷体"/>
                <w:b/>
                <w:bCs/>
                <w:color w:val="auto"/>
                <w:sz w:val="24"/>
              </w:rPr>
              <w:t>合计</w:t>
            </w:r>
          </w:p>
        </w:tc>
      </w:tr>
      <w:tr w14:paraId="5ED3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58" w:type="dxa"/>
            <w:vAlign w:val="center"/>
          </w:tcPr>
          <w:p w14:paraId="7C098057">
            <w:pPr>
              <w:spacing w:before="72" w:after="72"/>
              <w:jc w:val="center"/>
              <w:rPr>
                <w:rFonts w:ascii="楷体" w:hAnsi="楷体" w:eastAsia="楷体" w:cs="楷体"/>
                <w:color w:val="auto"/>
                <w:sz w:val="24"/>
              </w:rPr>
            </w:pPr>
            <w:r>
              <w:rPr>
                <w:rFonts w:hint="eastAsia" w:ascii="楷体" w:hAnsi="楷体" w:eastAsia="楷体" w:cs="楷体"/>
                <w:color w:val="auto"/>
                <w:sz w:val="24"/>
              </w:rPr>
              <w:t>分值</w:t>
            </w:r>
          </w:p>
        </w:tc>
        <w:tc>
          <w:tcPr>
            <w:tcW w:w="1766" w:type="dxa"/>
            <w:vAlign w:val="center"/>
          </w:tcPr>
          <w:p w14:paraId="2F6B5F00">
            <w:pPr>
              <w:spacing w:before="72" w:after="72"/>
              <w:jc w:val="center"/>
              <w:rPr>
                <w:rFonts w:ascii="楷体" w:hAnsi="楷体" w:eastAsia="楷体" w:cs="楷体"/>
                <w:color w:val="auto"/>
                <w:sz w:val="24"/>
              </w:rPr>
            </w:pPr>
            <w:r>
              <w:rPr>
                <w:rFonts w:hint="eastAsia" w:ascii="楷体" w:hAnsi="楷体" w:eastAsia="楷体" w:cs="楷体"/>
                <w:color w:val="auto"/>
                <w:sz w:val="24"/>
              </w:rPr>
              <w:t>35分</w:t>
            </w:r>
          </w:p>
        </w:tc>
        <w:tc>
          <w:tcPr>
            <w:tcW w:w="1781" w:type="dxa"/>
            <w:vAlign w:val="center"/>
          </w:tcPr>
          <w:p w14:paraId="1358E0F9">
            <w:pPr>
              <w:spacing w:before="72" w:after="72"/>
              <w:jc w:val="center"/>
              <w:rPr>
                <w:rFonts w:ascii="楷体" w:hAnsi="楷体" w:eastAsia="楷体" w:cs="楷体"/>
                <w:color w:val="auto"/>
                <w:sz w:val="24"/>
              </w:rPr>
            </w:pPr>
            <w:r>
              <w:rPr>
                <w:rFonts w:hint="eastAsia" w:ascii="楷体" w:hAnsi="楷体" w:eastAsia="楷体" w:cs="楷体"/>
                <w:color w:val="auto"/>
                <w:sz w:val="24"/>
              </w:rPr>
              <w:t>40分</w:t>
            </w:r>
          </w:p>
        </w:tc>
        <w:tc>
          <w:tcPr>
            <w:tcW w:w="1892" w:type="dxa"/>
            <w:vAlign w:val="center"/>
          </w:tcPr>
          <w:p w14:paraId="31D45BFF">
            <w:pPr>
              <w:spacing w:before="72" w:after="72"/>
              <w:jc w:val="center"/>
              <w:rPr>
                <w:rFonts w:ascii="楷体" w:hAnsi="楷体" w:eastAsia="楷体" w:cs="楷体"/>
                <w:color w:val="auto"/>
                <w:sz w:val="24"/>
              </w:rPr>
            </w:pPr>
            <w:r>
              <w:rPr>
                <w:rFonts w:hint="eastAsia" w:ascii="楷体" w:hAnsi="楷体" w:eastAsia="楷体" w:cs="楷体"/>
                <w:color w:val="auto"/>
                <w:sz w:val="24"/>
              </w:rPr>
              <w:t>25分</w:t>
            </w:r>
          </w:p>
        </w:tc>
        <w:tc>
          <w:tcPr>
            <w:tcW w:w="1272" w:type="dxa"/>
            <w:vAlign w:val="center"/>
          </w:tcPr>
          <w:p w14:paraId="01275216">
            <w:pPr>
              <w:spacing w:before="72" w:after="72"/>
              <w:jc w:val="center"/>
              <w:rPr>
                <w:rFonts w:ascii="楷体" w:hAnsi="楷体" w:eastAsia="楷体" w:cs="楷体"/>
                <w:color w:val="auto"/>
                <w:sz w:val="24"/>
              </w:rPr>
            </w:pPr>
            <w:r>
              <w:rPr>
                <w:rFonts w:hint="eastAsia" w:ascii="楷体" w:hAnsi="楷体" w:eastAsia="楷体" w:cs="楷体"/>
                <w:color w:val="auto"/>
                <w:sz w:val="24"/>
              </w:rPr>
              <w:t>100分</w:t>
            </w:r>
          </w:p>
        </w:tc>
      </w:tr>
    </w:tbl>
    <w:p w14:paraId="78D8FBDF">
      <w:pPr>
        <w:tabs>
          <w:tab w:val="left" w:pos="360"/>
          <w:tab w:val="left" w:pos="1030"/>
        </w:tabs>
        <w:spacing w:before="120" w:line="360" w:lineRule="auto"/>
        <w:rPr>
          <w:rFonts w:ascii="楷体" w:hAnsi="楷体" w:eastAsia="楷体" w:cs="楷体"/>
          <w:b/>
          <w:color w:val="auto"/>
          <w:sz w:val="24"/>
        </w:rPr>
      </w:pPr>
      <w:bookmarkStart w:id="295" w:name="_Toc32753"/>
      <w:r>
        <w:rPr>
          <w:rFonts w:hint="eastAsia" w:ascii="楷体" w:hAnsi="楷体" w:eastAsia="楷体" w:cs="楷体"/>
          <w:b/>
          <w:color w:val="auto"/>
          <w:sz w:val="24"/>
        </w:rPr>
        <w:t>附表3：</w:t>
      </w:r>
      <w:bookmarkEnd w:id="294"/>
      <w:r>
        <w:rPr>
          <w:rFonts w:hint="eastAsia" w:ascii="楷体" w:hAnsi="楷体" w:eastAsia="楷体" w:cs="楷体"/>
          <w:b/>
          <w:color w:val="auto"/>
          <w:sz w:val="24"/>
        </w:rPr>
        <w:t>商务评审表</w:t>
      </w:r>
      <w:bookmarkEnd w:id="295"/>
    </w:p>
    <w:tbl>
      <w:tblPr>
        <w:tblStyle w:val="43"/>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88"/>
        <w:gridCol w:w="5502"/>
        <w:gridCol w:w="838"/>
      </w:tblGrid>
      <w:tr w14:paraId="347C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pct"/>
            <w:shd w:val="clear" w:color="auto" w:fill="EAEAEA"/>
            <w:vAlign w:val="center"/>
          </w:tcPr>
          <w:p w14:paraId="30D76549">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序号</w:t>
            </w:r>
          </w:p>
        </w:tc>
        <w:tc>
          <w:tcPr>
            <w:tcW w:w="719" w:type="pct"/>
            <w:shd w:val="clear" w:color="auto" w:fill="EAEAEA"/>
            <w:vAlign w:val="center"/>
          </w:tcPr>
          <w:p w14:paraId="4951A625">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评审因素</w:t>
            </w:r>
          </w:p>
        </w:tc>
        <w:tc>
          <w:tcPr>
            <w:tcW w:w="3330" w:type="pct"/>
            <w:shd w:val="clear" w:color="auto" w:fill="EAEAEA"/>
            <w:vAlign w:val="center"/>
          </w:tcPr>
          <w:p w14:paraId="695EE763">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评分标准</w:t>
            </w:r>
          </w:p>
        </w:tc>
        <w:tc>
          <w:tcPr>
            <w:tcW w:w="507" w:type="pct"/>
            <w:shd w:val="clear" w:color="auto" w:fill="EAEAEA"/>
            <w:vAlign w:val="center"/>
          </w:tcPr>
          <w:p w14:paraId="02067939">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最高</w:t>
            </w:r>
          </w:p>
          <w:p w14:paraId="427A32AC">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分值</w:t>
            </w:r>
          </w:p>
        </w:tc>
      </w:tr>
      <w:tr w14:paraId="748B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43" w:type="pct"/>
            <w:vAlign w:val="center"/>
          </w:tcPr>
          <w:p w14:paraId="75E897EF">
            <w:pPr>
              <w:snapToGrid w:val="0"/>
              <w:jc w:val="center"/>
              <w:rPr>
                <w:rFonts w:ascii="楷体" w:hAnsi="楷体" w:eastAsia="楷体" w:cs="楷体"/>
                <w:bCs/>
                <w:color w:val="auto"/>
                <w:sz w:val="24"/>
              </w:rPr>
            </w:pPr>
            <w:r>
              <w:rPr>
                <w:rFonts w:hint="eastAsia" w:ascii="楷体" w:hAnsi="楷体" w:eastAsia="楷体" w:cs="楷体"/>
                <w:bCs/>
                <w:color w:val="auto"/>
                <w:sz w:val="24"/>
              </w:rPr>
              <w:t>1</w:t>
            </w:r>
          </w:p>
        </w:tc>
        <w:tc>
          <w:tcPr>
            <w:tcW w:w="719" w:type="pct"/>
            <w:vAlign w:val="center"/>
          </w:tcPr>
          <w:p w14:paraId="36930862">
            <w:pPr>
              <w:spacing w:line="440" w:lineRule="exact"/>
              <w:jc w:val="center"/>
              <w:rPr>
                <w:rFonts w:ascii="楷体" w:hAnsi="楷体" w:eastAsia="楷体" w:cs="楷体"/>
                <w:bCs/>
                <w:color w:val="auto"/>
                <w:sz w:val="24"/>
              </w:rPr>
            </w:pPr>
            <w:r>
              <w:rPr>
                <w:rFonts w:hint="eastAsia" w:ascii="楷体" w:hAnsi="楷体" w:eastAsia="楷体" w:cs="楷体"/>
                <w:color w:val="auto"/>
                <w:sz w:val="24"/>
              </w:rPr>
              <w:t>同类项目业绩</w:t>
            </w:r>
          </w:p>
        </w:tc>
        <w:tc>
          <w:tcPr>
            <w:tcW w:w="3330" w:type="pct"/>
            <w:vAlign w:val="center"/>
          </w:tcPr>
          <w:p w14:paraId="22557C2E">
            <w:pPr>
              <w:spacing w:line="360" w:lineRule="auto"/>
              <w:rPr>
                <w:rFonts w:ascii="楷体" w:hAnsi="楷体" w:eastAsia="楷体" w:cs="楷体"/>
                <w:color w:val="auto"/>
                <w:kern w:val="0"/>
                <w:sz w:val="24"/>
              </w:rPr>
            </w:pPr>
            <w:r>
              <w:rPr>
                <w:rFonts w:hint="eastAsia" w:ascii="楷体" w:hAnsi="楷体" w:eastAsia="楷体" w:cs="楷体"/>
                <w:color w:val="auto"/>
                <w:kern w:val="0"/>
                <w:sz w:val="24"/>
              </w:rPr>
              <w:t>投标人提供自2022年1月1日以来（以合同签订时间为准）具有同类型项目业绩情况，每提供</w:t>
            </w:r>
            <w:r>
              <w:rPr>
                <w:rFonts w:hint="eastAsia" w:ascii="楷体" w:hAnsi="楷体" w:eastAsia="楷体" w:cs="楷体"/>
                <w:color w:val="auto"/>
                <w:kern w:val="0"/>
                <w:sz w:val="24"/>
                <w:lang w:val="zh-CN"/>
              </w:rPr>
              <w:t>一个</w:t>
            </w:r>
            <w:r>
              <w:rPr>
                <w:rFonts w:hint="eastAsia" w:ascii="楷体" w:hAnsi="楷体" w:eastAsia="楷体" w:cs="楷体"/>
                <w:color w:val="auto"/>
                <w:kern w:val="0"/>
                <w:sz w:val="24"/>
              </w:rPr>
              <w:t>得2分，最高得10分。</w:t>
            </w:r>
          </w:p>
          <w:p w14:paraId="6250E475">
            <w:pPr>
              <w:widowControl/>
              <w:spacing w:line="360" w:lineRule="auto"/>
              <w:jc w:val="left"/>
              <w:rPr>
                <w:rFonts w:ascii="楷体" w:hAnsi="楷体" w:eastAsia="楷体" w:cs="楷体"/>
                <w:b/>
                <w:snapToGrid w:val="0"/>
                <w:color w:val="auto"/>
                <w:kern w:val="0"/>
                <w:szCs w:val="21"/>
              </w:rPr>
            </w:pPr>
            <w:r>
              <w:rPr>
                <w:rFonts w:hint="eastAsia" w:ascii="楷体" w:hAnsi="楷体" w:eastAsia="楷体" w:cs="楷体"/>
                <w:bCs/>
                <w:color w:val="auto"/>
                <w:sz w:val="24"/>
              </w:rPr>
              <w:t>注：需提供合同关键页（含签订合同双方的单位名称、合同项目名称、签订合同双方的落款盖章、签订日期的关键页），不提供不得分。</w:t>
            </w:r>
          </w:p>
        </w:tc>
        <w:tc>
          <w:tcPr>
            <w:tcW w:w="507" w:type="pct"/>
            <w:vAlign w:val="center"/>
          </w:tcPr>
          <w:p w14:paraId="610147AB">
            <w:pPr>
              <w:spacing w:line="440" w:lineRule="exact"/>
              <w:jc w:val="center"/>
              <w:rPr>
                <w:rFonts w:ascii="楷体" w:hAnsi="楷体" w:eastAsia="楷体" w:cs="楷体"/>
                <w:bCs/>
                <w:color w:val="auto"/>
                <w:sz w:val="24"/>
              </w:rPr>
            </w:pPr>
            <w:r>
              <w:rPr>
                <w:rFonts w:hint="eastAsia" w:ascii="楷体" w:hAnsi="楷体" w:eastAsia="楷体" w:cs="楷体"/>
                <w:color w:val="auto"/>
                <w:sz w:val="24"/>
              </w:rPr>
              <w:t>10</w:t>
            </w:r>
          </w:p>
        </w:tc>
      </w:tr>
      <w:tr w14:paraId="5633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14:paraId="4B8C8B98">
            <w:pPr>
              <w:snapToGrid w:val="0"/>
              <w:jc w:val="center"/>
              <w:rPr>
                <w:rFonts w:ascii="楷体" w:hAnsi="楷体" w:eastAsia="楷体" w:cs="楷体"/>
                <w:bCs/>
                <w:color w:val="auto"/>
                <w:sz w:val="24"/>
              </w:rPr>
            </w:pPr>
            <w:r>
              <w:rPr>
                <w:rFonts w:hint="eastAsia" w:ascii="楷体" w:hAnsi="楷体" w:eastAsia="楷体" w:cs="楷体"/>
                <w:bCs/>
                <w:color w:val="auto"/>
                <w:sz w:val="24"/>
              </w:rPr>
              <w:t>2</w:t>
            </w:r>
          </w:p>
        </w:tc>
        <w:tc>
          <w:tcPr>
            <w:tcW w:w="719" w:type="pct"/>
            <w:vAlign w:val="center"/>
          </w:tcPr>
          <w:p w14:paraId="7279D255">
            <w:pPr>
              <w:spacing w:line="440" w:lineRule="exact"/>
              <w:jc w:val="center"/>
              <w:rPr>
                <w:rFonts w:ascii="楷体" w:hAnsi="楷体" w:eastAsia="楷体" w:cs="楷体"/>
                <w:bCs/>
                <w:color w:val="auto"/>
                <w:sz w:val="24"/>
              </w:rPr>
            </w:pPr>
            <w:r>
              <w:rPr>
                <w:rFonts w:hint="eastAsia" w:ascii="楷体" w:hAnsi="楷体" w:eastAsia="楷体" w:cs="楷体"/>
                <w:bCs/>
                <w:color w:val="auto"/>
                <w:sz w:val="24"/>
              </w:rPr>
              <w:t>拟投入技术人员资质</w:t>
            </w:r>
          </w:p>
        </w:tc>
        <w:tc>
          <w:tcPr>
            <w:tcW w:w="3330" w:type="pct"/>
            <w:vAlign w:val="center"/>
          </w:tcPr>
          <w:p w14:paraId="7A70214E">
            <w:pPr>
              <w:spacing w:line="440" w:lineRule="exact"/>
              <w:rPr>
                <w:rFonts w:ascii="楷体" w:hAnsi="楷体" w:eastAsia="楷体" w:cs="楷体"/>
                <w:color w:val="auto"/>
                <w:sz w:val="24"/>
              </w:rPr>
            </w:pPr>
            <w:r>
              <w:rPr>
                <w:rFonts w:hint="eastAsia" w:ascii="楷体" w:hAnsi="楷体" w:eastAsia="楷体" w:cs="楷体"/>
                <w:color w:val="auto"/>
                <w:sz w:val="24"/>
              </w:rPr>
              <w:t>拟投入技术人员具有汽车维修类职业资格证书（如机动车检测维修专业技术人员职业资格证书、汽车维修工职业技能等级证书等），每提供1人得2分，最高得10分。</w:t>
            </w:r>
          </w:p>
          <w:p w14:paraId="6129A8B3">
            <w:pPr>
              <w:spacing w:line="440" w:lineRule="exact"/>
              <w:rPr>
                <w:rFonts w:ascii="楷体" w:hAnsi="楷体" w:eastAsia="楷体" w:cs="楷体"/>
                <w:color w:val="auto"/>
                <w:sz w:val="24"/>
              </w:rPr>
            </w:pPr>
            <w:r>
              <w:rPr>
                <w:rFonts w:hint="eastAsia" w:ascii="楷体" w:hAnsi="楷体" w:eastAsia="楷体" w:cs="楷体"/>
                <w:color w:val="auto"/>
                <w:sz w:val="24"/>
              </w:rPr>
              <w:t>注：须提供相关证书复印件及以上人员在投标人任职的外部证明材料，如投标截止日之前六个月内任意一个月社会保险的《投保单》或《社会保险参保人员证明》等，无或未按要求提供的不得分。</w:t>
            </w:r>
          </w:p>
        </w:tc>
        <w:tc>
          <w:tcPr>
            <w:tcW w:w="507" w:type="pct"/>
            <w:vAlign w:val="center"/>
          </w:tcPr>
          <w:p w14:paraId="7887AC6B">
            <w:pPr>
              <w:spacing w:line="440" w:lineRule="exact"/>
              <w:jc w:val="center"/>
              <w:rPr>
                <w:rFonts w:ascii="楷体" w:hAnsi="楷体" w:eastAsia="楷体" w:cs="楷体"/>
                <w:bCs/>
                <w:color w:val="auto"/>
                <w:sz w:val="24"/>
              </w:rPr>
            </w:pPr>
            <w:r>
              <w:rPr>
                <w:rFonts w:hint="eastAsia" w:ascii="楷体" w:hAnsi="楷体" w:eastAsia="楷体" w:cs="楷体"/>
                <w:color w:val="auto"/>
                <w:sz w:val="24"/>
              </w:rPr>
              <w:t>10</w:t>
            </w:r>
          </w:p>
        </w:tc>
      </w:tr>
      <w:tr w14:paraId="4D95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443" w:type="pct"/>
            <w:vAlign w:val="center"/>
          </w:tcPr>
          <w:p w14:paraId="1D3B0158">
            <w:pPr>
              <w:snapToGrid w:val="0"/>
              <w:jc w:val="center"/>
              <w:rPr>
                <w:rFonts w:ascii="楷体" w:hAnsi="楷体" w:eastAsia="楷体" w:cs="楷体"/>
                <w:bCs/>
                <w:color w:val="auto"/>
                <w:sz w:val="24"/>
              </w:rPr>
            </w:pPr>
            <w:r>
              <w:rPr>
                <w:rFonts w:hint="eastAsia" w:ascii="楷体" w:hAnsi="楷体" w:eastAsia="楷体" w:cs="楷体"/>
                <w:bCs/>
                <w:color w:val="auto"/>
                <w:sz w:val="24"/>
              </w:rPr>
              <w:t>3</w:t>
            </w:r>
          </w:p>
        </w:tc>
        <w:tc>
          <w:tcPr>
            <w:tcW w:w="719" w:type="pct"/>
            <w:vAlign w:val="center"/>
          </w:tcPr>
          <w:p w14:paraId="5C307006">
            <w:pPr>
              <w:spacing w:line="440" w:lineRule="exact"/>
              <w:jc w:val="center"/>
              <w:rPr>
                <w:rFonts w:ascii="楷体" w:hAnsi="楷体" w:eastAsia="楷体" w:cs="楷体"/>
                <w:bCs/>
                <w:color w:val="auto"/>
                <w:sz w:val="24"/>
              </w:rPr>
            </w:pPr>
            <w:r>
              <w:rPr>
                <w:rFonts w:hint="eastAsia" w:ascii="楷体" w:hAnsi="楷体" w:eastAsia="楷体" w:cs="楷体"/>
                <w:bCs/>
                <w:color w:val="auto"/>
                <w:sz w:val="24"/>
              </w:rPr>
              <w:t>响应时间</w:t>
            </w:r>
          </w:p>
        </w:tc>
        <w:tc>
          <w:tcPr>
            <w:tcW w:w="3330" w:type="pct"/>
            <w:vAlign w:val="center"/>
          </w:tcPr>
          <w:p w14:paraId="6E111AC5">
            <w:pPr>
              <w:spacing w:line="440" w:lineRule="exact"/>
              <w:rPr>
                <w:rFonts w:ascii="楷体" w:hAnsi="楷体" w:eastAsia="楷体" w:cs="楷体"/>
                <w:color w:val="auto"/>
                <w:sz w:val="24"/>
              </w:rPr>
            </w:pPr>
            <w:r>
              <w:rPr>
                <w:rFonts w:hint="eastAsia" w:ascii="楷体" w:hAnsi="楷体" w:eastAsia="楷体" w:cs="楷体"/>
                <w:color w:val="auto"/>
                <w:sz w:val="24"/>
              </w:rPr>
              <w:t>投标人接到招标人维修任务时，承诺响应并到达招标人单位（广东省梅州市平远县平远大道29号）的时间：</w:t>
            </w:r>
          </w:p>
          <w:p w14:paraId="59E3CF4E">
            <w:pPr>
              <w:spacing w:line="440" w:lineRule="exact"/>
              <w:rPr>
                <w:rFonts w:ascii="楷体" w:hAnsi="楷体" w:eastAsia="楷体" w:cs="楷体"/>
                <w:color w:val="auto"/>
                <w:sz w:val="24"/>
              </w:rPr>
            </w:pPr>
            <w:r>
              <w:rPr>
                <w:rFonts w:hint="eastAsia" w:ascii="楷体" w:hAnsi="楷体" w:eastAsia="楷体" w:cs="楷体"/>
                <w:color w:val="auto"/>
                <w:sz w:val="24"/>
              </w:rPr>
              <w:t>1）时长≤0.5小时，得9分；</w:t>
            </w:r>
          </w:p>
          <w:p w14:paraId="44B29ED4">
            <w:pPr>
              <w:spacing w:line="440" w:lineRule="exact"/>
              <w:rPr>
                <w:rFonts w:ascii="楷体" w:hAnsi="楷体" w:eastAsia="楷体" w:cs="楷体"/>
                <w:color w:val="auto"/>
                <w:sz w:val="24"/>
              </w:rPr>
            </w:pPr>
            <w:r>
              <w:rPr>
                <w:rFonts w:hint="eastAsia" w:ascii="楷体" w:hAnsi="楷体" w:eastAsia="楷体" w:cs="楷体"/>
                <w:color w:val="auto"/>
                <w:sz w:val="24"/>
              </w:rPr>
              <w:t>2）0.5小时&lt;时长≤1小时，得6分；</w:t>
            </w:r>
          </w:p>
          <w:p w14:paraId="0632E0CC">
            <w:pPr>
              <w:spacing w:line="440" w:lineRule="exact"/>
              <w:rPr>
                <w:rFonts w:ascii="楷体" w:hAnsi="楷体" w:eastAsia="楷体" w:cs="楷体"/>
                <w:color w:val="auto"/>
                <w:sz w:val="24"/>
              </w:rPr>
            </w:pPr>
            <w:r>
              <w:rPr>
                <w:rFonts w:hint="eastAsia" w:ascii="楷体" w:hAnsi="楷体" w:eastAsia="楷体" w:cs="楷体"/>
                <w:color w:val="auto"/>
                <w:sz w:val="24"/>
              </w:rPr>
              <w:t>3）1小时&lt;时长≤1.5小时，得3分；</w:t>
            </w:r>
          </w:p>
          <w:p w14:paraId="62010DD1">
            <w:pPr>
              <w:spacing w:line="440" w:lineRule="exact"/>
              <w:rPr>
                <w:rFonts w:ascii="楷体" w:hAnsi="楷体" w:eastAsia="楷体" w:cs="楷体"/>
                <w:color w:val="auto"/>
                <w:sz w:val="24"/>
              </w:rPr>
            </w:pPr>
            <w:r>
              <w:rPr>
                <w:rFonts w:hint="eastAsia" w:ascii="楷体" w:hAnsi="楷体" w:eastAsia="楷体" w:cs="楷体"/>
                <w:color w:val="auto"/>
                <w:sz w:val="24"/>
              </w:rPr>
              <w:t>4）时长＞1.5小时，得0分。</w:t>
            </w:r>
          </w:p>
          <w:p w14:paraId="02A14495">
            <w:pPr>
              <w:spacing w:line="440" w:lineRule="exact"/>
              <w:rPr>
                <w:rFonts w:ascii="楷体" w:hAnsi="楷体" w:eastAsia="楷体" w:cs="楷体"/>
                <w:color w:val="auto"/>
                <w:sz w:val="24"/>
              </w:rPr>
            </w:pPr>
            <w:r>
              <w:rPr>
                <w:rFonts w:hint="eastAsia" w:ascii="楷体" w:hAnsi="楷体" w:eastAsia="楷体" w:cs="楷体"/>
                <w:color w:val="auto"/>
                <w:sz w:val="24"/>
              </w:rPr>
              <w:t>注：提供承诺函，格式自拟，不提供不得分。</w:t>
            </w:r>
          </w:p>
        </w:tc>
        <w:tc>
          <w:tcPr>
            <w:tcW w:w="507" w:type="pct"/>
            <w:vAlign w:val="center"/>
          </w:tcPr>
          <w:p w14:paraId="4767AC9E">
            <w:pPr>
              <w:spacing w:line="440" w:lineRule="exact"/>
              <w:jc w:val="center"/>
              <w:rPr>
                <w:rFonts w:ascii="楷体" w:hAnsi="楷体" w:eastAsia="楷体" w:cs="楷体"/>
                <w:color w:val="auto"/>
                <w:sz w:val="24"/>
              </w:rPr>
            </w:pPr>
            <w:r>
              <w:rPr>
                <w:rFonts w:hint="eastAsia" w:ascii="楷体" w:hAnsi="楷体" w:eastAsia="楷体" w:cs="楷体"/>
                <w:color w:val="auto"/>
                <w:sz w:val="24"/>
              </w:rPr>
              <w:t>9</w:t>
            </w:r>
          </w:p>
        </w:tc>
      </w:tr>
      <w:tr w14:paraId="305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443" w:type="pct"/>
            <w:vAlign w:val="center"/>
          </w:tcPr>
          <w:p w14:paraId="201CF60C">
            <w:pPr>
              <w:snapToGrid w:val="0"/>
              <w:jc w:val="center"/>
              <w:rPr>
                <w:rFonts w:ascii="楷体" w:hAnsi="楷体" w:eastAsia="楷体" w:cs="楷体"/>
                <w:bCs/>
                <w:color w:val="auto"/>
                <w:sz w:val="24"/>
              </w:rPr>
            </w:pPr>
            <w:r>
              <w:rPr>
                <w:rFonts w:hint="eastAsia" w:ascii="楷体" w:hAnsi="楷体" w:eastAsia="楷体" w:cs="楷体"/>
                <w:bCs/>
                <w:color w:val="auto"/>
                <w:sz w:val="24"/>
              </w:rPr>
              <w:t>4</w:t>
            </w:r>
          </w:p>
        </w:tc>
        <w:tc>
          <w:tcPr>
            <w:tcW w:w="719" w:type="pct"/>
            <w:vAlign w:val="center"/>
          </w:tcPr>
          <w:p w14:paraId="63DEDCC4">
            <w:pPr>
              <w:spacing w:line="440" w:lineRule="exact"/>
              <w:jc w:val="center"/>
              <w:rPr>
                <w:rFonts w:ascii="楷体" w:hAnsi="楷体" w:eastAsia="楷体" w:cs="楷体"/>
                <w:bCs/>
                <w:color w:val="auto"/>
                <w:sz w:val="24"/>
              </w:rPr>
            </w:pPr>
            <w:r>
              <w:rPr>
                <w:rFonts w:hint="eastAsia" w:ascii="楷体" w:hAnsi="楷体" w:eastAsia="楷体" w:cs="楷体"/>
                <w:bCs/>
                <w:color w:val="auto"/>
                <w:sz w:val="24"/>
              </w:rPr>
              <w:t>维修车辆能力</w:t>
            </w:r>
          </w:p>
        </w:tc>
        <w:tc>
          <w:tcPr>
            <w:tcW w:w="3330" w:type="pct"/>
            <w:vAlign w:val="center"/>
          </w:tcPr>
          <w:p w14:paraId="5DB31BB5">
            <w:pPr>
              <w:spacing w:line="440" w:lineRule="exact"/>
              <w:rPr>
                <w:rFonts w:ascii="楷体" w:hAnsi="楷体" w:eastAsia="楷体" w:cs="楷体"/>
                <w:color w:val="auto"/>
                <w:sz w:val="24"/>
              </w:rPr>
            </w:pPr>
            <w:r>
              <w:rPr>
                <w:rFonts w:hint="eastAsia" w:ascii="楷体" w:hAnsi="楷体" w:eastAsia="楷体" w:cs="楷体"/>
                <w:color w:val="auto"/>
                <w:sz w:val="24"/>
              </w:rPr>
              <w:t>根据投标人同时维修车辆数量（维修工位数量）进行评审：</w:t>
            </w:r>
          </w:p>
          <w:p w14:paraId="1D9FF6B0">
            <w:pPr>
              <w:numPr>
                <w:ilvl w:val="0"/>
                <w:numId w:val="54"/>
              </w:numPr>
              <w:spacing w:line="440" w:lineRule="exact"/>
              <w:rPr>
                <w:rFonts w:ascii="楷体" w:hAnsi="楷体" w:eastAsia="楷体" w:cs="楷体"/>
                <w:color w:val="auto"/>
                <w:sz w:val="24"/>
              </w:rPr>
            </w:pPr>
            <w:r>
              <w:rPr>
                <w:rFonts w:hint="eastAsia" w:ascii="楷体" w:hAnsi="楷体" w:eastAsia="楷体" w:cs="楷体"/>
                <w:color w:val="auto"/>
                <w:sz w:val="24"/>
              </w:rPr>
              <w:t xml:space="preserve">同时维修车辆数量（维修工位数量）≥4辆，得6分； </w:t>
            </w:r>
          </w:p>
          <w:p w14:paraId="530FC233">
            <w:pPr>
              <w:numPr>
                <w:ilvl w:val="0"/>
                <w:numId w:val="54"/>
              </w:numPr>
              <w:spacing w:line="440" w:lineRule="exact"/>
              <w:rPr>
                <w:rFonts w:ascii="楷体" w:hAnsi="楷体" w:eastAsia="楷体" w:cs="楷体"/>
                <w:color w:val="auto"/>
                <w:sz w:val="24"/>
              </w:rPr>
            </w:pPr>
            <w:r>
              <w:rPr>
                <w:rFonts w:hint="eastAsia" w:ascii="楷体" w:hAnsi="楷体" w:eastAsia="楷体" w:cs="楷体"/>
                <w:color w:val="auto"/>
                <w:sz w:val="24"/>
              </w:rPr>
              <w:t xml:space="preserve">3辆≤同时维修车辆数量（维修工位数量）&lt;4辆，得4分； </w:t>
            </w:r>
          </w:p>
          <w:p w14:paraId="4C0AE2C0">
            <w:pPr>
              <w:numPr>
                <w:ilvl w:val="0"/>
                <w:numId w:val="54"/>
              </w:numPr>
              <w:spacing w:line="440" w:lineRule="exact"/>
              <w:rPr>
                <w:rFonts w:ascii="楷体" w:hAnsi="楷体" w:eastAsia="楷体" w:cs="楷体"/>
                <w:color w:val="auto"/>
                <w:sz w:val="24"/>
              </w:rPr>
            </w:pPr>
            <w:r>
              <w:rPr>
                <w:rFonts w:hint="eastAsia" w:ascii="楷体" w:hAnsi="楷体" w:eastAsia="楷体" w:cs="楷体"/>
                <w:color w:val="auto"/>
                <w:sz w:val="24"/>
              </w:rPr>
              <w:t>2辆≤同时维修车辆数量（维修工位数量）&lt;3辆，得2分；</w:t>
            </w:r>
          </w:p>
          <w:p w14:paraId="75CC3417">
            <w:pPr>
              <w:numPr>
                <w:ilvl w:val="0"/>
                <w:numId w:val="54"/>
              </w:numPr>
              <w:spacing w:line="440" w:lineRule="exact"/>
              <w:rPr>
                <w:rFonts w:ascii="楷体" w:hAnsi="楷体" w:eastAsia="楷体" w:cs="楷体"/>
                <w:color w:val="auto"/>
                <w:sz w:val="24"/>
              </w:rPr>
            </w:pPr>
            <w:r>
              <w:rPr>
                <w:rFonts w:hint="eastAsia" w:ascii="楷体" w:hAnsi="楷体" w:eastAsia="楷体" w:cs="楷体"/>
                <w:color w:val="auto"/>
                <w:sz w:val="24"/>
              </w:rPr>
              <w:t>同时维修车辆数量（维修工位数量）&lt;2辆，不得分。</w:t>
            </w:r>
          </w:p>
          <w:p w14:paraId="0EF22F7E">
            <w:pPr>
              <w:spacing w:line="440" w:lineRule="exact"/>
              <w:rPr>
                <w:rFonts w:ascii="楷体" w:hAnsi="楷体" w:eastAsia="楷体" w:cs="楷体"/>
                <w:color w:val="auto"/>
                <w:sz w:val="24"/>
              </w:rPr>
            </w:pPr>
            <w:r>
              <w:rPr>
                <w:rFonts w:hint="eastAsia" w:ascii="楷体" w:hAnsi="楷体" w:eastAsia="楷体" w:cs="楷体"/>
                <w:color w:val="auto"/>
                <w:sz w:val="24"/>
              </w:rPr>
              <w:t>注：需提供相关佐证材料（如现场照片等），未提供或不满足上述要求不得分。</w:t>
            </w:r>
          </w:p>
        </w:tc>
        <w:tc>
          <w:tcPr>
            <w:tcW w:w="507" w:type="pct"/>
            <w:vAlign w:val="center"/>
          </w:tcPr>
          <w:p w14:paraId="476A84E3">
            <w:pPr>
              <w:spacing w:line="440" w:lineRule="exact"/>
              <w:jc w:val="center"/>
              <w:rPr>
                <w:rFonts w:ascii="楷体" w:hAnsi="楷体" w:eastAsia="楷体" w:cs="楷体"/>
                <w:color w:val="auto"/>
                <w:sz w:val="24"/>
              </w:rPr>
            </w:pPr>
            <w:r>
              <w:rPr>
                <w:rFonts w:hint="eastAsia" w:ascii="楷体" w:hAnsi="楷体" w:eastAsia="楷体" w:cs="楷体"/>
                <w:color w:val="auto"/>
                <w:sz w:val="24"/>
              </w:rPr>
              <w:t>6</w:t>
            </w:r>
          </w:p>
        </w:tc>
      </w:tr>
      <w:tr w14:paraId="1D98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2" w:type="pct"/>
            <w:gridSpan w:val="3"/>
            <w:shd w:val="clear" w:color="auto" w:fill="EAEAEA"/>
            <w:vAlign w:val="center"/>
          </w:tcPr>
          <w:p w14:paraId="47B3BA17">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合计</w:t>
            </w:r>
          </w:p>
        </w:tc>
        <w:tc>
          <w:tcPr>
            <w:tcW w:w="507" w:type="pct"/>
            <w:shd w:val="clear" w:color="auto" w:fill="EAEAEA"/>
            <w:vAlign w:val="center"/>
          </w:tcPr>
          <w:p w14:paraId="7725413B">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35</w:t>
            </w:r>
            <w:r>
              <w:rPr>
                <w:rFonts w:hint="eastAsia" w:ascii="楷体" w:hAnsi="楷体" w:eastAsia="楷体" w:cs="楷体"/>
                <w:b/>
                <w:color w:val="auto"/>
                <w:kern w:val="0"/>
                <w:sz w:val="24"/>
              </w:rPr>
              <w:t>分</w:t>
            </w:r>
          </w:p>
        </w:tc>
      </w:tr>
    </w:tbl>
    <w:p w14:paraId="153A7963">
      <w:pPr>
        <w:spacing w:line="360" w:lineRule="exact"/>
        <w:ind w:firstLine="480" w:firstLineChars="200"/>
        <w:rPr>
          <w:rFonts w:ascii="楷体" w:hAnsi="楷体" w:eastAsia="楷体" w:cs="楷体"/>
          <w:color w:val="auto"/>
          <w:sz w:val="24"/>
        </w:rPr>
      </w:pPr>
      <w:r>
        <w:rPr>
          <w:rFonts w:hint="eastAsia" w:ascii="楷体" w:hAnsi="楷体" w:eastAsia="楷体" w:cs="楷体"/>
          <w:color w:val="auto"/>
          <w:sz w:val="24"/>
        </w:rPr>
        <w:t>备注：上表中要求提供佐证材料的，投标人必须提供，否则计0分。（得分四舍五入后，小数点后保留两位有效数）</w:t>
      </w:r>
    </w:p>
    <w:p w14:paraId="740A04AB">
      <w:pPr>
        <w:tabs>
          <w:tab w:val="left" w:pos="360"/>
          <w:tab w:val="left" w:pos="1030"/>
        </w:tabs>
        <w:spacing w:before="120" w:line="360" w:lineRule="auto"/>
        <w:rPr>
          <w:rFonts w:ascii="楷体" w:hAnsi="楷体" w:eastAsia="楷体" w:cs="楷体"/>
          <w:color w:val="auto"/>
        </w:rPr>
      </w:pPr>
      <w:bookmarkStart w:id="296" w:name="_Toc22061"/>
      <w:r>
        <w:rPr>
          <w:rFonts w:hint="eastAsia" w:ascii="楷体" w:hAnsi="楷体" w:eastAsia="楷体" w:cs="楷体"/>
          <w:b/>
          <w:color w:val="auto"/>
          <w:sz w:val="24"/>
        </w:rPr>
        <w:br w:type="page"/>
      </w:r>
      <w:bookmarkStart w:id="297" w:name="_Toc14338"/>
      <w:r>
        <w:rPr>
          <w:rFonts w:hint="eastAsia" w:ascii="楷体" w:hAnsi="楷体" w:eastAsia="楷体" w:cs="楷体"/>
          <w:b/>
          <w:color w:val="auto"/>
          <w:sz w:val="24"/>
        </w:rPr>
        <w:t>附表4：技术评审表</w:t>
      </w:r>
      <w:bookmarkEnd w:id="297"/>
    </w:p>
    <w:tbl>
      <w:tblPr>
        <w:tblStyle w:val="4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2"/>
        <w:gridCol w:w="1567"/>
        <w:gridCol w:w="5700"/>
        <w:gridCol w:w="956"/>
      </w:tblGrid>
      <w:tr w14:paraId="6BCC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jc w:val="center"/>
        </w:trPr>
        <w:tc>
          <w:tcPr>
            <w:tcW w:w="692" w:type="dxa"/>
            <w:shd w:val="clear" w:color="auto" w:fill="EAEAEA"/>
            <w:vAlign w:val="center"/>
          </w:tcPr>
          <w:p w14:paraId="7E6433A8">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序号</w:t>
            </w:r>
          </w:p>
        </w:tc>
        <w:tc>
          <w:tcPr>
            <w:tcW w:w="1567" w:type="dxa"/>
            <w:shd w:val="clear" w:color="auto" w:fill="EAEAEA"/>
            <w:vAlign w:val="center"/>
          </w:tcPr>
          <w:p w14:paraId="2CCC913E">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评审因素</w:t>
            </w:r>
          </w:p>
        </w:tc>
        <w:tc>
          <w:tcPr>
            <w:tcW w:w="5700" w:type="dxa"/>
            <w:shd w:val="clear" w:color="auto" w:fill="EAEAEA"/>
            <w:vAlign w:val="center"/>
          </w:tcPr>
          <w:p w14:paraId="7B6DFA70">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评分标准</w:t>
            </w:r>
          </w:p>
        </w:tc>
        <w:tc>
          <w:tcPr>
            <w:tcW w:w="956" w:type="dxa"/>
            <w:shd w:val="clear" w:color="auto" w:fill="EAEAEA"/>
            <w:vAlign w:val="center"/>
          </w:tcPr>
          <w:p w14:paraId="78E04DBD">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分值</w:t>
            </w:r>
          </w:p>
        </w:tc>
      </w:tr>
      <w:tr w14:paraId="740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92" w:type="dxa"/>
            <w:vAlign w:val="center"/>
          </w:tcPr>
          <w:p w14:paraId="1CF50509">
            <w:pPr>
              <w:widowControl/>
              <w:jc w:val="center"/>
              <w:rPr>
                <w:rFonts w:ascii="楷体" w:hAnsi="楷体" w:eastAsia="楷体" w:cs="楷体"/>
                <w:bCs/>
                <w:color w:val="auto"/>
                <w:kern w:val="0"/>
                <w:sz w:val="24"/>
              </w:rPr>
            </w:pPr>
            <w:r>
              <w:rPr>
                <w:rFonts w:hint="eastAsia" w:ascii="楷体" w:hAnsi="楷体" w:eastAsia="楷体" w:cs="楷体"/>
                <w:bCs/>
                <w:color w:val="auto"/>
                <w:kern w:val="0"/>
                <w:sz w:val="24"/>
              </w:rPr>
              <w:t>1</w:t>
            </w:r>
          </w:p>
        </w:tc>
        <w:tc>
          <w:tcPr>
            <w:tcW w:w="1567" w:type="dxa"/>
            <w:vAlign w:val="center"/>
          </w:tcPr>
          <w:p w14:paraId="4F9EEEFC">
            <w:pPr>
              <w:spacing w:line="440" w:lineRule="exact"/>
              <w:jc w:val="center"/>
              <w:rPr>
                <w:rFonts w:ascii="楷体" w:hAnsi="楷体" w:eastAsia="楷体" w:cs="楷体"/>
                <w:color w:val="auto"/>
                <w:sz w:val="24"/>
              </w:rPr>
            </w:pPr>
            <w:r>
              <w:rPr>
                <w:rFonts w:hint="eastAsia" w:ascii="楷体" w:hAnsi="楷体" w:eastAsia="楷体" w:cs="楷体"/>
                <w:color w:val="auto"/>
                <w:sz w:val="24"/>
              </w:rPr>
              <w:t>服务工作方案及整体运作流程</w:t>
            </w:r>
          </w:p>
        </w:tc>
        <w:tc>
          <w:tcPr>
            <w:tcW w:w="5700" w:type="dxa"/>
            <w:vAlign w:val="center"/>
          </w:tcPr>
          <w:p w14:paraId="27C0F18A">
            <w:p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根据投标人提供的服务工作方案及整体运作流程（包括但不限于接车、诊断、估价、作业、质检、结算、交车、服务跟踪等各环节）进行评审： </w:t>
            </w:r>
          </w:p>
          <w:p w14:paraId="34C2D2C1">
            <w:pPr>
              <w:numPr>
                <w:ilvl w:val="0"/>
                <w:numId w:val="55"/>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服务工作方案及整体运作流程详细完整，客户接待有礼有节，主动引导至接待区，故障诊断准确，作业技术人员专业，经验丰富，质检核查仔细，价格合理透明，交车时耐心说明注意事项，建立服务跟踪档案，一客一档，服务周到，得10分； </w:t>
            </w:r>
          </w:p>
          <w:p w14:paraId="048FF584">
            <w:pPr>
              <w:numPr>
                <w:ilvl w:val="0"/>
                <w:numId w:val="55"/>
              </w:numPr>
              <w:spacing w:line="440" w:lineRule="exact"/>
              <w:jc w:val="left"/>
              <w:rPr>
                <w:rFonts w:ascii="楷体" w:hAnsi="楷体" w:eastAsia="楷体" w:cs="楷体"/>
                <w:color w:val="auto"/>
                <w:sz w:val="24"/>
              </w:rPr>
            </w:pPr>
            <w:r>
              <w:rPr>
                <w:rFonts w:hint="eastAsia" w:ascii="楷体" w:hAnsi="楷体" w:eastAsia="楷体" w:cs="楷体"/>
                <w:color w:val="auto"/>
                <w:sz w:val="24"/>
              </w:rPr>
              <w:t>服务工作方案及整体运作流程基本详细完整，客户接待比较有礼貌，主动引导至接待区，故障诊断较准确，作业技术人员较专业，有一定经验，质检核查较仔细，价格基本合理，交车时说明注意事项，建立服务跟踪档案，但未做到一客一档，得6分；</w:t>
            </w:r>
          </w:p>
          <w:p w14:paraId="3C786E5D">
            <w:pPr>
              <w:numPr>
                <w:ilvl w:val="0"/>
                <w:numId w:val="55"/>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服务工作方案及整体运作流程部分具备但不全面，有服务人员引导到店客户，故障诊断准确率一般，作业技术人员经验不够丰富，质检核查不仔细，价格不合理，交车时未说明注意事项，没有建立服务跟踪档案，得2分； </w:t>
            </w:r>
          </w:p>
          <w:p w14:paraId="2F4D56AD">
            <w:pPr>
              <w:numPr>
                <w:ilvl w:val="0"/>
                <w:numId w:val="55"/>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其他或不提供不得分。                                                   </w:t>
            </w:r>
          </w:p>
        </w:tc>
        <w:tc>
          <w:tcPr>
            <w:tcW w:w="956" w:type="dxa"/>
            <w:vAlign w:val="center"/>
          </w:tcPr>
          <w:p w14:paraId="50DF4B2D">
            <w:pPr>
              <w:spacing w:line="440" w:lineRule="exact"/>
              <w:jc w:val="center"/>
              <w:rPr>
                <w:rFonts w:ascii="楷体" w:hAnsi="楷体" w:eastAsia="楷体" w:cs="楷体"/>
                <w:color w:val="auto"/>
                <w:sz w:val="24"/>
              </w:rPr>
            </w:pPr>
            <w:r>
              <w:rPr>
                <w:rFonts w:hint="eastAsia" w:ascii="楷体" w:hAnsi="楷体" w:eastAsia="楷体" w:cs="楷体"/>
                <w:color w:val="auto"/>
                <w:sz w:val="24"/>
              </w:rPr>
              <w:t>10</w:t>
            </w:r>
          </w:p>
        </w:tc>
      </w:tr>
      <w:tr w14:paraId="21CF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692" w:type="dxa"/>
            <w:vAlign w:val="center"/>
          </w:tcPr>
          <w:p w14:paraId="21642C71">
            <w:pPr>
              <w:widowControl/>
              <w:jc w:val="center"/>
              <w:rPr>
                <w:rFonts w:ascii="楷体" w:hAnsi="楷体" w:eastAsia="楷体" w:cs="楷体"/>
                <w:bCs/>
                <w:color w:val="auto"/>
                <w:kern w:val="0"/>
                <w:sz w:val="24"/>
              </w:rPr>
            </w:pPr>
            <w:r>
              <w:rPr>
                <w:rFonts w:hint="eastAsia" w:ascii="楷体" w:hAnsi="楷体" w:eastAsia="楷体" w:cs="楷体"/>
                <w:bCs/>
                <w:color w:val="auto"/>
                <w:kern w:val="0"/>
                <w:sz w:val="24"/>
              </w:rPr>
              <w:t>2</w:t>
            </w:r>
          </w:p>
        </w:tc>
        <w:tc>
          <w:tcPr>
            <w:tcW w:w="1567" w:type="dxa"/>
            <w:vAlign w:val="center"/>
          </w:tcPr>
          <w:p w14:paraId="2ADC964C">
            <w:pPr>
              <w:spacing w:line="440" w:lineRule="exact"/>
              <w:jc w:val="center"/>
              <w:rPr>
                <w:rFonts w:ascii="楷体" w:hAnsi="楷体" w:eastAsia="楷体" w:cs="楷体"/>
                <w:color w:val="auto"/>
                <w:sz w:val="24"/>
              </w:rPr>
            </w:pPr>
            <w:r>
              <w:rPr>
                <w:rFonts w:hint="eastAsia" w:ascii="楷体" w:hAnsi="楷体" w:eastAsia="楷体" w:cs="楷体"/>
                <w:color w:val="auto"/>
                <w:sz w:val="24"/>
              </w:rPr>
              <w:t>维修管理制度</w:t>
            </w:r>
          </w:p>
        </w:tc>
        <w:tc>
          <w:tcPr>
            <w:tcW w:w="5700" w:type="dxa"/>
            <w:vAlign w:val="center"/>
          </w:tcPr>
          <w:p w14:paraId="58896405">
            <w:pPr>
              <w:spacing w:line="440" w:lineRule="exact"/>
              <w:jc w:val="left"/>
              <w:rPr>
                <w:rFonts w:ascii="楷体" w:hAnsi="楷体" w:eastAsia="楷体" w:cs="楷体"/>
                <w:color w:val="auto"/>
                <w:sz w:val="24"/>
              </w:rPr>
            </w:pPr>
            <w:r>
              <w:rPr>
                <w:rFonts w:hint="eastAsia" w:ascii="楷体" w:hAnsi="楷体" w:eastAsia="楷体" w:cs="楷体"/>
                <w:color w:val="auto"/>
                <w:sz w:val="24"/>
              </w:rPr>
              <w:t>根据投标人提供的维修管理制度（包括但不限于组织体系及机构设置、管理规章制度、流程规定、价格信息公开等）进行评审：</w:t>
            </w:r>
          </w:p>
          <w:p w14:paraId="293AF5AC">
            <w:pPr>
              <w:numPr>
                <w:ilvl w:val="0"/>
                <w:numId w:val="56"/>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组织体系及机构设置健全、管理规章制度十分详细，流程规定及价格信息公开合理，完全满足招标文件要求，有利于项目实施的，得10分； </w:t>
            </w:r>
          </w:p>
          <w:p w14:paraId="39451007">
            <w:pPr>
              <w:numPr>
                <w:ilvl w:val="0"/>
                <w:numId w:val="56"/>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组织体系及机构设置基本健全、管理规章制度较详细，流程规定及价格信息公开基本合理，基本满足招标文件要求，较有利于项目实施的，得6分； </w:t>
            </w:r>
          </w:p>
          <w:p w14:paraId="4A5485AF">
            <w:pPr>
              <w:numPr>
                <w:ilvl w:val="0"/>
                <w:numId w:val="56"/>
              </w:numPr>
              <w:spacing w:line="440" w:lineRule="exact"/>
              <w:jc w:val="left"/>
              <w:rPr>
                <w:rFonts w:ascii="楷体" w:hAnsi="楷体" w:eastAsia="楷体" w:cs="楷体"/>
                <w:color w:val="auto"/>
                <w:sz w:val="24"/>
              </w:rPr>
            </w:pPr>
            <w:r>
              <w:rPr>
                <w:rFonts w:hint="eastAsia" w:ascii="楷体" w:hAnsi="楷体" w:eastAsia="楷体" w:cs="楷体"/>
                <w:color w:val="auto"/>
                <w:sz w:val="24"/>
              </w:rPr>
              <w:t xml:space="preserve">组织体系及机构设置不清晰、管理规章制度不详细，流程规定及价格信息公开程度一般，部分满足招标文件要求，不利于项目实施的，得2分； </w:t>
            </w:r>
          </w:p>
          <w:p w14:paraId="78B9AF2A">
            <w:pPr>
              <w:numPr>
                <w:ilvl w:val="0"/>
                <w:numId w:val="56"/>
              </w:numPr>
              <w:spacing w:line="440" w:lineRule="exact"/>
              <w:jc w:val="left"/>
              <w:rPr>
                <w:rFonts w:ascii="楷体" w:hAnsi="楷体" w:eastAsia="楷体" w:cs="楷体"/>
                <w:color w:val="auto"/>
                <w:sz w:val="24"/>
              </w:rPr>
            </w:pPr>
            <w:r>
              <w:rPr>
                <w:rFonts w:hint="eastAsia" w:ascii="楷体" w:hAnsi="楷体" w:eastAsia="楷体" w:cs="楷体"/>
                <w:color w:val="auto"/>
                <w:sz w:val="24"/>
              </w:rPr>
              <w:t>其他或不提供不得分。</w:t>
            </w:r>
          </w:p>
        </w:tc>
        <w:tc>
          <w:tcPr>
            <w:tcW w:w="956" w:type="dxa"/>
            <w:vAlign w:val="center"/>
          </w:tcPr>
          <w:p w14:paraId="0A54541E">
            <w:pPr>
              <w:spacing w:line="440" w:lineRule="exact"/>
              <w:jc w:val="center"/>
              <w:rPr>
                <w:rFonts w:ascii="楷体" w:hAnsi="楷体" w:eastAsia="楷体" w:cs="楷体"/>
                <w:color w:val="auto"/>
                <w:sz w:val="24"/>
              </w:rPr>
            </w:pPr>
            <w:r>
              <w:rPr>
                <w:rFonts w:hint="eastAsia" w:ascii="楷体" w:hAnsi="楷体" w:eastAsia="楷体" w:cs="楷体"/>
                <w:color w:val="auto"/>
                <w:sz w:val="24"/>
                <w:lang w:val="zh-CN"/>
              </w:rPr>
              <w:t>10</w:t>
            </w:r>
          </w:p>
        </w:tc>
      </w:tr>
      <w:tr w14:paraId="7D1F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1" w:hRule="atLeast"/>
          <w:jc w:val="center"/>
        </w:trPr>
        <w:tc>
          <w:tcPr>
            <w:tcW w:w="692" w:type="dxa"/>
            <w:vAlign w:val="center"/>
          </w:tcPr>
          <w:p w14:paraId="6AAA8C58">
            <w:pPr>
              <w:widowControl/>
              <w:jc w:val="center"/>
              <w:rPr>
                <w:rFonts w:ascii="楷体" w:hAnsi="楷体" w:eastAsia="楷体" w:cs="楷体"/>
                <w:bCs/>
                <w:color w:val="auto"/>
                <w:kern w:val="0"/>
                <w:sz w:val="24"/>
              </w:rPr>
            </w:pPr>
            <w:r>
              <w:rPr>
                <w:rFonts w:hint="eastAsia" w:ascii="楷体" w:hAnsi="楷体" w:eastAsia="楷体" w:cs="楷体"/>
                <w:bCs/>
                <w:color w:val="auto"/>
                <w:kern w:val="0"/>
                <w:sz w:val="24"/>
              </w:rPr>
              <w:t>3</w:t>
            </w:r>
          </w:p>
        </w:tc>
        <w:tc>
          <w:tcPr>
            <w:tcW w:w="1567" w:type="dxa"/>
            <w:vAlign w:val="center"/>
          </w:tcPr>
          <w:p w14:paraId="0557AC30">
            <w:pPr>
              <w:spacing w:line="440" w:lineRule="exact"/>
              <w:jc w:val="center"/>
              <w:rPr>
                <w:rFonts w:ascii="楷体" w:hAnsi="楷体" w:eastAsia="楷体" w:cs="楷体"/>
                <w:color w:val="auto"/>
                <w:sz w:val="24"/>
              </w:rPr>
            </w:pPr>
            <w:r>
              <w:rPr>
                <w:rFonts w:hint="eastAsia" w:ascii="楷体" w:hAnsi="楷体" w:eastAsia="楷体" w:cs="楷体"/>
                <w:color w:val="auto"/>
                <w:sz w:val="24"/>
              </w:rPr>
              <w:t>增值服务</w:t>
            </w:r>
          </w:p>
        </w:tc>
        <w:tc>
          <w:tcPr>
            <w:tcW w:w="5700" w:type="dxa"/>
            <w:vAlign w:val="center"/>
          </w:tcPr>
          <w:p w14:paraId="33D32D81">
            <w:pPr>
              <w:spacing w:line="440" w:lineRule="exact"/>
              <w:jc w:val="left"/>
              <w:rPr>
                <w:rFonts w:ascii="楷体" w:hAnsi="楷体" w:eastAsia="楷体" w:cs="楷体"/>
                <w:color w:val="auto"/>
                <w:sz w:val="24"/>
              </w:rPr>
            </w:pPr>
            <w:r>
              <w:rPr>
                <w:rFonts w:hint="eastAsia" w:ascii="楷体" w:hAnsi="楷体" w:eastAsia="楷体" w:cs="楷体"/>
                <w:color w:val="auto"/>
                <w:sz w:val="24"/>
              </w:rPr>
              <w:t>根据投标人提供的车辆增值服务进行评审：</w:t>
            </w:r>
          </w:p>
          <w:p w14:paraId="0BC91F81">
            <w:pPr>
              <w:numPr>
                <w:ilvl w:val="0"/>
                <w:numId w:val="57"/>
              </w:numPr>
              <w:spacing w:line="440" w:lineRule="exact"/>
              <w:jc w:val="left"/>
              <w:rPr>
                <w:rFonts w:ascii="楷体" w:hAnsi="楷体" w:eastAsia="楷体" w:cs="楷体"/>
                <w:color w:val="auto"/>
                <w:sz w:val="24"/>
              </w:rPr>
            </w:pPr>
            <w:r>
              <w:rPr>
                <w:rFonts w:hint="eastAsia" w:ascii="楷体" w:hAnsi="楷体" w:eastAsia="楷体" w:cs="楷体"/>
                <w:color w:val="auto"/>
                <w:sz w:val="24"/>
              </w:rPr>
              <w:t>提供的增值服务数量多，可行性高的，得10分；</w:t>
            </w:r>
          </w:p>
          <w:p w14:paraId="1442E0E3">
            <w:pPr>
              <w:numPr>
                <w:ilvl w:val="0"/>
                <w:numId w:val="57"/>
              </w:numPr>
              <w:spacing w:line="440" w:lineRule="exact"/>
              <w:jc w:val="left"/>
              <w:rPr>
                <w:rFonts w:ascii="楷体" w:hAnsi="楷体" w:eastAsia="楷体" w:cs="楷体"/>
                <w:color w:val="auto"/>
                <w:sz w:val="24"/>
              </w:rPr>
            </w:pPr>
            <w:r>
              <w:rPr>
                <w:rFonts w:hint="eastAsia" w:ascii="楷体" w:hAnsi="楷体" w:eastAsia="楷体" w:cs="楷体"/>
                <w:color w:val="auto"/>
                <w:sz w:val="24"/>
              </w:rPr>
              <w:t>提供的增值服务数量较多，可行性较高的，得6分；</w:t>
            </w:r>
          </w:p>
          <w:p w14:paraId="2644AE78">
            <w:pPr>
              <w:numPr>
                <w:ilvl w:val="0"/>
                <w:numId w:val="57"/>
              </w:numPr>
              <w:spacing w:line="440" w:lineRule="exact"/>
              <w:jc w:val="left"/>
              <w:rPr>
                <w:rFonts w:ascii="楷体" w:hAnsi="楷体" w:eastAsia="楷体" w:cs="楷体"/>
                <w:color w:val="auto"/>
                <w:sz w:val="24"/>
              </w:rPr>
            </w:pPr>
            <w:r>
              <w:rPr>
                <w:rFonts w:hint="eastAsia" w:ascii="楷体" w:hAnsi="楷体" w:eastAsia="楷体" w:cs="楷体"/>
                <w:color w:val="auto"/>
                <w:sz w:val="24"/>
              </w:rPr>
              <w:t>提供的增值服务数量较少，可行性差的， 得2分；</w:t>
            </w:r>
          </w:p>
          <w:p w14:paraId="35ADF4B9">
            <w:pPr>
              <w:numPr>
                <w:ilvl w:val="0"/>
                <w:numId w:val="57"/>
              </w:numPr>
              <w:spacing w:line="440" w:lineRule="exact"/>
              <w:jc w:val="left"/>
              <w:rPr>
                <w:rFonts w:ascii="楷体" w:hAnsi="楷体" w:eastAsia="楷体" w:cs="楷体"/>
                <w:color w:val="auto"/>
                <w:sz w:val="24"/>
              </w:rPr>
            </w:pPr>
            <w:r>
              <w:rPr>
                <w:rFonts w:hint="eastAsia" w:ascii="楷体" w:hAnsi="楷体" w:eastAsia="楷体" w:cs="楷体"/>
                <w:color w:val="auto"/>
                <w:sz w:val="24"/>
              </w:rPr>
              <w:t>未提供增值服务不得分。</w:t>
            </w:r>
          </w:p>
        </w:tc>
        <w:tc>
          <w:tcPr>
            <w:tcW w:w="956" w:type="dxa"/>
            <w:vAlign w:val="center"/>
          </w:tcPr>
          <w:p w14:paraId="257DE288">
            <w:pPr>
              <w:spacing w:line="440" w:lineRule="exact"/>
              <w:jc w:val="center"/>
              <w:rPr>
                <w:rFonts w:ascii="楷体" w:hAnsi="楷体" w:eastAsia="楷体" w:cs="楷体"/>
                <w:bCs/>
                <w:color w:val="auto"/>
                <w:sz w:val="24"/>
              </w:rPr>
            </w:pPr>
            <w:r>
              <w:rPr>
                <w:rFonts w:hint="eastAsia" w:ascii="楷体" w:hAnsi="楷体" w:eastAsia="楷体" w:cs="楷体"/>
                <w:color w:val="auto"/>
                <w:sz w:val="24"/>
              </w:rPr>
              <w:t>10</w:t>
            </w:r>
          </w:p>
        </w:tc>
      </w:tr>
      <w:tr w14:paraId="0E97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92" w:type="dxa"/>
            <w:vAlign w:val="center"/>
          </w:tcPr>
          <w:p w14:paraId="2AD7FC9D">
            <w:pPr>
              <w:widowControl/>
              <w:jc w:val="center"/>
              <w:rPr>
                <w:rFonts w:ascii="楷体" w:hAnsi="楷体" w:eastAsia="楷体" w:cs="楷体"/>
                <w:bCs/>
                <w:color w:val="auto"/>
                <w:kern w:val="0"/>
                <w:sz w:val="24"/>
              </w:rPr>
            </w:pPr>
            <w:r>
              <w:rPr>
                <w:rFonts w:hint="eastAsia" w:ascii="楷体" w:hAnsi="楷体" w:eastAsia="楷体" w:cs="楷体"/>
                <w:bCs/>
                <w:color w:val="auto"/>
                <w:kern w:val="0"/>
                <w:sz w:val="24"/>
              </w:rPr>
              <w:t>4</w:t>
            </w:r>
          </w:p>
        </w:tc>
        <w:tc>
          <w:tcPr>
            <w:tcW w:w="1567" w:type="dxa"/>
            <w:vAlign w:val="center"/>
          </w:tcPr>
          <w:p w14:paraId="79D26C05">
            <w:pPr>
              <w:spacing w:line="440" w:lineRule="exact"/>
              <w:jc w:val="center"/>
              <w:rPr>
                <w:rFonts w:ascii="楷体" w:hAnsi="楷体" w:eastAsia="楷体" w:cs="楷体"/>
                <w:color w:val="auto"/>
                <w:sz w:val="24"/>
              </w:rPr>
            </w:pPr>
            <w:r>
              <w:rPr>
                <w:rFonts w:hint="eastAsia" w:ascii="楷体" w:hAnsi="楷体" w:eastAsia="楷体" w:cs="楷体"/>
                <w:color w:val="auto"/>
                <w:sz w:val="24"/>
              </w:rPr>
              <w:t>应急处理方案</w:t>
            </w:r>
          </w:p>
        </w:tc>
        <w:tc>
          <w:tcPr>
            <w:tcW w:w="5700" w:type="dxa"/>
            <w:vAlign w:val="center"/>
          </w:tcPr>
          <w:p w14:paraId="438F67E8">
            <w:pPr>
              <w:widowControl/>
              <w:spacing w:line="440" w:lineRule="exact"/>
              <w:jc w:val="left"/>
              <w:rPr>
                <w:rFonts w:ascii="楷体" w:hAnsi="楷体" w:eastAsia="楷体" w:cs="楷体"/>
                <w:color w:val="auto"/>
                <w:sz w:val="24"/>
              </w:rPr>
            </w:pPr>
            <w:r>
              <w:rPr>
                <w:rFonts w:hint="eastAsia" w:ascii="楷体" w:hAnsi="楷体" w:eastAsia="楷体" w:cs="楷体"/>
                <w:color w:val="auto"/>
                <w:sz w:val="24"/>
              </w:rPr>
              <w:t>根据投标人对本项目提出的应急处理方案进行评审（包括但不限于应急响应时间、临时突发事件、人员调配等）进行评审：</w:t>
            </w:r>
          </w:p>
          <w:p w14:paraId="1E256E97">
            <w:pPr>
              <w:widowControl/>
              <w:numPr>
                <w:ilvl w:val="0"/>
                <w:numId w:val="58"/>
              </w:numPr>
              <w:spacing w:line="440" w:lineRule="exact"/>
              <w:jc w:val="left"/>
              <w:rPr>
                <w:rFonts w:ascii="楷体" w:hAnsi="楷体" w:eastAsia="楷体" w:cs="楷体"/>
                <w:color w:val="auto"/>
                <w:sz w:val="24"/>
              </w:rPr>
            </w:pPr>
            <w:r>
              <w:rPr>
                <w:rFonts w:hint="eastAsia" w:ascii="楷体" w:hAnsi="楷体" w:eastAsia="楷体" w:cs="楷体"/>
                <w:color w:val="auto"/>
                <w:sz w:val="24"/>
              </w:rPr>
              <w:t>应急处理方案健全，应急场景丰富，响应时间短，针对临时突发事件反应速度快，解决问题时间短，能合理调配人员及安排设备，得10分；</w:t>
            </w:r>
          </w:p>
          <w:p w14:paraId="5BB60A74">
            <w:pPr>
              <w:widowControl/>
              <w:numPr>
                <w:ilvl w:val="0"/>
                <w:numId w:val="58"/>
              </w:numPr>
              <w:spacing w:line="440" w:lineRule="exact"/>
              <w:jc w:val="left"/>
              <w:rPr>
                <w:rFonts w:ascii="楷体" w:hAnsi="楷体" w:eastAsia="楷体" w:cs="楷体"/>
                <w:color w:val="auto"/>
                <w:sz w:val="24"/>
              </w:rPr>
            </w:pPr>
            <w:r>
              <w:rPr>
                <w:rFonts w:hint="eastAsia" w:ascii="楷体" w:hAnsi="楷体" w:eastAsia="楷体" w:cs="楷体"/>
                <w:color w:val="auto"/>
                <w:sz w:val="24"/>
              </w:rPr>
              <w:t>应急处理方案基本健全，应急场景较丰富，响应时间较短，针对临时突发事件反应速度较快，解决问题时间较短，人员调配及设备安排基本合理，得6分；</w:t>
            </w:r>
          </w:p>
          <w:p w14:paraId="6116EED3">
            <w:pPr>
              <w:widowControl/>
              <w:numPr>
                <w:ilvl w:val="0"/>
                <w:numId w:val="58"/>
              </w:numPr>
              <w:spacing w:line="440" w:lineRule="exact"/>
              <w:jc w:val="left"/>
              <w:rPr>
                <w:rFonts w:ascii="楷体" w:hAnsi="楷体" w:eastAsia="楷体" w:cs="楷体"/>
                <w:color w:val="auto"/>
                <w:sz w:val="24"/>
              </w:rPr>
            </w:pPr>
            <w:r>
              <w:rPr>
                <w:rFonts w:hint="eastAsia" w:ascii="楷体" w:hAnsi="楷体" w:eastAsia="楷体" w:cs="楷体"/>
                <w:color w:val="auto"/>
                <w:sz w:val="24"/>
              </w:rPr>
              <w:t>应急处理方案部分具备，应急场景单一，响应时间较长，没有建立临时突发事件应急处置机制，反应速度慢，解决问题时间长，人员调配及设备安排不合理，得2分；</w:t>
            </w:r>
          </w:p>
          <w:p w14:paraId="18AD57F5">
            <w:pPr>
              <w:widowControl/>
              <w:numPr>
                <w:ilvl w:val="0"/>
                <w:numId w:val="58"/>
              </w:numPr>
              <w:spacing w:line="440" w:lineRule="exact"/>
              <w:jc w:val="left"/>
              <w:rPr>
                <w:rFonts w:ascii="楷体" w:hAnsi="楷体" w:eastAsia="楷体" w:cs="楷体"/>
                <w:color w:val="auto"/>
                <w:sz w:val="24"/>
              </w:rPr>
            </w:pPr>
            <w:r>
              <w:rPr>
                <w:rFonts w:hint="eastAsia" w:ascii="楷体" w:hAnsi="楷体" w:eastAsia="楷体" w:cs="楷体"/>
                <w:color w:val="auto"/>
                <w:sz w:val="24"/>
              </w:rPr>
              <w:t>其他或不提供不得分。</w:t>
            </w:r>
          </w:p>
        </w:tc>
        <w:tc>
          <w:tcPr>
            <w:tcW w:w="956" w:type="dxa"/>
            <w:vAlign w:val="center"/>
          </w:tcPr>
          <w:p w14:paraId="25710E49">
            <w:pPr>
              <w:spacing w:line="440" w:lineRule="exact"/>
              <w:jc w:val="center"/>
              <w:rPr>
                <w:rFonts w:ascii="楷体" w:hAnsi="楷体" w:eastAsia="楷体" w:cs="楷体"/>
                <w:color w:val="auto"/>
                <w:sz w:val="24"/>
              </w:rPr>
            </w:pPr>
            <w:r>
              <w:rPr>
                <w:rFonts w:hint="eastAsia" w:ascii="楷体" w:hAnsi="楷体" w:eastAsia="楷体" w:cs="楷体"/>
                <w:color w:val="auto"/>
                <w:sz w:val="24"/>
                <w:lang w:val="zh-CN"/>
              </w:rPr>
              <w:t>10</w:t>
            </w:r>
          </w:p>
        </w:tc>
      </w:tr>
      <w:tr w14:paraId="3EC1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7959" w:type="dxa"/>
            <w:gridSpan w:val="3"/>
            <w:shd w:val="clear" w:color="auto" w:fill="EAEAEA"/>
            <w:vAlign w:val="center"/>
          </w:tcPr>
          <w:p w14:paraId="070DAAEF">
            <w:pPr>
              <w:widowControl/>
              <w:jc w:val="center"/>
              <w:rPr>
                <w:rFonts w:ascii="楷体" w:hAnsi="楷体" w:eastAsia="楷体" w:cs="楷体"/>
                <w:b/>
                <w:color w:val="auto"/>
                <w:kern w:val="0"/>
                <w:sz w:val="24"/>
              </w:rPr>
            </w:pPr>
            <w:r>
              <w:rPr>
                <w:rFonts w:hint="eastAsia" w:ascii="楷体" w:hAnsi="楷体" w:eastAsia="楷体" w:cs="楷体"/>
                <w:b/>
                <w:color w:val="auto"/>
                <w:kern w:val="0"/>
                <w:sz w:val="24"/>
              </w:rPr>
              <w:t>合计</w:t>
            </w:r>
          </w:p>
        </w:tc>
        <w:tc>
          <w:tcPr>
            <w:tcW w:w="956" w:type="dxa"/>
            <w:shd w:val="clear" w:color="auto" w:fill="EAEAEA"/>
            <w:vAlign w:val="center"/>
          </w:tcPr>
          <w:p w14:paraId="565C11F4">
            <w:pPr>
              <w:widowControl/>
              <w:jc w:val="center"/>
              <w:rPr>
                <w:rFonts w:ascii="楷体" w:hAnsi="楷体" w:eastAsia="楷体" w:cs="楷体"/>
                <w:b/>
                <w:color w:val="auto"/>
                <w:kern w:val="0"/>
                <w:sz w:val="24"/>
              </w:rPr>
            </w:pPr>
            <w:r>
              <w:rPr>
                <w:rFonts w:hint="eastAsia" w:ascii="楷体" w:hAnsi="楷体" w:eastAsia="楷体" w:cs="楷体"/>
                <w:b/>
                <w:color w:val="auto"/>
                <w:kern w:val="0"/>
                <w:sz w:val="24"/>
              </w:rPr>
              <w:t>40分</w:t>
            </w:r>
          </w:p>
        </w:tc>
      </w:tr>
    </w:tbl>
    <w:p w14:paraId="46EC22AF">
      <w:pPr>
        <w:spacing w:line="360" w:lineRule="exact"/>
        <w:ind w:firstLine="480" w:firstLineChars="200"/>
        <w:rPr>
          <w:rFonts w:ascii="楷体" w:hAnsi="楷体" w:eastAsia="楷体" w:cs="楷体"/>
          <w:color w:val="auto"/>
          <w:sz w:val="24"/>
        </w:rPr>
      </w:pPr>
      <w:r>
        <w:rPr>
          <w:rFonts w:hint="eastAsia" w:ascii="楷体" w:hAnsi="楷体" w:eastAsia="楷体" w:cs="楷体"/>
          <w:color w:val="auto"/>
          <w:sz w:val="24"/>
        </w:rPr>
        <w:t>备注：上表中要求提供佐证材料的，投标人必须提供，否则计0分。（得分四舍五入后，小数点后保留两位有效数）</w:t>
      </w:r>
    </w:p>
    <w:p w14:paraId="58CDE70F">
      <w:pPr>
        <w:spacing w:line="360" w:lineRule="exact"/>
        <w:ind w:firstLine="480" w:firstLineChars="200"/>
        <w:rPr>
          <w:rFonts w:ascii="楷体" w:hAnsi="楷体" w:eastAsia="楷体" w:cs="楷体"/>
          <w:color w:val="auto"/>
          <w:sz w:val="24"/>
        </w:rPr>
      </w:pPr>
    </w:p>
    <w:p w14:paraId="65D51D5F">
      <w:pPr>
        <w:spacing w:line="360" w:lineRule="exact"/>
        <w:rPr>
          <w:rFonts w:ascii="楷体" w:hAnsi="楷体" w:eastAsia="楷体" w:cs="楷体"/>
          <w:b/>
          <w:color w:val="auto"/>
          <w:sz w:val="24"/>
        </w:rPr>
      </w:pPr>
      <w:r>
        <w:rPr>
          <w:rFonts w:hint="eastAsia" w:ascii="楷体" w:hAnsi="楷体" w:eastAsia="楷体" w:cs="楷体"/>
          <w:b/>
          <w:color w:val="auto"/>
          <w:sz w:val="24"/>
        </w:rPr>
        <w:t>附表5：价格评审</w:t>
      </w:r>
      <w:bookmarkEnd w:id="296"/>
    </w:p>
    <w:tbl>
      <w:tblPr>
        <w:tblStyle w:val="43"/>
        <w:tblW w:w="94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432"/>
        <w:gridCol w:w="6489"/>
        <w:gridCol w:w="730"/>
      </w:tblGrid>
      <w:tr w14:paraId="2CA05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769" w:type="dxa"/>
            <w:tcBorders>
              <w:top w:val="single" w:color="000000" w:sz="12" w:space="0"/>
              <w:bottom w:val="single" w:color="000000" w:sz="4" w:space="0"/>
            </w:tcBorders>
            <w:shd w:val="clear" w:color="auto" w:fill="D9D9D9"/>
            <w:vAlign w:val="center"/>
          </w:tcPr>
          <w:p w14:paraId="25C87892">
            <w:pPr>
              <w:adjustRightInd w:val="0"/>
              <w:snapToGrid w:val="0"/>
              <w:jc w:val="center"/>
              <w:rPr>
                <w:rFonts w:ascii="楷体" w:hAnsi="楷体" w:eastAsia="楷体" w:cs="楷体"/>
                <w:color w:val="auto"/>
                <w:sz w:val="24"/>
              </w:rPr>
            </w:pPr>
            <w:r>
              <w:rPr>
                <w:rFonts w:hint="eastAsia" w:ascii="楷体" w:hAnsi="楷体" w:eastAsia="楷体" w:cs="楷体"/>
                <w:b/>
                <w:color w:val="auto"/>
                <w:sz w:val="24"/>
              </w:rPr>
              <w:t>序号</w:t>
            </w:r>
          </w:p>
        </w:tc>
        <w:tc>
          <w:tcPr>
            <w:tcW w:w="1432" w:type="dxa"/>
            <w:tcBorders>
              <w:top w:val="single" w:color="000000" w:sz="12" w:space="0"/>
              <w:bottom w:val="single" w:color="000000" w:sz="4" w:space="0"/>
            </w:tcBorders>
            <w:shd w:val="clear" w:color="auto" w:fill="D9D9D9"/>
            <w:vAlign w:val="center"/>
          </w:tcPr>
          <w:p w14:paraId="75069696">
            <w:pPr>
              <w:adjustRightInd w:val="0"/>
              <w:snapToGrid w:val="0"/>
              <w:jc w:val="center"/>
              <w:rPr>
                <w:rFonts w:ascii="楷体" w:hAnsi="楷体" w:eastAsia="楷体" w:cs="楷体"/>
                <w:color w:val="auto"/>
                <w:sz w:val="24"/>
              </w:rPr>
            </w:pPr>
            <w:r>
              <w:rPr>
                <w:rFonts w:hint="eastAsia" w:ascii="楷体" w:hAnsi="楷体" w:eastAsia="楷体" w:cs="楷体"/>
                <w:b/>
                <w:color w:val="auto"/>
                <w:sz w:val="24"/>
              </w:rPr>
              <w:t>评审因素</w:t>
            </w:r>
          </w:p>
        </w:tc>
        <w:tc>
          <w:tcPr>
            <w:tcW w:w="6489" w:type="dxa"/>
            <w:tcBorders>
              <w:top w:val="single" w:color="000000" w:sz="12" w:space="0"/>
              <w:bottom w:val="single" w:color="000000" w:sz="4" w:space="0"/>
            </w:tcBorders>
            <w:shd w:val="clear" w:color="auto" w:fill="D9D9D9"/>
            <w:vAlign w:val="center"/>
          </w:tcPr>
          <w:p w14:paraId="44151D74">
            <w:pPr>
              <w:adjustRightInd w:val="0"/>
              <w:snapToGrid w:val="0"/>
              <w:jc w:val="center"/>
              <w:rPr>
                <w:rFonts w:ascii="楷体" w:hAnsi="楷体" w:eastAsia="楷体" w:cs="楷体"/>
                <w:bCs/>
                <w:color w:val="auto"/>
                <w:sz w:val="24"/>
              </w:rPr>
            </w:pPr>
            <w:r>
              <w:rPr>
                <w:rFonts w:hint="eastAsia" w:ascii="楷体" w:hAnsi="楷体" w:eastAsia="楷体" w:cs="楷体"/>
                <w:b/>
                <w:color w:val="auto"/>
                <w:sz w:val="24"/>
              </w:rPr>
              <w:t>评分细则</w:t>
            </w:r>
          </w:p>
        </w:tc>
        <w:tc>
          <w:tcPr>
            <w:tcW w:w="730" w:type="dxa"/>
            <w:tcBorders>
              <w:top w:val="single" w:color="000000" w:sz="12" w:space="0"/>
              <w:bottom w:val="single" w:color="000000" w:sz="4" w:space="0"/>
            </w:tcBorders>
            <w:shd w:val="clear" w:color="auto" w:fill="D9D9D9"/>
            <w:vAlign w:val="center"/>
          </w:tcPr>
          <w:p w14:paraId="5AC7F442">
            <w:pPr>
              <w:widowControl/>
              <w:adjustRightInd w:val="0"/>
              <w:snapToGrid w:val="0"/>
              <w:jc w:val="center"/>
              <w:rPr>
                <w:rFonts w:ascii="楷体" w:hAnsi="楷体" w:eastAsia="楷体" w:cs="楷体"/>
                <w:b/>
                <w:bCs/>
                <w:color w:val="auto"/>
                <w:kern w:val="0"/>
                <w:sz w:val="24"/>
              </w:rPr>
            </w:pPr>
            <w:r>
              <w:rPr>
                <w:rFonts w:hint="eastAsia" w:ascii="楷体" w:hAnsi="楷体" w:eastAsia="楷体" w:cs="楷体"/>
                <w:b/>
                <w:bCs/>
                <w:color w:val="auto"/>
                <w:kern w:val="0"/>
                <w:sz w:val="24"/>
              </w:rPr>
              <w:t>最高</w:t>
            </w:r>
          </w:p>
          <w:p w14:paraId="37E28523">
            <w:pPr>
              <w:adjustRightInd w:val="0"/>
              <w:snapToGrid w:val="0"/>
              <w:jc w:val="center"/>
              <w:rPr>
                <w:rFonts w:ascii="楷体" w:hAnsi="楷体" w:eastAsia="楷体" w:cs="楷体"/>
                <w:color w:val="auto"/>
                <w:sz w:val="24"/>
              </w:rPr>
            </w:pPr>
            <w:r>
              <w:rPr>
                <w:rFonts w:hint="eastAsia" w:ascii="楷体" w:hAnsi="楷体" w:eastAsia="楷体" w:cs="楷体"/>
                <w:b/>
                <w:bCs/>
                <w:color w:val="auto"/>
                <w:kern w:val="0"/>
                <w:sz w:val="24"/>
              </w:rPr>
              <w:t>分值</w:t>
            </w:r>
          </w:p>
        </w:tc>
      </w:tr>
      <w:tr w14:paraId="7E89F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9" w:type="dxa"/>
            <w:tcBorders>
              <w:top w:val="single" w:color="000000" w:sz="4" w:space="0"/>
              <w:bottom w:val="single" w:color="000000" w:sz="4" w:space="0"/>
            </w:tcBorders>
            <w:vAlign w:val="center"/>
          </w:tcPr>
          <w:p w14:paraId="2A26D8BA">
            <w:pPr>
              <w:adjustRightInd w:val="0"/>
              <w:snapToGrid w:val="0"/>
              <w:jc w:val="center"/>
              <w:rPr>
                <w:rFonts w:ascii="楷体" w:hAnsi="楷体" w:eastAsia="楷体" w:cs="楷体"/>
                <w:color w:val="auto"/>
                <w:sz w:val="24"/>
              </w:rPr>
            </w:pPr>
            <w:r>
              <w:rPr>
                <w:rFonts w:hint="eastAsia" w:ascii="楷体" w:hAnsi="楷体" w:eastAsia="楷体" w:cs="楷体"/>
                <w:color w:val="auto"/>
                <w:sz w:val="24"/>
              </w:rPr>
              <w:t>1</w:t>
            </w:r>
          </w:p>
        </w:tc>
        <w:tc>
          <w:tcPr>
            <w:tcW w:w="1432" w:type="dxa"/>
            <w:tcBorders>
              <w:top w:val="single" w:color="000000" w:sz="4" w:space="0"/>
              <w:bottom w:val="single" w:color="000000" w:sz="4" w:space="0"/>
            </w:tcBorders>
            <w:vAlign w:val="center"/>
          </w:tcPr>
          <w:p w14:paraId="2048C538">
            <w:pPr>
              <w:adjustRightInd w:val="0"/>
              <w:snapToGrid w:val="0"/>
              <w:jc w:val="center"/>
              <w:rPr>
                <w:rFonts w:ascii="楷体" w:hAnsi="楷体" w:eastAsia="楷体" w:cs="楷体"/>
                <w:color w:val="auto"/>
                <w:sz w:val="24"/>
              </w:rPr>
            </w:pPr>
            <w:r>
              <w:rPr>
                <w:rFonts w:hint="eastAsia" w:ascii="楷体" w:hAnsi="楷体" w:eastAsia="楷体" w:cs="楷体"/>
                <w:color w:val="auto"/>
                <w:sz w:val="24"/>
              </w:rPr>
              <w:t>投标报价</w:t>
            </w:r>
          </w:p>
        </w:tc>
        <w:tc>
          <w:tcPr>
            <w:tcW w:w="6489" w:type="dxa"/>
            <w:tcBorders>
              <w:top w:val="single" w:color="000000" w:sz="4" w:space="0"/>
              <w:bottom w:val="single" w:color="000000" w:sz="4" w:space="0"/>
            </w:tcBorders>
            <w:vAlign w:val="center"/>
          </w:tcPr>
          <w:p w14:paraId="54829902">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(1)以满足招标文件要求（通过资格性审查及符合性审查）的有效投标人的投标总报价进行计算。投标总报价=工时费报价之和+汽车维修零配件报价之和。投标总报价仅作为价格评审得分，非为最终结算价格。</w:t>
            </w:r>
          </w:p>
          <w:p w14:paraId="74A2B32D">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(2)以有效评标价算术平均值为基准价。</w:t>
            </w:r>
          </w:p>
          <w:p w14:paraId="6C97A943">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(3)价格评审用以下方式进行计算</w:t>
            </w:r>
          </w:p>
          <w:p w14:paraId="150F3D42">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①投标总报价等于基准价的得25分；</w:t>
            </w:r>
          </w:p>
          <w:p w14:paraId="3A7FC15A">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②投标总报价高于基准价的，每高于1个百分点扣0.5分。</w:t>
            </w:r>
          </w:p>
          <w:p w14:paraId="7EA026B3">
            <w:pPr>
              <w:adjustRightInd w:val="0"/>
              <w:snapToGrid w:val="0"/>
              <w:spacing w:line="360" w:lineRule="auto"/>
              <w:ind w:firstLine="482" w:firstLineChars="200"/>
              <w:rPr>
                <w:rFonts w:ascii="楷体" w:hAnsi="楷体" w:eastAsia="楷体" w:cs="楷体"/>
                <w:b/>
                <w:bCs/>
                <w:color w:val="auto"/>
                <w:sz w:val="24"/>
              </w:rPr>
            </w:pPr>
            <w:r>
              <w:rPr>
                <w:rFonts w:hint="eastAsia" w:ascii="楷体" w:hAnsi="楷体" w:eastAsia="楷体" w:cs="楷体"/>
                <w:b/>
                <w:bCs/>
                <w:color w:val="auto"/>
                <w:sz w:val="24"/>
              </w:rPr>
              <w:t>价格得分=25-|评标总价-评标基准价|/评标基准价*50</w:t>
            </w:r>
          </w:p>
          <w:p w14:paraId="1298A5E7">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③投标总报价低于基准价的，每低于1个百分点扣0.25分。</w:t>
            </w:r>
          </w:p>
          <w:p w14:paraId="130C8D7C">
            <w:pPr>
              <w:adjustRightInd w:val="0"/>
              <w:snapToGrid w:val="0"/>
              <w:spacing w:line="360" w:lineRule="auto"/>
              <w:ind w:firstLine="482" w:firstLineChars="200"/>
              <w:rPr>
                <w:rFonts w:ascii="楷体" w:hAnsi="楷体" w:eastAsia="楷体" w:cs="楷体"/>
                <w:color w:val="auto"/>
                <w:sz w:val="24"/>
              </w:rPr>
            </w:pPr>
            <w:r>
              <w:rPr>
                <w:rFonts w:hint="eastAsia" w:ascii="楷体" w:hAnsi="楷体" w:eastAsia="楷体" w:cs="楷体"/>
                <w:b/>
                <w:bCs/>
                <w:color w:val="auto"/>
                <w:sz w:val="24"/>
              </w:rPr>
              <w:t>价格得分=25-|评标总价-评标基准价|/评标基准价*25</w:t>
            </w:r>
          </w:p>
          <w:p w14:paraId="5CA1E517">
            <w:pPr>
              <w:adjustRightInd w:val="0"/>
              <w:snapToGrid w:val="0"/>
              <w:spacing w:line="360" w:lineRule="auto"/>
              <w:ind w:firstLine="480" w:firstLineChars="200"/>
              <w:rPr>
                <w:rFonts w:ascii="楷体" w:hAnsi="楷体" w:eastAsia="楷体" w:cs="楷体"/>
                <w:bCs/>
                <w:color w:val="auto"/>
                <w:sz w:val="24"/>
              </w:rPr>
            </w:pPr>
            <w:r>
              <w:rPr>
                <w:rFonts w:hint="eastAsia" w:ascii="楷体" w:hAnsi="楷体" w:eastAsia="楷体" w:cs="楷体"/>
                <w:color w:val="auto"/>
                <w:sz w:val="24"/>
              </w:rPr>
              <w:t>不为1%整数倍数的按比例计算，百分率四舍五入取小数点后2位，最终分值精确到小数点后二位，由评标委员会当场统一计算。</w:t>
            </w:r>
          </w:p>
        </w:tc>
        <w:tc>
          <w:tcPr>
            <w:tcW w:w="730" w:type="dxa"/>
            <w:tcBorders>
              <w:top w:val="single" w:color="000000" w:sz="4" w:space="0"/>
              <w:bottom w:val="single" w:color="000000" w:sz="4" w:space="0"/>
            </w:tcBorders>
            <w:vAlign w:val="center"/>
          </w:tcPr>
          <w:p w14:paraId="525F6B9B">
            <w:pPr>
              <w:adjustRightInd w:val="0"/>
              <w:snapToGrid w:val="0"/>
              <w:jc w:val="center"/>
              <w:rPr>
                <w:rFonts w:ascii="楷体" w:hAnsi="楷体" w:eastAsia="楷体" w:cs="楷体"/>
                <w:color w:val="auto"/>
                <w:sz w:val="24"/>
              </w:rPr>
            </w:pPr>
            <w:r>
              <w:rPr>
                <w:rFonts w:hint="eastAsia" w:ascii="楷体" w:hAnsi="楷体" w:eastAsia="楷体" w:cs="楷体"/>
                <w:color w:val="auto"/>
                <w:sz w:val="24"/>
              </w:rPr>
              <w:t>25</w:t>
            </w:r>
          </w:p>
        </w:tc>
      </w:tr>
    </w:tbl>
    <w:p w14:paraId="0729936C">
      <w:pPr>
        <w:spacing w:line="360" w:lineRule="exact"/>
        <w:rPr>
          <w:rFonts w:ascii="楷体" w:hAnsi="楷体" w:eastAsia="楷体" w:cs="楷体"/>
          <w:color w:val="auto"/>
        </w:rPr>
      </w:pPr>
      <w:bookmarkStart w:id="298" w:name="_Toc423021951"/>
      <w:bookmarkStart w:id="299" w:name="_Toc14045"/>
      <w:bookmarkStart w:id="300" w:name="_Toc17733"/>
      <w:bookmarkStart w:id="301" w:name="_Toc6184"/>
      <w:bookmarkStart w:id="302" w:name="_Toc2252"/>
    </w:p>
    <w:bookmarkEnd w:id="298"/>
    <w:bookmarkEnd w:id="299"/>
    <w:bookmarkEnd w:id="300"/>
    <w:bookmarkEnd w:id="301"/>
    <w:bookmarkEnd w:id="302"/>
    <w:p w14:paraId="6274CF9B">
      <w:pPr>
        <w:widowControl/>
        <w:spacing w:before="240" w:beforeLines="100" w:after="240" w:afterLines="100" w:line="360" w:lineRule="auto"/>
        <w:rPr>
          <w:rFonts w:ascii="楷体" w:hAnsi="楷体" w:eastAsia="楷体" w:cs="楷体"/>
          <w:b/>
          <w:bCs/>
          <w:color w:val="auto"/>
          <w:sz w:val="32"/>
          <w:szCs w:val="32"/>
        </w:rPr>
        <w:sectPr>
          <w:headerReference r:id="rId8" w:type="default"/>
          <w:pgSz w:w="11906" w:h="16838"/>
          <w:pgMar w:top="1440" w:right="1800" w:bottom="1440" w:left="1800" w:header="851" w:footer="822" w:gutter="0"/>
          <w:cols w:space="720" w:num="1"/>
          <w:titlePg/>
          <w:docGrid w:linePitch="312" w:charSpace="0"/>
        </w:sectPr>
      </w:pPr>
    </w:p>
    <w:p w14:paraId="5C08BDFA">
      <w:pPr>
        <w:pStyle w:val="2"/>
        <w:adjustRightInd w:val="0"/>
        <w:snapToGrid w:val="0"/>
        <w:spacing w:before="5280" w:beforeLines="2200" w:after="5280" w:afterLines="2200" w:line="240" w:lineRule="auto"/>
        <w:jc w:val="center"/>
        <w:rPr>
          <w:rFonts w:ascii="楷体" w:hAnsi="楷体" w:eastAsia="楷体" w:cs="楷体"/>
          <w:color w:val="auto"/>
        </w:rPr>
      </w:pPr>
      <w:bookmarkStart w:id="303" w:name="_Toc6782"/>
      <w:r>
        <w:rPr>
          <w:rFonts w:hint="eastAsia" w:ascii="楷体" w:hAnsi="楷体" w:eastAsia="楷体" w:cs="楷体"/>
          <w:color w:val="auto"/>
        </w:rPr>
        <w:t>第四章用户需求书</w:t>
      </w:r>
      <w:bookmarkEnd w:id="303"/>
    </w:p>
    <w:p w14:paraId="0A23D421">
      <w:pPr>
        <w:widowControl/>
        <w:spacing w:before="240" w:beforeLines="100" w:after="240" w:afterLines="100" w:line="360" w:lineRule="auto"/>
        <w:jc w:val="center"/>
        <w:rPr>
          <w:rFonts w:ascii="楷体" w:hAnsi="楷体" w:eastAsia="楷体" w:cs="楷体"/>
          <w:b/>
          <w:bCs/>
          <w:color w:val="auto"/>
          <w:sz w:val="32"/>
          <w:szCs w:val="32"/>
        </w:rPr>
        <w:sectPr>
          <w:pgSz w:w="11906" w:h="16838"/>
          <w:pgMar w:top="1440" w:right="1800" w:bottom="1440" w:left="1800" w:header="851" w:footer="822" w:gutter="0"/>
          <w:cols w:space="720" w:num="1"/>
          <w:titlePg/>
          <w:docGrid w:linePitch="312" w:charSpace="0"/>
        </w:sectPr>
      </w:pPr>
    </w:p>
    <w:p w14:paraId="537BE87C">
      <w:pPr>
        <w:widowControl/>
        <w:spacing w:before="240" w:beforeLines="100" w:after="240" w:afterLines="100" w:line="360" w:lineRule="auto"/>
        <w:jc w:val="center"/>
        <w:rPr>
          <w:rFonts w:ascii="楷体" w:hAnsi="楷体" w:eastAsia="楷体" w:cs="楷体"/>
          <w:b/>
          <w:bCs/>
          <w:color w:val="auto"/>
          <w:sz w:val="32"/>
          <w:szCs w:val="32"/>
        </w:rPr>
      </w:pPr>
      <w:r>
        <w:rPr>
          <w:rFonts w:hint="eastAsia" w:ascii="楷体" w:hAnsi="楷体" w:eastAsia="楷体" w:cs="楷体"/>
          <w:b/>
          <w:bCs/>
          <w:color w:val="auto"/>
          <w:sz w:val="32"/>
          <w:szCs w:val="32"/>
        </w:rPr>
        <w:t>用户需求书</w:t>
      </w:r>
    </w:p>
    <w:p w14:paraId="4C854DCF">
      <w:pPr>
        <w:spacing w:line="360" w:lineRule="auto"/>
        <w:rPr>
          <w:rFonts w:ascii="楷体" w:hAnsi="楷体" w:eastAsia="楷体" w:cs="楷体"/>
          <w:b/>
          <w:bCs/>
          <w:color w:val="auto"/>
          <w:sz w:val="24"/>
        </w:rPr>
      </w:pPr>
      <w:r>
        <w:rPr>
          <w:rFonts w:hint="eastAsia" w:ascii="楷体" w:hAnsi="楷体" w:eastAsia="楷体" w:cs="楷体"/>
          <w:b/>
          <w:bCs/>
          <w:color w:val="auto"/>
          <w:sz w:val="24"/>
        </w:rPr>
        <w:t>说明：</w:t>
      </w:r>
    </w:p>
    <w:p w14:paraId="46B3A049">
      <w:pPr>
        <w:numPr>
          <w:ilvl w:val="0"/>
          <w:numId w:val="59"/>
        </w:numPr>
        <w:spacing w:line="360" w:lineRule="auto"/>
        <w:rPr>
          <w:rFonts w:ascii="楷体" w:hAnsi="楷体" w:eastAsia="楷体" w:cs="楷体"/>
          <w:b/>
          <w:bCs/>
          <w:color w:val="auto"/>
          <w:sz w:val="24"/>
        </w:rPr>
      </w:pPr>
      <w:r>
        <w:rPr>
          <w:rFonts w:hint="eastAsia" w:ascii="楷体" w:hAnsi="楷体" w:eastAsia="楷体" w:cs="楷体"/>
          <w:b/>
          <w:bCs/>
          <w:color w:val="auto"/>
          <w:sz w:val="24"/>
        </w:rPr>
        <w:t>投标人须对本项目的服务内容进行整体响应，任何只对其中一部分服务内容进行的响应都被视为无效投标。</w:t>
      </w:r>
    </w:p>
    <w:p w14:paraId="63EA62C8">
      <w:pPr>
        <w:numPr>
          <w:ilvl w:val="0"/>
          <w:numId w:val="59"/>
        </w:numPr>
        <w:spacing w:line="360" w:lineRule="auto"/>
        <w:rPr>
          <w:rFonts w:ascii="楷体" w:hAnsi="楷体" w:eastAsia="楷体" w:cs="楷体"/>
          <w:b/>
          <w:bCs/>
          <w:color w:val="auto"/>
          <w:sz w:val="24"/>
        </w:rPr>
      </w:pPr>
      <w:r>
        <w:rPr>
          <w:rFonts w:hint="eastAsia" w:ascii="楷体" w:hAnsi="楷体" w:eastAsia="楷体" w:cs="楷体"/>
          <w:b/>
          <w:bCs/>
          <w:color w:val="auto"/>
          <w:sz w:val="24"/>
        </w:rPr>
        <w:t>打“★”号条款为实质性条款，投标人如有任何一条不响应或不满足，按无效投标处理。</w:t>
      </w:r>
    </w:p>
    <w:p w14:paraId="642FC118">
      <w:pPr>
        <w:numPr>
          <w:ilvl w:val="0"/>
          <w:numId w:val="60"/>
        </w:numPr>
        <w:spacing w:line="360" w:lineRule="auto"/>
        <w:outlineLvl w:val="1"/>
        <w:rPr>
          <w:rFonts w:ascii="楷体" w:hAnsi="楷体" w:eastAsia="楷体" w:cs="楷体"/>
          <w:b/>
          <w:color w:val="auto"/>
          <w:sz w:val="24"/>
        </w:rPr>
      </w:pPr>
      <w:r>
        <w:rPr>
          <w:rFonts w:hint="eastAsia" w:ascii="楷体" w:hAnsi="楷体" w:eastAsia="楷体" w:cs="楷体"/>
          <w:b/>
          <w:color w:val="auto"/>
          <w:sz w:val="24"/>
        </w:rPr>
        <w:t>采购内容</w:t>
      </w:r>
    </w:p>
    <w:p w14:paraId="4E0F6A4F">
      <w:pPr>
        <w:rPr>
          <w:rFonts w:ascii="楷体" w:hAnsi="楷体" w:eastAsia="楷体" w:cs="楷体"/>
          <w:b/>
          <w:color w:val="auto"/>
          <w:sz w:val="24"/>
        </w:rPr>
      </w:pPr>
      <w:r>
        <w:rPr>
          <w:rFonts w:hint="eastAsia" w:ascii="楷体" w:hAnsi="楷体" w:eastAsia="楷体" w:cs="楷体"/>
          <w:b/>
          <w:color w:val="auto"/>
          <w:sz w:val="24"/>
        </w:rPr>
        <w:t>1、服务内容</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1522"/>
        <w:gridCol w:w="2390"/>
        <w:gridCol w:w="2355"/>
      </w:tblGrid>
      <w:tr w14:paraId="235A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1" w:type="pct"/>
            <w:vAlign w:val="center"/>
          </w:tcPr>
          <w:p w14:paraId="2C0BAE12">
            <w:pPr>
              <w:spacing w:line="360" w:lineRule="auto"/>
              <w:jc w:val="center"/>
              <w:rPr>
                <w:rFonts w:ascii="楷体" w:hAnsi="楷体" w:eastAsia="楷体" w:cs="楷体"/>
                <w:b/>
                <w:color w:val="auto"/>
                <w:kern w:val="21"/>
                <w:sz w:val="24"/>
              </w:rPr>
            </w:pPr>
            <w:r>
              <w:rPr>
                <w:rFonts w:hint="eastAsia" w:ascii="楷体" w:hAnsi="楷体" w:eastAsia="楷体" w:cs="楷体"/>
                <w:b/>
                <w:color w:val="auto"/>
                <w:kern w:val="21"/>
                <w:sz w:val="24"/>
              </w:rPr>
              <w:t>服务内容</w:t>
            </w:r>
          </w:p>
        </w:tc>
        <w:tc>
          <w:tcPr>
            <w:tcW w:w="893" w:type="pct"/>
            <w:vAlign w:val="center"/>
          </w:tcPr>
          <w:p w14:paraId="7AE57EE6">
            <w:pPr>
              <w:jc w:val="center"/>
              <w:rPr>
                <w:rFonts w:ascii="楷体" w:hAnsi="楷体" w:eastAsia="楷体" w:cs="楷体"/>
                <w:b/>
                <w:color w:val="auto"/>
                <w:kern w:val="21"/>
                <w:sz w:val="24"/>
              </w:rPr>
            </w:pPr>
            <w:r>
              <w:rPr>
                <w:rFonts w:hint="eastAsia" w:ascii="楷体" w:hAnsi="楷体" w:eastAsia="楷体" w:cs="楷体"/>
                <w:b/>
                <w:color w:val="auto"/>
                <w:kern w:val="21"/>
                <w:sz w:val="24"/>
              </w:rPr>
              <w:t>中标人数量</w:t>
            </w:r>
          </w:p>
        </w:tc>
        <w:tc>
          <w:tcPr>
            <w:tcW w:w="1402" w:type="pct"/>
            <w:vAlign w:val="center"/>
          </w:tcPr>
          <w:p w14:paraId="5AB7B639">
            <w:pPr>
              <w:spacing w:line="360" w:lineRule="auto"/>
              <w:jc w:val="center"/>
              <w:rPr>
                <w:rFonts w:ascii="楷体" w:hAnsi="楷体" w:eastAsia="楷体" w:cs="楷体"/>
                <w:b/>
                <w:color w:val="auto"/>
                <w:kern w:val="21"/>
                <w:sz w:val="24"/>
              </w:rPr>
            </w:pPr>
            <w:r>
              <w:rPr>
                <w:rFonts w:hint="eastAsia" w:ascii="楷体" w:hAnsi="楷体" w:eastAsia="楷体" w:cs="楷体"/>
                <w:b/>
                <w:color w:val="auto"/>
                <w:kern w:val="21"/>
                <w:sz w:val="24"/>
              </w:rPr>
              <w:t>服务期</w:t>
            </w:r>
          </w:p>
        </w:tc>
        <w:tc>
          <w:tcPr>
            <w:tcW w:w="1382" w:type="pct"/>
            <w:vAlign w:val="center"/>
          </w:tcPr>
          <w:p w14:paraId="7E68C078">
            <w:pPr>
              <w:spacing w:line="360" w:lineRule="auto"/>
              <w:jc w:val="center"/>
              <w:rPr>
                <w:rFonts w:ascii="楷体" w:hAnsi="楷体" w:eastAsia="楷体" w:cs="楷体"/>
                <w:color w:val="auto"/>
                <w:kern w:val="21"/>
                <w:sz w:val="24"/>
              </w:rPr>
            </w:pPr>
            <w:r>
              <w:rPr>
                <w:rFonts w:hint="eastAsia" w:ascii="楷体" w:hAnsi="楷体" w:eastAsia="楷体" w:cs="楷体"/>
                <w:b/>
                <w:color w:val="auto"/>
                <w:kern w:val="21"/>
                <w:sz w:val="24"/>
              </w:rPr>
              <w:t>采购预算</w:t>
            </w:r>
          </w:p>
        </w:tc>
      </w:tr>
      <w:tr w14:paraId="3A1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1" w:type="pct"/>
            <w:vAlign w:val="center"/>
          </w:tcPr>
          <w:p w14:paraId="5A6D185C">
            <w:pPr>
              <w:pStyle w:val="83"/>
              <w:keepNext w:val="0"/>
              <w:adjustRightInd/>
              <w:spacing w:line="240" w:lineRule="auto"/>
              <w:rPr>
                <w:rFonts w:ascii="楷体" w:hAnsi="楷体" w:eastAsia="楷体" w:cs="楷体"/>
                <w:color w:val="auto"/>
                <w:spacing w:val="0"/>
                <w:kern w:val="21"/>
                <w:szCs w:val="24"/>
              </w:rPr>
            </w:pPr>
            <w:r>
              <w:rPr>
                <w:rFonts w:hint="eastAsia" w:ascii="楷体" w:hAnsi="楷体" w:eastAsia="楷体" w:cs="楷体"/>
                <w:color w:val="auto"/>
                <w:spacing w:val="0"/>
                <w:kern w:val="21"/>
                <w:szCs w:val="24"/>
              </w:rPr>
              <w:t>平远分公司车辆维修定点服务</w:t>
            </w:r>
          </w:p>
        </w:tc>
        <w:tc>
          <w:tcPr>
            <w:tcW w:w="893" w:type="pct"/>
            <w:vAlign w:val="center"/>
          </w:tcPr>
          <w:p w14:paraId="2A873465">
            <w:pPr>
              <w:pStyle w:val="83"/>
              <w:adjustRightInd/>
              <w:spacing w:line="240" w:lineRule="auto"/>
              <w:rPr>
                <w:rFonts w:ascii="楷体" w:hAnsi="楷体" w:eastAsia="楷体" w:cs="楷体"/>
                <w:color w:val="auto"/>
                <w:spacing w:val="0"/>
                <w:kern w:val="21"/>
                <w:szCs w:val="24"/>
              </w:rPr>
            </w:pPr>
            <w:r>
              <w:rPr>
                <w:rFonts w:hint="eastAsia" w:ascii="楷体" w:hAnsi="楷体" w:eastAsia="楷体" w:cs="楷体"/>
                <w:color w:val="auto"/>
                <w:spacing w:val="0"/>
                <w:kern w:val="21"/>
                <w:szCs w:val="24"/>
              </w:rPr>
              <w:t>1家</w:t>
            </w:r>
          </w:p>
        </w:tc>
        <w:tc>
          <w:tcPr>
            <w:tcW w:w="1402" w:type="pct"/>
            <w:vAlign w:val="center"/>
          </w:tcPr>
          <w:p w14:paraId="7823B1DB">
            <w:pPr>
              <w:jc w:val="center"/>
              <w:rPr>
                <w:rFonts w:ascii="楷体" w:hAnsi="楷体" w:eastAsia="楷体" w:cs="楷体"/>
                <w:color w:val="auto"/>
                <w:sz w:val="24"/>
              </w:rPr>
            </w:pPr>
            <w:r>
              <w:rPr>
                <w:rFonts w:hint="eastAsia" w:ascii="楷体" w:hAnsi="楷体" w:eastAsia="楷体" w:cs="楷体"/>
                <w:color w:val="auto"/>
                <w:sz w:val="24"/>
              </w:rPr>
              <w:t>2026年1月1日-2028年12月31日</w:t>
            </w:r>
          </w:p>
        </w:tc>
        <w:tc>
          <w:tcPr>
            <w:tcW w:w="1382" w:type="pct"/>
            <w:vAlign w:val="center"/>
          </w:tcPr>
          <w:p w14:paraId="4385D226">
            <w:pPr>
              <w:jc w:val="center"/>
              <w:rPr>
                <w:rFonts w:ascii="楷体" w:hAnsi="楷体" w:eastAsia="楷体" w:cs="楷体"/>
                <w:color w:val="auto"/>
                <w:kern w:val="21"/>
                <w:sz w:val="24"/>
              </w:rPr>
            </w:pPr>
            <w:r>
              <w:rPr>
                <w:rFonts w:hint="eastAsia" w:ascii="楷体" w:hAnsi="楷体" w:eastAsia="楷体" w:cs="楷体"/>
                <w:color w:val="auto"/>
                <w:kern w:val="21"/>
                <w:sz w:val="24"/>
              </w:rPr>
              <w:t>人民币</w:t>
            </w:r>
            <w:r>
              <w:rPr>
                <w:rFonts w:hint="eastAsia" w:ascii="楷体" w:hAnsi="楷体" w:eastAsia="楷体" w:cs="楷体"/>
                <w:color w:val="auto"/>
                <w:sz w:val="24"/>
              </w:rPr>
              <w:t>21万元/三年</w:t>
            </w:r>
          </w:p>
        </w:tc>
      </w:tr>
    </w:tbl>
    <w:p w14:paraId="2FDF9D9B">
      <w:p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注：★中标后，如中标人注册地址（以营业执照地址为准）为非平远县地区的，须在项目实施地（平远县内）进行驻点服务，配置相应的场地和服务人员，满足项目服务要求。（提供承诺书，格式自拟）</w:t>
      </w:r>
    </w:p>
    <w:p w14:paraId="0077F160">
      <w:pPr>
        <w:spacing w:line="360" w:lineRule="auto"/>
        <w:rPr>
          <w:rFonts w:ascii="楷体" w:hAnsi="楷体" w:eastAsia="楷体" w:cs="楷体"/>
          <w:b/>
          <w:color w:val="auto"/>
          <w:sz w:val="24"/>
        </w:rPr>
      </w:pPr>
      <w:r>
        <w:rPr>
          <w:rFonts w:hint="eastAsia" w:ascii="楷体" w:hAnsi="楷体" w:eastAsia="楷体" w:cs="楷体"/>
          <w:b/>
          <w:color w:val="auto"/>
          <w:sz w:val="24"/>
        </w:rPr>
        <w:t>2、工时费最高限价</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4663"/>
      </w:tblGrid>
      <w:tr w14:paraId="3DF1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0B662996">
            <w:pPr>
              <w:jc w:val="center"/>
              <w:rPr>
                <w:rFonts w:ascii="楷体" w:hAnsi="楷体" w:eastAsia="楷体" w:cs="楷体"/>
                <w:b/>
                <w:color w:val="auto"/>
                <w:sz w:val="24"/>
              </w:rPr>
            </w:pPr>
            <w:r>
              <w:rPr>
                <w:rFonts w:hint="eastAsia" w:ascii="楷体" w:hAnsi="楷体" w:eastAsia="楷体" w:cs="楷体"/>
                <w:b/>
                <w:color w:val="auto"/>
                <w:sz w:val="24"/>
              </w:rPr>
              <w:t>保养类型</w:t>
            </w:r>
          </w:p>
        </w:tc>
        <w:tc>
          <w:tcPr>
            <w:tcW w:w="2736" w:type="pct"/>
            <w:shd w:val="clear" w:color="auto" w:fill="auto"/>
            <w:vAlign w:val="center"/>
          </w:tcPr>
          <w:p w14:paraId="329A329E">
            <w:pPr>
              <w:jc w:val="center"/>
              <w:rPr>
                <w:rFonts w:ascii="楷体" w:hAnsi="楷体" w:eastAsia="楷体" w:cs="楷体"/>
                <w:b/>
                <w:color w:val="auto"/>
                <w:sz w:val="24"/>
              </w:rPr>
            </w:pPr>
            <w:r>
              <w:rPr>
                <w:rFonts w:hint="eastAsia" w:ascii="楷体" w:hAnsi="楷体" w:eastAsia="楷体" w:cs="楷体"/>
                <w:b/>
                <w:color w:val="auto"/>
                <w:sz w:val="24"/>
              </w:rPr>
              <w:t>工时费最高限价（人民币）</w:t>
            </w:r>
          </w:p>
        </w:tc>
      </w:tr>
      <w:tr w14:paraId="6C7A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2E792119">
            <w:pPr>
              <w:jc w:val="center"/>
              <w:rPr>
                <w:rFonts w:ascii="楷体" w:hAnsi="楷体" w:eastAsia="楷体" w:cs="楷体"/>
                <w:color w:val="auto"/>
                <w:sz w:val="24"/>
              </w:rPr>
            </w:pPr>
            <w:r>
              <w:rPr>
                <w:rFonts w:hint="eastAsia" w:ascii="楷体" w:hAnsi="楷体" w:eastAsia="楷体" w:cs="楷体"/>
                <w:color w:val="auto"/>
                <w:sz w:val="24"/>
              </w:rPr>
              <w:t>车辆清洗服务</w:t>
            </w:r>
          </w:p>
        </w:tc>
        <w:tc>
          <w:tcPr>
            <w:tcW w:w="2736" w:type="pct"/>
            <w:shd w:val="clear" w:color="auto" w:fill="auto"/>
            <w:vAlign w:val="center"/>
          </w:tcPr>
          <w:p w14:paraId="613A299A">
            <w:pPr>
              <w:jc w:val="center"/>
              <w:rPr>
                <w:rFonts w:ascii="楷体" w:hAnsi="楷体" w:eastAsia="楷体" w:cs="楷体"/>
                <w:color w:val="auto"/>
                <w:sz w:val="24"/>
              </w:rPr>
            </w:pPr>
            <w:r>
              <w:rPr>
                <w:rFonts w:hint="eastAsia" w:ascii="楷体" w:hAnsi="楷体" w:eastAsia="楷体" w:cs="楷体"/>
                <w:color w:val="auto"/>
                <w:sz w:val="24"/>
              </w:rPr>
              <w:t>每辆人民币100元/包月</w:t>
            </w:r>
          </w:p>
        </w:tc>
      </w:tr>
      <w:tr w14:paraId="28B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18689BDF">
            <w:pPr>
              <w:jc w:val="center"/>
              <w:rPr>
                <w:rFonts w:ascii="楷体" w:hAnsi="楷体" w:eastAsia="楷体" w:cs="楷体"/>
                <w:color w:val="auto"/>
                <w:sz w:val="24"/>
              </w:rPr>
            </w:pPr>
            <w:r>
              <w:rPr>
                <w:rFonts w:hint="eastAsia" w:ascii="楷体" w:hAnsi="楷体" w:eastAsia="楷体" w:cs="楷体"/>
                <w:color w:val="auto"/>
                <w:sz w:val="24"/>
              </w:rPr>
              <w:t>日常保养</w:t>
            </w:r>
          </w:p>
        </w:tc>
        <w:tc>
          <w:tcPr>
            <w:tcW w:w="2736" w:type="pct"/>
            <w:shd w:val="clear" w:color="auto" w:fill="auto"/>
            <w:vAlign w:val="center"/>
          </w:tcPr>
          <w:p w14:paraId="1B4EB657">
            <w:pPr>
              <w:jc w:val="center"/>
              <w:rPr>
                <w:rFonts w:ascii="楷体" w:hAnsi="楷体" w:eastAsia="楷体" w:cs="楷体"/>
                <w:color w:val="auto"/>
                <w:sz w:val="24"/>
              </w:rPr>
            </w:pPr>
            <w:r>
              <w:rPr>
                <w:rFonts w:hint="eastAsia" w:ascii="楷体" w:hAnsi="楷体" w:eastAsia="楷体" w:cs="楷体"/>
                <w:color w:val="auto"/>
                <w:sz w:val="24"/>
              </w:rPr>
              <w:t>人民币180元/项</w:t>
            </w:r>
          </w:p>
        </w:tc>
      </w:tr>
      <w:tr w14:paraId="47B5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0691AED4">
            <w:pPr>
              <w:jc w:val="center"/>
              <w:rPr>
                <w:rFonts w:ascii="楷体" w:hAnsi="楷体" w:eastAsia="楷体" w:cs="楷体"/>
                <w:color w:val="auto"/>
                <w:sz w:val="24"/>
              </w:rPr>
            </w:pPr>
            <w:r>
              <w:rPr>
                <w:rFonts w:hint="eastAsia" w:ascii="楷体" w:hAnsi="楷体" w:eastAsia="楷体" w:cs="楷体"/>
                <w:color w:val="auto"/>
                <w:sz w:val="24"/>
              </w:rPr>
              <w:t>一级保养</w:t>
            </w:r>
          </w:p>
        </w:tc>
        <w:tc>
          <w:tcPr>
            <w:tcW w:w="2736" w:type="pct"/>
            <w:shd w:val="clear" w:color="auto" w:fill="auto"/>
            <w:vAlign w:val="center"/>
          </w:tcPr>
          <w:p w14:paraId="1A9CC80B">
            <w:pPr>
              <w:jc w:val="center"/>
              <w:rPr>
                <w:rFonts w:ascii="楷体" w:hAnsi="楷体" w:eastAsia="楷体" w:cs="楷体"/>
                <w:color w:val="auto"/>
                <w:sz w:val="24"/>
              </w:rPr>
            </w:pPr>
            <w:r>
              <w:rPr>
                <w:rFonts w:hint="eastAsia" w:ascii="楷体" w:hAnsi="楷体" w:eastAsia="楷体" w:cs="楷体"/>
                <w:color w:val="auto"/>
                <w:sz w:val="24"/>
              </w:rPr>
              <w:t>人民币240元/项</w:t>
            </w:r>
          </w:p>
        </w:tc>
      </w:tr>
      <w:tr w14:paraId="0917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1DFFB9E1">
            <w:pPr>
              <w:jc w:val="center"/>
              <w:rPr>
                <w:rFonts w:ascii="楷体" w:hAnsi="楷体" w:eastAsia="楷体" w:cs="楷体"/>
                <w:color w:val="auto"/>
                <w:sz w:val="24"/>
              </w:rPr>
            </w:pPr>
            <w:r>
              <w:rPr>
                <w:rFonts w:hint="eastAsia" w:ascii="楷体" w:hAnsi="楷体" w:eastAsia="楷体" w:cs="楷体"/>
                <w:color w:val="auto"/>
                <w:sz w:val="24"/>
              </w:rPr>
              <w:t>二级保养</w:t>
            </w:r>
          </w:p>
        </w:tc>
        <w:tc>
          <w:tcPr>
            <w:tcW w:w="2736" w:type="pct"/>
            <w:shd w:val="clear" w:color="auto" w:fill="auto"/>
            <w:vAlign w:val="center"/>
          </w:tcPr>
          <w:p w14:paraId="66EC27A5">
            <w:pPr>
              <w:jc w:val="center"/>
              <w:rPr>
                <w:rFonts w:ascii="楷体" w:hAnsi="楷体" w:eastAsia="楷体" w:cs="楷体"/>
                <w:color w:val="auto"/>
                <w:sz w:val="24"/>
              </w:rPr>
            </w:pPr>
            <w:r>
              <w:rPr>
                <w:rFonts w:hint="eastAsia" w:ascii="楷体" w:hAnsi="楷体" w:eastAsia="楷体" w:cs="楷体"/>
                <w:color w:val="auto"/>
                <w:sz w:val="24"/>
              </w:rPr>
              <w:t>人民币300元/项</w:t>
            </w:r>
          </w:p>
        </w:tc>
      </w:tr>
      <w:tr w14:paraId="53A9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4D01276D">
            <w:pPr>
              <w:jc w:val="center"/>
              <w:rPr>
                <w:rFonts w:ascii="楷体" w:hAnsi="楷体" w:eastAsia="楷体" w:cs="楷体"/>
                <w:color w:val="auto"/>
                <w:sz w:val="24"/>
              </w:rPr>
            </w:pPr>
            <w:r>
              <w:rPr>
                <w:rFonts w:hint="eastAsia" w:ascii="楷体" w:hAnsi="楷体" w:eastAsia="楷体" w:cs="楷体"/>
                <w:color w:val="auto"/>
                <w:sz w:val="24"/>
              </w:rPr>
              <w:t>发动机总成大修</w:t>
            </w:r>
          </w:p>
        </w:tc>
        <w:tc>
          <w:tcPr>
            <w:tcW w:w="2736" w:type="pct"/>
            <w:shd w:val="clear" w:color="auto" w:fill="auto"/>
            <w:vAlign w:val="center"/>
          </w:tcPr>
          <w:p w14:paraId="374C516B">
            <w:pPr>
              <w:jc w:val="center"/>
              <w:rPr>
                <w:rFonts w:ascii="楷体" w:hAnsi="楷体" w:eastAsia="楷体" w:cs="楷体"/>
                <w:color w:val="auto"/>
                <w:sz w:val="24"/>
              </w:rPr>
            </w:pPr>
            <w:r>
              <w:rPr>
                <w:rFonts w:hint="eastAsia" w:ascii="楷体" w:hAnsi="楷体" w:eastAsia="楷体" w:cs="楷体"/>
                <w:color w:val="auto"/>
                <w:sz w:val="24"/>
              </w:rPr>
              <w:t>人民币2200元/项</w:t>
            </w:r>
          </w:p>
        </w:tc>
      </w:tr>
      <w:tr w14:paraId="73B8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78664DA0">
            <w:pPr>
              <w:jc w:val="center"/>
              <w:rPr>
                <w:rFonts w:ascii="楷体" w:hAnsi="楷体" w:eastAsia="楷体" w:cs="楷体"/>
                <w:color w:val="auto"/>
                <w:sz w:val="24"/>
              </w:rPr>
            </w:pPr>
            <w:r>
              <w:rPr>
                <w:rFonts w:hint="eastAsia" w:ascii="楷体" w:hAnsi="楷体" w:eastAsia="楷体" w:cs="楷体"/>
                <w:color w:val="auto"/>
                <w:sz w:val="24"/>
              </w:rPr>
              <w:t>全车大修</w:t>
            </w:r>
          </w:p>
        </w:tc>
        <w:tc>
          <w:tcPr>
            <w:tcW w:w="2736" w:type="pct"/>
            <w:shd w:val="clear" w:color="auto" w:fill="auto"/>
            <w:vAlign w:val="center"/>
          </w:tcPr>
          <w:p w14:paraId="30DA0C20">
            <w:pPr>
              <w:jc w:val="center"/>
              <w:rPr>
                <w:rFonts w:ascii="楷体" w:hAnsi="楷体" w:eastAsia="楷体" w:cs="楷体"/>
                <w:color w:val="auto"/>
                <w:sz w:val="24"/>
              </w:rPr>
            </w:pPr>
            <w:r>
              <w:rPr>
                <w:rFonts w:hint="eastAsia" w:ascii="楷体" w:hAnsi="楷体" w:eastAsia="楷体" w:cs="楷体"/>
                <w:color w:val="auto"/>
                <w:sz w:val="24"/>
              </w:rPr>
              <w:t>人民币3500元/项</w:t>
            </w:r>
          </w:p>
        </w:tc>
      </w:tr>
    </w:tbl>
    <w:p w14:paraId="058052F2">
      <w:pPr>
        <w:spacing w:line="360" w:lineRule="auto"/>
        <w:rPr>
          <w:rFonts w:ascii="楷体" w:hAnsi="楷体" w:eastAsia="楷体" w:cs="楷体"/>
          <w:b/>
          <w:color w:val="auto"/>
          <w:sz w:val="24"/>
        </w:rPr>
      </w:pPr>
      <w:r>
        <w:rPr>
          <w:rFonts w:hint="eastAsia" w:ascii="楷体" w:hAnsi="楷体" w:eastAsia="楷体" w:cs="楷体"/>
          <w:b/>
          <w:color w:val="auto"/>
          <w:sz w:val="24"/>
        </w:rPr>
        <w:t>3、汽车维修零配件单价最高限价(零配件包括但不限于表中零配件)</w:t>
      </w:r>
    </w:p>
    <w:tbl>
      <w:tblPr>
        <w:tblStyle w:val="43"/>
        <w:tblW w:w="7890" w:type="dxa"/>
        <w:tblInd w:w="93" w:type="dxa"/>
        <w:tblLayout w:type="autofit"/>
        <w:tblCellMar>
          <w:top w:w="0" w:type="dxa"/>
          <w:left w:w="108" w:type="dxa"/>
          <w:bottom w:w="0" w:type="dxa"/>
          <w:right w:w="108" w:type="dxa"/>
        </w:tblCellMar>
      </w:tblPr>
      <w:tblGrid>
        <w:gridCol w:w="1494"/>
        <w:gridCol w:w="735"/>
        <w:gridCol w:w="1178"/>
        <w:gridCol w:w="1558"/>
        <w:gridCol w:w="1241"/>
        <w:gridCol w:w="1684"/>
      </w:tblGrid>
      <w:tr w14:paraId="0D4FD28F">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930AC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材料名称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7729B3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单位</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01F733F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零配件单价最高限价（单位：元）</w:t>
            </w:r>
          </w:p>
        </w:tc>
      </w:tr>
      <w:tr w14:paraId="3E26C978">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119B40">
            <w:pPr>
              <w:jc w:val="center"/>
              <w:rPr>
                <w:rFonts w:ascii="楷体" w:hAnsi="楷体" w:eastAsia="楷体" w:cs="楷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A9E009">
            <w:pPr>
              <w:jc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378D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别克GL8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1450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广汽传祺M8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B412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上汽大众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C1C3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广汽传祺GS8</w:t>
            </w:r>
          </w:p>
        </w:tc>
      </w:tr>
      <w:tr w14:paraId="7772E50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589AA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机油滤清器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44EB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5313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13FA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FE11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1913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w:t>
            </w:r>
          </w:p>
        </w:tc>
      </w:tr>
      <w:tr w14:paraId="101EA6E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2E7B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空气滤清器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55FD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C888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A790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CCE0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120E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r>
      <w:tr w14:paraId="11DF332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993A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汽油滤清器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9FFA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3471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03C7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6C5E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D812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120</w:t>
            </w:r>
          </w:p>
        </w:tc>
      </w:tr>
      <w:tr w14:paraId="2A38F60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CE2EB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F7AE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1C6F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7BE9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8B0A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64E3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w:t>
            </w:r>
          </w:p>
        </w:tc>
      </w:tr>
      <w:tr w14:paraId="37D7FF1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0DE05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5CBB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9864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83B1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AEB1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63E9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420</w:t>
            </w:r>
          </w:p>
        </w:tc>
      </w:tr>
      <w:tr w14:paraId="74CD2B3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B2ED6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59A1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7AC4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4782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5447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A087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430</w:t>
            </w:r>
          </w:p>
        </w:tc>
      </w:tr>
      <w:tr w14:paraId="171541D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47ADA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4281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6AD4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1667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9E68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CA2D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180</w:t>
            </w:r>
          </w:p>
        </w:tc>
      </w:tr>
      <w:tr w14:paraId="6DD7E2F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C43EC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08CC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1CAE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1080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47EC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9AC9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029B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1100</w:t>
            </w:r>
          </w:p>
        </w:tc>
      </w:tr>
      <w:tr w14:paraId="77F9B0A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6E03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8FBA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0707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B2A7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AD28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BEBD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r>
      <w:tr w14:paraId="0E34FEE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F7047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601E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A5C6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CF7F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7FAC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28EC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1700</w:t>
            </w:r>
          </w:p>
        </w:tc>
      </w:tr>
      <w:tr w14:paraId="06C45F7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85976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3913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5354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B9C4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A237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9B1D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r>
      <w:tr w14:paraId="0321A1D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591C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4EF8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AED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58D5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AAA6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FE55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r>
      <w:tr w14:paraId="4302AE7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1ED6A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起动机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E565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85AD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94AA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2A3F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3544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480</w:t>
            </w:r>
          </w:p>
        </w:tc>
      </w:tr>
      <w:tr w14:paraId="20AFA9A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00896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四轮定位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478F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B27E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2E5B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D57B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8A13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150</w:t>
            </w:r>
          </w:p>
        </w:tc>
      </w:tr>
      <w:tr w14:paraId="784D2D3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5B2F6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雪种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F553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FEE6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F865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F462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6BB6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w:t>
            </w:r>
          </w:p>
        </w:tc>
      </w:tr>
      <w:tr w14:paraId="4449948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2BE81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冷却液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1F76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578D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C7C7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BE5B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1235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80</w:t>
            </w:r>
          </w:p>
        </w:tc>
      </w:tr>
      <w:tr w14:paraId="41ABB46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1103C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3F63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EBCA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13A2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D9FB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7905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130</w:t>
            </w:r>
          </w:p>
        </w:tc>
      </w:tr>
      <w:tr w14:paraId="5AD3A39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2D347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E6DE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7631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659E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519E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0819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r>
      <w:tr w14:paraId="668496C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3829B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0EC9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222A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4518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1392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850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4B3F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1000</w:t>
            </w:r>
          </w:p>
        </w:tc>
      </w:tr>
      <w:tr w14:paraId="6405FB4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1B6BF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上水管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2B9D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3D80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A43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574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C0A2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260</w:t>
            </w:r>
          </w:p>
        </w:tc>
      </w:tr>
      <w:tr w14:paraId="4DC1FEE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702BE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下水管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65BC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8691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EB4E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47D7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36EF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260</w:t>
            </w:r>
          </w:p>
        </w:tc>
      </w:tr>
      <w:tr w14:paraId="002AEAD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E0A4C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大修包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07DD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BA3A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B00C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A026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A3FE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440</w:t>
            </w:r>
          </w:p>
        </w:tc>
      </w:tr>
      <w:tr w14:paraId="709DBC7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E60A7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排气管垫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F1C8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0C7F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E21C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6157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5087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70</w:t>
            </w:r>
          </w:p>
        </w:tc>
      </w:tr>
      <w:tr w14:paraId="4D40D66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090C0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倒车镜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B4A0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0F62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F35E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2E50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01C9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750</w:t>
            </w:r>
          </w:p>
        </w:tc>
      </w:tr>
      <w:tr w14:paraId="3395697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B04D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曲轴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B8F6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79F1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EB00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57FE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1700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CBC9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2200</w:t>
            </w:r>
          </w:p>
        </w:tc>
      </w:tr>
      <w:tr w14:paraId="43AD68B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12C11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连杆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DBBA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18B2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97B5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F0C4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B4D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450</w:t>
            </w:r>
          </w:p>
        </w:tc>
      </w:tr>
      <w:tr w14:paraId="778BD51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1688A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活塞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FC50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79A0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1D45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941A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9C1F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690</w:t>
            </w:r>
          </w:p>
        </w:tc>
      </w:tr>
      <w:tr w14:paraId="13C9F82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1AF87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活塞环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95E1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8D9C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BFE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C78A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0099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390</w:t>
            </w:r>
          </w:p>
        </w:tc>
      </w:tr>
      <w:tr w14:paraId="05086B4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393D9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缸套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64E6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47D3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B475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4AF7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5D40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700</w:t>
            </w:r>
          </w:p>
        </w:tc>
      </w:tr>
      <w:tr w14:paraId="01FEBA2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EAA13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进气门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F55A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A6A6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0380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5A87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0D24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500</w:t>
            </w:r>
          </w:p>
        </w:tc>
      </w:tr>
      <w:tr w14:paraId="6B5DB53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14FA6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排气门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6B3A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FBEE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470C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D43A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2169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600</w:t>
            </w:r>
          </w:p>
        </w:tc>
      </w:tr>
      <w:tr w14:paraId="7E0C508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1F9C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汽缸垫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583D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F222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50C0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06BE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99C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650</w:t>
            </w:r>
          </w:p>
        </w:tc>
      </w:tr>
      <w:tr w14:paraId="5C6BE0A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92E5A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曲轴瓦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F725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4FA4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109E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BB582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F022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490</w:t>
            </w:r>
          </w:p>
        </w:tc>
      </w:tr>
      <w:tr w14:paraId="5645D59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FBF85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三元催化器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8B96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C356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2C25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3438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41AC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2900</w:t>
            </w:r>
          </w:p>
        </w:tc>
      </w:tr>
      <w:tr w14:paraId="59D184E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B811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水泵总成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53FE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637A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5633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4146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1E71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590</w:t>
            </w:r>
          </w:p>
        </w:tc>
      </w:tr>
      <w:tr w14:paraId="1B28386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9C831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水箱总成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B9E9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976E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4198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1598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1299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750</w:t>
            </w:r>
          </w:p>
        </w:tc>
      </w:tr>
    </w:tbl>
    <w:p w14:paraId="450FBDB0">
      <w:pPr>
        <w:spacing w:line="360" w:lineRule="auto"/>
        <w:rPr>
          <w:rFonts w:ascii="楷体" w:hAnsi="楷体" w:eastAsia="楷体" w:cs="楷体"/>
          <w:color w:val="auto"/>
        </w:rPr>
      </w:pPr>
      <w:r>
        <w:rPr>
          <w:rFonts w:hint="eastAsia" w:ascii="楷体" w:hAnsi="楷体" w:eastAsia="楷体" w:cs="楷体"/>
          <w:b/>
          <w:color w:val="auto"/>
          <w:sz w:val="24"/>
        </w:rPr>
        <w:t>注：汽车维修所需零配件不在上述列表的，由中标人与招标人根据市场价格另行协商确定。</w:t>
      </w:r>
    </w:p>
    <w:p w14:paraId="2BEE68FF">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二、采购内容项目概况</w:t>
      </w:r>
    </w:p>
    <w:p w14:paraId="55A6252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本次采购将确定车辆定点维修供应商1家，负责本公司所属车辆的维修、保养、救援、车辆清洗等服务。</w:t>
      </w:r>
    </w:p>
    <w:p w14:paraId="04086BD8">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三、</w:t>
      </w:r>
      <w:r>
        <w:rPr>
          <w:rFonts w:hint="eastAsia" w:ascii="楷体" w:hAnsi="楷体" w:eastAsia="楷体" w:cs="楷体"/>
          <w:b/>
          <w:color w:val="auto"/>
          <w:sz w:val="24"/>
          <w:lang w:val="en-US" w:eastAsia="zh-CN"/>
        </w:rPr>
        <w:t>合同</w:t>
      </w:r>
      <w:r>
        <w:rPr>
          <w:rFonts w:hint="eastAsia" w:ascii="楷体" w:hAnsi="楷体" w:eastAsia="楷体" w:cs="楷体"/>
          <w:b/>
          <w:color w:val="auto"/>
          <w:sz w:val="24"/>
        </w:rPr>
        <w:t>定点维修车辆种类</w:t>
      </w:r>
    </w:p>
    <w:p w14:paraId="50206D82">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1.车辆数量：共7辆。</w:t>
      </w:r>
    </w:p>
    <w:p w14:paraId="43BD1850">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合同</w:t>
      </w:r>
      <w:r>
        <w:rPr>
          <w:rFonts w:hint="eastAsia" w:ascii="楷体" w:hAnsi="楷体" w:eastAsia="楷体" w:cs="楷体"/>
          <w:color w:val="auto"/>
          <w:sz w:val="24"/>
        </w:rPr>
        <w:t>定点维修的车辆种类包括：（1）越野车；（2）商务车；（3）轿车。</w:t>
      </w:r>
    </w:p>
    <w:p w14:paraId="2A46BC7A">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3.车辆品牌：上汽通用别克、上汽大众、广汽传祺等。</w:t>
      </w:r>
    </w:p>
    <w:p w14:paraId="24058042">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4.承修期内，招标人车辆数量和车型如有增减或调整，以招标人最新的书面通知为准，中标人不得据此拒绝维修。</w:t>
      </w:r>
    </w:p>
    <w:p w14:paraId="2BADC2B2">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四、车辆维修、服务范围</w:t>
      </w:r>
    </w:p>
    <w:p w14:paraId="57E91FF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机动车辆大、中、小修理维修以及日常维护保养；二十四小时车辆救援服务（包括全年节假日车辆救援服务）；代办车辆年审（费用双方协商）和其他有关的车辆维修服务项目；车辆清洗服务。</w:t>
      </w:r>
    </w:p>
    <w:p w14:paraId="18D02870">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日常保养内容：包含：检查机油、波箱油、尾牙油、液压油、轮胎气压、皮带、紧固螺丝等。</w:t>
      </w:r>
    </w:p>
    <w:p w14:paraId="17572CF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一级保养：包含：更换机油、机油滤清器，检查波箱油、尾牙油、液压油、轮胎气压、皮带、紧固螺丝，机头三清等。</w:t>
      </w:r>
    </w:p>
    <w:p w14:paraId="6BCD187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二级保养：包含：更换机油、机油滤清器、空气滤清器，四轮刹车保养，全面检查油水、轮胎气压、皮带，机头三清，底盘各部件紧固等。</w:t>
      </w:r>
    </w:p>
    <w:p w14:paraId="1D6C098C">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保养周期：</w:t>
      </w:r>
    </w:p>
    <w:p w14:paraId="6C18D91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日常保养：根据车辆使用情况由驾驶员自行确定，原则上一个月不超过1次。</w:t>
      </w:r>
    </w:p>
    <w:p w14:paraId="6D15917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一级保养：行驶5000公里或6个月，以先到为准。</w:t>
      </w:r>
    </w:p>
    <w:p w14:paraId="7EAD9781">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二级保养：两次二级保养之间，间隔两次一级保养。</w:t>
      </w:r>
    </w:p>
    <w:p w14:paraId="6E605C7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车辆清洗服务范围、标准及操作流程：车辆清洗实行包月服务，次数不限。</w:t>
      </w:r>
    </w:p>
    <w:p w14:paraId="221FE9C2">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范围：车体外部（车顶、外后视镜、前后盖板、车身侧面、保险杠等）；内饰（仪表台面等）。</w:t>
      </w:r>
    </w:p>
    <w:p w14:paraId="29F8C08C">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标准：车体外部无污渍；挡风玻璃上无水渍；脚垫拍打无明显灰尘；外后视镜擦拭无尘；轮胎无明显泥渍。</w:t>
      </w:r>
    </w:p>
    <w:p w14:paraId="2791557D">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操作流程：由招标人单位司机将车辆开至中标人服务点，由中标人提供洗车服务，服务完毕后招标人于结算单上签名确认。中标人保证在正常营业时间内为客户提供统一服务，不得以节假日为由，拒绝提供服务。</w:t>
      </w:r>
    </w:p>
    <w:p w14:paraId="7EE51144">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五、车辆维修费用及相关要求</w:t>
      </w:r>
    </w:p>
    <w:p w14:paraId="17548CC3">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车辆如出现需更换零配件时，中标人须向招标人提供需更换的零配件清单，所需零配件在清单中的，按照中标价格进行结算，不在清单中的，由中标人根据自身实际及市场价格报出优惠价格。优惠后的价格不得高于同期中标人的销售价格且不得高于市场平均价格。招标人可随时进行市场调查，如发现优惠后价格高于销售价格或市场平均价格的，招标人有权随时单方面解除合同而不承担任何责任。</w:t>
      </w:r>
    </w:p>
    <w:p w14:paraId="50F9957A">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投标人须向招标人报出投标总价，并填写在“开标一览表”中，因招标前无法确定需要的数量，请各投标人按数量“1”进行报价，投标人在投标时所提供的投标总报价仅为方便评审比较，最终结算价=投标人所报单价×实际使用量。</w:t>
      </w:r>
    </w:p>
    <w:p w14:paraId="71D2AA6E">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3.结算价格由工时费用以及零配件费用组成，其中工时费用以及零配件费用均包含材料管理费、外加工费（如有）、发票税费及其他辅助材料（消耗料）费用等。除此之外，招标人不再支付其他费用。</w:t>
      </w:r>
    </w:p>
    <w:p w14:paraId="1C58C98A">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4.中标人材料进货原始单据或记录必须妥善保管，招标人要求查验的，中标人必须无条件向招标人提供。</w:t>
      </w:r>
    </w:p>
    <w:p w14:paraId="49586044">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车辆维修完毕，招标人进行试车验收合格后，核对“结算单”上所有材料，工时明细，在准确无误情况下予以确认签字（由招标人指定人员签名）作为中标人的结算依据。中标人应严格执行“工时费和汽车维修零配件清单”约定，杜绝回扣现象，保护招标人利益。</w:t>
      </w:r>
    </w:p>
    <w:p w14:paraId="45B56730">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六、中标人的权利与义务</w:t>
      </w:r>
    </w:p>
    <w:p w14:paraId="202F1C86">
      <w:pPr>
        <w:numPr>
          <w:ilvl w:val="0"/>
          <w:numId w:val="61"/>
        </w:numPr>
        <w:spacing w:line="360" w:lineRule="auto"/>
        <w:ind w:left="0" w:firstLine="482" w:firstLineChars="200"/>
        <w:rPr>
          <w:rFonts w:ascii="楷体" w:hAnsi="楷体" w:eastAsia="楷体" w:cs="楷体"/>
          <w:color w:val="auto"/>
          <w:sz w:val="24"/>
        </w:rPr>
      </w:pPr>
      <w:r>
        <w:rPr>
          <w:rFonts w:hint="eastAsia" w:ascii="楷体" w:hAnsi="楷体" w:eastAsia="楷体" w:cs="楷体"/>
          <w:b/>
          <w:bCs/>
          <w:color w:val="auto"/>
          <w:sz w:val="24"/>
        </w:rPr>
        <w:t>权利</w:t>
      </w:r>
    </w:p>
    <w:p w14:paraId="0316470D">
      <w:pPr>
        <w:numPr>
          <w:ilvl w:val="1"/>
          <w:numId w:val="62"/>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取得广东烟草梅州市有限公司平远县分公司车辆维修服务的资格，三年内有资格承担招标人车辆维修业务。</w:t>
      </w:r>
    </w:p>
    <w:p w14:paraId="683A2C18">
      <w:pPr>
        <w:numPr>
          <w:ilvl w:val="1"/>
          <w:numId w:val="62"/>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有权要求招标人按时结算车辆维修费。</w:t>
      </w:r>
    </w:p>
    <w:p w14:paraId="5668CA3F">
      <w:pPr>
        <w:numPr>
          <w:ilvl w:val="1"/>
          <w:numId w:val="62"/>
        </w:numPr>
        <w:adjustRightInd w:val="0"/>
        <w:snapToGrid w:val="0"/>
        <w:spacing w:line="360" w:lineRule="auto"/>
        <w:ind w:left="0" w:firstLine="480" w:firstLineChars="200"/>
        <w:rPr>
          <w:rFonts w:ascii="楷体" w:hAnsi="楷体" w:eastAsia="楷体" w:cs="楷体"/>
          <w:b/>
          <w:bCs/>
          <w:color w:val="auto"/>
          <w:sz w:val="24"/>
        </w:rPr>
      </w:pPr>
      <w:r>
        <w:rPr>
          <w:rFonts w:hint="eastAsia" w:ascii="楷体" w:hAnsi="楷体" w:eastAsia="楷体" w:cs="楷体"/>
          <w:color w:val="auto"/>
          <w:sz w:val="24"/>
        </w:rPr>
        <w:t>有权拒绝招标人或司机提出的除车辆维修服务发生的费用以外的要求。</w:t>
      </w:r>
    </w:p>
    <w:p w14:paraId="4CCD60B6">
      <w:pPr>
        <w:numPr>
          <w:ilvl w:val="0"/>
          <w:numId w:val="61"/>
        </w:numPr>
        <w:spacing w:line="360" w:lineRule="auto"/>
        <w:ind w:left="0" w:firstLine="482" w:firstLineChars="200"/>
        <w:rPr>
          <w:rFonts w:ascii="楷体" w:hAnsi="楷体" w:eastAsia="楷体" w:cs="楷体"/>
          <w:b/>
          <w:bCs/>
          <w:color w:val="auto"/>
          <w:sz w:val="24"/>
        </w:rPr>
      </w:pPr>
      <w:r>
        <w:rPr>
          <w:rFonts w:hint="eastAsia" w:ascii="楷体" w:hAnsi="楷体" w:eastAsia="楷体" w:cs="楷体"/>
          <w:b/>
          <w:bCs/>
          <w:color w:val="auto"/>
          <w:sz w:val="24"/>
        </w:rPr>
        <w:t>义务</w:t>
      </w:r>
    </w:p>
    <w:p w14:paraId="6648E079">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应优先安排招标人送修的车辆进行维修。</w:t>
      </w:r>
    </w:p>
    <w:p w14:paraId="05146B22">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应在厂房显著位置悬挂或张贴服务承诺书、廉洁承诺书、项目工时费报价表及常用配件报价表、工作流程、工作指南、安全生产制度、投诉电话等。</w:t>
      </w:r>
    </w:p>
    <w:p w14:paraId="3ACEAFF7">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不得将送修车辆转厂维修，不得分包、转包。</w:t>
      </w:r>
    </w:p>
    <w:p w14:paraId="33C1A12F">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未经招标人同意不得随意增减维修项目。</w:t>
      </w:r>
    </w:p>
    <w:p w14:paraId="0545900E">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不得与招标人或司机串通提高维修价格，损害国家集体利益。</w:t>
      </w:r>
    </w:p>
    <w:p w14:paraId="65C3C19A">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必须按标准和要求按时完成维修工作，保证维修质量。</w:t>
      </w:r>
    </w:p>
    <w:p w14:paraId="03D28AED">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必须确保送修车辆的安全。</w:t>
      </w:r>
    </w:p>
    <w:p w14:paraId="1227E7BD">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保证更换配件是符合国家质量标准的全新原厂配件。</w:t>
      </w:r>
    </w:p>
    <w:p w14:paraId="561B33DC">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遵守职业道德，不得采取送礼、给回扣、虚开发票、给客户报销费用等方式，影响公平竞争。</w:t>
      </w:r>
    </w:p>
    <w:p w14:paraId="10C39ADB">
      <w:pPr>
        <w:numPr>
          <w:ilvl w:val="1"/>
          <w:numId w:val="63"/>
        </w:numPr>
        <w:adjustRightInd w:val="0"/>
        <w:snapToGrid w:val="0"/>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自觉接受招标人的检查、监督和管理。</w:t>
      </w:r>
    </w:p>
    <w:p w14:paraId="11B407EF">
      <w:pPr>
        <w:numPr>
          <w:ilvl w:val="0"/>
          <w:numId w:val="61"/>
        </w:numPr>
        <w:spacing w:line="360" w:lineRule="auto"/>
        <w:rPr>
          <w:rFonts w:ascii="楷体" w:hAnsi="楷体" w:eastAsia="楷体" w:cs="楷体"/>
          <w:b/>
          <w:bCs/>
          <w:color w:val="auto"/>
          <w:sz w:val="24"/>
        </w:rPr>
      </w:pPr>
      <w:r>
        <w:rPr>
          <w:rFonts w:hint="eastAsia" w:ascii="楷体" w:hAnsi="楷体" w:eastAsia="楷体" w:cs="楷体"/>
          <w:b/>
          <w:bCs/>
          <w:color w:val="auto"/>
          <w:sz w:val="24"/>
        </w:rPr>
        <w:t>取消定点维修资格</w:t>
      </w:r>
    </w:p>
    <w:p w14:paraId="1118CE24">
      <w:pPr>
        <w:spacing w:line="360" w:lineRule="auto"/>
        <w:ind w:firstLine="420"/>
        <w:rPr>
          <w:rFonts w:ascii="楷体" w:hAnsi="楷体" w:eastAsia="楷体" w:cs="楷体"/>
          <w:color w:val="auto"/>
          <w:sz w:val="24"/>
        </w:rPr>
      </w:pPr>
      <w:r>
        <w:rPr>
          <w:rFonts w:hint="eastAsia" w:ascii="楷体" w:hAnsi="楷体" w:eastAsia="楷体" w:cs="楷体"/>
          <w:color w:val="auto"/>
          <w:sz w:val="24"/>
        </w:rPr>
        <w:t>有下列情形之一的，招标人随时取消中标人定点维修资格，定点维修供应商资格由有资格的投标人替补，按得分顺序由排在后面的投标人递补，以此类推。</w:t>
      </w:r>
    </w:p>
    <w:p w14:paraId="5EA17B7F">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招标人就实际维修车辆情况向中标人询价时，累计达到三次不按时向招标人报价的；</w:t>
      </w:r>
    </w:p>
    <w:p w14:paraId="35AE85B2">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本合同履行期间对中标人的有效投诉记录累积达3次及以上；</w:t>
      </w:r>
    </w:p>
    <w:p w14:paraId="2681454D">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未经招标人同意，中标人擅自使用非原厂配件或旧件更换送修车辆零件；或擅自转厂（非定点厂）、分包或转包维修；</w:t>
      </w:r>
    </w:p>
    <w:p w14:paraId="70945953">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因中标人责任导致维修质量问题，造成重大损失的；</w:t>
      </w:r>
    </w:p>
    <w:p w14:paraId="04C1D310">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以欺骗、贿赂等不正当手段取得定点维修资格的；</w:t>
      </w:r>
    </w:p>
    <w:p w14:paraId="51D5D430">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不正确履行义务，被质疑投诉，经查实，情况属实的；</w:t>
      </w:r>
    </w:p>
    <w:p w14:paraId="48559A40">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拒绝接受监督管理部门考核监督检查管理的；</w:t>
      </w:r>
    </w:p>
    <w:p w14:paraId="4D6F78E4">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违反国家有关法律、法规和规章制度，受到处罚处理被列入黑名单的；</w:t>
      </w:r>
    </w:p>
    <w:p w14:paraId="41350D7F">
      <w:pPr>
        <w:numPr>
          <w:ilvl w:val="1"/>
          <w:numId w:val="64"/>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行业维修服务资格失效的；</w:t>
      </w:r>
    </w:p>
    <w:p w14:paraId="60CAE2CB">
      <w:pPr>
        <w:numPr>
          <w:ilvl w:val="1"/>
          <w:numId w:val="64"/>
        </w:numPr>
        <w:spacing w:line="360" w:lineRule="auto"/>
        <w:ind w:left="0" w:firstLine="480" w:firstLineChars="200"/>
        <w:rPr>
          <w:rFonts w:ascii="楷体" w:hAnsi="楷体" w:eastAsia="楷体" w:cs="楷体"/>
          <w:b/>
          <w:bCs/>
          <w:color w:val="auto"/>
          <w:sz w:val="24"/>
        </w:rPr>
      </w:pPr>
      <w:r>
        <w:rPr>
          <w:rFonts w:hint="eastAsia" w:ascii="楷体" w:hAnsi="楷体" w:eastAsia="楷体" w:cs="楷体"/>
          <w:color w:val="auto"/>
          <w:sz w:val="24"/>
        </w:rPr>
        <w:t>凡是被取消定点维修资格的企业将进行网上公告，即时终止其定点维修资格，并不得参加下一次招标人车辆维修服务资格投标活动。</w:t>
      </w:r>
    </w:p>
    <w:p w14:paraId="1C5D7464">
      <w:pPr>
        <w:numPr>
          <w:ilvl w:val="0"/>
          <w:numId w:val="61"/>
        </w:numPr>
        <w:spacing w:line="360" w:lineRule="auto"/>
        <w:rPr>
          <w:rFonts w:ascii="楷体" w:hAnsi="楷体" w:eastAsia="楷体" w:cs="楷体"/>
          <w:b/>
          <w:bCs/>
          <w:color w:val="auto"/>
          <w:sz w:val="24"/>
        </w:rPr>
      </w:pPr>
      <w:r>
        <w:rPr>
          <w:rFonts w:hint="eastAsia" w:ascii="楷体" w:hAnsi="楷体" w:eastAsia="楷体" w:cs="楷体"/>
          <w:b/>
          <w:bCs/>
          <w:color w:val="auto"/>
          <w:sz w:val="24"/>
        </w:rPr>
        <w:t>其他要求</w:t>
      </w:r>
    </w:p>
    <w:p w14:paraId="0F507433">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中标人必须按照国家、行业或者地方的维修标准规范和机动车生产企业公开的维修技术信息进行维修。尚无标准或规范的，应当参照机动车生产企业提供的维修手册、使用说明书和有关技术资料进行维修。</w:t>
      </w:r>
    </w:p>
    <w:p w14:paraId="46CF40D0">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对送修车辆中标人应以修复为主，能不更换的零部件尽量不予更换，确实不能修复或修复不经济的零部件，在征得招标人同意的情况下，方可进行更换。</w:t>
      </w:r>
    </w:p>
    <w:p w14:paraId="692D59D4">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中标人须在招标人送修后24小时内维修完毕并交付招标人使用。如因更换零配件或其他原因而延时的必须取得招标人同意方可延长时限。</w:t>
      </w:r>
    </w:p>
    <w:p w14:paraId="6B009627">
      <w:pPr>
        <w:numPr>
          <w:ilvl w:val="1"/>
          <w:numId w:val="65"/>
        </w:numPr>
        <w:spacing w:line="360" w:lineRule="auto"/>
        <w:ind w:left="0" w:firstLine="480" w:firstLineChars="200"/>
        <w:rPr>
          <w:rFonts w:ascii="楷体" w:hAnsi="楷体" w:eastAsia="楷体" w:cs="楷体"/>
          <w:color w:val="auto"/>
          <w:sz w:val="24"/>
          <w:shd w:val="clear" w:color="auto" w:fill="FFFF66"/>
        </w:rPr>
      </w:pPr>
      <w:r>
        <w:rPr>
          <w:rFonts w:hint="eastAsia" w:ascii="楷体" w:hAnsi="楷体" w:eastAsia="楷体" w:cs="楷体"/>
          <w:color w:val="auto"/>
          <w:sz w:val="24"/>
        </w:rPr>
        <w:t>中标人应具备故障车辆在平远县内24小时救援服务，对招标人的车辆提供免费救援服务，并保证在接到拖车需求后2小时内到达平远县内范围内任何一个地点。如果在规定时间内未能到达指定地点，故障车辆被交警部门或其他单位拖走，所需费用由中标人承担。</w:t>
      </w:r>
    </w:p>
    <w:p w14:paraId="032845F1">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中标人接报故障车辆要求救援后应积极、迅速地到达救援现场，进行妥善处理和维修。现场无法修复的，经与车主协商拖至定点维修厂检查维修。</w:t>
      </w:r>
    </w:p>
    <w:p w14:paraId="218EBEAD">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在维修过程中，中标人不得私自增减或更换维修项目，确需超出报修范围进行维修或增加维修费用的，必须征得招标人同意后方可开工。</w:t>
      </w:r>
    </w:p>
    <w:p w14:paraId="587320DB">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中标人在更换零配件时，应当将旧件妥善保存，并将旧件在车辆维修完毕后一同归还招标人。</w:t>
      </w:r>
    </w:p>
    <w:p w14:paraId="349B22B7">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中标人应设有24小时服务电话，在接到招标人报修电话后1小时内予以响应，并承诺提供上门维保服务。</w:t>
      </w:r>
    </w:p>
    <w:p w14:paraId="3CB6BDB9">
      <w:pPr>
        <w:numPr>
          <w:ilvl w:val="1"/>
          <w:numId w:val="65"/>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中标人应经双方协商，在允许、合理的范围内提供各类特色服务，如外出救援能力、代办年审（费用双方协商）、提供月度结算、上门接车、上门送车、设置专线服务电话等。并详细列出具体的实施计划。</w:t>
      </w:r>
    </w:p>
    <w:p w14:paraId="3D1DDA03">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★七、服务承诺及质量保证（提供承诺函，格式自拟）</w:t>
      </w:r>
    </w:p>
    <w:p w14:paraId="644C1983">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须承诺对招标人送修车辆实行竣工出厂质量保证期制度，质量保证期不得低于：汽车整车修理或总成修理质量保证期为车辆行驶20000公里或者100日；二级维护质量保证期为车辆行驶5000公里或者30日；一级维护、小修及专项修理质量保证期为车辆行驶2000公里或者10日。</w:t>
      </w:r>
    </w:p>
    <w:p w14:paraId="5F2503F3">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机动车维修质量保证期，从维修竣工出厂之日起计算，行驶里程数和时间以先到为准。</w:t>
      </w:r>
    </w:p>
    <w:p w14:paraId="4EC892DA">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中标人须承诺不使用假冒伪劣配件。机动车维修配件实行追溯制度，机动车维修经营者应当记录配件采购、使用信息，查验产品合格证等相关证明，并按规定留存配件来源凭证。</w:t>
      </w:r>
    </w:p>
    <w:p w14:paraId="7D758028">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在维修过程中，确须使用同质配件的，必须经招标人同意后方可使用，且中标人必须在维修清单中注明。（同质产品是指：零配件产品质量等同或者高于装车零部件标准要求，且具有良好装车性能的配件。）</w:t>
      </w:r>
    </w:p>
    <w:p w14:paraId="7A5AD31A">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机动车维修竣工质量检验合格的，中标人应当向招标人提供《机动车维修竣工出厂合格证》，未提供机动车维修竣工出厂合格证的机动车，不得交付使用，招标人有权拒绝验收和支付费用。</w:t>
      </w:r>
    </w:p>
    <w:p w14:paraId="7F47557C">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维修结束后，如果招标人发现维修结果不符合送修要求，或维修费用计算不合理，或发现使用不符合要求的维修材料，招标人有权拒绝验收和支付费用。</w:t>
      </w:r>
    </w:p>
    <w:p w14:paraId="375043E5">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在质量保证期内，因维修质量造成的机械事故和经济损失，由中标人全部负责。</w:t>
      </w:r>
    </w:p>
    <w:p w14:paraId="661BE02D">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未经招标人同意，中标人不得将招标人送修车辆交由其他维修厂维修，确需移交其他维修厂维修的，由中标人对维修质量和服务质量等承担一切责任。</w:t>
      </w:r>
    </w:p>
    <w:p w14:paraId="7974AA82">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如维修期间出现丢失或损坏（因不可抗力因素造成损失除外），中标人应负全部的赔偿责任。</w:t>
      </w:r>
    </w:p>
    <w:p w14:paraId="4236872B">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维修期间未经招标人同意，中标人不得擅自将招标人车辆开出厂外。</w:t>
      </w:r>
    </w:p>
    <w:p w14:paraId="29D7F694">
      <w:pPr>
        <w:numPr>
          <w:ilvl w:val="1"/>
          <w:numId w:val="66"/>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中标人须提供全年免费电脑检测。</w:t>
      </w:r>
    </w:p>
    <w:p w14:paraId="59EF3079">
      <w:pPr>
        <w:spacing w:line="360" w:lineRule="auto"/>
        <w:outlineLvl w:val="1"/>
        <w:rPr>
          <w:rFonts w:ascii="楷体" w:hAnsi="楷体" w:eastAsia="楷体" w:cs="楷体"/>
          <w:color w:val="auto"/>
          <w:sz w:val="24"/>
        </w:rPr>
      </w:pPr>
      <w:r>
        <w:rPr>
          <w:rFonts w:hint="eastAsia" w:ascii="楷体" w:hAnsi="楷体" w:eastAsia="楷体" w:cs="楷体"/>
          <w:b/>
          <w:color w:val="auto"/>
          <w:sz w:val="24"/>
        </w:rPr>
        <w:t>八、其他服务</w:t>
      </w:r>
    </w:p>
    <w:p w14:paraId="79794AD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除招标人提出的各项服务要求外，投标供应商可根据实际情况向招标人提供增值服务。投标供应商应在投标文件中列明增值服务的详细内容。</w:t>
      </w:r>
    </w:p>
    <w:p w14:paraId="53671007">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九、付款方式</w:t>
      </w:r>
    </w:p>
    <w:p w14:paraId="7ABA58B0">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维修费用按月结算，以每月的实际维修费用统计。招标人在每月25日前支付上个月的维修费用。由中标人向招标人提供合法合规的等额增值税专用发票和维修清单后，招标人按每月的实际产生的维修费用进行结算。</w:t>
      </w:r>
    </w:p>
    <w:p w14:paraId="6C651899">
      <w:pPr>
        <w:pStyle w:val="52"/>
        <w:spacing w:line="360" w:lineRule="auto"/>
        <w:ind w:firstLine="0"/>
        <w:rPr>
          <w:rFonts w:ascii="楷体" w:hAnsi="楷体" w:eastAsia="楷体" w:cs="楷体"/>
          <w:b/>
          <w:color w:val="auto"/>
          <w:sz w:val="24"/>
          <w:szCs w:val="24"/>
        </w:rPr>
      </w:pPr>
      <w:r>
        <w:rPr>
          <w:rFonts w:hint="eastAsia" w:ascii="楷体" w:hAnsi="楷体" w:eastAsia="楷体" w:cs="楷体"/>
          <w:b/>
          <w:color w:val="auto"/>
          <w:sz w:val="24"/>
          <w:szCs w:val="24"/>
        </w:rPr>
        <w:t>十、供应商不良行为管理</w:t>
      </w:r>
    </w:p>
    <w:p w14:paraId="22EB6FF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(一)供应商不良行为认定情形及处理</w:t>
      </w:r>
    </w:p>
    <w:p w14:paraId="2E8A849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在采购实施、合同履约和考核评价等过程中，招标人发现中标人存在以下情形之一的，中标人将被认定为供应商不良行为，且招标人将按照有关法律、法规、规章和国务院及行业主管部门文件、地方行政部门、烟草企业的有关规定，禁止或限制其参与烟草行业采购活动：</w:t>
      </w:r>
    </w:p>
    <w:p w14:paraId="615AFB17">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1.司法机关发布的刑事判决书、裁定书和党政机关作出的党政纪处分决定记录的供应商行贿事实，包括，供应商向招标人、招标代理机构、采购项目评审人员行贿或提供其他不正当利益。</w:t>
      </w:r>
    </w:p>
    <w:p w14:paraId="1E16978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各级人民政府及行业主管部门公告的供应商不良行为，包括：违反国家、省、市、县（区）有关工程建设和服务、合同管理、劳动用工、环境保护等相关法律、法规、规章、规范性文件，经各级工商、发改、住建、工信、财政等行政主管部门认定的不良行为。</w:t>
      </w:r>
    </w:p>
    <w:p w14:paraId="5BB7A1E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3.严重违反招标投标有关规定和烟草企业供应商管理规定。</w:t>
      </w:r>
    </w:p>
    <w:p w14:paraId="2B2D07F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3.1中选或者成交后无正当理由拒不与招标人签订采购合同，或未按照招标文件确定的主要条款签订采购合同；</w:t>
      </w:r>
    </w:p>
    <w:p w14:paraId="1F236E5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3.2中标人将采购项目违反合同约定进行转包、分包；</w:t>
      </w:r>
    </w:p>
    <w:p w14:paraId="0F2ABDD4">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3.3中标人擅自变更、中止或终止采购合同；</w:t>
      </w:r>
    </w:p>
    <w:p w14:paraId="0B0468D8">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3.4中标人履约过程中，提供假冒伪劣产品或弄虚作假、偷工减料，或产品和服务质量严重偏离合同约定，验收或考核评价不合格；</w:t>
      </w:r>
    </w:p>
    <w:p w14:paraId="21C3D35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3.5与招标人、其他供应商或采购代理机构恶意串通；</w:t>
      </w:r>
    </w:p>
    <w:p w14:paraId="5D51A7E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3.6提供虚假材料谋取中选、成交；</w:t>
      </w:r>
    </w:p>
    <w:p w14:paraId="11C410B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3.7供应商捏造事实、提供虚假材料或以非法手段取得证明材料进行投诉的；</w:t>
      </w:r>
    </w:p>
    <w:p w14:paraId="5E367F8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3.8供应商直接或间接从采购人或招标代理机构处获得其他供应商的相关情况，并修改其投标文件或响应文件；</w:t>
      </w:r>
    </w:p>
    <w:p w14:paraId="29741C2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3.9供应商之间事先约定由某一特定供应商中选、成交，或商定部分供应商放弃参加采购活动或放弃中选、成交；</w:t>
      </w:r>
    </w:p>
    <w:p w14:paraId="27314D9D">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3.10供应商之间协商报价、技术方案等投标文件或响应文件的实质性内容；</w:t>
      </w:r>
    </w:p>
    <w:p w14:paraId="6F14FAD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3.11属于同一集团、协会、商会等组织成员的供应商按照该组织要求协同参加采购活动；</w:t>
      </w:r>
    </w:p>
    <w:p w14:paraId="2336871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3.12供应商与招标人或招标代理机构之间、供应商相互之间，为谋求特定供应商中选、成交或排斥其他供应商等串通行为；</w:t>
      </w:r>
    </w:p>
    <w:p w14:paraId="22BA432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3.13拒绝有关部门监督检查或过程中提供虚假信息；</w:t>
      </w:r>
    </w:p>
    <w:p w14:paraId="6475419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3.14法律法规和制度规定的其他采购严重违法失信行为。</w:t>
      </w:r>
    </w:p>
    <w:p w14:paraId="5248730D">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3.15其他违法犯罪行为。</w:t>
      </w:r>
    </w:p>
    <w:p w14:paraId="67900B34">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（二）列入烟草行业行贿行为供应商名单情形</w:t>
      </w:r>
    </w:p>
    <w:p w14:paraId="1A1CD092">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在参加烟草行业采购活动中，采购人发现中选供应商向烟草行业干部职工行贿的，将其列入存在行贿行为供应商名单，实施严格禁入措施，禁止参加新采购项目，根据生效的刑事判决书、刑事裁定书、党政纪处分决定书认定的数额：</w:t>
      </w:r>
    </w:p>
    <w:p w14:paraId="1977F96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1.行贿数额不满100万元的，禁入期限1年；</w:t>
      </w:r>
    </w:p>
    <w:p w14:paraId="3CDD6BC8">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2.行贿数额在100万元以上不满500万元的，禁入期限2年；</w:t>
      </w:r>
    </w:p>
    <w:p w14:paraId="0DC85E6C">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3.行贿数额在500万元以上的，禁入期限3年；</w:t>
      </w:r>
    </w:p>
    <w:p w14:paraId="2BDDDF4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4.行贿行为情节特别严重的，永久禁入。</w:t>
      </w:r>
    </w:p>
    <w:p w14:paraId="2038E398">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对中选供应商被列入行贿行为供应商名单的禁入措施，适用于其法定代表人、主要负责人和行贿人。在列入行贿行为供应商名单期限内，上述人员担任法定代表人、主要负责人或实际控制人的其他企业，均不得参加行业新采购项目。</w:t>
      </w:r>
    </w:p>
    <w:p w14:paraId="38E46D92">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6.对被列入烟草行业行贿行为供应商名单的在供供应商，采购人有权单方面采取降低服务期间考核评价分数、降低供货份额、缩短服务期限、终止或解除合同等处理措施。</w:t>
      </w:r>
    </w:p>
    <w:p w14:paraId="6F39BB79">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7.对于中选供应商在行业外发生行贿行为的，参照对“列入烟草行业行贿行为供应商名单”情形进行处理。</w:t>
      </w:r>
    </w:p>
    <w:p w14:paraId="40BFEC41">
      <w:pPr>
        <w:autoSpaceDE w:val="0"/>
        <w:autoSpaceDN w:val="0"/>
        <w:spacing w:line="360" w:lineRule="auto"/>
        <w:ind w:firstLine="420" w:firstLineChars="200"/>
        <w:rPr>
          <w:rFonts w:ascii="楷体" w:hAnsi="楷体" w:eastAsia="楷体" w:cs="楷体"/>
          <w:color w:val="auto"/>
          <w:szCs w:val="21"/>
        </w:rPr>
      </w:pPr>
    </w:p>
    <w:p w14:paraId="18C1854D">
      <w:pPr>
        <w:widowControl/>
        <w:spacing w:before="240" w:beforeLines="100" w:after="240" w:afterLines="100" w:line="360" w:lineRule="auto"/>
        <w:jc w:val="center"/>
        <w:rPr>
          <w:rFonts w:ascii="楷体" w:hAnsi="楷体" w:eastAsia="楷体" w:cs="楷体"/>
          <w:b/>
          <w:bCs/>
          <w:color w:val="auto"/>
          <w:sz w:val="32"/>
          <w:szCs w:val="32"/>
        </w:rPr>
      </w:pPr>
    </w:p>
    <w:p w14:paraId="581BEE4E">
      <w:pPr>
        <w:pStyle w:val="2"/>
        <w:spacing w:before="5280" w:beforeLines="2200" w:after="5280" w:afterLines="2200"/>
        <w:jc w:val="center"/>
        <w:rPr>
          <w:rFonts w:ascii="楷体" w:hAnsi="楷体" w:eastAsia="楷体" w:cs="楷体"/>
          <w:color w:val="auto"/>
        </w:rPr>
      </w:pPr>
      <w:bookmarkStart w:id="304" w:name="_Toc50737290"/>
      <w:bookmarkStart w:id="305" w:name="_Toc50737322"/>
      <w:bookmarkStart w:id="306" w:name="_Toc50736470"/>
      <w:bookmarkStart w:id="307" w:name="_Toc50691023"/>
      <w:bookmarkStart w:id="308" w:name="_Toc168288368"/>
      <w:bookmarkStart w:id="309" w:name="_Toc182886660"/>
      <w:bookmarkStart w:id="310" w:name="_Toc16117"/>
      <w:bookmarkStart w:id="311" w:name="_Toc29839"/>
      <w:bookmarkStart w:id="312" w:name="_Toc372468320"/>
      <w:bookmarkStart w:id="313" w:name="_Toc25940"/>
      <w:bookmarkStart w:id="314" w:name="_Toc183316721"/>
      <w:bookmarkStart w:id="315" w:name="_Toc32670"/>
      <w:bookmarkStart w:id="316" w:name="_Toc423021952"/>
      <w:bookmarkStart w:id="317" w:name="_Toc464"/>
    </w:p>
    <w:p w14:paraId="2E257410">
      <w:pPr>
        <w:pStyle w:val="2"/>
        <w:spacing w:before="5280" w:beforeLines="2200" w:after="5280" w:afterLines="2200"/>
        <w:jc w:val="center"/>
        <w:rPr>
          <w:rFonts w:ascii="楷体" w:hAnsi="楷体" w:eastAsia="楷体" w:cs="楷体"/>
          <w:color w:val="auto"/>
        </w:rPr>
        <w:sectPr>
          <w:pgSz w:w="11906" w:h="16838"/>
          <w:pgMar w:top="1440" w:right="1800" w:bottom="1440" w:left="1800" w:header="851" w:footer="822" w:gutter="0"/>
          <w:cols w:space="720" w:num="1"/>
          <w:titlePg/>
          <w:docGrid w:linePitch="312" w:charSpace="0"/>
        </w:sectPr>
      </w:pPr>
      <w:r>
        <w:rPr>
          <w:rFonts w:hint="eastAsia" w:ascii="楷体" w:hAnsi="楷体" w:eastAsia="楷体" w:cs="楷体"/>
          <w:color w:val="auto"/>
        </w:rPr>
        <w:t>第五章</w:t>
      </w:r>
      <w:bookmarkEnd w:id="304"/>
      <w:bookmarkEnd w:id="305"/>
      <w:bookmarkEnd w:id="306"/>
      <w:bookmarkEnd w:id="307"/>
      <w:bookmarkEnd w:id="308"/>
      <w:r>
        <w:rPr>
          <w:rFonts w:hint="eastAsia" w:ascii="楷体" w:hAnsi="楷体" w:eastAsia="楷体" w:cs="楷体"/>
          <w:color w:val="auto"/>
        </w:rPr>
        <w:t>合同格式</w:t>
      </w:r>
      <w:bookmarkEnd w:id="309"/>
      <w:bookmarkEnd w:id="310"/>
      <w:bookmarkEnd w:id="311"/>
      <w:bookmarkEnd w:id="312"/>
      <w:bookmarkEnd w:id="313"/>
      <w:bookmarkEnd w:id="314"/>
      <w:bookmarkEnd w:id="315"/>
      <w:bookmarkEnd w:id="316"/>
      <w:bookmarkEnd w:id="317"/>
    </w:p>
    <w:p w14:paraId="5D423412">
      <w:pPr>
        <w:spacing w:line="560" w:lineRule="exact"/>
        <w:rPr>
          <w:rFonts w:ascii="楷体" w:hAnsi="楷体" w:eastAsia="楷体" w:cs="楷体"/>
          <w:b/>
          <w:bCs/>
          <w:color w:val="auto"/>
          <w:spacing w:val="100"/>
          <w:sz w:val="52"/>
        </w:rPr>
      </w:pPr>
    </w:p>
    <w:p w14:paraId="272AF676">
      <w:pPr>
        <w:spacing w:line="560" w:lineRule="exact"/>
        <w:jc w:val="center"/>
        <w:rPr>
          <w:rFonts w:ascii="楷体" w:hAnsi="楷体" w:eastAsia="楷体" w:cs="楷体"/>
          <w:b/>
          <w:bCs/>
          <w:color w:val="auto"/>
          <w:spacing w:val="100"/>
          <w:sz w:val="52"/>
        </w:rPr>
      </w:pPr>
      <w:r>
        <w:rPr>
          <w:rFonts w:hint="eastAsia" w:ascii="楷体" w:hAnsi="楷体" w:eastAsia="楷体" w:cs="楷体"/>
          <w:b/>
          <w:bCs/>
          <w:color w:val="auto"/>
          <w:spacing w:val="100"/>
          <w:sz w:val="52"/>
        </w:rPr>
        <w:drawing>
          <wp:anchor distT="0" distB="0" distL="114300" distR="114300" simplePos="0" relativeHeight="251665408" behindDoc="0" locked="0" layoutInCell="1" allowOverlap="1">
            <wp:simplePos x="0" y="0"/>
            <wp:positionH relativeFrom="column">
              <wp:posOffset>1695450</wp:posOffset>
            </wp:positionH>
            <wp:positionV relativeFrom="paragraph">
              <wp:posOffset>44450</wp:posOffset>
            </wp:positionV>
            <wp:extent cx="2242185" cy="1704975"/>
            <wp:effectExtent l="0" t="0" r="5715" b="9525"/>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1"/>
                    <a:stretch>
                      <a:fillRect/>
                    </a:stretch>
                  </pic:blipFill>
                  <pic:spPr>
                    <a:xfrm>
                      <a:off x="0" y="0"/>
                      <a:ext cx="2242185" cy="1704975"/>
                    </a:xfrm>
                    <a:prstGeom prst="rect">
                      <a:avLst/>
                    </a:prstGeom>
                    <a:noFill/>
                    <a:ln>
                      <a:noFill/>
                    </a:ln>
                  </pic:spPr>
                </pic:pic>
              </a:graphicData>
            </a:graphic>
          </wp:anchor>
        </w:drawing>
      </w:r>
    </w:p>
    <w:p w14:paraId="454E4C7C">
      <w:pPr>
        <w:spacing w:line="560" w:lineRule="exact"/>
        <w:rPr>
          <w:rFonts w:ascii="楷体" w:hAnsi="楷体" w:eastAsia="楷体" w:cs="楷体"/>
          <w:b/>
          <w:bCs/>
          <w:color w:val="auto"/>
          <w:spacing w:val="100"/>
          <w:sz w:val="52"/>
        </w:rPr>
      </w:pPr>
    </w:p>
    <w:p w14:paraId="77810E9F">
      <w:pPr>
        <w:spacing w:line="560" w:lineRule="exact"/>
        <w:rPr>
          <w:rFonts w:ascii="楷体" w:hAnsi="楷体" w:eastAsia="楷体" w:cs="楷体"/>
          <w:b/>
          <w:bCs/>
          <w:color w:val="auto"/>
          <w:spacing w:val="100"/>
          <w:sz w:val="52"/>
        </w:rPr>
      </w:pPr>
    </w:p>
    <w:p w14:paraId="485D1D4F">
      <w:pPr>
        <w:spacing w:line="560" w:lineRule="exact"/>
        <w:rPr>
          <w:rFonts w:ascii="楷体" w:hAnsi="楷体" w:eastAsia="楷体" w:cs="楷体"/>
          <w:b/>
          <w:bCs/>
          <w:color w:val="auto"/>
          <w:spacing w:val="100"/>
          <w:sz w:val="52"/>
        </w:rPr>
      </w:pPr>
    </w:p>
    <w:p w14:paraId="58A5C7AF">
      <w:pPr>
        <w:spacing w:line="560" w:lineRule="exact"/>
        <w:rPr>
          <w:rFonts w:ascii="楷体" w:hAnsi="楷体" w:eastAsia="楷体" w:cs="楷体"/>
          <w:b/>
          <w:bCs/>
          <w:color w:val="auto"/>
          <w:spacing w:val="100"/>
          <w:sz w:val="52"/>
        </w:rPr>
      </w:pPr>
    </w:p>
    <w:p w14:paraId="59E91A28">
      <w:pPr>
        <w:ind w:left="105" w:leftChars="50" w:right="105" w:rightChars="50"/>
        <w:jc w:val="center"/>
        <w:rPr>
          <w:rFonts w:ascii="楷体" w:hAnsi="楷体" w:eastAsia="楷体" w:cs="楷体"/>
          <w:b/>
          <w:bCs/>
          <w:color w:val="auto"/>
          <w:spacing w:val="-2"/>
          <w:sz w:val="44"/>
          <w:szCs w:val="44"/>
        </w:rPr>
      </w:pPr>
      <w:r>
        <w:rPr>
          <w:rFonts w:hint="eastAsia" w:ascii="楷体" w:hAnsi="楷体" w:eastAsia="楷体" w:cs="楷体"/>
          <w:b/>
          <w:bCs/>
          <w:color w:val="auto"/>
          <w:spacing w:val="-2"/>
          <w:sz w:val="44"/>
          <w:szCs w:val="44"/>
        </w:rPr>
        <w:t>广东烟草梅州市有限公司平远分公司</w:t>
      </w:r>
    </w:p>
    <w:p w14:paraId="2DAA39CB">
      <w:pPr>
        <w:ind w:left="105" w:leftChars="50" w:right="105" w:rightChars="50"/>
        <w:jc w:val="center"/>
        <w:rPr>
          <w:rFonts w:ascii="楷体" w:hAnsi="楷体" w:eastAsia="楷体" w:cs="楷体"/>
          <w:b/>
          <w:bCs/>
          <w:color w:val="auto"/>
          <w:spacing w:val="-2"/>
          <w:sz w:val="44"/>
          <w:szCs w:val="44"/>
        </w:rPr>
      </w:pPr>
      <w:r>
        <w:rPr>
          <w:rFonts w:hint="eastAsia" w:ascii="楷体" w:hAnsi="楷体" w:eastAsia="楷体" w:cs="楷体"/>
          <w:b/>
          <w:bCs/>
          <w:color w:val="auto"/>
          <w:spacing w:val="-2"/>
          <w:sz w:val="44"/>
          <w:szCs w:val="44"/>
        </w:rPr>
        <w:t>车辆维修定点服务项目合同</w:t>
      </w:r>
    </w:p>
    <w:p w14:paraId="2BCE75EB">
      <w:pPr>
        <w:shd w:val="clear" w:color="auto" w:fill="FFFFFF"/>
        <w:spacing w:line="1160" w:lineRule="exact"/>
        <w:rPr>
          <w:rFonts w:ascii="楷体" w:hAnsi="楷体" w:eastAsia="楷体" w:cs="楷体"/>
          <w:color w:val="auto"/>
        </w:rPr>
      </w:pPr>
    </w:p>
    <w:p w14:paraId="6672801F">
      <w:pPr>
        <w:shd w:val="clear" w:color="auto" w:fill="FFFFFF"/>
        <w:spacing w:line="1160" w:lineRule="exact"/>
        <w:rPr>
          <w:rFonts w:ascii="楷体" w:hAnsi="楷体" w:eastAsia="楷体" w:cs="楷体"/>
          <w:color w:val="auto"/>
        </w:rPr>
      </w:pPr>
    </w:p>
    <w:p w14:paraId="2888FBD7">
      <w:pPr>
        <w:shd w:val="clear" w:color="auto" w:fill="FFFFFF"/>
        <w:spacing w:line="1160" w:lineRule="exact"/>
        <w:rPr>
          <w:rFonts w:ascii="楷体" w:hAnsi="楷体" w:eastAsia="楷体" w:cs="楷体"/>
          <w:color w:val="auto"/>
          <w:sz w:val="72"/>
          <w:szCs w:val="72"/>
        </w:rPr>
      </w:pPr>
    </w:p>
    <w:p w14:paraId="4D75E9D7">
      <w:pPr>
        <w:spacing w:line="560" w:lineRule="exact"/>
        <w:ind w:left="1260" w:leftChars="600"/>
        <w:rPr>
          <w:rFonts w:ascii="楷体" w:hAnsi="楷体" w:eastAsia="楷体" w:cs="楷体"/>
          <w:b/>
          <w:color w:val="auto"/>
          <w:sz w:val="32"/>
          <w:szCs w:val="32"/>
          <w:u w:val="single"/>
        </w:rPr>
      </w:pPr>
      <w:r>
        <w:rPr>
          <w:rFonts w:hint="eastAsia" w:ascii="楷体" w:hAnsi="楷体" w:eastAsia="楷体" w:cs="楷体"/>
          <w:b/>
          <w:color w:val="auto"/>
          <w:sz w:val="32"/>
          <w:szCs w:val="32"/>
        </w:rPr>
        <w:t>合同名称：</w:t>
      </w:r>
      <w:r>
        <w:rPr>
          <w:rFonts w:hint="eastAsia" w:ascii="楷体" w:hAnsi="楷体" w:eastAsia="楷体" w:cs="楷体"/>
          <w:bCs/>
          <w:color w:val="auto"/>
          <w:sz w:val="32"/>
          <w:szCs w:val="32"/>
          <w:u w:val="single"/>
        </w:rPr>
        <w:t xml:space="preserve">车辆维修定点服务项目           </w:t>
      </w:r>
    </w:p>
    <w:p w14:paraId="6D086C07">
      <w:pPr>
        <w:spacing w:line="560" w:lineRule="exact"/>
        <w:ind w:left="1260" w:leftChars="600"/>
        <w:rPr>
          <w:rFonts w:ascii="楷体" w:hAnsi="楷体" w:eastAsia="楷体" w:cs="楷体"/>
          <w:b/>
          <w:color w:val="auto"/>
          <w:sz w:val="32"/>
          <w:szCs w:val="32"/>
          <w:u w:val="single"/>
        </w:rPr>
      </w:pPr>
      <w:r>
        <w:rPr>
          <w:rFonts w:hint="eastAsia" w:ascii="楷体" w:hAnsi="楷体" w:eastAsia="楷体" w:cs="楷体"/>
          <w:b/>
          <w:color w:val="auto"/>
          <w:sz w:val="32"/>
          <w:szCs w:val="32"/>
        </w:rPr>
        <w:t>合同编号：</w:t>
      </w:r>
      <w:r>
        <w:rPr>
          <w:rFonts w:hint="eastAsia" w:ascii="楷体" w:hAnsi="楷体" w:eastAsia="楷体" w:cs="楷体"/>
          <w:bCs/>
          <w:color w:val="auto"/>
          <w:sz w:val="32"/>
          <w:szCs w:val="32"/>
          <w:u w:val="single"/>
        </w:rPr>
        <w:t xml:space="preserve">                               </w:t>
      </w:r>
    </w:p>
    <w:p w14:paraId="78D365B3">
      <w:pPr>
        <w:spacing w:line="560" w:lineRule="exact"/>
        <w:ind w:left="1260" w:leftChars="600"/>
        <w:rPr>
          <w:rFonts w:ascii="楷体" w:hAnsi="楷体" w:eastAsia="楷体" w:cs="楷体"/>
          <w:b/>
          <w:color w:val="auto"/>
          <w:sz w:val="32"/>
          <w:szCs w:val="32"/>
        </w:rPr>
      </w:pPr>
      <w:r>
        <w:rPr>
          <w:rFonts w:hint="eastAsia" w:ascii="楷体" w:hAnsi="楷体" w:eastAsia="楷体" w:cs="楷体"/>
          <w:b/>
          <w:bCs/>
          <w:color w:val="auto"/>
          <w:sz w:val="32"/>
          <w:szCs w:val="32"/>
        </w:rPr>
        <w:t>承办部门：</w:t>
      </w:r>
      <w:r>
        <w:rPr>
          <w:rFonts w:hint="eastAsia" w:ascii="楷体" w:hAnsi="楷体" w:eastAsia="楷体" w:cs="楷体"/>
          <w:color w:val="auto"/>
          <w:sz w:val="32"/>
          <w:szCs w:val="32"/>
          <w:u w:val="single"/>
        </w:rPr>
        <w:t xml:space="preserve">                               </w:t>
      </w:r>
    </w:p>
    <w:p w14:paraId="648F70A1">
      <w:pPr>
        <w:spacing w:line="560" w:lineRule="exact"/>
        <w:ind w:left="1260" w:leftChars="600"/>
        <w:rPr>
          <w:rFonts w:ascii="楷体" w:hAnsi="楷体" w:eastAsia="楷体" w:cs="楷体"/>
          <w:bCs/>
          <w:color w:val="auto"/>
          <w:sz w:val="32"/>
          <w:szCs w:val="32"/>
        </w:rPr>
      </w:pPr>
      <w:r>
        <w:rPr>
          <w:rFonts w:hint="eastAsia" w:ascii="楷体" w:hAnsi="楷体" w:eastAsia="楷体" w:cs="楷体"/>
          <w:b/>
          <w:color w:val="auto"/>
          <w:sz w:val="32"/>
          <w:szCs w:val="32"/>
        </w:rPr>
        <w:t>甲    方：</w:t>
      </w:r>
      <w:r>
        <w:rPr>
          <w:rFonts w:hint="eastAsia" w:ascii="楷体" w:hAnsi="楷体" w:eastAsia="楷体" w:cs="楷体"/>
          <w:color w:val="auto"/>
          <w:sz w:val="32"/>
          <w:szCs w:val="32"/>
          <w:u w:val="single"/>
        </w:rPr>
        <w:t xml:space="preserve">                               </w:t>
      </w:r>
    </w:p>
    <w:p w14:paraId="77933AB1">
      <w:pPr>
        <w:spacing w:line="560" w:lineRule="exact"/>
        <w:ind w:left="1260" w:leftChars="600"/>
        <w:rPr>
          <w:rFonts w:ascii="楷体" w:hAnsi="楷体" w:eastAsia="楷体" w:cs="楷体"/>
          <w:b/>
          <w:color w:val="auto"/>
          <w:sz w:val="32"/>
          <w:szCs w:val="32"/>
          <w:u w:val="single"/>
        </w:rPr>
      </w:pPr>
      <w:r>
        <w:rPr>
          <w:rFonts w:hint="eastAsia" w:ascii="楷体" w:hAnsi="楷体" w:eastAsia="楷体" w:cs="楷体"/>
          <w:b/>
          <w:color w:val="auto"/>
          <w:sz w:val="32"/>
          <w:szCs w:val="32"/>
        </w:rPr>
        <w:t>乙    方：</w:t>
      </w:r>
      <w:r>
        <w:rPr>
          <w:rFonts w:hint="eastAsia" w:ascii="楷体" w:hAnsi="楷体" w:eastAsia="楷体" w:cs="楷体"/>
          <w:bCs/>
          <w:color w:val="auto"/>
          <w:sz w:val="32"/>
          <w:szCs w:val="32"/>
          <w:u w:val="single"/>
        </w:rPr>
        <w:t xml:space="preserve">                               </w:t>
      </w:r>
    </w:p>
    <w:p w14:paraId="4F02F5AC">
      <w:pPr>
        <w:spacing w:line="384" w:lineRule="auto"/>
        <w:rPr>
          <w:rFonts w:ascii="楷体" w:hAnsi="楷体" w:eastAsia="楷体" w:cs="楷体"/>
          <w:b/>
          <w:color w:val="auto"/>
          <w:sz w:val="32"/>
          <w:szCs w:val="32"/>
        </w:rPr>
      </w:pPr>
    </w:p>
    <w:p w14:paraId="0E2B3ADF">
      <w:pPr>
        <w:widowControl/>
        <w:spacing w:line="360" w:lineRule="auto"/>
        <w:rPr>
          <w:rFonts w:ascii="楷体" w:hAnsi="楷体" w:eastAsia="楷体" w:cs="楷体"/>
          <w:b/>
          <w:color w:val="auto"/>
          <w:sz w:val="32"/>
          <w:szCs w:val="32"/>
        </w:rPr>
      </w:pPr>
    </w:p>
    <w:p w14:paraId="1CD06EA3">
      <w:pPr>
        <w:widowControl/>
        <w:spacing w:line="360" w:lineRule="auto"/>
        <w:jc w:val="center"/>
        <w:rPr>
          <w:rFonts w:ascii="楷体" w:hAnsi="楷体" w:eastAsia="楷体" w:cs="楷体"/>
          <w:b/>
          <w:bCs/>
          <w:color w:val="auto"/>
          <w:sz w:val="30"/>
          <w:szCs w:val="30"/>
        </w:rPr>
      </w:pPr>
      <w:r>
        <w:rPr>
          <w:rFonts w:hint="eastAsia" w:ascii="楷体" w:hAnsi="楷体" w:eastAsia="楷体" w:cs="楷体"/>
          <w:b/>
          <w:color w:val="auto"/>
          <w:sz w:val="32"/>
          <w:szCs w:val="32"/>
        </w:rPr>
        <w:t>签约日期：202 年 月 日</w:t>
      </w:r>
    </w:p>
    <w:p w14:paraId="2CDE3BE3">
      <w:pPr>
        <w:tabs>
          <w:tab w:val="left" w:pos="720"/>
        </w:tabs>
        <w:spacing w:line="336" w:lineRule="auto"/>
        <w:rPr>
          <w:rFonts w:ascii="楷体" w:hAnsi="楷体" w:eastAsia="楷体" w:cs="楷体"/>
          <w:b/>
          <w:color w:val="auto"/>
          <w:szCs w:val="21"/>
        </w:rPr>
      </w:pPr>
    </w:p>
    <w:p w14:paraId="07044FA3">
      <w:pPr>
        <w:tabs>
          <w:tab w:val="left" w:pos="720"/>
        </w:tabs>
        <w:spacing w:line="336" w:lineRule="auto"/>
        <w:rPr>
          <w:rFonts w:ascii="楷体" w:hAnsi="楷体" w:eastAsia="楷体" w:cs="楷体"/>
          <w:b/>
          <w:color w:val="auto"/>
          <w:szCs w:val="21"/>
        </w:rPr>
      </w:pPr>
    </w:p>
    <w:p w14:paraId="66B59442">
      <w:pPr>
        <w:tabs>
          <w:tab w:val="left" w:pos="720"/>
        </w:tabs>
        <w:spacing w:line="360" w:lineRule="auto"/>
        <w:rPr>
          <w:rFonts w:ascii="楷体" w:hAnsi="楷体" w:eastAsia="楷体" w:cs="楷体"/>
          <w:b/>
          <w:color w:val="auto"/>
          <w:sz w:val="24"/>
        </w:rPr>
      </w:pPr>
    </w:p>
    <w:p w14:paraId="462A5B7D">
      <w:pPr>
        <w:tabs>
          <w:tab w:val="left" w:pos="720"/>
        </w:tabs>
        <w:spacing w:line="360" w:lineRule="auto"/>
        <w:rPr>
          <w:rFonts w:ascii="楷体" w:hAnsi="楷体" w:eastAsia="楷体" w:cs="楷体"/>
          <w:color w:val="auto"/>
          <w:sz w:val="24"/>
        </w:rPr>
      </w:pPr>
      <w:r>
        <w:rPr>
          <w:rFonts w:hint="eastAsia" w:ascii="楷体" w:hAnsi="楷体" w:eastAsia="楷体" w:cs="楷体"/>
          <w:b/>
          <w:color w:val="auto"/>
          <w:sz w:val="24"/>
        </w:rPr>
        <w:t>甲    方</w:t>
      </w:r>
      <w:r>
        <w:rPr>
          <w:rFonts w:hint="eastAsia" w:ascii="楷体" w:hAnsi="楷体" w:eastAsia="楷体" w:cs="楷体"/>
          <w:color w:val="auto"/>
          <w:sz w:val="24"/>
        </w:rPr>
        <w:t>（招标人）：广东烟草梅州市有限公司平远县分公司</w:t>
      </w:r>
    </w:p>
    <w:p w14:paraId="74AE412C">
      <w:pPr>
        <w:tabs>
          <w:tab w:val="left" w:pos="720"/>
        </w:tabs>
        <w:spacing w:line="360" w:lineRule="auto"/>
        <w:rPr>
          <w:rFonts w:ascii="楷体" w:hAnsi="楷体" w:eastAsia="楷体" w:cs="楷体"/>
          <w:color w:val="auto"/>
          <w:sz w:val="24"/>
          <w:u w:val="single"/>
        </w:rPr>
      </w:pPr>
      <w:r>
        <w:rPr>
          <w:rFonts w:hint="eastAsia" w:ascii="楷体" w:hAnsi="楷体" w:eastAsia="楷体" w:cs="楷体"/>
          <w:color w:val="auto"/>
          <w:sz w:val="24"/>
        </w:rPr>
        <w:t>法定代表人：</w:t>
      </w:r>
      <w:r>
        <w:rPr>
          <w:rFonts w:hint="eastAsia" w:ascii="楷体" w:hAnsi="楷体" w:eastAsia="楷体" w:cs="楷体"/>
          <w:color w:val="auto"/>
          <w:sz w:val="24"/>
          <w:u w:val="single"/>
        </w:rPr>
        <w:t xml:space="preserve">      /      </w:t>
      </w:r>
      <w:r>
        <w:rPr>
          <w:rFonts w:hint="eastAsia" w:ascii="楷体" w:hAnsi="楷体" w:eastAsia="楷体" w:cs="楷体"/>
          <w:color w:val="auto"/>
          <w:sz w:val="24"/>
        </w:rPr>
        <w:t xml:space="preserve">       负责人：</w:t>
      </w:r>
      <w:r>
        <w:rPr>
          <w:rFonts w:hint="eastAsia" w:ascii="楷体" w:hAnsi="楷体" w:eastAsia="楷体" w:cs="楷体"/>
          <w:color w:val="auto"/>
          <w:sz w:val="24"/>
          <w:u w:val="single"/>
        </w:rPr>
        <w:t xml:space="preserve">郭俊杰    </w:t>
      </w:r>
    </w:p>
    <w:p w14:paraId="75118CC3">
      <w:pPr>
        <w:spacing w:line="360" w:lineRule="auto"/>
        <w:rPr>
          <w:rFonts w:ascii="楷体" w:hAnsi="楷体" w:eastAsia="楷体" w:cs="楷体"/>
          <w:color w:val="auto"/>
          <w:sz w:val="24"/>
        </w:rPr>
      </w:pPr>
      <w:r>
        <w:rPr>
          <w:rFonts w:hint="eastAsia" w:ascii="楷体" w:hAnsi="楷体" w:eastAsia="楷体" w:cs="楷体"/>
          <w:color w:val="auto"/>
          <w:sz w:val="24"/>
        </w:rPr>
        <w:t xml:space="preserve">电      话：0753-8896916        传  真：0753-8896916          </w:t>
      </w:r>
    </w:p>
    <w:p w14:paraId="14CC75C1">
      <w:pPr>
        <w:spacing w:line="360" w:lineRule="auto"/>
        <w:rPr>
          <w:rFonts w:ascii="楷体" w:hAnsi="楷体" w:eastAsia="楷体" w:cs="楷体"/>
          <w:color w:val="auto"/>
          <w:sz w:val="24"/>
        </w:rPr>
      </w:pPr>
      <w:r>
        <w:rPr>
          <w:rFonts w:hint="eastAsia" w:ascii="楷体" w:hAnsi="楷体" w:eastAsia="楷体" w:cs="楷体"/>
          <w:color w:val="auto"/>
          <w:sz w:val="24"/>
        </w:rPr>
        <w:t>地      址：广东省梅州市平远县大柘镇平远大道窑岃上29号</w:t>
      </w:r>
    </w:p>
    <w:p w14:paraId="629EC512">
      <w:pPr>
        <w:spacing w:line="360" w:lineRule="auto"/>
        <w:rPr>
          <w:rFonts w:ascii="楷体" w:hAnsi="楷体" w:eastAsia="楷体" w:cs="楷体"/>
          <w:b/>
          <w:color w:val="auto"/>
          <w:sz w:val="24"/>
        </w:rPr>
      </w:pPr>
    </w:p>
    <w:p w14:paraId="55E8742F">
      <w:pPr>
        <w:spacing w:line="360" w:lineRule="auto"/>
        <w:rPr>
          <w:rFonts w:ascii="楷体" w:hAnsi="楷体" w:eastAsia="楷体" w:cs="楷体"/>
          <w:color w:val="auto"/>
          <w:sz w:val="24"/>
        </w:rPr>
      </w:pPr>
      <w:r>
        <w:rPr>
          <w:rFonts w:hint="eastAsia" w:ascii="楷体" w:hAnsi="楷体" w:eastAsia="楷体" w:cs="楷体"/>
          <w:b/>
          <w:color w:val="auto"/>
          <w:sz w:val="24"/>
        </w:rPr>
        <w:t>乙    方</w:t>
      </w:r>
      <w:r>
        <w:rPr>
          <w:rFonts w:hint="eastAsia" w:ascii="楷体" w:hAnsi="楷体" w:eastAsia="楷体" w:cs="楷体"/>
          <w:color w:val="auto"/>
          <w:sz w:val="24"/>
        </w:rPr>
        <w:t>（中标人）：</w:t>
      </w:r>
    </w:p>
    <w:p w14:paraId="12E0A5BC">
      <w:pPr>
        <w:tabs>
          <w:tab w:val="left" w:pos="720"/>
        </w:tabs>
        <w:spacing w:line="360" w:lineRule="auto"/>
        <w:rPr>
          <w:rFonts w:ascii="楷体" w:hAnsi="楷体" w:eastAsia="楷体" w:cs="楷体"/>
          <w:color w:val="auto"/>
          <w:sz w:val="24"/>
          <w:u w:val="single"/>
        </w:rPr>
      </w:pPr>
      <w:r>
        <w:rPr>
          <w:rFonts w:hint="eastAsia" w:ascii="楷体" w:hAnsi="楷体" w:eastAsia="楷体" w:cs="楷体"/>
          <w:color w:val="auto"/>
          <w:sz w:val="24"/>
        </w:rPr>
        <w:t>法定代表人：</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负责人：</w:t>
      </w:r>
      <w:r>
        <w:rPr>
          <w:rFonts w:hint="eastAsia" w:ascii="楷体" w:hAnsi="楷体" w:eastAsia="楷体" w:cs="楷体"/>
          <w:color w:val="auto"/>
          <w:sz w:val="24"/>
          <w:u w:val="single"/>
        </w:rPr>
        <w:t xml:space="preserve">           </w:t>
      </w:r>
    </w:p>
    <w:p w14:paraId="5195F6ED">
      <w:pPr>
        <w:spacing w:line="360" w:lineRule="auto"/>
        <w:rPr>
          <w:rFonts w:ascii="楷体" w:hAnsi="楷体" w:eastAsia="楷体" w:cs="楷体"/>
          <w:color w:val="auto"/>
          <w:sz w:val="24"/>
        </w:rPr>
      </w:pPr>
      <w:r>
        <w:rPr>
          <w:rFonts w:hint="eastAsia" w:ascii="楷体" w:hAnsi="楷体" w:eastAsia="楷体" w:cs="楷体"/>
          <w:color w:val="auto"/>
          <w:sz w:val="24"/>
        </w:rPr>
        <w:t>电      话：                 传  真：</w:t>
      </w:r>
    </w:p>
    <w:p w14:paraId="6B83C7F2">
      <w:pPr>
        <w:spacing w:line="360" w:lineRule="auto"/>
        <w:rPr>
          <w:rFonts w:ascii="楷体" w:hAnsi="楷体" w:eastAsia="楷体" w:cs="楷体"/>
          <w:color w:val="auto"/>
          <w:sz w:val="24"/>
        </w:rPr>
      </w:pPr>
      <w:r>
        <w:rPr>
          <w:rFonts w:hint="eastAsia" w:ascii="楷体" w:hAnsi="楷体" w:eastAsia="楷体" w:cs="楷体"/>
          <w:color w:val="auto"/>
          <w:sz w:val="24"/>
        </w:rPr>
        <w:t>地      址：</w:t>
      </w:r>
    </w:p>
    <w:p w14:paraId="6B2AF5EE">
      <w:pPr>
        <w:spacing w:line="360" w:lineRule="auto"/>
        <w:ind w:firstLine="420"/>
        <w:rPr>
          <w:rFonts w:ascii="楷体" w:hAnsi="楷体" w:eastAsia="楷体" w:cs="楷体"/>
          <w:color w:val="auto"/>
          <w:sz w:val="24"/>
        </w:rPr>
      </w:pPr>
    </w:p>
    <w:p w14:paraId="19E73AF9">
      <w:pPr>
        <w:spacing w:line="360" w:lineRule="auto"/>
        <w:ind w:firstLine="420"/>
        <w:rPr>
          <w:rFonts w:ascii="楷体" w:hAnsi="楷体" w:eastAsia="楷体" w:cs="楷体"/>
          <w:color w:val="auto"/>
          <w:sz w:val="24"/>
        </w:rPr>
      </w:pPr>
      <w:r>
        <w:rPr>
          <w:rFonts w:hint="eastAsia" w:ascii="楷体" w:hAnsi="楷体" w:eastAsia="楷体" w:cs="楷体"/>
          <w:color w:val="auto"/>
          <w:sz w:val="24"/>
        </w:rPr>
        <w:t>甲乙双方经公开招标，就广东烟草梅州市有限公司平远分公司车辆维修定点服务项目（项目编号：DXZB-2025GPA0302）有关事宜，根据《中华人民共和国民法典》和相关法律法规的规定，甲乙双方本着诚实信用、平等互利的原则，经过平等友好协商，特订立本合同，双方自愿共同遵守。</w:t>
      </w:r>
    </w:p>
    <w:p w14:paraId="65D8F7DA">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服务期</w:t>
      </w:r>
    </w:p>
    <w:p w14:paraId="0F1614EF">
      <w:pPr>
        <w:spacing w:line="360" w:lineRule="auto"/>
        <w:ind w:firstLine="480" w:firstLineChars="200"/>
        <w:rPr>
          <w:rFonts w:ascii="楷体" w:hAnsi="楷体" w:eastAsia="楷体" w:cs="楷体"/>
          <w:b/>
          <w:color w:val="auto"/>
          <w:sz w:val="24"/>
        </w:rPr>
      </w:pPr>
      <w:r>
        <w:rPr>
          <w:rFonts w:hint="eastAsia" w:ascii="楷体" w:hAnsi="楷体" w:eastAsia="楷体" w:cs="楷体"/>
          <w:color w:val="auto"/>
          <w:sz w:val="24"/>
        </w:rPr>
        <w:t>2026年1月1日-2028年12月31日。</w:t>
      </w:r>
    </w:p>
    <w:p w14:paraId="79909703">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车辆维修内容</w:t>
      </w:r>
    </w:p>
    <w:p w14:paraId="2DDAF2C1">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1.车辆数量：共7辆。</w:t>
      </w:r>
    </w:p>
    <w:p w14:paraId="40A4884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2.车辆种类包括：（1）越野车；（2）商务车；（3）轿车。</w:t>
      </w:r>
    </w:p>
    <w:p w14:paraId="118D406F">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3.车辆品牌：上汽通用别克、上汽大众、广汽传祺等。</w:t>
      </w:r>
    </w:p>
    <w:p w14:paraId="2E00D117">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4.承修期内，甲方车辆数量和车型如有增减或调整，以甲方最新的书面通知为准，乙方不得据此拒绝维修。</w:t>
      </w:r>
    </w:p>
    <w:p w14:paraId="0AB6F202">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合作内容</w:t>
      </w:r>
    </w:p>
    <w:p w14:paraId="1639030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1、甲方确定乙方为</w:t>
      </w:r>
      <w:r>
        <w:rPr>
          <w:rFonts w:hint="eastAsia" w:ascii="楷体" w:hAnsi="楷体" w:eastAsia="楷体" w:cs="楷体"/>
          <w:color w:val="auto"/>
          <w:sz w:val="24"/>
          <w:lang w:eastAsia="zh-CN"/>
        </w:rPr>
        <w:t>合同</w:t>
      </w:r>
      <w:r>
        <w:rPr>
          <w:rFonts w:hint="eastAsia" w:ascii="楷体" w:hAnsi="楷体" w:eastAsia="楷体" w:cs="楷体"/>
          <w:color w:val="auto"/>
          <w:sz w:val="24"/>
        </w:rPr>
        <w:t>期内广东烟草梅州市有限公司平远县分公司车辆定点维修单位。乙方可以承接甲方机动车辆维修及保养业务。双方应共同遵守国家行业管理的相关法律、法规。</w:t>
      </w:r>
    </w:p>
    <w:p w14:paraId="12BFA89A">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在本合同有效期内，在甲方有具体车辆维修时，甲方在送修车辆时应明确具体维修项目；或由乙方对送修车辆进行诊断检验，确定需要维修的项目或需要更换的零配件，以书面形式向甲方做出详细报价[包括：零配件数量及单价、车辆维修保养所需工时（按各类保养类型工时的报价）]，经甲方确认后方可进行维修。在维修过程中出现超出送修范围或增减维修内容的，需甲方进行确认方可实施。</w:t>
      </w:r>
    </w:p>
    <w:p w14:paraId="37C4CB67">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3、在以下情况下，甲方可以与乙方以外的维修厂商合作，而不在乙方进行维保，不视为甲方违约：</w:t>
      </w:r>
    </w:p>
    <w:p w14:paraId="011DDE6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（1）乙方的报价明显高于市场价或甲方预算或甲方预期；</w:t>
      </w:r>
    </w:p>
    <w:p w14:paraId="046E2E46">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（2）乙方所提供的零配件、维保服务不能满足甲方要求或低于甲方预期；</w:t>
      </w:r>
    </w:p>
    <w:p w14:paraId="54DF37C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（3）甲方综合包括但不限于价格、零配件、服务、风险等在内的各种因素考虑，认为有必要向乙方以外的维修厂家采购；</w:t>
      </w:r>
    </w:p>
    <w:p w14:paraId="16DFA2F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（4）出现以上1-3中的一个或多个情况时，甲方可以选择要求或不要求乙方重新报价，如果甲方要求乙方重新报价，重新报价仍出现以上1-3中的一个或多个情况。</w:t>
      </w:r>
    </w:p>
    <w:p w14:paraId="6BF75A1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甲方向乙方以外的维修厂家采购，不需向乙方进行解释；如果甲方作出解释，甲方亦不受所作解释的约束。</w:t>
      </w:r>
    </w:p>
    <w:p w14:paraId="093568E2">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车辆维修服务、范围</w:t>
      </w:r>
    </w:p>
    <w:p w14:paraId="7B81AB7E">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1、机动车辆大、中、小修理维修以及日常维护保养；二十四小时车辆救援服务（包括全年节假日车辆救援服务）；代办车辆年审（费用双方协商）和其他有关的车辆维修服务项目；车辆清洗服务。</w:t>
      </w:r>
    </w:p>
    <w:p w14:paraId="73FACDA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日常保养内容：包含：检查机油、波箱油、尾牙油、液压油、轮胎气压、皮带、紧固螺丝等。</w:t>
      </w:r>
    </w:p>
    <w:p w14:paraId="291BE33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一级保养：包含：更换机油、机油滤清器，检查波箱油、尾牙油、液压油、轮胎气压、皮带、紧固螺丝，机头三清等。</w:t>
      </w:r>
    </w:p>
    <w:p w14:paraId="77C4C304">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二级保养：包含：更换机油、机油滤清器、空气滤清器，四轮刹车保养，全面检查油水、轮胎气压、皮带，机头三清，底盘各部件紧固等。</w:t>
      </w:r>
    </w:p>
    <w:p w14:paraId="5C3FE168">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保养周期：</w:t>
      </w:r>
    </w:p>
    <w:p w14:paraId="33FA1DC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日常保养：根据车辆使用情况由驾驶员自行确定，原则上一个月不超过1次。</w:t>
      </w:r>
    </w:p>
    <w:p w14:paraId="2153765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一级保养：行驶5000公里或6个月，以先到为准。</w:t>
      </w:r>
    </w:p>
    <w:p w14:paraId="4870536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二级保养：两次二级保养之间，间隔两次一级保养。</w:t>
      </w:r>
    </w:p>
    <w:p w14:paraId="5F22861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车辆清洗服务范围、标准及操作流程：车辆清洗实行包月服务，次数不限。</w:t>
      </w:r>
    </w:p>
    <w:p w14:paraId="2D27F2C2">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范围：车体外部（车顶、外后视镜、前后盖板、车身侧面、保险杠等）；内饰（仪表台面等）。</w:t>
      </w:r>
    </w:p>
    <w:p w14:paraId="3F06FD34">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标准：车体外部无污渍；挡风玻璃上无水渍；脚垫拍打无明显灰尘；外后视镜擦拭无尘；轮胎无明显泥渍。</w:t>
      </w:r>
    </w:p>
    <w:p w14:paraId="49404C3D">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操作流程：由甲方单位司机将车辆开至乙方服务点，由乙方提供洗车服务，服务完毕后甲方于结算单上签名确认。乙方保证在正常营业时间内为客户提供统一服务，不得以节假日为由，拒绝提供服务。</w:t>
      </w:r>
    </w:p>
    <w:p w14:paraId="43A8E620">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2、甲方送修车辆及时维修完毕交付甲方使用。如因更换零配件而延时的必须及时通知甲方并取得甲方同意。</w:t>
      </w:r>
    </w:p>
    <w:p w14:paraId="1243B2A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3、在修理过程中，若因维修须超出报修范围，或增加维修费用，需征得甲方同意后方可开工。如因更换零配件而延时的必须及时通知甲方并取得甲方同意。</w:t>
      </w:r>
    </w:p>
    <w:p w14:paraId="23828D62">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维修时间</w:t>
      </w:r>
    </w:p>
    <w:p w14:paraId="57E749C0">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乙方保证优先对甲方送修的车辆进行维修，在双方约定的时间内完成车辆的维修。</w:t>
      </w:r>
    </w:p>
    <w:p w14:paraId="03B9D84E">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维修费用</w:t>
      </w:r>
    </w:p>
    <w:p w14:paraId="37766245">
      <w:pPr>
        <w:spacing w:line="360" w:lineRule="auto"/>
        <w:ind w:firstLine="480" w:firstLineChars="200"/>
        <w:rPr>
          <w:rFonts w:ascii="楷体" w:hAnsi="楷体" w:eastAsia="楷体" w:cs="楷体"/>
          <w:color w:val="auto"/>
          <w:sz w:val="24"/>
          <w:shd w:val="clear" w:color="auto" w:fill="FFFF00"/>
        </w:rPr>
      </w:pPr>
      <w:r>
        <w:rPr>
          <w:rFonts w:hint="eastAsia" w:ascii="楷体" w:hAnsi="楷体" w:eastAsia="楷体" w:cs="楷体"/>
          <w:color w:val="auto"/>
          <w:sz w:val="24"/>
        </w:rPr>
        <w:t>乙方保证以优惠的价格提供维修服务。</w:t>
      </w:r>
    </w:p>
    <w:p w14:paraId="245EFD11">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维修费用包括：工时费、零配件费用。其中工时费用以及零配件费用均包含材料管理费、外加工费（如有）、发票税费及其他辅助材料（消耗料）费用等。除此之外，甲方不再支付其他费用。最终结算价=乙方中标单价×实际使用量。</w:t>
      </w:r>
    </w:p>
    <w:p w14:paraId="675F0B76">
      <w:pPr>
        <w:numPr>
          <w:ilvl w:val="1"/>
          <w:numId w:val="0"/>
        </w:num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车辆如出现需更换零配件时，乙方须向甲方提供需更换的零配件清单，所需零配件在清单中的，按照中标价格进行结算，不在清单中的，由乙方根据自身实际及市场价格报出优惠价格。优惠后的价格不得高于同期乙方的销售价格且不得高于市场平均价格。甲方可随时进行市场调查，如发现优惠后价格高于销售价格或市场平均价格的，甲方有权随时单方面解除合同而不承担任何责任。</w:t>
      </w:r>
    </w:p>
    <w:p w14:paraId="708B2762">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3、乙方材料进货原始单据或记录必须妥善保管，甲方要求查验的，乙方必须无条件向甲方提供。</w:t>
      </w:r>
    </w:p>
    <w:p w14:paraId="58D2D11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车辆维修完毕，甲方进行试车验收合格后，核对“结算单”上所有材料，工时明细，在准确无误情况下予以确认签字（由甲方指定人员签名）作为乙方的结算依据。乙方应严格执行“汽车维修工时和汽车维修零配件清单”约定，杜绝回扣现象，保护甲方利益。</w:t>
      </w:r>
    </w:p>
    <w:p w14:paraId="4B02B52B">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服务承诺及质量保证</w:t>
      </w:r>
    </w:p>
    <w:p w14:paraId="5EB5F08B">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须对甲方送修车辆实行竣工出厂质量保证期制度，质量保证期不得低于：汽车整车修理或总成修理质量保证期为车辆行驶20000公里或者100日；二级维护质量保证期为车辆行驶5000公里或者30日；一级维护、小修及专项修理质量保证期为车辆行驶2000公里或者10日。</w:t>
      </w:r>
    </w:p>
    <w:p w14:paraId="7D5F1D3C">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机动车维修质量保证期，从维修竣工出厂之日起计算，行驶里程数和时间以先到为准。</w:t>
      </w:r>
    </w:p>
    <w:p w14:paraId="250A5628">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乙方不得使用假冒伪劣配件。机动车维修配件实行追溯制度，机动车维修经营者应当记录配件采购、使用信息，查验产品合格证等相关证明，并按规定留存配件来源凭证。</w:t>
      </w:r>
    </w:p>
    <w:p w14:paraId="36817F39">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在维修过程中，确须使用同质配件的，必须经甲方同意后方可使用，且乙方必须在维修清单中注明。（同质产品是指：零配件产品质量等同或者高于装车零部件标准要求，且具有良好装车性能的配件。）</w:t>
      </w:r>
    </w:p>
    <w:p w14:paraId="5E14EEBA">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机动车维修竣工质量检验合格的，乙方应当向甲方提供《机动车维修竣工出厂合格证》，未提供机动车维修竣工出厂合格证的机动车，不得交付使用，甲方有权拒绝验收和支付费用。</w:t>
      </w:r>
    </w:p>
    <w:p w14:paraId="64931D84">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维修结束后，如果甲方发现维修结果不符合送修要求，或维修费用计算不合理，或发现使用不符合要求的维修材料，甲方有权拒绝验收和支付费用。</w:t>
      </w:r>
    </w:p>
    <w:p w14:paraId="3C6679BE">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在质量保证期内，因维修质量造成的机械事故和经济损失，由乙方全部负责。</w:t>
      </w:r>
    </w:p>
    <w:p w14:paraId="75A75E33">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未经甲方同意，乙方不得将甲方送修车辆交由其他维修厂维修，确需移交其他维修厂维修的，由乙方对维修质量和服务质量等承担一切责任。</w:t>
      </w:r>
    </w:p>
    <w:p w14:paraId="60612CFF">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如维修期间出现丢失或损坏（因不可抗力因素造成损失除外），乙方应负全部的赔偿责任。</w:t>
      </w:r>
    </w:p>
    <w:p w14:paraId="2E02BBFC">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维修期间未经甲方同意，乙方不得擅自将甲方车辆开出厂外。</w:t>
      </w:r>
    </w:p>
    <w:p w14:paraId="1EC9B33C">
      <w:pPr>
        <w:numPr>
          <w:ilvl w:val="1"/>
          <w:numId w:val="68"/>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乙方须提供全年免费电脑检测。</w:t>
      </w:r>
    </w:p>
    <w:p w14:paraId="212ED126">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其他要求</w:t>
      </w:r>
    </w:p>
    <w:p w14:paraId="18636804">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乙方必须按照国家、行业或者地方的维修标准规范和机动车生产企业公开的维修技术信息进行维修。尚无标准或规范的，应当参照机动车生产企业提供的维修手册、使用说明书和有关技术资料进行维修。</w:t>
      </w:r>
    </w:p>
    <w:p w14:paraId="44BE8BFE">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对送修车辆乙方应以修复为主，能不更换的零部件尽量不予更换，确实不能修复或修复不经济的零部件，在征得甲方同意的情况下，方可进行更换。</w:t>
      </w:r>
    </w:p>
    <w:p w14:paraId="304F398D">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乙方须在甲方送修后24小时内维修完毕并交付甲方使用。如因更换零配件或其他原因而延时的必须取得甲方同意方可延长时限。</w:t>
      </w:r>
    </w:p>
    <w:p w14:paraId="69848408">
      <w:pPr>
        <w:numPr>
          <w:ilvl w:val="1"/>
          <w:numId w:val="69"/>
        </w:numPr>
        <w:spacing w:line="360" w:lineRule="auto"/>
        <w:ind w:left="0" w:firstLine="480" w:firstLineChars="200"/>
        <w:rPr>
          <w:rFonts w:ascii="楷体" w:hAnsi="楷体" w:eastAsia="楷体" w:cs="楷体"/>
          <w:color w:val="auto"/>
          <w:sz w:val="24"/>
          <w:shd w:val="clear" w:color="auto" w:fill="FFFF66"/>
        </w:rPr>
      </w:pPr>
      <w:r>
        <w:rPr>
          <w:rFonts w:hint="eastAsia" w:ascii="楷体" w:hAnsi="楷体" w:eastAsia="楷体" w:cs="楷体"/>
          <w:color w:val="auto"/>
          <w:sz w:val="24"/>
        </w:rPr>
        <w:t>乙方应具备故障车辆在平远县内24小时救援服务，对甲方的车辆提供免费救援服务，并保证在接到拖车需求后2小时内到达平远县内范围内任何一个地点。如果在规定时间内未能到达指定地点，故障车辆被交警部门或其他单位拖走，所需费用由乙方承担。</w:t>
      </w:r>
    </w:p>
    <w:p w14:paraId="34C5EA7C">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乙方接报故障车辆要求救援后应积极、迅速地到达救援现场，进行妥善处理和维修。现场无法修复的，经与车主协商拖至定点维修厂检查维修。</w:t>
      </w:r>
    </w:p>
    <w:p w14:paraId="6589D38C">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在维修过程中，乙方不得私自增减或更换维修项目，确需超出报修范围进行维修或增加维修费用的，必须征得甲方同意后方可开工。</w:t>
      </w:r>
    </w:p>
    <w:p w14:paraId="445BB0B9">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乙方在更换零配件时，应当将旧件妥善保存，并将旧件在车辆维修完毕后一同归还甲方。</w:t>
      </w:r>
    </w:p>
    <w:p w14:paraId="54E744DE">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乙方应设有24小时服务电话，在接到甲方报修电话后1小时内予以响应，并承诺提供上门维保服务。</w:t>
      </w:r>
    </w:p>
    <w:p w14:paraId="3EFB221D">
      <w:pPr>
        <w:numPr>
          <w:ilvl w:val="1"/>
          <w:numId w:val="69"/>
        </w:numPr>
        <w:spacing w:line="360" w:lineRule="auto"/>
        <w:ind w:left="0" w:firstLine="480" w:firstLineChars="200"/>
        <w:rPr>
          <w:rFonts w:ascii="楷体" w:hAnsi="楷体" w:eastAsia="楷体" w:cs="楷体"/>
          <w:color w:val="auto"/>
          <w:sz w:val="24"/>
        </w:rPr>
      </w:pPr>
      <w:r>
        <w:rPr>
          <w:rFonts w:hint="eastAsia" w:ascii="楷体" w:hAnsi="楷体" w:eastAsia="楷体" w:cs="楷体"/>
          <w:color w:val="auto"/>
          <w:sz w:val="24"/>
        </w:rPr>
        <w:t>乙方应经双方协商，在允许、合理的范围内提供各类特色服务，如外出救援能力、代办年审（费用双方协商）、提供月度结算、上门接车、上门送车、设置专线服务电话等。并详细列出具体的实施计划。</w:t>
      </w:r>
    </w:p>
    <w:p w14:paraId="52C32A8E">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付款方式</w:t>
      </w:r>
    </w:p>
    <w:p w14:paraId="7A2126A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维修费用按月结算，以每月的实际维修费用统计。甲方在每月25日前支付上个月的维修费用。由乙方向甲方提供合法合规的等额增值税专用发票和维修清单后，甲方按每月的实际产生的维修费用进行结算。</w:t>
      </w:r>
    </w:p>
    <w:p w14:paraId="760AFB0B">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履约保证金</w:t>
      </w:r>
    </w:p>
    <w:p w14:paraId="5D116330">
      <w:pPr>
        <w:pStyle w:val="114"/>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双方签订合同后十个工作日内，乙方须支付给甲方人民币叁仟元整（小写：¥3000.00元）作为合同履约保证金或以银行保函的形式提供担保，如合同期内乙方没有违反合同约定的，项目合同期满后凭乙方申请，甲方在25个工作日内退回合同履约保证金或银行保函（本项目履约保证金不计息，履约保证金必须用乙方名称的账号以银行转账或银行保函方式提交）。</w:t>
      </w:r>
    </w:p>
    <w:p w14:paraId="1B87CF24">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甲方的权利</w:t>
      </w:r>
    </w:p>
    <w:p w14:paraId="6D5ED87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1、对乙方履行车辆维修</w:t>
      </w:r>
      <w:r>
        <w:rPr>
          <w:rFonts w:hint="eastAsia" w:ascii="楷体" w:hAnsi="楷体" w:eastAsia="楷体" w:cs="楷体"/>
          <w:color w:val="auto"/>
          <w:sz w:val="24"/>
          <w:lang w:val="en-US" w:eastAsia="zh-CN"/>
        </w:rPr>
        <w:t>合同</w:t>
      </w:r>
      <w:r>
        <w:rPr>
          <w:rFonts w:hint="eastAsia" w:ascii="楷体" w:hAnsi="楷体" w:eastAsia="楷体" w:cs="楷体"/>
          <w:color w:val="auto"/>
          <w:sz w:val="24"/>
        </w:rPr>
        <w:t>情况进行日常的监督管理；</w:t>
      </w:r>
    </w:p>
    <w:p w14:paraId="29AC220E">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2、有权要求乙方给予车辆维修优先服务；</w:t>
      </w:r>
    </w:p>
    <w:p w14:paraId="0597082A">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3、对完工车辆，如有投诉维修质量问题，经查核实，有权要求乙方无偿返工，直至符合质量要求为止；</w:t>
      </w:r>
    </w:p>
    <w:p w14:paraId="54128C77">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4、有权处理乙方的违约行为；</w:t>
      </w:r>
    </w:p>
    <w:p w14:paraId="141B1DB8">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5、有权要求乙方对所保养的车辆建立《技术档案》，并义务提示甲方做好日常保养。</w:t>
      </w:r>
    </w:p>
    <w:p w14:paraId="089CE02E">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甲方的义务</w:t>
      </w:r>
    </w:p>
    <w:p w14:paraId="1B9C3293">
      <w:pPr>
        <w:spacing w:line="360" w:lineRule="auto"/>
        <w:ind w:firstLine="480" w:firstLineChars="200"/>
        <w:rPr>
          <w:rFonts w:ascii="楷体" w:hAnsi="楷体" w:eastAsia="楷体" w:cs="楷体"/>
          <w:color w:val="auto"/>
          <w:sz w:val="24"/>
          <w:shd w:val="clear" w:color="auto" w:fill="FFFF00"/>
        </w:rPr>
      </w:pPr>
      <w:r>
        <w:rPr>
          <w:rFonts w:hint="eastAsia" w:ascii="楷体" w:hAnsi="楷体" w:eastAsia="楷体" w:cs="楷体"/>
          <w:color w:val="auto"/>
          <w:sz w:val="24"/>
        </w:rPr>
        <w:t>1、除合同约定其他情况，要求车辆的维护、修理到定点厂进行；</w:t>
      </w:r>
    </w:p>
    <w:p w14:paraId="3325A872">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2、按时与乙方结算车辆维修费用。</w:t>
      </w:r>
    </w:p>
    <w:p w14:paraId="01AFD261">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乙方的权利</w:t>
      </w:r>
    </w:p>
    <w:p w14:paraId="3BD4085E">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1、取得广东烟草梅州市有限公司平远县分公司车辆维修服务的资格，三年内有资格承担甲方车辆维修业务。</w:t>
      </w:r>
    </w:p>
    <w:p w14:paraId="35B74E4F">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2、有权要求甲方按时结算车辆维修费。</w:t>
      </w:r>
    </w:p>
    <w:p w14:paraId="0EF27BB3">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3、有权拒绝甲方或司机提出的除车辆维修服务发生的费用以外的要求。</w:t>
      </w:r>
    </w:p>
    <w:p w14:paraId="313467A6">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乙方的义务</w:t>
      </w:r>
    </w:p>
    <w:p w14:paraId="14ADBA72">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1、应优先安排甲方送修的车辆进行维修。</w:t>
      </w:r>
    </w:p>
    <w:p w14:paraId="2DCBB40A">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2、应在厂房显著位置悬挂或张贴服务承诺书、廉洁承诺书、项目工时费报价表及常用配件报价表、工作流程、工作指南、安全生产制度、投诉电话等。</w:t>
      </w:r>
    </w:p>
    <w:p w14:paraId="30FCA7A6">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3、不得将送修车辆转厂维修，不得分包、转包。</w:t>
      </w:r>
    </w:p>
    <w:p w14:paraId="04D54189">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4、未经甲方同意不得随意增减维修项目。</w:t>
      </w:r>
    </w:p>
    <w:p w14:paraId="6BCE6E86">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5、不得与甲方或司机串通提高维修价格，损害国家集体利益。</w:t>
      </w:r>
    </w:p>
    <w:p w14:paraId="66C6F5EE">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6、必须按标准和要求按时完成维修工作，保证维修质量。</w:t>
      </w:r>
    </w:p>
    <w:p w14:paraId="747E8AC1">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7、必须确保送修车辆的安全。</w:t>
      </w:r>
    </w:p>
    <w:p w14:paraId="7B61ECF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8、保证更换配件是符合国家质量标准的全新原厂配件。</w:t>
      </w:r>
    </w:p>
    <w:p w14:paraId="54F6FFB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9、遵守职业道德，不得采取送礼、给回扣、虚开发票、给客户报销费用等方式，影响公平竞争。</w:t>
      </w:r>
    </w:p>
    <w:p w14:paraId="37CA2163">
      <w:pPr>
        <w:spacing w:line="360" w:lineRule="auto"/>
        <w:ind w:firstLine="480" w:firstLineChars="200"/>
        <w:rPr>
          <w:rFonts w:ascii="楷体" w:hAnsi="楷体" w:eastAsia="楷体" w:cs="楷体"/>
          <w:b/>
          <w:color w:val="auto"/>
          <w:sz w:val="24"/>
        </w:rPr>
      </w:pPr>
      <w:r>
        <w:rPr>
          <w:rFonts w:hint="eastAsia" w:ascii="楷体" w:hAnsi="楷体" w:eastAsia="楷体" w:cs="楷体"/>
          <w:color w:val="auto"/>
          <w:sz w:val="24"/>
        </w:rPr>
        <w:t>10、自觉接受甲方的检查、监督和管理。</w:t>
      </w:r>
    </w:p>
    <w:p w14:paraId="0584B7B0">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供应商不良行为管理</w:t>
      </w:r>
    </w:p>
    <w:p w14:paraId="0AD7F93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(一)供应商不良行为认定情形及处理</w:t>
      </w:r>
    </w:p>
    <w:p w14:paraId="54D5393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在采购实施、合同履约和考核评价等过程中，甲方发现乙方存在以下情形之一的，乙方将被认定为供应商不良行为，且甲方将按照有关法律、法规、规章和国务院及行业主管部门文件、地方行政部门、烟草企业的有关规定，禁止或限制其参与烟草行业采购活动：</w:t>
      </w:r>
    </w:p>
    <w:p w14:paraId="5E74A3D0">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1.司法机关发布的刑事判决书、裁定书和党政机关作出的党政纪处分决定记录的供应商行贿事实，包括乙方向甲方、招标代理机构、采购项目评审人员行贿或提供其他不正当利益。</w:t>
      </w:r>
    </w:p>
    <w:p w14:paraId="7BD14F3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各级人民政府及行业主管部门公告的供应商不良行为，包括：违反国家、省、市、县（区）有关工程建设和服务、合同管理、劳动用工、环境保护等相关法律、法规、规章、规范性文件，经各级工商、发改、住建、工信、财政等行政主管部门认定的不良行为。</w:t>
      </w:r>
    </w:p>
    <w:p w14:paraId="25B6CB7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3.严重违反招标投标有关规定和烟草企业供应商管理规定。</w:t>
      </w:r>
    </w:p>
    <w:p w14:paraId="6ECE1469">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3.1中选或者成交后无正当理由拒不与甲方签订采购合同，或未按照招标文件确定的主要条款签订采购合同；</w:t>
      </w:r>
    </w:p>
    <w:p w14:paraId="754812F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3.2乙方将采购项目违反合同约定进行转包、分包；</w:t>
      </w:r>
    </w:p>
    <w:p w14:paraId="74F402E9">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3.3乙方擅自变更、中止或终止采购合同；</w:t>
      </w:r>
    </w:p>
    <w:p w14:paraId="5C8927BE">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3.4乙方履约过程中，提供假冒伪劣产品或弄虚作假、偷工减料，或产品和服务质量严重偏离合同约定，验收或考核评价不合格；</w:t>
      </w:r>
    </w:p>
    <w:p w14:paraId="724D91FD">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3.5与甲方、其他供应商或采购代理机构恶意串通；</w:t>
      </w:r>
    </w:p>
    <w:p w14:paraId="1A6070E4">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3.6提供虚假材料谋取中选、成交；</w:t>
      </w:r>
    </w:p>
    <w:p w14:paraId="448831A2">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3.7乙方捏造事实、提供虚假材料或以非法手段取得证明材料进行投诉的；</w:t>
      </w:r>
    </w:p>
    <w:p w14:paraId="2130E5A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3.8乙方直接或间接从甲方或招标代理机构处获得其他供应商的相关情况，并修改其投标文件或响应文件；</w:t>
      </w:r>
    </w:p>
    <w:p w14:paraId="72C8E75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3.9供应商之间事先约定由某一特定供应商中选、成交，或商定部分供应商放弃参加采购活动或放弃中选、成交；</w:t>
      </w:r>
    </w:p>
    <w:p w14:paraId="04E16471">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3.10供应商之间协商报价、技术方案等投标文件或响应文件的实质性内容；</w:t>
      </w:r>
    </w:p>
    <w:p w14:paraId="5E6568B0">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3.11属于同一集团、协会、商会等组织成员的供应商按照该组织要求协同参加采购活动；</w:t>
      </w:r>
    </w:p>
    <w:p w14:paraId="52164CA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3.12乙方与甲方或招标代理机构之间、供应商相互之间，为谋求特定供应商中选、成交或排斥其他供应商等串通行为；</w:t>
      </w:r>
    </w:p>
    <w:p w14:paraId="57FA864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3.13拒绝有关部门监督检查或过程中提供虚假信息；</w:t>
      </w:r>
    </w:p>
    <w:p w14:paraId="6A28893B">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3.14法律法规和制度规定的其他采购严重违法失信行为。</w:t>
      </w:r>
    </w:p>
    <w:p w14:paraId="0941748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3.15其他违法犯罪行为。</w:t>
      </w:r>
    </w:p>
    <w:p w14:paraId="41F4876F">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（二）列入烟草行业行贿行为供应商名单情形</w:t>
      </w:r>
    </w:p>
    <w:p w14:paraId="3EBE35B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在参加烟草行业采购活动中，甲方发现乙方向烟草行业干部职工行贿的，将其列入存在行贿行为供应商名单，实施严格禁入措施，禁止参加新采购项目，根据生效的刑事判决书、刑事裁定书、党政纪处分决定书认定的数额：</w:t>
      </w:r>
    </w:p>
    <w:p w14:paraId="405B5ECC">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1.行贿数额不满100万元的，禁入期限1年；</w:t>
      </w:r>
    </w:p>
    <w:p w14:paraId="036B851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2.行贿数额在100万元以上不满500万元的，禁入期限2年；</w:t>
      </w:r>
    </w:p>
    <w:p w14:paraId="6FAB3CC3">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3.行贿数额在500万元以上的，禁入期限3年；</w:t>
      </w:r>
    </w:p>
    <w:p w14:paraId="547A4EF6">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4.行贿行为情节特别严重的，永久禁入。</w:t>
      </w:r>
    </w:p>
    <w:p w14:paraId="0ABF564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对乙方被列入行贿行为供应商名单的禁入措施，适用于其法定代表人、主要负责人和行贿人。在列入行贿行为供应商名单期限内，上述人员担任法定代表人、主要负责人或实际控制人的其他企业，均不得参加行业新采购项目。</w:t>
      </w:r>
    </w:p>
    <w:p w14:paraId="2F39057A">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6.对被列入烟草行业行贿行为供应商名单的在供供应商，甲方有权单方面采取降低服务期间考核评价分数、降低供货份额、缩短服务期限、终止或解除合同等处理措施。</w:t>
      </w:r>
    </w:p>
    <w:p w14:paraId="651FF0E5">
      <w:pPr>
        <w:autoSpaceDE w:val="0"/>
        <w:autoSpaceDN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7.对于乙方在行业外发生行贿行为的，参照对“列入烟草行业行贿行为供应商名单”情形进行处理。</w:t>
      </w:r>
    </w:p>
    <w:p w14:paraId="473D91B1">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违约责任</w:t>
      </w:r>
    </w:p>
    <w:p w14:paraId="1B9BB266">
      <w:pPr>
        <w:spacing w:line="360" w:lineRule="auto"/>
        <w:ind w:firstLine="480" w:firstLineChars="200"/>
        <w:rPr>
          <w:rFonts w:hint="default" w:ascii="楷体" w:hAnsi="楷体" w:eastAsia="楷体" w:cs="楷体"/>
          <w:color w:val="auto"/>
          <w:sz w:val="24"/>
          <w:lang w:val="en-US" w:eastAsia="zh-CN"/>
        </w:rPr>
      </w:pPr>
      <w:r>
        <w:rPr>
          <w:rFonts w:hint="eastAsia" w:ascii="楷体" w:hAnsi="楷体" w:eastAsia="楷体" w:cs="楷体"/>
          <w:color w:val="auto"/>
          <w:sz w:val="24"/>
        </w:rPr>
        <w:t>1、</w:t>
      </w:r>
      <w:r>
        <w:rPr>
          <w:rFonts w:hint="eastAsia" w:ascii="楷体" w:hAnsi="楷体" w:eastAsia="楷体" w:cs="楷体"/>
          <w:color w:val="auto"/>
          <w:sz w:val="24"/>
          <w:lang w:eastAsia="zh-CN"/>
        </w:rPr>
        <w:t>甲方应按照合同要求及时结算车辆维修费用，若甲方逾期支付车辆维修费用的，则每逾期一日应向乙方支付逾期部分对应费用金额的</w:t>
      </w:r>
      <w:r>
        <w:rPr>
          <w:rFonts w:hint="eastAsia" w:ascii="楷体" w:hAnsi="楷体" w:eastAsia="楷体" w:cs="楷体"/>
          <w:color w:val="auto"/>
          <w:sz w:val="24"/>
          <w:lang w:val="en-US" w:eastAsia="zh-CN"/>
        </w:rPr>
        <w:t>0.5%支付违约金，最高不超过</w:t>
      </w:r>
      <w:r>
        <w:rPr>
          <w:rFonts w:hint="eastAsia" w:ascii="楷体" w:hAnsi="楷体" w:eastAsia="楷体" w:cs="楷体"/>
          <w:color w:val="auto"/>
          <w:sz w:val="24"/>
          <w:lang w:eastAsia="zh-CN"/>
        </w:rPr>
        <w:t>逾期部分对应费用金额的</w:t>
      </w:r>
      <w:r>
        <w:rPr>
          <w:rFonts w:hint="eastAsia" w:ascii="楷体" w:hAnsi="楷体" w:eastAsia="楷体" w:cs="楷体"/>
          <w:color w:val="auto"/>
          <w:sz w:val="24"/>
          <w:lang w:val="en-US" w:eastAsia="zh-CN"/>
        </w:rPr>
        <w:t>10%。</w:t>
      </w:r>
    </w:p>
    <w:p w14:paraId="4FC4A848">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如送修的车辆在乙方维修期间出现丢失或损毁，乙方应承担等价赔偿责任；</w:t>
      </w:r>
    </w:p>
    <w:p w14:paraId="5354143D">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2、如因乙方维修质量问题造成机械事故和直接经济损失，乙方应承担等价赔偿责任；</w:t>
      </w:r>
    </w:p>
    <w:p w14:paraId="1F89D71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3、乙方无正当理由拒修车辆</w:t>
      </w:r>
      <w:r>
        <w:rPr>
          <w:rStyle w:val="51"/>
          <w:rFonts w:hint="eastAsia"/>
          <w:color w:val="auto"/>
          <w:lang w:eastAsia="zh-CN"/>
        </w:rPr>
        <w:t>的</w:t>
      </w:r>
      <w:r>
        <w:rPr>
          <w:rFonts w:hint="eastAsia" w:ascii="楷体" w:hAnsi="楷体" w:eastAsia="楷体" w:cs="楷体"/>
          <w:color w:val="auto"/>
          <w:sz w:val="24"/>
          <w:lang w:eastAsia="zh-CN"/>
        </w:rPr>
        <w:t>，经甲方催告后仍拒修的，甲方有权选择终止、单方解除合同，并要求乙方按照合同金额的</w:t>
      </w:r>
      <w:r>
        <w:rPr>
          <w:rFonts w:hint="eastAsia" w:ascii="楷体" w:hAnsi="楷体" w:eastAsia="楷体" w:cs="楷体"/>
          <w:color w:val="auto"/>
          <w:sz w:val="24"/>
          <w:lang w:val="en-US" w:eastAsia="zh-CN"/>
        </w:rPr>
        <w:t>10%</w:t>
      </w:r>
      <w:r>
        <w:rPr>
          <w:rFonts w:hint="eastAsia" w:ascii="楷体" w:hAnsi="楷体" w:eastAsia="楷体" w:cs="楷体"/>
          <w:color w:val="auto"/>
          <w:sz w:val="24"/>
          <w:lang w:eastAsia="zh-CN"/>
        </w:rPr>
        <w:t>赔偿损失</w:t>
      </w:r>
      <w:r>
        <w:rPr>
          <w:rFonts w:hint="eastAsia" w:ascii="楷体" w:hAnsi="楷体" w:eastAsia="楷体" w:cs="楷体"/>
          <w:color w:val="auto"/>
          <w:sz w:val="24"/>
        </w:rPr>
        <w:t>；</w:t>
      </w:r>
    </w:p>
    <w:p w14:paraId="367F7D82">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4、乙方所修好的车辆质量不符合规定标准的，甲方有权拒绝验收。</w:t>
      </w:r>
    </w:p>
    <w:p w14:paraId="3FA58412">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投诉</w:t>
      </w:r>
    </w:p>
    <w:p w14:paraId="7F7A58D3">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为保障双方的权益，本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建立投诉监管制度。其具体方式为：</w:t>
      </w:r>
    </w:p>
    <w:p w14:paraId="2EF15A0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1、甲方可就乙方的维修质量或服务问题向甲方或市汽车摩托车维修行业管理处投诉；</w:t>
      </w:r>
    </w:p>
    <w:p w14:paraId="19990887">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2、经核查如情况属实则该投诉有效，将记录在案；</w:t>
      </w:r>
    </w:p>
    <w:p w14:paraId="2B286403">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3、乙方可就甲方所提出的除维修或服务以外的要求向甲方投诉；</w:t>
      </w:r>
    </w:p>
    <w:p w14:paraId="610AAE2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4、甲方将定期检查本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的履行情况。</w:t>
      </w:r>
    </w:p>
    <w:p w14:paraId="493A3F37">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lang w:val="en-US" w:eastAsia="zh-CN"/>
        </w:rPr>
        <w:t>合同</w:t>
      </w:r>
      <w:r>
        <w:rPr>
          <w:rFonts w:hint="eastAsia" w:ascii="楷体" w:hAnsi="楷体" w:eastAsia="楷体" w:cs="楷体"/>
          <w:b/>
          <w:color w:val="auto"/>
          <w:sz w:val="24"/>
        </w:rPr>
        <w:t>的修改与终止</w:t>
      </w:r>
    </w:p>
    <w:p w14:paraId="08773D60">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1、甲、乙双方意见统一，可更改本合同；</w:t>
      </w:r>
    </w:p>
    <w:p w14:paraId="52CAFA68">
      <w:pPr>
        <w:spacing w:line="360" w:lineRule="auto"/>
        <w:ind w:firstLine="480" w:firstLineChars="200"/>
        <w:rPr>
          <w:rFonts w:ascii="楷体" w:hAnsi="楷体" w:eastAsia="楷体" w:cs="楷体"/>
          <w:b/>
          <w:bCs/>
          <w:color w:val="auto"/>
          <w:sz w:val="24"/>
        </w:rPr>
      </w:pPr>
      <w:r>
        <w:rPr>
          <w:rFonts w:hint="eastAsia" w:ascii="楷体" w:hAnsi="楷体" w:eastAsia="楷体" w:cs="楷体"/>
          <w:color w:val="auto"/>
          <w:sz w:val="24"/>
        </w:rPr>
        <w:t>2、乙方如因发生不可抗力事件而丧失履行合同能力，经甲方同意，本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可自行终止；</w:t>
      </w:r>
    </w:p>
    <w:p w14:paraId="76A97AFB">
      <w:pPr>
        <w:spacing w:line="360" w:lineRule="auto"/>
        <w:ind w:firstLine="482" w:firstLineChars="200"/>
        <w:rPr>
          <w:rFonts w:ascii="楷体" w:hAnsi="楷体" w:eastAsia="楷体" w:cs="楷体"/>
          <w:b/>
          <w:bCs/>
          <w:color w:val="auto"/>
          <w:sz w:val="24"/>
        </w:rPr>
      </w:pPr>
      <w:r>
        <w:rPr>
          <w:rFonts w:hint="eastAsia" w:ascii="楷体" w:hAnsi="楷体" w:eastAsia="楷体" w:cs="楷体"/>
          <w:b/>
          <w:bCs/>
          <w:color w:val="auto"/>
          <w:sz w:val="24"/>
        </w:rPr>
        <w:t>3、有下列情形之一的，甲方随时取消乙方定点维修资格，定点维修供应商资格由有资格的投标人替补，按得分顺序由排在后面的投标人递补，以此类推。</w:t>
      </w:r>
    </w:p>
    <w:p w14:paraId="03619076">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（1）甲方就实际维修车辆情况向乙方询价时，累计达到三次不按时向甲方报价的；</w:t>
      </w:r>
    </w:p>
    <w:p w14:paraId="259DE671">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（2）本合同履行期间对乙方的有效投诉记录累积达3次及以上；</w:t>
      </w:r>
    </w:p>
    <w:p w14:paraId="269FC9E7">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（3）未经甲方同意，乙方擅自使用非原厂配件或旧件更换送修车辆零件；或擅自转厂（非定点厂）、分包或转包维修；</w:t>
      </w:r>
    </w:p>
    <w:p w14:paraId="52638144">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（4）因乙方责任导致维修质量问题，造成重大损失的；</w:t>
      </w:r>
    </w:p>
    <w:p w14:paraId="6D202656">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（5）以欺骗、贿赂等不正当手段取得定点维修资格的；</w:t>
      </w:r>
    </w:p>
    <w:p w14:paraId="2ED1CB77">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（6）不正确履行义务，被质疑投诉，经查实，情况属实的；</w:t>
      </w:r>
    </w:p>
    <w:p w14:paraId="57AE5C4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（7）拒绝接受监督管理部门考核监督检查管理的；</w:t>
      </w:r>
    </w:p>
    <w:p w14:paraId="3816B27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（8）违反国家有关法律、法规和规章制度，受到处罚处理被列入黑名单的；</w:t>
      </w:r>
    </w:p>
    <w:p w14:paraId="11812FE2">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（9）行业维修服务资格失效的。</w:t>
      </w:r>
    </w:p>
    <w:p w14:paraId="6C7B35CF">
      <w:pPr>
        <w:spacing w:line="360" w:lineRule="auto"/>
        <w:ind w:firstLine="480" w:firstLineChars="200"/>
        <w:rPr>
          <w:rFonts w:ascii="楷体" w:hAnsi="楷体" w:eastAsia="楷体" w:cs="楷体"/>
          <w:b/>
          <w:bCs/>
          <w:color w:val="auto"/>
          <w:sz w:val="24"/>
        </w:rPr>
      </w:pPr>
      <w:r>
        <w:rPr>
          <w:rFonts w:hint="eastAsia" w:ascii="楷体" w:hAnsi="楷体" w:eastAsia="楷体" w:cs="楷体"/>
          <w:color w:val="auto"/>
          <w:sz w:val="24"/>
        </w:rPr>
        <w:t>（10）凡是被取消定点维修资格的企业将进行网上公告，即时终止其定点维修资格，并不得参加下一次甲方车辆维修服务资格投标活动。</w:t>
      </w:r>
    </w:p>
    <w:p w14:paraId="113EF007">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合同期限</w:t>
      </w:r>
    </w:p>
    <w:p w14:paraId="549B891C">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经甲、乙双方签字、盖章后生效。</w:t>
      </w:r>
    </w:p>
    <w:p w14:paraId="7E4E91E7">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争议及解决</w:t>
      </w:r>
    </w:p>
    <w:p w14:paraId="5AF50A0D">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如双方在履行合同时发生纠纷，应尽量协商解决；协商不成，双方应到广东省</w:t>
      </w:r>
      <w:r>
        <w:rPr>
          <w:rFonts w:hint="eastAsia" w:ascii="楷体" w:hAnsi="楷体" w:eastAsia="楷体" w:cs="楷体"/>
          <w:color w:val="auto"/>
          <w:sz w:val="24"/>
          <w:u w:val="single"/>
        </w:rPr>
        <w:t>平远县人民法院</w:t>
      </w:r>
      <w:r>
        <w:rPr>
          <w:rFonts w:hint="eastAsia" w:ascii="楷体" w:hAnsi="楷体" w:eastAsia="楷体" w:cs="楷体"/>
          <w:color w:val="auto"/>
          <w:sz w:val="24"/>
        </w:rPr>
        <w:t>申请诉讼。</w:t>
      </w:r>
    </w:p>
    <w:p w14:paraId="0DC7F628">
      <w:pPr>
        <w:numPr>
          <w:ilvl w:val="0"/>
          <w:numId w:val="67"/>
        </w:numPr>
        <w:spacing w:line="360" w:lineRule="auto"/>
        <w:ind w:firstLine="482" w:firstLineChars="200"/>
        <w:rPr>
          <w:rFonts w:ascii="楷体" w:hAnsi="楷体" w:eastAsia="楷体" w:cs="楷体"/>
          <w:b/>
          <w:color w:val="auto"/>
          <w:sz w:val="24"/>
        </w:rPr>
      </w:pPr>
      <w:r>
        <w:rPr>
          <w:rFonts w:hint="eastAsia" w:ascii="楷体" w:hAnsi="楷体" w:eastAsia="楷体" w:cs="楷体"/>
          <w:b/>
          <w:color w:val="auto"/>
          <w:sz w:val="24"/>
        </w:rPr>
        <w:t>其他</w:t>
      </w:r>
    </w:p>
    <w:p w14:paraId="6AA00755">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一式伍份，甲方</w:t>
      </w:r>
      <w:r>
        <w:rPr>
          <w:rFonts w:hint="eastAsia" w:ascii="楷体" w:hAnsi="楷体" w:eastAsia="楷体" w:cs="楷体"/>
          <w:color w:val="auto"/>
          <w:sz w:val="24"/>
          <w:u w:val="single"/>
        </w:rPr>
        <w:t>叁</w:t>
      </w:r>
      <w:r>
        <w:rPr>
          <w:rFonts w:hint="eastAsia" w:ascii="楷体" w:hAnsi="楷体" w:eastAsia="楷体" w:cs="楷体"/>
          <w:color w:val="auto"/>
          <w:sz w:val="24"/>
        </w:rPr>
        <w:t>份，乙方</w:t>
      </w:r>
      <w:r>
        <w:rPr>
          <w:rFonts w:hint="eastAsia" w:ascii="楷体" w:hAnsi="楷体" w:eastAsia="楷体" w:cs="楷体"/>
          <w:color w:val="auto"/>
          <w:sz w:val="24"/>
          <w:u w:val="single"/>
        </w:rPr>
        <w:t>贰</w:t>
      </w:r>
      <w:r>
        <w:rPr>
          <w:rFonts w:hint="eastAsia" w:ascii="楷体" w:hAnsi="楷体" w:eastAsia="楷体" w:cs="楷体"/>
          <w:color w:val="auto"/>
          <w:sz w:val="24"/>
        </w:rPr>
        <w:t>份，具有同等效力。</w:t>
      </w:r>
      <w:r>
        <w:rPr>
          <w:rFonts w:hint="eastAsia" w:ascii="楷体" w:hAnsi="楷体" w:eastAsia="楷体" w:cs="楷体"/>
          <w:color w:val="auto"/>
          <w:sz w:val="24"/>
          <w:lang w:val="en-US" w:eastAsia="zh-CN"/>
        </w:rPr>
        <w:t>合同</w:t>
      </w:r>
      <w:r>
        <w:rPr>
          <w:rFonts w:hint="eastAsia" w:ascii="楷体" w:hAnsi="楷体" w:eastAsia="楷体" w:cs="楷体"/>
          <w:color w:val="auto"/>
          <w:sz w:val="24"/>
        </w:rPr>
        <w:t>未尽事宜，可用补充协议的形式加以补充。补充协议与本</w:t>
      </w:r>
      <w:r>
        <w:rPr>
          <w:rFonts w:hint="eastAsia" w:ascii="楷体" w:hAnsi="楷体" w:eastAsia="楷体" w:cs="楷体"/>
          <w:color w:val="auto"/>
          <w:sz w:val="24"/>
          <w:lang w:val="en-US" w:eastAsia="zh-CN"/>
        </w:rPr>
        <w:t>合同</w:t>
      </w:r>
      <w:r>
        <w:rPr>
          <w:rFonts w:hint="eastAsia" w:ascii="楷体" w:hAnsi="楷体" w:eastAsia="楷体" w:cs="楷体"/>
          <w:color w:val="auto"/>
          <w:sz w:val="24"/>
        </w:rPr>
        <w:t>具有同样的法律效力。</w:t>
      </w:r>
    </w:p>
    <w:p w14:paraId="3FDD74B0">
      <w:pPr>
        <w:spacing w:line="360" w:lineRule="auto"/>
        <w:rPr>
          <w:rFonts w:ascii="楷体" w:hAnsi="楷体" w:eastAsia="楷体" w:cs="楷体"/>
          <w:color w:val="auto"/>
          <w:sz w:val="24"/>
        </w:rPr>
      </w:pPr>
    </w:p>
    <w:p w14:paraId="5B0E5EF4">
      <w:pPr>
        <w:spacing w:line="360" w:lineRule="auto"/>
        <w:rPr>
          <w:rFonts w:ascii="楷体" w:hAnsi="楷体" w:eastAsia="楷体" w:cs="楷体"/>
          <w:color w:val="auto"/>
          <w:sz w:val="24"/>
        </w:rPr>
      </w:pPr>
    </w:p>
    <w:p w14:paraId="2F123656">
      <w:pPr>
        <w:pStyle w:val="37"/>
        <w:rPr>
          <w:color w:val="auto"/>
        </w:rPr>
      </w:pPr>
    </w:p>
    <w:p w14:paraId="5360905C">
      <w:pPr>
        <w:spacing w:line="360" w:lineRule="auto"/>
        <w:rPr>
          <w:rFonts w:ascii="楷体" w:hAnsi="楷体" w:eastAsia="楷体" w:cs="楷体"/>
          <w:color w:val="auto"/>
          <w:sz w:val="24"/>
        </w:rPr>
      </w:pPr>
      <w:r>
        <w:rPr>
          <w:rFonts w:hint="eastAsia" w:ascii="楷体" w:hAnsi="楷体" w:eastAsia="楷体" w:cs="楷体"/>
          <w:color w:val="auto"/>
          <w:sz w:val="24"/>
        </w:rPr>
        <w:t>甲方（盖章）：                          乙方（盖章）：</w:t>
      </w:r>
    </w:p>
    <w:p w14:paraId="603A1072">
      <w:pPr>
        <w:spacing w:line="360" w:lineRule="auto"/>
        <w:rPr>
          <w:rFonts w:ascii="楷体" w:hAnsi="楷体" w:eastAsia="楷体" w:cs="楷体"/>
          <w:color w:val="auto"/>
          <w:sz w:val="24"/>
        </w:rPr>
      </w:pPr>
      <w:r>
        <w:rPr>
          <w:rFonts w:hint="eastAsia" w:ascii="楷体" w:hAnsi="楷体" w:eastAsia="楷体" w:cs="楷体"/>
          <w:color w:val="auto"/>
          <w:sz w:val="24"/>
        </w:rPr>
        <w:t xml:space="preserve">法定代表人 </w:t>
      </w:r>
      <w:r>
        <w:rPr>
          <w:rFonts w:hint="eastAsia" w:ascii="楷体" w:hAnsi="楷体" w:eastAsia="楷体" w:cs="楷体"/>
          <w:color w:val="auto"/>
          <w:sz w:val="24"/>
        </w:rPr>
        <w:tab/>
      </w:r>
      <w:r>
        <w:rPr>
          <w:rFonts w:hint="eastAsia" w:ascii="楷体" w:hAnsi="楷体" w:eastAsia="楷体" w:cs="楷体"/>
          <w:color w:val="auto"/>
          <w:sz w:val="24"/>
        </w:rPr>
        <w:t xml:space="preserve">                            法定代表人 </w:t>
      </w:r>
    </w:p>
    <w:p w14:paraId="71C39DAF">
      <w:pPr>
        <w:spacing w:line="360" w:lineRule="auto"/>
        <w:rPr>
          <w:rFonts w:ascii="楷体" w:hAnsi="楷体" w:eastAsia="楷体" w:cs="楷体"/>
          <w:color w:val="auto"/>
          <w:sz w:val="24"/>
        </w:rPr>
      </w:pPr>
      <w:r>
        <w:rPr>
          <w:rFonts w:hint="eastAsia" w:ascii="楷体" w:hAnsi="楷体" w:eastAsia="楷体" w:cs="楷体"/>
          <w:color w:val="auto"/>
          <w:sz w:val="24"/>
        </w:rPr>
        <w:t>或</w:t>
      </w:r>
      <w:r>
        <w:rPr>
          <w:rFonts w:hint="eastAsia" w:ascii="楷体" w:hAnsi="楷体" w:eastAsia="楷体" w:cs="楷体"/>
          <w:color w:val="auto"/>
          <w:sz w:val="24"/>
        </w:rPr>
        <w:tab/>
      </w:r>
      <w:r>
        <w:rPr>
          <w:rFonts w:hint="eastAsia" w:ascii="楷体" w:hAnsi="楷体" w:eastAsia="楷体" w:cs="楷体"/>
          <w:color w:val="auto"/>
          <w:sz w:val="24"/>
        </w:rPr>
        <w:t xml:space="preserve">                                    或</w:t>
      </w:r>
    </w:p>
    <w:p w14:paraId="63948D46">
      <w:pPr>
        <w:tabs>
          <w:tab w:val="center" w:pos="4153"/>
        </w:tabs>
        <w:spacing w:line="360" w:lineRule="auto"/>
        <w:rPr>
          <w:rFonts w:ascii="楷体" w:hAnsi="楷体" w:eastAsia="楷体" w:cs="楷体"/>
          <w:color w:val="auto"/>
          <w:sz w:val="24"/>
        </w:rPr>
      </w:pPr>
      <w:r>
        <w:rPr>
          <w:rFonts w:hint="eastAsia" w:ascii="楷体" w:hAnsi="楷体" w:eastAsia="楷体" w:cs="楷体"/>
          <w:color w:val="auto"/>
          <w:sz w:val="24"/>
        </w:rPr>
        <w:t xml:space="preserve">委托代理人：                            委托代理人：                              </w:t>
      </w:r>
    </w:p>
    <w:p w14:paraId="6F41051A">
      <w:pPr>
        <w:spacing w:line="360" w:lineRule="auto"/>
        <w:rPr>
          <w:rFonts w:ascii="楷体" w:hAnsi="楷体" w:eastAsia="楷体" w:cs="楷体"/>
          <w:color w:val="auto"/>
          <w:sz w:val="24"/>
        </w:rPr>
      </w:pPr>
      <w:r>
        <w:rPr>
          <w:rFonts w:hint="eastAsia" w:ascii="楷体" w:hAnsi="楷体" w:eastAsia="楷体" w:cs="楷体"/>
          <w:color w:val="auto"/>
          <w:sz w:val="24"/>
        </w:rPr>
        <w:t>开户名称：                              开户名称：</w:t>
      </w:r>
    </w:p>
    <w:p w14:paraId="23B9ECD5">
      <w:pPr>
        <w:spacing w:line="360" w:lineRule="auto"/>
        <w:rPr>
          <w:rFonts w:ascii="楷体" w:hAnsi="楷体" w:eastAsia="楷体" w:cs="楷体"/>
          <w:color w:val="auto"/>
          <w:sz w:val="24"/>
        </w:rPr>
      </w:pPr>
      <w:r>
        <w:rPr>
          <w:rFonts w:hint="eastAsia" w:ascii="楷体" w:hAnsi="楷体" w:eastAsia="楷体" w:cs="楷体"/>
          <w:color w:val="auto"/>
          <w:sz w:val="24"/>
        </w:rPr>
        <w:t>银行账号：                              银行账号：</w:t>
      </w:r>
    </w:p>
    <w:p w14:paraId="45FE9F90">
      <w:pPr>
        <w:spacing w:line="360" w:lineRule="auto"/>
        <w:ind w:left="6000" w:hanging="6000" w:hangingChars="2500"/>
        <w:rPr>
          <w:rFonts w:ascii="楷体" w:hAnsi="楷体" w:eastAsia="楷体" w:cs="楷体"/>
          <w:color w:val="auto"/>
          <w:sz w:val="24"/>
        </w:rPr>
      </w:pPr>
      <w:r>
        <w:rPr>
          <w:rFonts w:hint="eastAsia" w:ascii="楷体" w:hAnsi="楷体" w:eastAsia="楷体" w:cs="楷体"/>
          <w:color w:val="auto"/>
          <w:sz w:val="24"/>
        </w:rPr>
        <w:t>开 户 行：                              开 户 行：</w:t>
      </w:r>
    </w:p>
    <w:p w14:paraId="38DA982E">
      <w:pPr>
        <w:spacing w:line="360" w:lineRule="auto"/>
        <w:ind w:left="6000" w:hanging="6000" w:hangingChars="2500"/>
        <w:rPr>
          <w:rFonts w:ascii="楷体" w:hAnsi="楷体" w:eastAsia="楷体" w:cs="楷体"/>
          <w:color w:val="auto"/>
          <w:sz w:val="24"/>
        </w:rPr>
      </w:pPr>
    </w:p>
    <w:p w14:paraId="3F7E0E3F">
      <w:pPr>
        <w:spacing w:line="360" w:lineRule="auto"/>
        <w:rPr>
          <w:rFonts w:ascii="楷体" w:hAnsi="楷体" w:eastAsia="楷体" w:cs="楷体"/>
          <w:color w:val="auto"/>
          <w:sz w:val="24"/>
        </w:rPr>
      </w:pPr>
      <w:r>
        <w:rPr>
          <w:rFonts w:hint="eastAsia" w:ascii="楷体" w:hAnsi="楷体" w:eastAsia="楷体" w:cs="楷体"/>
          <w:color w:val="auto"/>
          <w:sz w:val="24"/>
        </w:rPr>
        <w:t>签定地点：广东省梅州市平远县大柘镇平远大道窑岃上29号</w:t>
      </w:r>
    </w:p>
    <w:p w14:paraId="50C24407">
      <w:pPr>
        <w:pStyle w:val="17"/>
        <w:rPr>
          <w:rFonts w:ascii="楷体" w:hAnsi="楷体" w:eastAsia="楷体" w:cs="楷体"/>
          <w:color w:val="auto"/>
        </w:rPr>
      </w:pPr>
    </w:p>
    <w:p w14:paraId="4F88C216">
      <w:pPr>
        <w:rPr>
          <w:rFonts w:ascii="楷体" w:hAnsi="楷体" w:eastAsia="楷体" w:cs="楷体"/>
          <w:color w:val="auto"/>
        </w:rPr>
        <w:sectPr>
          <w:pgSz w:w="11906" w:h="16838"/>
          <w:pgMar w:top="1440" w:right="1800" w:bottom="1440" w:left="1800" w:header="851" w:footer="822" w:gutter="0"/>
          <w:cols w:space="720" w:num="1"/>
          <w:titlePg/>
          <w:docGrid w:linePitch="312" w:charSpace="0"/>
        </w:sectPr>
      </w:pPr>
    </w:p>
    <w:p w14:paraId="6564E21F">
      <w:pPr>
        <w:tabs>
          <w:tab w:val="left" w:pos="2040"/>
        </w:tabs>
        <w:spacing w:line="360" w:lineRule="auto"/>
        <w:jc w:val="left"/>
        <w:rPr>
          <w:rFonts w:ascii="楷体" w:hAnsi="楷体" w:eastAsia="楷体" w:cs="楷体"/>
          <w:color w:val="auto"/>
          <w:kern w:val="0"/>
          <w:szCs w:val="20"/>
        </w:rPr>
      </w:pPr>
      <w:bookmarkStart w:id="318" w:name="_Toc15305"/>
      <w:bookmarkStart w:id="319" w:name="_Toc29541"/>
      <w:bookmarkStart w:id="320" w:name="_Toc182886662"/>
      <w:bookmarkStart w:id="321" w:name="_Toc183316722"/>
      <w:bookmarkStart w:id="322" w:name="_Toc3577"/>
      <w:bookmarkStart w:id="323" w:name="_Toc372468321"/>
      <w:bookmarkStart w:id="324" w:name="_Toc423021953"/>
      <w:bookmarkStart w:id="325" w:name="_Toc50736471"/>
      <w:bookmarkStart w:id="326" w:name="_Toc87417453"/>
      <w:bookmarkStart w:id="327" w:name="_Toc50737323"/>
      <w:bookmarkStart w:id="328" w:name="_Toc50691025"/>
      <w:bookmarkStart w:id="329" w:name="_Toc28392"/>
      <w:bookmarkStart w:id="330" w:name="_Toc50737291"/>
      <w:bookmarkStart w:id="331" w:name="_Toc168288374"/>
      <w:r>
        <w:rPr>
          <w:rFonts w:hint="eastAsia" w:ascii="楷体" w:hAnsi="楷体" w:eastAsia="楷体" w:cs="楷体"/>
          <w:color w:val="auto"/>
          <w:kern w:val="0"/>
          <w:szCs w:val="20"/>
        </w:rPr>
        <w:drawing>
          <wp:inline distT="0" distB="0" distL="0" distR="0">
            <wp:extent cx="2314575" cy="695325"/>
            <wp:effectExtent l="0" t="0" r="9525" b="9525"/>
            <wp:docPr id="2" name="图片 2" descr="说明: 说明: 烟草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烟草标志"/>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14575" cy="695325"/>
                    </a:xfrm>
                    <a:prstGeom prst="rect">
                      <a:avLst/>
                    </a:prstGeom>
                    <a:noFill/>
                    <a:ln>
                      <a:noFill/>
                    </a:ln>
                  </pic:spPr>
                </pic:pic>
              </a:graphicData>
            </a:graphic>
          </wp:inline>
        </w:drawing>
      </w:r>
    </w:p>
    <w:p w14:paraId="1020C345">
      <w:pPr>
        <w:keepNext/>
        <w:keepLines/>
        <w:spacing w:before="260" w:after="260" w:line="416" w:lineRule="auto"/>
        <w:rPr>
          <w:rFonts w:ascii="楷体" w:hAnsi="楷体" w:eastAsia="楷体" w:cs="楷体"/>
          <w:b/>
          <w:bCs/>
          <w:color w:val="auto"/>
          <w:sz w:val="32"/>
          <w:szCs w:val="32"/>
        </w:rPr>
      </w:pPr>
    </w:p>
    <w:p w14:paraId="2584D016">
      <w:pPr>
        <w:widowControl/>
        <w:ind w:left="-720" w:right="-151"/>
        <w:jc w:val="center"/>
        <w:rPr>
          <w:rFonts w:ascii="楷体" w:hAnsi="楷体" w:eastAsia="楷体" w:cs="楷体"/>
          <w:b/>
          <w:color w:val="auto"/>
          <w:sz w:val="48"/>
          <w:szCs w:val="20"/>
        </w:rPr>
      </w:pPr>
      <w:r>
        <w:rPr>
          <w:rFonts w:hint="eastAsia" w:ascii="楷体" w:hAnsi="楷体" w:eastAsia="楷体" w:cs="楷体"/>
          <w:b/>
          <w:color w:val="auto"/>
          <w:sz w:val="48"/>
          <w:szCs w:val="20"/>
        </w:rPr>
        <w:t>广东烟草梅州市有限公司平远分公司</w:t>
      </w:r>
    </w:p>
    <w:p w14:paraId="4A97B315">
      <w:pPr>
        <w:widowControl/>
        <w:ind w:left="-720" w:right="-151"/>
        <w:jc w:val="center"/>
        <w:rPr>
          <w:rFonts w:ascii="楷体" w:hAnsi="楷体" w:eastAsia="楷体" w:cs="楷体"/>
          <w:b/>
          <w:color w:val="auto"/>
          <w:sz w:val="48"/>
          <w:szCs w:val="20"/>
        </w:rPr>
      </w:pPr>
      <w:r>
        <w:rPr>
          <w:rFonts w:hint="eastAsia" w:ascii="楷体" w:hAnsi="楷体" w:eastAsia="楷体" w:cs="楷体"/>
          <w:b/>
          <w:color w:val="auto"/>
          <w:sz w:val="48"/>
          <w:szCs w:val="20"/>
        </w:rPr>
        <w:t>车辆维修定点服务项目</w:t>
      </w:r>
    </w:p>
    <w:p w14:paraId="07B58E1F">
      <w:pPr>
        <w:jc w:val="center"/>
        <w:rPr>
          <w:rFonts w:ascii="楷体" w:hAnsi="楷体" w:eastAsia="楷体" w:cs="楷体"/>
          <w:b/>
          <w:color w:val="auto"/>
          <w:kern w:val="0"/>
          <w:sz w:val="52"/>
          <w:szCs w:val="20"/>
        </w:rPr>
      </w:pPr>
    </w:p>
    <w:p w14:paraId="75E42A9D">
      <w:pPr>
        <w:keepNext/>
        <w:keepLines/>
        <w:spacing w:before="260" w:after="260" w:line="416" w:lineRule="auto"/>
        <w:rPr>
          <w:rFonts w:ascii="楷体" w:hAnsi="楷体" w:eastAsia="楷体" w:cs="楷体"/>
          <w:b/>
          <w:bCs/>
          <w:color w:val="auto"/>
          <w:sz w:val="32"/>
          <w:szCs w:val="32"/>
        </w:rPr>
      </w:pPr>
    </w:p>
    <w:p w14:paraId="4185FE05">
      <w:pPr>
        <w:jc w:val="center"/>
        <w:rPr>
          <w:rFonts w:ascii="楷体" w:hAnsi="楷体" w:eastAsia="楷体" w:cs="楷体"/>
          <w:b/>
          <w:color w:val="auto"/>
          <w:kern w:val="0"/>
          <w:sz w:val="72"/>
          <w:szCs w:val="20"/>
        </w:rPr>
      </w:pPr>
      <w:r>
        <w:rPr>
          <w:rFonts w:hint="eastAsia" w:ascii="楷体" w:hAnsi="楷体" w:eastAsia="楷体" w:cs="楷体"/>
          <w:b/>
          <w:color w:val="auto"/>
          <w:kern w:val="0"/>
          <w:sz w:val="72"/>
          <w:szCs w:val="20"/>
        </w:rPr>
        <w:t>廉</w:t>
      </w:r>
    </w:p>
    <w:p w14:paraId="501847C2">
      <w:pPr>
        <w:jc w:val="center"/>
        <w:rPr>
          <w:rFonts w:ascii="楷体" w:hAnsi="楷体" w:eastAsia="楷体" w:cs="楷体"/>
          <w:b/>
          <w:color w:val="auto"/>
          <w:kern w:val="0"/>
          <w:sz w:val="72"/>
          <w:szCs w:val="20"/>
        </w:rPr>
      </w:pPr>
      <w:r>
        <w:rPr>
          <w:rFonts w:hint="eastAsia" w:ascii="楷体" w:hAnsi="楷体" w:eastAsia="楷体" w:cs="楷体"/>
          <w:b/>
          <w:color w:val="auto"/>
          <w:kern w:val="0"/>
          <w:sz w:val="72"/>
          <w:szCs w:val="20"/>
        </w:rPr>
        <w:t>洁</w:t>
      </w:r>
    </w:p>
    <w:p w14:paraId="214F680D">
      <w:pPr>
        <w:jc w:val="center"/>
        <w:rPr>
          <w:rFonts w:ascii="楷体" w:hAnsi="楷体" w:eastAsia="楷体" w:cs="楷体"/>
          <w:b/>
          <w:color w:val="auto"/>
          <w:kern w:val="0"/>
          <w:sz w:val="72"/>
          <w:szCs w:val="20"/>
        </w:rPr>
      </w:pPr>
      <w:r>
        <w:rPr>
          <w:rFonts w:hint="eastAsia" w:ascii="楷体" w:hAnsi="楷体" w:eastAsia="楷体" w:cs="楷体"/>
          <w:b/>
          <w:color w:val="auto"/>
          <w:kern w:val="0"/>
          <w:sz w:val="72"/>
          <w:szCs w:val="20"/>
        </w:rPr>
        <w:t>合</w:t>
      </w:r>
    </w:p>
    <w:p w14:paraId="5F832022">
      <w:pPr>
        <w:jc w:val="center"/>
        <w:rPr>
          <w:rFonts w:ascii="楷体" w:hAnsi="楷体" w:eastAsia="楷体" w:cs="楷体"/>
          <w:b/>
          <w:color w:val="auto"/>
          <w:kern w:val="0"/>
          <w:sz w:val="72"/>
          <w:szCs w:val="20"/>
        </w:rPr>
      </w:pPr>
      <w:r>
        <w:rPr>
          <w:rFonts w:hint="eastAsia" w:ascii="楷体" w:hAnsi="楷体" w:eastAsia="楷体" w:cs="楷体"/>
          <w:b/>
          <w:color w:val="auto"/>
          <w:kern w:val="0"/>
          <w:sz w:val="72"/>
          <w:szCs w:val="20"/>
        </w:rPr>
        <w:t>同</w:t>
      </w:r>
    </w:p>
    <w:p w14:paraId="714785D1">
      <w:pPr>
        <w:jc w:val="center"/>
        <w:rPr>
          <w:rFonts w:ascii="楷体" w:hAnsi="楷体" w:eastAsia="楷体" w:cs="楷体"/>
          <w:b/>
          <w:color w:val="auto"/>
          <w:kern w:val="0"/>
          <w:sz w:val="72"/>
          <w:szCs w:val="20"/>
        </w:rPr>
      </w:pPr>
    </w:p>
    <w:p w14:paraId="4A45E192">
      <w:pPr>
        <w:snapToGrid w:val="0"/>
        <w:spacing w:line="480" w:lineRule="auto"/>
        <w:ind w:left="1898" w:firstLine="135"/>
        <w:rPr>
          <w:rFonts w:ascii="楷体" w:hAnsi="楷体" w:eastAsia="楷体" w:cs="楷体"/>
          <w:color w:val="auto"/>
          <w:kern w:val="0"/>
          <w:sz w:val="32"/>
          <w:szCs w:val="32"/>
          <w:u w:val="single"/>
        </w:rPr>
      </w:pPr>
      <w:r>
        <w:rPr>
          <w:rFonts w:hint="eastAsia" w:ascii="楷体" w:hAnsi="楷体" w:eastAsia="楷体" w:cs="楷体"/>
          <w:b/>
          <w:color w:val="auto"/>
          <w:kern w:val="0"/>
          <w:sz w:val="32"/>
          <w:szCs w:val="32"/>
        </w:rPr>
        <w:t>项目名称：</w:t>
      </w:r>
    </w:p>
    <w:p w14:paraId="3FC60462">
      <w:pPr>
        <w:snapToGrid w:val="0"/>
        <w:spacing w:line="480" w:lineRule="auto"/>
        <w:ind w:left="1898" w:firstLine="135"/>
        <w:rPr>
          <w:rFonts w:ascii="楷体" w:hAnsi="楷体" w:eastAsia="楷体" w:cs="楷体"/>
          <w:color w:val="auto"/>
          <w:kern w:val="0"/>
          <w:sz w:val="32"/>
          <w:szCs w:val="32"/>
          <w:u w:val="single"/>
        </w:rPr>
      </w:pPr>
      <w:r>
        <w:rPr>
          <w:rFonts w:hint="eastAsia" w:ascii="楷体" w:hAnsi="楷体" w:eastAsia="楷体" w:cs="楷体"/>
          <w:b/>
          <w:color w:val="auto"/>
          <w:kern w:val="0"/>
          <w:sz w:val="32"/>
          <w:szCs w:val="32"/>
        </w:rPr>
        <w:t>合同编号：</w:t>
      </w:r>
    </w:p>
    <w:p w14:paraId="4BC1EEF4">
      <w:pPr>
        <w:snapToGrid w:val="0"/>
        <w:spacing w:line="480" w:lineRule="auto"/>
        <w:ind w:left="1898" w:firstLine="135"/>
        <w:rPr>
          <w:rFonts w:ascii="楷体" w:hAnsi="楷体" w:eastAsia="楷体" w:cs="楷体"/>
          <w:color w:val="auto"/>
          <w:kern w:val="0"/>
          <w:sz w:val="32"/>
          <w:szCs w:val="32"/>
          <w:u w:val="single"/>
        </w:rPr>
      </w:pPr>
      <w:r>
        <w:rPr>
          <w:rFonts w:hint="eastAsia" w:ascii="楷体" w:hAnsi="楷体" w:eastAsia="楷体" w:cs="楷体"/>
          <w:b/>
          <w:color w:val="auto"/>
          <w:kern w:val="0"/>
          <w:sz w:val="32"/>
          <w:szCs w:val="32"/>
        </w:rPr>
        <w:t>签约地点：</w:t>
      </w:r>
    </w:p>
    <w:p w14:paraId="46D2CD63">
      <w:pPr>
        <w:spacing w:line="360" w:lineRule="auto"/>
        <w:jc w:val="center"/>
        <w:rPr>
          <w:rFonts w:ascii="楷体" w:hAnsi="楷体" w:eastAsia="楷体" w:cs="楷体"/>
          <w:color w:val="auto"/>
          <w:kern w:val="0"/>
          <w:szCs w:val="20"/>
        </w:rPr>
      </w:pPr>
    </w:p>
    <w:p w14:paraId="34EE79ED">
      <w:pPr>
        <w:spacing w:line="360" w:lineRule="auto"/>
        <w:jc w:val="center"/>
        <w:rPr>
          <w:rFonts w:ascii="楷体" w:hAnsi="楷体" w:eastAsia="楷体" w:cs="楷体"/>
          <w:color w:val="auto"/>
          <w:kern w:val="0"/>
          <w:szCs w:val="20"/>
        </w:rPr>
      </w:pPr>
    </w:p>
    <w:p w14:paraId="3EEEF0EA">
      <w:pPr>
        <w:adjustRightInd w:val="0"/>
        <w:snapToGrid w:val="0"/>
        <w:spacing w:line="480" w:lineRule="exact"/>
        <w:rPr>
          <w:rFonts w:ascii="楷体" w:hAnsi="楷体" w:eastAsia="楷体" w:cs="楷体"/>
          <w:b/>
          <w:bCs/>
          <w:color w:val="auto"/>
          <w:szCs w:val="21"/>
        </w:rPr>
      </w:pPr>
      <w:r>
        <w:rPr>
          <w:rFonts w:hint="eastAsia" w:ascii="楷体" w:hAnsi="楷体" w:eastAsia="楷体" w:cs="楷体"/>
          <w:b/>
          <w:bCs/>
          <w:color w:val="auto"/>
          <w:szCs w:val="21"/>
        </w:rPr>
        <w:t xml:space="preserve">采购人（甲方）： </w:t>
      </w:r>
    </w:p>
    <w:p w14:paraId="4B216EAA">
      <w:pPr>
        <w:adjustRightInd w:val="0"/>
        <w:snapToGrid w:val="0"/>
        <w:spacing w:line="480" w:lineRule="exact"/>
        <w:rPr>
          <w:rFonts w:ascii="楷体" w:hAnsi="楷体" w:eastAsia="楷体" w:cs="楷体"/>
          <w:b/>
          <w:bCs/>
          <w:color w:val="auto"/>
          <w:szCs w:val="21"/>
        </w:rPr>
      </w:pPr>
      <w:r>
        <w:rPr>
          <w:rFonts w:hint="eastAsia" w:ascii="楷体" w:hAnsi="楷体" w:eastAsia="楷体" w:cs="楷体"/>
          <w:b/>
          <w:bCs/>
          <w:color w:val="auto"/>
          <w:szCs w:val="21"/>
        </w:rPr>
        <w:t xml:space="preserve">法定代表人： </w:t>
      </w:r>
    </w:p>
    <w:p w14:paraId="79305952">
      <w:pPr>
        <w:adjustRightInd w:val="0"/>
        <w:snapToGrid w:val="0"/>
        <w:spacing w:line="480" w:lineRule="exact"/>
        <w:rPr>
          <w:rFonts w:ascii="楷体" w:hAnsi="楷体" w:eastAsia="楷体" w:cs="楷体"/>
          <w:b/>
          <w:bCs/>
          <w:color w:val="auto"/>
          <w:szCs w:val="21"/>
        </w:rPr>
      </w:pPr>
      <w:r>
        <w:rPr>
          <w:rFonts w:hint="eastAsia" w:ascii="楷体" w:hAnsi="楷体" w:eastAsia="楷体" w:cs="楷体"/>
          <w:b/>
          <w:bCs/>
          <w:color w:val="auto"/>
          <w:szCs w:val="21"/>
        </w:rPr>
        <w:t>电话：</w:t>
      </w:r>
    </w:p>
    <w:p w14:paraId="52B4350F">
      <w:pPr>
        <w:adjustRightInd w:val="0"/>
        <w:snapToGrid w:val="0"/>
        <w:spacing w:line="480" w:lineRule="exact"/>
        <w:rPr>
          <w:rFonts w:ascii="楷体" w:hAnsi="楷体" w:eastAsia="楷体" w:cs="楷体"/>
          <w:b/>
          <w:bCs/>
          <w:color w:val="auto"/>
          <w:szCs w:val="21"/>
        </w:rPr>
      </w:pPr>
      <w:r>
        <w:rPr>
          <w:rFonts w:hint="eastAsia" w:ascii="楷体" w:hAnsi="楷体" w:eastAsia="楷体" w:cs="楷体"/>
          <w:b/>
          <w:bCs/>
          <w:color w:val="auto"/>
          <w:szCs w:val="21"/>
        </w:rPr>
        <w:t xml:space="preserve">地址： </w:t>
      </w:r>
    </w:p>
    <w:p w14:paraId="68035103">
      <w:pPr>
        <w:adjustRightInd w:val="0"/>
        <w:snapToGrid w:val="0"/>
        <w:spacing w:line="480" w:lineRule="exact"/>
        <w:rPr>
          <w:rFonts w:ascii="楷体" w:hAnsi="楷体" w:eastAsia="楷体" w:cs="楷体"/>
          <w:b/>
          <w:bCs/>
          <w:color w:val="auto"/>
          <w:szCs w:val="21"/>
        </w:rPr>
      </w:pPr>
    </w:p>
    <w:p w14:paraId="34572513">
      <w:pPr>
        <w:adjustRightInd w:val="0"/>
        <w:snapToGrid w:val="0"/>
        <w:spacing w:line="480" w:lineRule="exact"/>
        <w:rPr>
          <w:rFonts w:ascii="楷体" w:hAnsi="楷体" w:eastAsia="楷体" w:cs="楷体"/>
          <w:b/>
          <w:bCs/>
          <w:color w:val="auto"/>
          <w:szCs w:val="21"/>
        </w:rPr>
      </w:pPr>
      <w:r>
        <w:rPr>
          <w:rFonts w:hint="eastAsia" w:ascii="楷体" w:hAnsi="楷体" w:eastAsia="楷体" w:cs="楷体"/>
          <w:b/>
          <w:bCs/>
          <w:color w:val="auto"/>
          <w:szCs w:val="21"/>
        </w:rPr>
        <w:t xml:space="preserve">供应商（乙方）： </w:t>
      </w:r>
    </w:p>
    <w:p w14:paraId="31D4C557">
      <w:pPr>
        <w:adjustRightInd w:val="0"/>
        <w:snapToGrid w:val="0"/>
        <w:spacing w:line="480" w:lineRule="exact"/>
        <w:rPr>
          <w:rFonts w:ascii="楷体" w:hAnsi="楷体" w:eastAsia="楷体" w:cs="楷体"/>
          <w:b/>
          <w:color w:val="auto"/>
          <w:szCs w:val="21"/>
        </w:rPr>
      </w:pPr>
      <w:r>
        <w:rPr>
          <w:rFonts w:hint="eastAsia" w:ascii="楷体" w:hAnsi="楷体" w:eastAsia="楷体" w:cs="楷体"/>
          <w:b/>
          <w:bCs/>
          <w:color w:val="auto"/>
          <w:szCs w:val="21"/>
        </w:rPr>
        <w:t>法定代表人/</w:t>
      </w:r>
      <w:r>
        <w:rPr>
          <w:rFonts w:hint="eastAsia" w:ascii="楷体" w:hAnsi="楷体" w:eastAsia="楷体" w:cs="楷体"/>
          <w:b/>
          <w:color w:val="auto"/>
          <w:szCs w:val="21"/>
        </w:rPr>
        <w:t xml:space="preserve">负责人： </w:t>
      </w:r>
    </w:p>
    <w:p w14:paraId="6BF859EE">
      <w:pPr>
        <w:adjustRightInd w:val="0"/>
        <w:snapToGrid w:val="0"/>
        <w:spacing w:line="480" w:lineRule="exact"/>
        <w:rPr>
          <w:rFonts w:ascii="楷体" w:hAnsi="楷体" w:eastAsia="楷体" w:cs="楷体"/>
          <w:b/>
          <w:color w:val="auto"/>
          <w:szCs w:val="21"/>
        </w:rPr>
      </w:pPr>
      <w:r>
        <w:rPr>
          <w:rFonts w:hint="eastAsia" w:ascii="楷体" w:hAnsi="楷体" w:eastAsia="楷体" w:cs="楷体"/>
          <w:b/>
          <w:color w:val="auto"/>
          <w:szCs w:val="21"/>
        </w:rPr>
        <w:t>电话：</w:t>
      </w:r>
    </w:p>
    <w:p w14:paraId="7982597E">
      <w:pPr>
        <w:adjustRightInd w:val="0"/>
        <w:snapToGrid w:val="0"/>
        <w:spacing w:line="480" w:lineRule="exact"/>
        <w:rPr>
          <w:rFonts w:ascii="楷体" w:hAnsi="楷体" w:eastAsia="楷体" w:cs="楷体"/>
          <w:b/>
          <w:color w:val="auto"/>
          <w:szCs w:val="21"/>
        </w:rPr>
      </w:pPr>
      <w:r>
        <w:rPr>
          <w:rFonts w:hint="eastAsia" w:ascii="楷体" w:hAnsi="楷体" w:eastAsia="楷体" w:cs="楷体"/>
          <w:b/>
          <w:color w:val="auto"/>
          <w:szCs w:val="21"/>
        </w:rPr>
        <w:t xml:space="preserve">地址： </w:t>
      </w:r>
    </w:p>
    <w:p w14:paraId="62900AEA">
      <w:pPr>
        <w:adjustRightInd w:val="0"/>
        <w:snapToGrid w:val="0"/>
        <w:spacing w:line="480" w:lineRule="exact"/>
        <w:ind w:firstLine="560"/>
        <w:rPr>
          <w:rFonts w:ascii="楷体" w:hAnsi="楷体" w:eastAsia="楷体" w:cs="楷体"/>
          <w:b/>
          <w:color w:val="auto"/>
          <w:kern w:val="0"/>
          <w:szCs w:val="21"/>
          <w:u w:val="single"/>
        </w:rPr>
      </w:pPr>
      <w:r>
        <w:rPr>
          <w:rFonts w:hint="eastAsia" w:ascii="楷体" w:hAnsi="楷体" w:eastAsia="楷体" w:cs="楷体"/>
          <w:color w:val="auto"/>
          <w:kern w:val="0"/>
          <w:szCs w:val="21"/>
        </w:rPr>
        <w:t>为维护公平竞争的市场经济秩序，确保项目高效运行，保证项目资金的安全、有效使用，加强有关人员廉洁从业管理，恪守商业道德，从源头预防和遏制违法、违规、违纪行为发生，促进建立廉洁、诚信、共赢的合作关系，按照党和国家有关法律法规、廉政规定，经采购人（以下简称“甲方”）与供应商（以下简称“乙方”）协商一致，签订以下合同：</w:t>
      </w:r>
    </w:p>
    <w:p w14:paraId="771888F4">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第一条 甲乙双方的权利和义务</w:t>
      </w:r>
    </w:p>
    <w:p w14:paraId="3FC1617B">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（一）严格遵守党和国家有关法律法规及党风廉政建设各项规定，遵守烟草行业有关采购管理制度。</w:t>
      </w:r>
    </w:p>
    <w:p w14:paraId="1F29DDE4">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（二）严格执行采购项目的合同文件，自觉履约。</w:t>
      </w:r>
    </w:p>
    <w:p w14:paraId="6ADFCAE2">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（三）双方的业务活动坚持公开、公平、公正、诚信的原则（涉及商业秘密和合同文件另有规定之外），严禁损害国家和集体利益，依法维护合作双方的合法利益。</w:t>
      </w:r>
    </w:p>
    <w:p w14:paraId="40DDDD8C">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（四）建立健全党风廉政建设各项制度，开展廉洁自律宣传教育，加强对本方工作人员的监督检查。</w:t>
      </w:r>
    </w:p>
    <w:p w14:paraId="328FF24E">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（五）发现对方严重违反合同义务条款的行为有权制止，并向其上级有关部门举报。</w:t>
      </w:r>
    </w:p>
    <w:p w14:paraId="7D9233B4">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（六）采购项目合同变更时本廉洁合同内容也应做相应调整，并履行有关手续。</w:t>
      </w:r>
    </w:p>
    <w:p w14:paraId="30207D03">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第二条 甲方义务</w:t>
      </w:r>
    </w:p>
    <w:p w14:paraId="34FF47BB">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（一）甲方及其工作人员不得干扰乙方企业正常的生产经营活动，不得以任何理由要挟乙方从事不属于乙方义务的工作。</w:t>
      </w:r>
    </w:p>
    <w:p w14:paraId="20D89D44">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（二）甲方及其工作人员不得索要或接受乙方的礼金、有价证券和贵重物品，不得在乙方报销任何应由甲方或甲方工作人员个人支付的费用等。</w:t>
      </w:r>
    </w:p>
    <w:p w14:paraId="37FD0A5D">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（三）甲方工作人员不得参加乙方安排的超标准宴请和娱乐活动，不得要求或者接受乙方为其住房装修、婚丧嫁娶活动、配偶子女的工作安排以及出国出境、旅游等提供方便等。</w:t>
      </w:r>
    </w:p>
    <w:p w14:paraId="01844A75">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（四）甲方工作人员及其配偶、子女不得从事与甲方项目有关的材料设备供应、劳务等经济活动。</w:t>
      </w:r>
    </w:p>
    <w:p w14:paraId="0FF50AA1">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（五）甲方及其工作人员不得以任何理由向乙方推荐分包单位或推销材料，不得要求乙方购买合同规定外的材料和设备。</w:t>
      </w:r>
    </w:p>
    <w:p w14:paraId="2C87B2B3">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（六）甲方工作人员要秉公办事，不准营私舞弊，不准利用职权从事各种个人有偿中介活动。</w:t>
      </w:r>
    </w:p>
    <w:p w14:paraId="10522A47">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bCs/>
          <w:color w:val="auto"/>
          <w:kern w:val="0"/>
          <w:szCs w:val="21"/>
        </w:rPr>
        <w:t xml:space="preserve">第三条 </w:t>
      </w:r>
      <w:r>
        <w:rPr>
          <w:rFonts w:hint="eastAsia" w:ascii="楷体" w:hAnsi="楷体" w:eastAsia="楷体" w:cs="楷体"/>
          <w:color w:val="auto"/>
          <w:kern w:val="0"/>
          <w:szCs w:val="21"/>
        </w:rPr>
        <w:t>乙方义务</w:t>
      </w:r>
    </w:p>
    <w:p w14:paraId="188EBDDD">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（一）乙方不得以任何理由向甲方及其工作人员行贿或馈赠礼金、有价证券、贵重礼品。</w:t>
      </w:r>
    </w:p>
    <w:p w14:paraId="318DBA10">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（二）乙方不得以任何名义为甲方及其工作人员报销应由甲方单位或个人支付的任何费用。</w:t>
      </w:r>
    </w:p>
    <w:p w14:paraId="17ED4A71">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（三）乙方不得以任何理由安排甲方工作人员参加超标准宴请及娱乐活动。</w:t>
      </w:r>
    </w:p>
    <w:p w14:paraId="001F93C0">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（四）乙方不得为甲方单位和个人购置或提供通讯工具、交通工具和高档办公用品等。</w:t>
      </w:r>
    </w:p>
    <w:p w14:paraId="7D4AEF26">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（五）乙方得知甲方从业人员存在通过打招呼、围标、串标等形式非法操纵中标结果，或接受投标人礼品、宴请和其他形式的利益输送等情形的，应及时向甲方有关部门举报。</w:t>
      </w:r>
    </w:p>
    <w:p w14:paraId="34C3BAAC">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（六）在相关案件查办时，乙方有配合提供证据、作证义务，联系电话：0753-2235984(纪检监察部门电话)。</w:t>
      </w:r>
    </w:p>
    <w:p w14:paraId="763478B4">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第四条 违约责任</w:t>
      </w:r>
    </w:p>
    <w:p w14:paraId="28D44AC2">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（一）甲方及其工作人员违反本协议第一、二条，按管理权限，依据有关规定给予党纪、政纪或组织处理；涉嫌犯罪的，移交司法机关追究刑事责任；给乙方单位造成经济损失的，应予以赔偿。</w:t>
      </w:r>
    </w:p>
    <w:p w14:paraId="53EC8E8E">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二）乙方及其工作人员违反本协议第一、三条，按管理权限，依据有关规定给予党纪、政纪组织处理；给甲方单位造成经济损失的，应予以赔偿；情节严重的，甲方有权终止合同及追究责任，并依据烟草行业存在行贿行为供应商管理有关规定给予或提请甲方行业上级单位给予乙方一定时期内不得参加烟草行业采购活动的处罚。</w:t>
      </w:r>
    </w:p>
    <w:p w14:paraId="2A7EBFDC">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（三）乙方发生拒不配合纪检监察等有关部门调查工作的情形，甲方有权采取警示约谈、降低考核评价分数、降低供货份额、缩短服务期、终止或解除合同等多种处理措施。</w:t>
      </w:r>
    </w:p>
    <w:p w14:paraId="63C4EC58">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第五条 本合同由双方或双方上级单位的纪检监察或规范管理部门负责监督执行。由甲方或甲方上级单位的纪检监察或规范管理部门约请乙方或乙方上级单位纪检监察机关对本合同执行情况进行检查，提出在本合同规定范围内的裁定意见。</w:t>
      </w:r>
    </w:p>
    <w:p w14:paraId="1503E069">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第六条 本合同为采购项目合同补充协议，与主合同具有同等法律效力，甲乙双方签署后生效。本协议有效期为甲乙双方签署之日起至采购项目验收结算后止。</w:t>
      </w:r>
    </w:p>
    <w:p w14:paraId="3DF1B0EC">
      <w:pPr>
        <w:adjustRightInd w:val="0"/>
        <w:snapToGrid w:val="0"/>
        <w:spacing w:line="480" w:lineRule="exact"/>
        <w:ind w:firstLine="560"/>
        <w:rPr>
          <w:rFonts w:ascii="楷体" w:hAnsi="楷体" w:eastAsia="楷体" w:cs="楷体"/>
          <w:color w:val="auto"/>
          <w:kern w:val="0"/>
          <w:szCs w:val="21"/>
        </w:rPr>
      </w:pPr>
      <w:r>
        <w:rPr>
          <w:rFonts w:hint="eastAsia" w:ascii="楷体" w:hAnsi="楷体" w:eastAsia="楷体" w:cs="楷体"/>
          <w:color w:val="auto"/>
          <w:kern w:val="0"/>
          <w:szCs w:val="21"/>
        </w:rPr>
        <w:t>第七条 本协议一式贰份，由甲乙双方各执壹份，经协议双方签署立即生效</w:t>
      </w:r>
    </w:p>
    <w:p w14:paraId="56EB7E9C">
      <w:pPr>
        <w:adjustRightInd w:val="0"/>
        <w:snapToGrid w:val="0"/>
        <w:spacing w:line="480" w:lineRule="exact"/>
        <w:ind w:firstLine="560"/>
        <w:rPr>
          <w:rFonts w:ascii="楷体" w:hAnsi="楷体" w:eastAsia="楷体" w:cs="楷体"/>
          <w:color w:val="auto"/>
          <w:kern w:val="0"/>
          <w:szCs w:val="21"/>
        </w:rPr>
      </w:pPr>
    </w:p>
    <w:p w14:paraId="086B4F0A">
      <w:pPr>
        <w:spacing w:line="360" w:lineRule="auto"/>
        <w:ind w:right="1203"/>
        <w:rPr>
          <w:rFonts w:ascii="楷体" w:hAnsi="楷体" w:eastAsia="楷体" w:cs="楷体"/>
          <w:color w:val="auto"/>
          <w:kern w:val="0"/>
          <w:sz w:val="28"/>
          <w:szCs w:val="28"/>
        </w:rPr>
      </w:pPr>
      <w:r>
        <w:rPr>
          <w:rFonts w:hint="eastAsia" w:ascii="楷体" w:hAnsi="楷体" w:eastAsia="楷体" w:cs="楷体"/>
          <w:color w:val="auto"/>
        </w:rPr>
        <mc:AlternateContent>
          <mc:Choice Requires="wpg">
            <w:drawing>
              <wp:anchor distT="0" distB="0" distL="114300" distR="114300" simplePos="0" relativeHeight="251664384" behindDoc="0" locked="0" layoutInCell="1" allowOverlap="1">
                <wp:simplePos x="0" y="0"/>
                <wp:positionH relativeFrom="column">
                  <wp:posOffset>-266700</wp:posOffset>
                </wp:positionH>
                <wp:positionV relativeFrom="paragraph">
                  <wp:posOffset>13335</wp:posOffset>
                </wp:positionV>
                <wp:extent cx="5697220" cy="2270760"/>
                <wp:effectExtent l="0" t="0" r="17780" b="15240"/>
                <wp:wrapNone/>
                <wp:docPr id="6" name="组合 10"/>
                <wp:cNvGraphicFramePr/>
                <a:graphic xmlns:a="http://schemas.openxmlformats.org/drawingml/2006/main">
                  <a:graphicData uri="http://schemas.microsoft.com/office/word/2010/wordprocessingGroup">
                    <wpg:wgp>
                      <wpg:cNvGrpSpPr/>
                      <wpg:grpSpPr>
                        <a:xfrm>
                          <a:off x="0" y="0"/>
                          <a:ext cx="5697220" cy="2270760"/>
                          <a:chOff x="10248" y="111968"/>
                          <a:chExt cx="9450" cy="3990"/>
                        </a:xfrm>
                        <a:effectLst/>
                      </wpg:grpSpPr>
                      <wps:wsp>
                        <wps:cNvPr id="7" name="文本框 45"/>
                        <wps:cNvSpPr txBox="1"/>
                        <wps:spPr>
                          <a:xfrm>
                            <a:off x="10248" y="111982"/>
                            <a:ext cx="4481" cy="3969"/>
                          </a:xfrm>
                          <a:prstGeom prst="rect">
                            <a:avLst/>
                          </a:prstGeom>
                          <a:solidFill>
                            <a:srgbClr val="FFFFFF"/>
                          </a:solidFill>
                          <a:ln w="6350">
                            <a:noFill/>
                          </a:ln>
                          <a:effectLst/>
                        </wps:spPr>
                        <wps:txbx>
                          <w:txbxContent>
                            <w:p w14:paraId="4214CA6A">
                              <w:pPr>
                                <w:spacing w:line="360" w:lineRule="auto"/>
                                <w:rPr>
                                  <w:rFonts w:ascii="楷体" w:hAnsi="楷体" w:eastAsia="楷体" w:cs="楷体"/>
                                  <w:szCs w:val="21"/>
                                </w:rPr>
                              </w:pPr>
                              <w:r>
                                <w:rPr>
                                  <w:rFonts w:hint="eastAsia" w:ascii="楷体" w:hAnsi="楷体" w:eastAsia="楷体" w:cs="楷体"/>
                                  <w:szCs w:val="21"/>
                                </w:rPr>
                                <w:t xml:space="preserve">甲方： </w:t>
                              </w:r>
                            </w:p>
                            <w:p w14:paraId="493CA71E">
                              <w:pPr>
                                <w:spacing w:line="360" w:lineRule="auto"/>
                                <w:rPr>
                                  <w:rFonts w:ascii="楷体" w:hAnsi="楷体" w:eastAsia="楷体" w:cs="楷体"/>
                                  <w:szCs w:val="21"/>
                                </w:rPr>
                              </w:pPr>
                              <w:r>
                                <w:rPr>
                                  <w:rFonts w:hint="eastAsia" w:ascii="楷体" w:hAnsi="楷体" w:eastAsia="楷体" w:cs="楷体"/>
                                  <w:szCs w:val="21"/>
                                </w:rPr>
                                <w:t>法定代表人：</w:t>
                              </w:r>
                            </w:p>
                            <w:p w14:paraId="673C40AE">
                              <w:pPr>
                                <w:spacing w:line="360" w:lineRule="auto"/>
                                <w:rPr>
                                  <w:rFonts w:ascii="楷体" w:hAnsi="楷体" w:eastAsia="楷体" w:cs="楷体"/>
                                  <w:szCs w:val="21"/>
                                </w:rPr>
                              </w:pPr>
                              <w:r>
                                <w:rPr>
                                  <w:rFonts w:hint="eastAsia" w:ascii="楷体" w:hAnsi="楷体" w:eastAsia="楷体" w:cs="楷体"/>
                                  <w:szCs w:val="21"/>
                                </w:rPr>
                                <w:t>或</w:t>
                              </w:r>
                            </w:p>
                            <w:p w14:paraId="5D22BCB4">
                              <w:pPr>
                                <w:spacing w:line="360" w:lineRule="auto"/>
                                <w:rPr>
                                  <w:rFonts w:ascii="楷体" w:hAnsi="楷体" w:eastAsia="楷体" w:cs="楷体"/>
                                  <w:szCs w:val="21"/>
                                </w:rPr>
                              </w:pPr>
                              <w:r>
                                <w:rPr>
                                  <w:rFonts w:hint="eastAsia" w:ascii="楷体" w:hAnsi="楷体" w:eastAsia="楷体" w:cs="楷体"/>
                                  <w:szCs w:val="21"/>
                                </w:rPr>
                                <w:t>委托代理人：</w:t>
                              </w:r>
                            </w:p>
                            <w:p w14:paraId="74A18EB2">
                              <w:pPr>
                                <w:jc w:val="right"/>
                                <w:rPr>
                                  <w:rFonts w:ascii="仿宋_GB2312" w:hAnsi="仿宋_GB2312" w:eastAsia="仿宋_GB2312" w:cs="仿宋_GB2312"/>
                                  <w:sz w:val="28"/>
                                  <w:szCs w:val="28"/>
                                </w:rPr>
                              </w:pPr>
                              <w:r>
                                <w:rPr>
                                  <w:rFonts w:hint="eastAsia" w:ascii="楷体" w:hAnsi="楷体" w:eastAsia="楷体" w:cs="楷体"/>
                                  <w:szCs w:val="21"/>
                                </w:rPr>
                                <w:t>日期：年月日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46"/>
                        <wps:cNvSpPr txBox="1"/>
                        <wps:spPr>
                          <a:xfrm>
                            <a:off x="14868" y="111968"/>
                            <a:ext cx="4830" cy="3990"/>
                          </a:xfrm>
                          <a:prstGeom prst="rect">
                            <a:avLst/>
                          </a:prstGeom>
                          <a:solidFill>
                            <a:srgbClr val="FFFFFF"/>
                          </a:solidFill>
                          <a:ln w="6350">
                            <a:noFill/>
                          </a:ln>
                          <a:effectLst/>
                        </wps:spPr>
                        <wps:txbx>
                          <w:txbxContent>
                            <w:p w14:paraId="02AF4E6D">
                              <w:pPr>
                                <w:spacing w:line="360" w:lineRule="auto"/>
                                <w:rPr>
                                  <w:rFonts w:ascii="楷体" w:hAnsi="楷体" w:eastAsia="楷体" w:cs="楷体"/>
                                  <w:szCs w:val="21"/>
                                </w:rPr>
                              </w:pPr>
                              <w:r>
                                <w:rPr>
                                  <w:rFonts w:hint="eastAsia" w:ascii="楷体" w:hAnsi="楷体" w:eastAsia="楷体" w:cs="楷体"/>
                                  <w:szCs w:val="21"/>
                                </w:rPr>
                                <w:t>乙方：</w:t>
                              </w:r>
                            </w:p>
                            <w:p w14:paraId="71574EB7">
                              <w:pPr>
                                <w:spacing w:line="360" w:lineRule="auto"/>
                                <w:rPr>
                                  <w:rFonts w:ascii="楷体" w:hAnsi="楷体" w:eastAsia="楷体" w:cs="楷体"/>
                                  <w:szCs w:val="21"/>
                                </w:rPr>
                              </w:pPr>
                              <w:r>
                                <w:rPr>
                                  <w:rFonts w:hint="eastAsia" w:ascii="楷体" w:hAnsi="楷体" w:eastAsia="楷体" w:cs="楷体"/>
                                  <w:szCs w:val="21"/>
                                </w:rPr>
                                <w:t>法定代表人/负责人：</w:t>
                              </w:r>
                            </w:p>
                            <w:p w14:paraId="0DE7EE15">
                              <w:pPr>
                                <w:spacing w:line="360" w:lineRule="auto"/>
                                <w:rPr>
                                  <w:rFonts w:ascii="楷体" w:hAnsi="楷体" w:eastAsia="楷体" w:cs="楷体"/>
                                  <w:szCs w:val="21"/>
                                </w:rPr>
                              </w:pPr>
                              <w:r>
                                <w:rPr>
                                  <w:rFonts w:hint="eastAsia" w:ascii="楷体" w:hAnsi="楷体" w:eastAsia="楷体" w:cs="楷体"/>
                                  <w:szCs w:val="21"/>
                                </w:rPr>
                                <w:t>或</w:t>
                              </w:r>
                            </w:p>
                            <w:p w14:paraId="22CE2377">
                              <w:pPr>
                                <w:spacing w:line="360" w:lineRule="auto"/>
                                <w:rPr>
                                  <w:rFonts w:ascii="楷体" w:hAnsi="楷体" w:eastAsia="楷体" w:cs="楷体"/>
                                  <w:szCs w:val="21"/>
                                </w:rPr>
                              </w:pPr>
                              <w:r>
                                <w:rPr>
                                  <w:rFonts w:hint="eastAsia" w:ascii="楷体" w:hAnsi="楷体" w:eastAsia="楷体" w:cs="楷体"/>
                                  <w:szCs w:val="21"/>
                                </w:rPr>
                                <w:t>委托代理人：</w:t>
                              </w:r>
                            </w:p>
                            <w:p w14:paraId="7BD18653">
                              <w:pPr>
                                <w:spacing w:line="360" w:lineRule="auto"/>
                                <w:ind w:firstLine="1680" w:firstLineChars="800"/>
                                <w:rPr>
                                  <w:rFonts w:ascii="楷体" w:hAnsi="楷体" w:eastAsia="楷体" w:cs="楷体"/>
                                  <w:szCs w:val="21"/>
                                </w:rPr>
                              </w:pPr>
                              <w:r>
                                <w:rPr>
                                  <w:rFonts w:hint="eastAsia" w:ascii="楷体" w:hAnsi="楷体" w:eastAsia="楷体" w:cs="楷体"/>
                                  <w:szCs w:val="21"/>
                                </w:rPr>
                                <w:t>日期：年月日</w:t>
                              </w:r>
                            </w:p>
                            <w:p w14:paraId="228FE696">
                              <w:pPr>
                                <w:spacing w:line="360" w:lineRule="auto"/>
                                <w:ind w:firstLine="1680" w:firstLineChars="800"/>
                                <w:rPr>
                                  <w:rFonts w:ascii="楷体" w:hAnsi="楷体" w:eastAsia="楷体" w:cs="楷体"/>
                                  <w:szCs w:val="21"/>
                                </w:rPr>
                              </w:pPr>
                            </w:p>
                            <w:p w14:paraId="263963B5">
                              <w:pPr>
                                <w:spacing w:line="360" w:lineRule="auto"/>
                                <w:ind w:firstLine="1680" w:firstLineChars="800"/>
                                <w:rPr>
                                  <w:rFonts w:ascii="楷体" w:hAnsi="楷体" w:eastAsia="楷体" w:cs="楷体"/>
                                  <w:szCs w:val="21"/>
                                </w:rPr>
                              </w:pPr>
                            </w:p>
                            <w:p w14:paraId="267D9E84">
                              <w:pPr>
                                <w:spacing w:line="360" w:lineRule="auto"/>
                                <w:ind w:firstLine="1680" w:firstLineChars="800"/>
                                <w:rPr>
                                  <w:rFonts w:ascii="楷体" w:hAnsi="楷体" w:eastAsia="楷体" w:cs="楷体"/>
                                  <w:szCs w:val="21"/>
                                </w:rPr>
                              </w:pPr>
                            </w:p>
                            <w:p w14:paraId="44EBBE41">
                              <w:pPr>
                                <w:spacing w:line="360" w:lineRule="auto"/>
                                <w:ind w:firstLine="1680" w:firstLineChars="800"/>
                                <w:rPr>
                                  <w:rFonts w:ascii="楷体" w:hAnsi="楷体" w:eastAsia="楷体" w:cs="楷体"/>
                                  <w:szCs w:val="21"/>
                                </w:rPr>
                              </w:pPr>
                            </w:p>
                            <w:p w14:paraId="254DEEBD">
                              <w:pPr>
                                <w:spacing w:line="360" w:lineRule="auto"/>
                                <w:ind w:firstLine="1680" w:firstLineChars="800"/>
                                <w:rPr>
                                  <w:rFonts w:ascii="楷体" w:hAnsi="楷体" w:eastAsia="楷体" w:cs="楷体"/>
                                  <w:szCs w:val="21"/>
                                </w:rPr>
                              </w:pPr>
                            </w:p>
                            <w:p w14:paraId="427A3325">
                              <w:pPr>
                                <w:spacing w:line="360" w:lineRule="auto"/>
                                <w:ind w:firstLine="1680" w:firstLineChars="800"/>
                                <w:rPr>
                                  <w:rFonts w:ascii="楷体" w:hAnsi="楷体" w:eastAsia="楷体" w:cs="楷体"/>
                                  <w:szCs w:val="21"/>
                                </w:rPr>
                              </w:pPr>
                            </w:p>
                            <w:p w14:paraId="37EBA9AF">
                              <w:pPr>
                                <w:spacing w:line="360" w:lineRule="auto"/>
                                <w:ind w:firstLine="1680" w:firstLineChars="800"/>
                                <w:rPr>
                                  <w:rFonts w:ascii="楷体" w:hAnsi="楷体" w:eastAsia="楷体" w:cs="楷体"/>
                                  <w:szCs w:val="21"/>
                                </w:rPr>
                              </w:pPr>
                            </w:p>
                            <w:p w14:paraId="3A01E9B4">
                              <w:pPr>
                                <w:spacing w:line="360" w:lineRule="auto"/>
                                <w:ind w:firstLine="1680" w:firstLineChars="800"/>
                                <w:rPr>
                                  <w:rFonts w:ascii="楷体" w:hAnsi="楷体" w:eastAsia="楷体" w:cs="楷体"/>
                                  <w:szCs w:val="21"/>
                                </w:rPr>
                              </w:pPr>
                            </w:p>
                            <w:p w14:paraId="3C777853">
                              <w:pPr>
                                <w:spacing w:line="360" w:lineRule="auto"/>
                                <w:ind w:firstLine="1680" w:firstLineChars="800"/>
                                <w:rPr>
                                  <w:rFonts w:ascii="楷体" w:hAnsi="楷体" w:eastAsia="楷体" w:cs="楷体"/>
                                  <w:szCs w:val="21"/>
                                </w:rPr>
                              </w:pPr>
                            </w:p>
                            <w:p w14:paraId="74BC4421">
                              <w:pPr>
                                <w:spacing w:line="360" w:lineRule="auto"/>
                                <w:ind w:firstLine="1680" w:firstLineChars="800"/>
                                <w:rPr>
                                  <w:rFonts w:ascii="楷体" w:hAnsi="楷体" w:eastAsia="楷体" w:cs="楷体"/>
                                  <w:szCs w:val="21"/>
                                </w:rPr>
                              </w:pPr>
                            </w:p>
                            <w:p w14:paraId="13FA4D26">
                              <w:pPr>
                                <w:spacing w:line="360" w:lineRule="auto"/>
                                <w:ind w:firstLine="1680" w:firstLineChars="800"/>
                                <w:rPr>
                                  <w:rFonts w:ascii="楷体" w:hAnsi="楷体" w:eastAsia="楷体" w:cs="楷体"/>
                                  <w:szCs w:val="21"/>
                                </w:rPr>
                              </w:pPr>
                            </w:p>
                            <w:p w14:paraId="2F11FB21">
                              <w:pPr>
                                <w:jc w:val="right"/>
                                <w:rPr>
                                  <w:rFonts w:ascii="仿宋_GB2312" w:hAnsi="仿宋_GB2312" w:eastAsia="仿宋_GB2312" w:cs="仿宋_GB2312"/>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0" o:spid="_x0000_s1026" o:spt="203" style="position:absolute;left:0pt;margin-left:-21pt;margin-top:1.05pt;height:178.8pt;width:448.6pt;z-index:251664384;mso-width-relative:page;mso-height-relative:page;" coordorigin="10248,111968" coordsize="9450,3990" o:gfxdata="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zeqhG&#10;2gAAAAkBAAAPAAAAAAAAAAEAIAAAACIAAABkcnMvZG93bnJldi54bWxQSwECFAAUAAAACACHTuJA&#10;dxZ47wMDAACpCAAADgAAAAAAAAABACAAAAApAQAAZHJzL2Uyb0RvYy54bWxQSwUGAAAAAAYABgBZ&#10;AQAAngYAAAAA&#10;">
                <o:lock v:ext="edit" aspectratio="f"/>
                <v:shape id="文本框 45" o:spid="_x0000_s1026" o:spt="202" type="#_x0000_t202" style="position:absolute;left:10248;top:111982;height:3969;width:4481;" fillcolor="#FFFFFF" filled="t" stroked="f" coordsize="21600,21600" o:gfxdata="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cwQ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4214CA6A">
                        <w:pPr>
                          <w:spacing w:line="360" w:lineRule="auto"/>
                          <w:rPr>
                            <w:rFonts w:ascii="楷体" w:hAnsi="楷体" w:eastAsia="楷体" w:cs="楷体"/>
                            <w:szCs w:val="21"/>
                          </w:rPr>
                        </w:pPr>
                        <w:r>
                          <w:rPr>
                            <w:rFonts w:hint="eastAsia" w:ascii="楷体" w:hAnsi="楷体" w:eastAsia="楷体" w:cs="楷体"/>
                            <w:szCs w:val="21"/>
                          </w:rPr>
                          <w:t xml:space="preserve">甲方： </w:t>
                        </w:r>
                      </w:p>
                      <w:p w14:paraId="493CA71E">
                        <w:pPr>
                          <w:spacing w:line="360" w:lineRule="auto"/>
                          <w:rPr>
                            <w:rFonts w:ascii="楷体" w:hAnsi="楷体" w:eastAsia="楷体" w:cs="楷体"/>
                            <w:szCs w:val="21"/>
                          </w:rPr>
                        </w:pPr>
                        <w:r>
                          <w:rPr>
                            <w:rFonts w:hint="eastAsia" w:ascii="楷体" w:hAnsi="楷体" w:eastAsia="楷体" w:cs="楷体"/>
                            <w:szCs w:val="21"/>
                          </w:rPr>
                          <w:t>法定代表人：</w:t>
                        </w:r>
                      </w:p>
                      <w:p w14:paraId="673C40AE">
                        <w:pPr>
                          <w:spacing w:line="360" w:lineRule="auto"/>
                          <w:rPr>
                            <w:rFonts w:ascii="楷体" w:hAnsi="楷体" w:eastAsia="楷体" w:cs="楷体"/>
                            <w:szCs w:val="21"/>
                          </w:rPr>
                        </w:pPr>
                        <w:r>
                          <w:rPr>
                            <w:rFonts w:hint="eastAsia" w:ascii="楷体" w:hAnsi="楷体" w:eastAsia="楷体" w:cs="楷体"/>
                            <w:szCs w:val="21"/>
                          </w:rPr>
                          <w:t>或</w:t>
                        </w:r>
                      </w:p>
                      <w:p w14:paraId="5D22BCB4">
                        <w:pPr>
                          <w:spacing w:line="360" w:lineRule="auto"/>
                          <w:rPr>
                            <w:rFonts w:ascii="楷体" w:hAnsi="楷体" w:eastAsia="楷体" w:cs="楷体"/>
                            <w:szCs w:val="21"/>
                          </w:rPr>
                        </w:pPr>
                        <w:r>
                          <w:rPr>
                            <w:rFonts w:hint="eastAsia" w:ascii="楷体" w:hAnsi="楷体" w:eastAsia="楷体" w:cs="楷体"/>
                            <w:szCs w:val="21"/>
                          </w:rPr>
                          <w:t>委托代理人：</w:t>
                        </w:r>
                      </w:p>
                      <w:p w14:paraId="74A18EB2">
                        <w:pPr>
                          <w:jc w:val="right"/>
                          <w:rPr>
                            <w:rFonts w:ascii="仿宋_GB2312" w:hAnsi="仿宋_GB2312" w:eastAsia="仿宋_GB2312" w:cs="仿宋_GB2312"/>
                            <w:sz w:val="28"/>
                            <w:szCs w:val="28"/>
                          </w:rPr>
                        </w:pPr>
                        <w:r>
                          <w:rPr>
                            <w:rFonts w:hint="eastAsia" w:ascii="楷体" w:hAnsi="楷体" w:eastAsia="楷体" w:cs="楷体"/>
                            <w:szCs w:val="21"/>
                          </w:rPr>
                          <w:t>日期：年月日</w:t>
                        </w:r>
                      </w:p>
                    </w:txbxContent>
                  </v:textbox>
                </v:shape>
                <v:shape id="文本框 46" o:spid="_x0000_s1026" o:spt="202" type="#_x0000_t202" style="position:absolute;left:14868;top:111968;height:3990;width:4830;" fillcolor="#FFFFFF" filled="t" stroked="f" coordsize="21600,21600"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02AF4E6D">
                        <w:pPr>
                          <w:spacing w:line="360" w:lineRule="auto"/>
                          <w:rPr>
                            <w:rFonts w:ascii="楷体" w:hAnsi="楷体" w:eastAsia="楷体" w:cs="楷体"/>
                            <w:szCs w:val="21"/>
                          </w:rPr>
                        </w:pPr>
                        <w:r>
                          <w:rPr>
                            <w:rFonts w:hint="eastAsia" w:ascii="楷体" w:hAnsi="楷体" w:eastAsia="楷体" w:cs="楷体"/>
                            <w:szCs w:val="21"/>
                          </w:rPr>
                          <w:t>乙方：</w:t>
                        </w:r>
                      </w:p>
                      <w:p w14:paraId="71574EB7">
                        <w:pPr>
                          <w:spacing w:line="360" w:lineRule="auto"/>
                          <w:rPr>
                            <w:rFonts w:ascii="楷体" w:hAnsi="楷体" w:eastAsia="楷体" w:cs="楷体"/>
                            <w:szCs w:val="21"/>
                          </w:rPr>
                        </w:pPr>
                        <w:r>
                          <w:rPr>
                            <w:rFonts w:hint="eastAsia" w:ascii="楷体" w:hAnsi="楷体" w:eastAsia="楷体" w:cs="楷体"/>
                            <w:szCs w:val="21"/>
                          </w:rPr>
                          <w:t>法定代表人/负责人：</w:t>
                        </w:r>
                      </w:p>
                      <w:p w14:paraId="0DE7EE15">
                        <w:pPr>
                          <w:spacing w:line="360" w:lineRule="auto"/>
                          <w:rPr>
                            <w:rFonts w:ascii="楷体" w:hAnsi="楷体" w:eastAsia="楷体" w:cs="楷体"/>
                            <w:szCs w:val="21"/>
                          </w:rPr>
                        </w:pPr>
                        <w:r>
                          <w:rPr>
                            <w:rFonts w:hint="eastAsia" w:ascii="楷体" w:hAnsi="楷体" w:eastAsia="楷体" w:cs="楷体"/>
                            <w:szCs w:val="21"/>
                          </w:rPr>
                          <w:t>或</w:t>
                        </w:r>
                      </w:p>
                      <w:p w14:paraId="22CE2377">
                        <w:pPr>
                          <w:spacing w:line="360" w:lineRule="auto"/>
                          <w:rPr>
                            <w:rFonts w:ascii="楷体" w:hAnsi="楷体" w:eastAsia="楷体" w:cs="楷体"/>
                            <w:szCs w:val="21"/>
                          </w:rPr>
                        </w:pPr>
                        <w:r>
                          <w:rPr>
                            <w:rFonts w:hint="eastAsia" w:ascii="楷体" w:hAnsi="楷体" w:eastAsia="楷体" w:cs="楷体"/>
                            <w:szCs w:val="21"/>
                          </w:rPr>
                          <w:t>委托代理人：</w:t>
                        </w:r>
                      </w:p>
                      <w:p w14:paraId="7BD18653">
                        <w:pPr>
                          <w:spacing w:line="360" w:lineRule="auto"/>
                          <w:ind w:firstLine="1680" w:firstLineChars="800"/>
                          <w:rPr>
                            <w:rFonts w:ascii="楷体" w:hAnsi="楷体" w:eastAsia="楷体" w:cs="楷体"/>
                            <w:szCs w:val="21"/>
                          </w:rPr>
                        </w:pPr>
                        <w:r>
                          <w:rPr>
                            <w:rFonts w:hint="eastAsia" w:ascii="楷体" w:hAnsi="楷体" w:eastAsia="楷体" w:cs="楷体"/>
                            <w:szCs w:val="21"/>
                          </w:rPr>
                          <w:t>日期：年月日</w:t>
                        </w:r>
                      </w:p>
                      <w:p w14:paraId="228FE696">
                        <w:pPr>
                          <w:spacing w:line="360" w:lineRule="auto"/>
                          <w:ind w:firstLine="1680" w:firstLineChars="800"/>
                          <w:rPr>
                            <w:rFonts w:ascii="楷体" w:hAnsi="楷体" w:eastAsia="楷体" w:cs="楷体"/>
                            <w:szCs w:val="21"/>
                          </w:rPr>
                        </w:pPr>
                      </w:p>
                      <w:p w14:paraId="263963B5">
                        <w:pPr>
                          <w:spacing w:line="360" w:lineRule="auto"/>
                          <w:ind w:firstLine="1680" w:firstLineChars="800"/>
                          <w:rPr>
                            <w:rFonts w:ascii="楷体" w:hAnsi="楷体" w:eastAsia="楷体" w:cs="楷体"/>
                            <w:szCs w:val="21"/>
                          </w:rPr>
                        </w:pPr>
                      </w:p>
                      <w:p w14:paraId="267D9E84">
                        <w:pPr>
                          <w:spacing w:line="360" w:lineRule="auto"/>
                          <w:ind w:firstLine="1680" w:firstLineChars="800"/>
                          <w:rPr>
                            <w:rFonts w:ascii="楷体" w:hAnsi="楷体" w:eastAsia="楷体" w:cs="楷体"/>
                            <w:szCs w:val="21"/>
                          </w:rPr>
                        </w:pPr>
                      </w:p>
                      <w:p w14:paraId="44EBBE41">
                        <w:pPr>
                          <w:spacing w:line="360" w:lineRule="auto"/>
                          <w:ind w:firstLine="1680" w:firstLineChars="800"/>
                          <w:rPr>
                            <w:rFonts w:ascii="楷体" w:hAnsi="楷体" w:eastAsia="楷体" w:cs="楷体"/>
                            <w:szCs w:val="21"/>
                          </w:rPr>
                        </w:pPr>
                      </w:p>
                      <w:p w14:paraId="254DEEBD">
                        <w:pPr>
                          <w:spacing w:line="360" w:lineRule="auto"/>
                          <w:ind w:firstLine="1680" w:firstLineChars="800"/>
                          <w:rPr>
                            <w:rFonts w:ascii="楷体" w:hAnsi="楷体" w:eastAsia="楷体" w:cs="楷体"/>
                            <w:szCs w:val="21"/>
                          </w:rPr>
                        </w:pPr>
                      </w:p>
                      <w:p w14:paraId="427A3325">
                        <w:pPr>
                          <w:spacing w:line="360" w:lineRule="auto"/>
                          <w:ind w:firstLine="1680" w:firstLineChars="800"/>
                          <w:rPr>
                            <w:rFonts w:ascii="楷体" w:hAnsi="楷体" w:eastAsia="楷体" w:cs="楷体"/>
                            <w:szCs w:val="21"/>
                          </w:rPr>
                        </w:pPr>
                      </w:p>
                      <w:p w14:paraId="37EBA9AF">
                        <w:pPr>
                          <w:spacing w:line="360" w:lineRule="auto"/>
                          <w:ind w:firstLine="1680" w:firstLineChars="800"/>
                          <w:rPr>
                            <w:rFonts w:ascii="楷体" w:hAnsi="楷体" w:eastAsia="楷体" w:cs="楷体"/>
                            <w:szCs w:val="21"/>
                          </w:rPr>
                        </w:pPr>
                      </w:p>
                      <w:p w14:paraId="3A01E9B4">
                        <w:pPr>
                          <w:spacing w:line="360" w:lineRule="auto"/>
                          <w:ind w:firstLine="1680" w:firstLineChars="800"/>
                          <w:rPr>
                            <w:rFonts w:ascii="楷体" w:hAnsi="楷体" w:eastAsia="楷体" w:cs="楷体"/>
                            <w:szCs w:val="21"/>
                          </w:rPr>
                        </w:pPr>
                      </w:p>
                      <w:p w14:paraId="3C777853">
                        <w:pPr>
                          <w:spacing w:line="360" w:lineRule="auto"/>
                          <w:ind w:firstLine="1680" w:firstLineChars="800"/>
                          <w:rPr>
                            <w:rFonts w:ascii="楷体" w:hAnsi="楷体" w:eastAsia="楷体" w:cs="楷体"/>
                            <w:szCs w:val="21"/>
                          </w:rPr>
                        </w:pPr>
                      </w:p>
                      <w:p w14:paraId="74BC4421">
                        <w:pPr>
                          <w:spacing w:line="360" w:lineRule="auto"/>
                          <w:ind w:firstLine="1680" w:firstLineChars="800"/>
                          <w:rPr>
                            <w:rFonts w:ascii="楷体" w:hAnsi="楷体" w:eastAsia="楷体" w:cs="楷体"/>
                            <w:szCs w:val="21"/>
                          </w:rPr>
                        </w:pPr>
                      </w:p>
                      <w:p w14:paraId="13FA4D26">
                        <w:pPr>
                          <w:spacing w:line="360" w:lineRule="auto"/>
                          <w:ind w:firstLine="1680" w:firstLineChars="800"/>
                          <w:rPr>
                            <w:rFonts w:ascii="楷体" w:hAnsi="楷体" w:eastAsia="楷体" w:cs="楷体"/>
                            <w:szCs w:val="21"/>
                          </w:rPr>
                        </w:pPr>
                      </w:p>
                      <w:p w14:paraId="2F11FB21">
                        <w:pPr>
                          <w:jc w:val="right"/>
                          <w:rPr>
                            <w:rFonts w:ascii="仿宋_GB2312" w:hAnsi="仿宋_GB2312" w:eastAsia="仿宋_GB2312" w:cs="仿宋_GB2312"/>
                            <w:sz w:val="28"/>
                            <w:szCs w:val="28"/>
                          </w:rPr>
                        </w:pPr>
                      </w:p>
                    </w:txbxContent>
                  </v:textbox>
                </v:shape>
              </v:group>
            </w:pict>
          </mc:Fallback>
        </mc:AlternateContent>
      </w:r>
    </w:p>
    <w:p w14:paraId="3439BEDA">
      <w:pPr>
        <w:spacing w:line="360" w:lineRule="auto"/>
        <w:ind w:right="1203"/>
        <w:rPr>
          <w:rFonts w:ascii="楷体" w:hAnsi="楷体" w:eastAsia="楷体" w:cs="楷体"/>
          <w:color w:val="auto"/>
          <w:kern w:val="0"/>
          <w:sz w:val="28"/>
          <w:szCs w:val="28"/>
        </w:rPr>
      </w:pPr>
    </w:p>
    <w:p w14:paraId="15258C6C">
      <w:pPr>
        <w:keepNext/>
        <w:keepLines/>
        <w:tabs>
          <w:tab w:val="left" w:pos="1440"/>
        </w:tabs>
        <w:spacing w:before="5280" w:beforeLines="2200" w:after="5280" w:afterLines="2200"/>
        <w:jc w:val="center"/>
        <w:rPr>
          <w:rFonts w:ascii="楷体" w:hAnsi="楷体" w:eastAsia="楷体" w:cs="楷体"/>
          <w:color w:val="auto"/>
        </w:rPr>
      </w:pPr>
      <w:r>
        <w:rPr>
          <w:rFonts w:hint="eastAsia" w:ascii="楷体" w:hAnsi="楷体" w:eastAsia="楷体" w:cs="楷体"/>
          <w:color w:val="auto"/>
          <w:szCs w:val="21"/>
        </w:rPr>
        <w:br w:type="page"/>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Start w:id="332" w:name="_Toc182886663"/>
      <w:bookmarkStart w:id="333" w:name="_Toc196294633"/>
      <w:bookmarkStart w:id="334" w:name="_Toc183316723"/>
    </w:p>
    <w:p w14:paraId="4F0B7431">
      <w:pPr>
        <w:pStyle w:val="2"/>
        <w:spacing w:before="5280" w:beforeLines="2200" w:after="5280" w:afterLines="2200"/>
        <w:jc w:val="center"/>
        <w:rPr>
          <w:rFonts w:ascii="楷体" w:hAnsi="楷体" w:eastAsia="楷体" w:cs="楷体"/>
          <w:color w:val="auto"/>
        </w:rPr>
      </w:pPr>
    </w:p>
    <w:p w14:paraId="43C07B7E">
      <w:pPr>
        <w:pStyle w:val="2"/>
        <w:spacing w:before="5280" w:beforeLines="2200" w:after="5280" w:afterLines="2200"/>
        <w:jc w:val="center"/>
        <w:rPr>
          <w:rFonts w:ascii="楷体" w:hAnsi="楷体" w:eastAsia="楷体" w:cs="楷体"/>
          <w:color w:val="auto"/>
        </w:rPr>
      </w:pPr>
      <w:r>
        <w:rPr>
          <w:rFonts w:hint="eastAsia" w:ascii="楷体" w:hAnsi="楷体" w:eastAsia="楷体" w:cs="楷体"/>
          <w:color w:val="auto"/>
        </w:rPr>
        <w:t>第六章投标文件格式</w:t>
      </w:r>
    </w:p>
    <w:p w14:paraId="20CD5680">
      <w:pPr>
        <w:jc w:val="center"/>
        <w:rPr>
          <w:rFonts w:ascii="楷体" w:hAnsi="楷体" w:eastAsia="楷体" w:cs="楷体"/>
          <w:b/>
          <w:bCs/>
          <w:color w:val="auto"/>
          <w:sz w:val="57"/>
        </w:rPr>
      </w:pPr>
    </w:p>
    <w:p w14:paraId="35BA75FA">
      <w:pPr>
        <w:jc w:val="center"/>
        <w:rPr>
          <w:rFonts w:ascii="楷体" w:hAnsi="楷体" w:eastAsia="楷体" w:cs="楷体"/>
          <w:b/>
          <w:bCs/>
          <w:color w:val="auto"/>
          <w:sz w:val="57"/>
        </w:rPr>
      </w:pPr>
    </w:p>
    <w:p w14:paraId="1590FCDC">
      <w:pPr>
        <w:jc w:val="center"/>
        <w:rPr>
          <w:rFonts w:ascii="楷体" w:hAnsi="楷体" w:eastAsia="楷体" w:cs="楷体"/>
          <w:b/>
          <w:bCs/>
          <w:color w:val="auto"/>
          <w:sz w:val="57"/>
        </w:rPr>
      </w:pPr>
      <w:r>
        <w:rPr>
          <w:rFonts w:hint="eastAsia" w:ascii="楷体" w:hAnsi="楷体" w:eastAsia="楷体" w:cs="楷体"/>
          <w:b/>
          <w:bCs/>
          <w:color w:val="auto"/>
          <w:sz w:val="57"/>
        </w:rPr>
        <w:t>投标文件</w:t>
      </w:r>
    </w:p>
    <w:p w14:paraId="7C1F3D6D">
      <w:pPr>
        <w:jc w:val="center"/>
        <w:rPr>
          <w:rFonts w:ascii="楷体" w:hAnsi="楷体" w:eastAsia="楷体" w:cs="楷体"/>
          <w:color w:val="auto"/>
          <w:sz w:val="57"/>
        </w:rPr>
      </w:pPr>
    </w:p>
    <w:p w14:paraId="52372278">
      <w:pPr>
        <w:jc w:val="center"/>
        <w:rPr>
          <w:rFonts w:ascii="楷体" w:hAnsi="楷体" w:eastAsia="楷体" w:cs="楷体"/>
          <w:color w:val="auto"/>
          <w:sz w:val="47"/>
        </w:rPr>
      </w:pPr>
      <w:r>
        <w:rPr>
          <w:rFonts w:hint="eastAsia" w:ascii="楷体" w:hAnsi="楷体" w:eastAsia="楷体" w:cs="楷体"/>
          <w:color w:val="auto"/>
          <w:sz w:val="47"/>
        </w:rPr>
        <w:t>（正本）</w:t>
      </w:r>
    </w:p>
    <w:p w14:paraId="625F6F36">
      <w:pPr>
        <w:rPr>
          <w:rFonts w:ascii="楷体" w:hAnsi="楷体" w:eastAsia="楷体" w:cs="楷体"/>
          <w:color w:val="auto"/>
        </w:rPr>
      </w:pPr>
    </w:p>
    <w:p w14:paraId="5463140A">
      <w:pPr>
        <w:rPr>
          <w:rFonts w:ascii="楷体" w:hAnsi="楷体" w:eastAsia="楷体" w:cs="楷体"/>
          <w:color w:val="auto"/>
        </w:rPr>
      </w:pPr>
    </w:p>
    <w:p w14:paraId="1FD0A3C9">
      <w:pPr>
        <w:rPr>
          <w:rFonts w:ascii="楷体" w:hAnsi="楷体" w:eastAsia="楷体" w:cs="楷体"/>
          <w:color w:val="auto"/>
        </w:rPr>
      </w:pPr>
    </w:p>
    <w:p w14:paraId="73D2E1EE">
      <w:pPr>
        <w:rPr>
          <w:rFonts w:ascii="楷体" w:hAnsi="楷体" w:eastAsia="楷体" w:cs="楷体"/>
          <w:color w:val="auto"/>
        </w:rPr>
      </w:pPr>
    </w:p>
    <w:p w14:paraId="14FFE913">
      <w:pPr>
        <w:adjustRightInd w:val="0"/>
        <w:snapToGrid w:val="0"/>
        <w:spacing w:line="360" w:lineRule="auto"/>
        <w:rPr>
          <w:rFonts w:ascii="楷体" w:hAnsi="楷体" w:eastAsia="楷体" w:cs="楷体"/>
          <w:color w:val="auto"/>
          <w:sz w:val="28"/>
          <w:szCs w:val="28"/>
        </w:rPr>
      </w:pPr>
      <w:r>
        <w:rPr>
          <w:rFonts w:hint="eastAsia" w:ascii="楷体" w:hAnsi="楷体" w:eastAsia="楷体" w:cs="楷体"/>
          <w:color w:val="auto"/>
          <w:sz w:val="28"/>
          <w:szCs w:val="28"/>
        </w:rPr>
        <w:t xml:space="preserve">项目名称： </w:t>
      </w:r>
    </w:p>
    <w:p w14:paraId="6DC68F91">
      <w:pPr>
        <w:adjustRightInd w:val="0"/>
        <w:snapToGrid w:val="0"/>
        <w:spacing w:line="360" w:lineRule="auto"/>
        <w:rPr>
          <w:rFonts w:ascii="楷体" w:hAnsi="楷体" w:eastAsia="楷体" w:cs="楷体"/>
          <w:color w:val="auto"/>
          <w:sz w:val="28"/>
          <w:szCs w:val="28"/>
        </w:rPr>
      </w:pPr>
      <w:r>
        <w:rPr>
          <w:rFonts w:hint="eastAsia" w:ascii="楷体" w:hAnsi="楷体" w:eastAsia="楷体" w:cs="楷体"/>
          <w:color w:val="auto"/>
          <w:sz w:val="28"/>
          <w:szCs w:val="28"/>
        </w:rPr>
        <w:t xml:space="preserve">项目编号： </w:t>
      </w:r>
    </w:p>
    <w:p w14:paraId="03C2BC74">
      <w:pPr>
        <w:adjustRightInd w:val="0"/>
        <w:snapToGrid w:val="0"/>
        <w:spacing w:line="360" w:lineRule="auto"/>
        <w:rPr>
          <w:rFonts w:ascii="楷体" w:hAnsi="楷体" w:eastAsia="楷体" w:cs="楷体"/>
          <w:color w:val="auto"/>
          <w:sz w:val="28"/>
          <w:szCs w:val="28"/>
        </w:rPr>
      </w:pPr>
    </w:p>
    <w:p w14:paraId="0865B30F">
      <w:pPr>
        <w:adjustRightInd w:val="0"/>
        <w:snapToGrid w:val="0"/>
        <w:spacing w:line="360" w:lineRule="auto"/>
        <w:rPr>
          <w:rFonts w:ascii="楷体" w:hAnsi="楷体" w:eastAsia="楷体" w:cs="楷体"/>
          <w:color w:val="auto"/>
          <w:sz w:val="28"/>
          <w:szCs w:val="28"/>
        </w:rPr>
      </w:pPr>
    </w:p>
    <w:p w14:paraId="1CAC27C0">
      <w:pPr>
        <w:adjustRightInd w:val="0"/>
        <w:snapToGrid w:val="0"/>
        <w:spacing w:line="360" w:lineRule="auto"/>
        <w:rPr>
          <w:rFonts w:ascii="楷体" w:hAnsi="楷体" w:eastAsia="楷体" w:cs="楷体"/>
          <w:color w:val="auto"/>
          <w:sz w:val="28"/>
          <w:szCs w:val="28"/>
        </w:rPr>
      </w:pPr>
    </w:p>
    <w:p w14:paraId="1A103547">
      <w:pPr>
        <w:adjustRightInd w:val="0"/>
        <w:snapToGrid w:val="0"/>
        <w:spacing w:line="360" w:lineRule="auto"/>
        <w:rPr>
          <w:rFonts w:ascii="楷体" w:hAnsi="楷体" w:eastAsia="楷体" w:cs="楷体"/>
          <w:color w:val="auto"/>
          <w:sz w:val="28"/>
          <w:szCs w:val="28"/>
        </w:rPr>
      </w:pPr>
    </w:p>
    <w:p w14:paraId="3C047603">
      <w:pPr>
        <w:pStyle w:val="52"/>
        <w:rPr>
          <w:rFonts w:ascii="楷体" w:hAnsi="楷体" w:eastAsia="楷体" w:cs="楷体"/>
          <w:color w:val="auto"/>
        </w:rPr>
      </w:pPr>
    </w:p>
    <w:p w14:paraId="7B1205A2">
      <w:pPr>
        <w:adjustRightInd w:val="0"/>
        <w:snapToGrid w:val="0"/>
        <w:spacing w:line="360" w:lineRule="auto"/>
        <w:rPr>
          <w:rFonts w:ascii="楷体" w:hAnsi="楷体" w:eastAsia="楷体" w:cs="楷体"/>
          <w:color w:val="auto"/>
          <w:sz w:val="28"/>
          <w:szCs w:val="28"/>
        </w:rPr>
      </w:pPr>
      <w:r>
        <w:rPr>
          <w:rFonts w:hint="eastAsia" w:ascii="楷体" w:hAnsi="楷体" w:eastAsia="楷体" w:cs="楷体"/>
          <w:color w:val="auto"/>
          <w:sz w:val="28"/>
          <w:szCs w:val="28"/>
        </w:rPr>
        <w:t xml:space="preserve">投标供应商（服务商）名称（盖章）：                </w:t>
      </w:r>
    </w:p>
    <w:p w14:paraId="587FF93B">
      <w:pPr>
        <w:adjustRightInd w:val="0"/>
        <w:snapToGrid w:val="0"/>
        <w:spacing w:line="360" w:lineRule="auto"/>
        <w:rPr>
          <w:rFonts w:ascii="楷体" w:hAnsi="楷体" w:eastAsia="楷体" w:cs="楷体"/>
          <w:color w:val="auto"/>
          <w:sz w:val="28"/>
          <w:szCs w:val="28"/>
        </w:rPr>
      </w:pPr>
      <w:r>
        <w:rPr>
          <w:rFonts w:hint="eastAsia" w:ascii="楷体" w:hAnsi="楷体" w:eastAsia="楷体" w:cs="楷体"/>
          <w:color w:val="auto"/>
          <w:sz w:val="28"/>
          <w:szCs w:val="28"/>
        </w:rPr>
        <w:t>日期：年月日</w:t>
      </w:r>
    </w:p>
    <w:p w14:paraId="531EA3D9">
      <w:pPr>
        <w:adjustRightInd w:val="0"/>
        <w:snapToGrid w:val="0"/>
        <w:spacing w:line="360" w:lineRule="auto"/>
        <w:rPr>
          <w:rFonts w:ascii="楷体" w:hAnsi="楷体" w:eastAsia="楷体" w:cs="楷体"/>
          <w:color w:val="auto"/>
          <w:sz w:val="28"/>
          <w:szCs w:val="28"/>
        </w:rPr>
      </w:pPr>
    </w:p>
    <w:p w14:paraId="26A3B450">
      <w:pPr>
        <w:adjustRightInd w:val="0"/>
        <w:snapToGrid w:val="0"/>
        <w:spacing w:line="360" w:lineRule="auto"/>
        <w:rPr>
          <w:rFonts w:ascii="楷体" w:hAnsi="楷体" w:eastAsia="楷体" w:cs="楷体"/>
          <w:color w:val="auto"/>
          <w:sz w:val="28"/>
          <w:szCs w:val="28"/>
        </w:rPr>
      </w:pPr>
    </w:p>
    <w:p w14:paraId="50236FFE">
      <w:pPr>
        <w:adjustRightInd w:val="0"/>
        <w:snapToGrid w:val="0"/>
        <w:spacing w:line="360" w:lineRule="auto"/>
        <w:rPr>
          <w:rFonts w:ascii="楷体" w:hAnsi="楷体" w:eastAsia="楷体" w:cs="楷体"/>
          <w:color w:val="auto"/>
          <w:sz w:val="28"/>
          <w:szCs w:val="28"/>
        </w:rPr>
      </w:pPr>
    </w:p>
    <w:p w14:paraId="7F109284">
      <w:pPr>
        <w:adjustRightInd w:val="0"/>
        <w:snapToGrid w:val="0"/>
        <w:spacing w:line="360" w:lineRule="auto"/>
        <w:rPr>
          <w:rFonts w:ascii="楷体" w:hAnsi="楷体" w:eastAsia="楷体" w:cs="楷体"/>
          <w:color w:val="auto"/>
          <w:sz w:val="28"/>
          <w:szCs w:val="28"/>
        </w:rPr>
      </w:pPr>
    </w:p>
    <w:bookmarkEnd w:id="332"/>
    <w:bookmarkEnd w:id="333"/>
    <w:bookmarkEnd w:id="334"/>
    <w:p w14:paraId="02ECD3BB">
      <w:pPr>
        <w:spacing w:before="72" w:after="72" w:line="400" w:lineRule="exact"/>
        <w:rPr>
          <w:rFonts w:ascii="楷体" w:hAnsi="楷体" w:eastAsia="楷体" w:cs="楷体"/>
          <w:b/>
          <w:color w:val="auto"/>
          <w:sz w:val="24"/>
        </w:rPr>
      </w:pPr>
      <w:bookmarkStart w:id="335" w:name="_Toc26694"/>
    </w:p>
    <w:p w14:paraId="04347CE6">
      <w:pPr>
        <w:spacing w:before="72" w:after="72" w:line="400" w:lineRule="exact"/>
        <w:rPr>
          <w:rFonts w:ascii="楷体" w:hAnsi="楷体" w:eastAsia="楷体" w:cs="楷体"/>
          <w:b/>
          <w:color w:val="auto"/>
          <w:sz w:val="24"/>
        </w:rPr>
      </w:pPr>
    </w:p>
    <w:p w14:paraId="167DDAB0">
      <w:pPr>
        <w:spacing w:before="72" w:after="72" w:line="400" w:lineRule="exact"/>
        <w:rPr>
          <w:rFonts w:ascii="楷体" w:hAnsi="楷体" w:eastAsia="楷体" w:cs="楷体"/>
          <w:b/>
          <w:color w:val="auto"/>
          <w:sz w:val="24"/>
        </w:rPr>
      </w:pPr>
    </w:p>
    <w:p w14:paraId="07E009AE">
      <w:pPr>
        <w:spacing w:before="72" w:after="72" w:line="400" w:lineRule="exact"/>
        <w:rPr>
          <w:rFonts w:ascii="楷体" w:hAnsi="楷体" w:eastAsia="楷体" w:cs="楷体"/>
          <w:b/>
          <w:color w:val="auto"/>
          <w:sz w:val="24"/>
        </w:rPr>
      </w:pPr>
    </w:p>
    <w:p w14:paraId="2EF4F389">
      <w:pPr>
        <w:spacing w:before="72" w:after="72" w:line="400" w:lineRule="exact"/>
        <w:rPr>
          <w:rFonts w:ascii="楷体" w:hAnsi="楷体" w:eastAsia="楷体" w:cs="楷体"/>
          <w:b/>
          <w:color w:val="auto"/>
          <w:sz w:val="24"/>
        </w:rPr>
      </w:pPr>
    </w:p>
    <w:p w14:paraId="0EF05DDB">
      <w:pPr>
        <w:spacing w:before="72" w:after="72" w:line="400" w:lineRule="exact"/>
        <w:rPr>
          <w:rFonts w:ascii="楷体" w:hAnsi="楷体" w:eastAsia="楷体" w:cs="楷体"/>
          <w:b/>
          <w:color w:val="auto"/>
          <w:sz w:val="24"/>
        </w:rPr>
      </w:pPr>
    </w:p>
    <w:p w14:paraId="6BAB5B7F">
      <w:pPr>
        <w:spacing w:before="72" w:after="72" w:line="400" w:lineRule="exact"/>
        <w:rPr>
          <w:rFonts w:ascii="楷体" w:hAnsi="楷体" w:eastAsia="楷体" w:cs="楷体"/>
          <w:b/>
          <w:color w:val="auto"/>
          <w:sz w:val="24"/>
        </w:rPr>
      </w:pPr>
    </w:p>
    <w:p w14:paraId="64D449FC">
      <w:pPr>
        <w:spacing w:before="72" w:after="72" w:line="400" w:lineRule="exact"/>
        <w:rPr>
          <w:rFonts w:ascii="楷体" w:hAnsi="楷体" w:eastAsia="楷体" w:cs="楷体"/>
          <w:b/>
          <w:color w:val="auto"/>
          <w:sz w:val="24"/>
        </w:rPr>
      </w:pPr>
    </w:p>
    <w:p w14:paraId="4557517E">
      <w:pPr>
        <w:spacing w:before="72" w:after="72" w:line="400" w:lineRule="exact"/>
        <w:rPr>
          <w:rFonts w:ascii="楷体" w:hAnsi="楷体" w:eastAsia="楷体" w:cs="楷体"/>
          <w:b/>
          <w:color w:val="auto"/>
          <w:sz w:val="24"/>
        </w:rPr>
      </w:pPr>
    </w:p>
    <w:p w14:paraId="17214F97">
      <w:pPr>
        <w:spacing w:before="72" w:after="72" w:line="400" w:lineRule="exact"/>
        <w:rPr>
          <w:rFonts w:ascii="楷体" w:hAnsi="楷体" w:eastAsia="楷体" w:cs="楷体"/>
          <w:b/>
          <w:color w:val="auto"/>
          <w:sz w:val="24"/>
        </w:rPr>
      </w:pPr>
    </w:p>
    <w:p w14:paraId="6D06B954">
      <w:pPr>
        <w:pStyle w:val="52"/>
        <w:rPr>
          <w:rFonts w:ascii="楷体" w:hAnsi="楷体" w:eastAsia="楷体" w:cs="楷体"/>
          <w:b/>
          <w:color w:val="auto"/>
          <w:sz w:val="24"/>
        </w:rPr>
      </w:pPr>
    </w:p>
    <w:p w14:paraId="0DA8FBF2">
      <w:pPr>
        <w:pStyle w:val="34"/>
        <w:rPr>
          <w:rFonts w:ascii="楷体" w:hAnsi="楷体" w:eastAsia="楷体" w:cs="楷体"/>
          <w:color w:val="auto"/>
        </w:rPr>
      </w:pPr>
    </w:p>
    <w:p w14:paraId="49C9D3AF">
      <w:pPr>
        <w:spacing w:before="72" w:after="72" w:line="400" w:lineRule="exact"/>
        <w:rPr>
          <w:rFonts w:ascii="楷体" w:hAnsi="楷体" w:eastAsia="楷体" w:cs="楷体"/>
          <w:b/>
          <w:color w:val="auto"/>
          <w:sz w:val="24"/>
        </w:rPr>
      </w:pPr>
    </w:p>
    <w:p w14:paraId="3A305E55">
      <w:pPr>
        <w:spacing w:before="72" w:after="72" w:line="400" w:lineRule="exact"/>
        <w:rPr>
          <w:rFonts w:ascii="楷体" w:hAnsi="楷体" w:eastAsia="楷体" w:cs="楷体"/>
          <w:b/>
          <w:color w:val="auto"/>
          <w:sz w:val="24"/>
        </w:rPr>
      </w:pPr>
    </w:p>
    <w:p w14:paraId="1857AAF1">
      <w:pPr>
        <w:rPr>
          <w:rFonts w:ascii="楷体" w:hAnsi="楷体" w:eastAsia="楷体" w:cs="楷体"/>
          <w:color w:val="auto"/>
        </w:rPr>
      </w:pPr>
    </w:p>
    <w:p w14:paraId="38AE7FA2">
      <w:pPr>
        <w:rPr>
          <w:rFonts w:ascii="楷体" w:hAnsi="楷体" w:eastAsia="楷体" w:cs="楷体"/>
          <w:color w:val="auto"/>
        </w:rPr>
      </w:pPr>
    </w:p>
    <w:p w14:paraId="2E638C28">
      <w:pPr>
        <w:tabs>
          <w:tab w:val="left" w:pos="720"/>
        </w:tabs>
        <w:jc w:val="center"/>
        <w:outlineLvl w:val="1"/>
        <w:rPr>
          <w:rFonts w:ascii="楷体" w:hAnsi="楷体" w:eastAsia="楷体" w:cs="楷体"/>
          <w:b/>
          <w:bCs/>
          <w:color w:val="auto"/>
          <w:sz w:val="44"/>
          <w:szCs w:val="44"/>
        </w:rPr>
      </w:pPr>
      <w:bookmarkStart w:id="336" w:name="_Toc3326"/>
      <w:bookmarkStart w:id="337" w:name="_Toc13566"/>
      <w:bookmarkStart w:id="338" w:name="_Toc25668"/>
      <w:bookmarkStart w:id="339" w:name="_Toc7080"/>
      <w:bookmarkStart w:id="340" w:name="_Toc17761"/>
      <w:r>
        <w:rPr>
          <w:rFonts w:hint="eastAsia" w:ascii="楷体" w:hAnsi="楷体" w:eastAsia="楷体" w:cs="楷体"/>
          <w:b/>
          <w:bCs/>
          <w:color w:val="auto"/>
          <w:sz w:val="44"/>
          <w:szCs w:val="44"/>
        </w:rPr>
        <w:t>第一部分自查表</w:t>
      </w:r>
      <w:bookmarkEnd w:id="336"/>
      <w:bookmarkEnd w:id="337"/>
      <w:bookmarkEnd w:id="338"/>
      <w:bookmarkEnd w:id="339"/>
      <w:bookmarkEnd w:id="340"/>
    </w:p>
    <w:p w14:paraId="645076C8">
      <w:pPr>
        <w:widowControl/>
        <w:jc w:val="left"/>
        <w:rPr>
          <w:rFonts w:ascii="楷体" w:hAnsi="楷体" w:eastAsia="楷体" w:cs="楷体"/>
          <w:b/>
          <w:bCs/>
          <w:color w:val="auto"/>
          <w:sz w:val="32"/>
          <w:szCs w:val="32"/>
        </w:rPr>
      </w:pPr>
      <w:r>
        <w:rPr>
          <w:rFonts w:hint="eastAsia" w:ascii="楷体" w:hAnsi="楷体" w:eastAsia="楷体" w:cs="楷体"/>
          <w:color w:val="auto"/>
        </w:rPr>
        <w:br w:type="page"/>
      </w:r>
      <w:bookmarkStart w:id="341" w:name="_Toc1771"/>
    </w:p>
    <w:p w14:paraId="3C865C1F">
      <w:pPr>
        <w:pStyle w:val="4"/>
        <w:numPr>
          <w:ilvl w:val="0"/>
          <w:numId w:val="70"/>
        </w:numPr>
        <w:spacing w:before="0" w:after="0" w:line="360" w:lineRule="auto"/>
        <w:jc w:val="center"/>
        <w:rPr>
          <w:rFonts w:ascii="楷体" w:hAnsi="楷体" w:eastAsia="楷体" w:cs="楷体"/>
          <w:color w:val="auto"/>
        </w:rPr>
      </w:pPr>
      <w:bookmarkStart w:id="342" w:name="_Toc12863"/>
      <w:bookmarkStart w:id="343" w:name="_Toc20969"/>
      <w:bookmarkStart w:id="344" w:name="_Toc19536"/>
      <w:bookmarkStart w:id="345" w:name="_Toc3527"/>
      <w:bookmarkStart w:id="346" w:name="_Toc29231"/>
      <w:r>
        <w:rPr>
          <w:rFonts w:hint="eastAsia" w:ascii="楷体" w:hAnsi="楷体" w:eastAsia="楷体" w:cs="楷体"/>
          <w:color w:val="auto"/>
        </w:rPr>
        <w:t>资格性审查及符合性审查自查表</w:t>
      </w:r>
      <w:bookmarkEnd w:id="335"/>
      <w:bookmarkEnd w:id="341"/>
      <w:bookmarkEnd w:id="342"/>
      <w:bookmarkEnd w:id="343"/>
      <w:bookmarkEnd w:id="344"/>
      <w:bookmarkEnd w:id="345"/>
      <w:bookmarkEnd w:id="346"/>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171"/>
        <w:gridCol w:w="2811"/>
        <w:gridCol w:w="1331"/>
        <w:gridCol w:w="1507"/>
      </w:tblGrid>
      <w:tr w14:paraId="44F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84" w:type="pct"/>
            <w:gridSpan w:val="2"/>
            <w:shd w:val="clear" w:color="auto" w:fill="EEECE1"/>
            <w:vAlign w:val="center"/>
          </w:tcPr>
          <w:p w14:paraId="51E6165E">
            <w:pPr>
              <w:adjustRightInd w:val="0"/>
              <w:snapToGrid w:val="0"/>
              <w:ind w:left="40" w:leftChars="19"/>
              <w:jc w:val="center"/>
              <w:rPr>
                <w:rFonts w:ascii="楷体" w:hAnsi="楷体" w:eastAsia="楷体" w:cs="楷体"/>
                <w:b/>
                <w:bCs/>
                <w:color w:val="auto"/>
                <w:sz w:val="24"/>
              </w:rPr>
            </w:pPr>
            <w:r>
              <w:rPr>
                <w:rFonts w:hint="eastAsia" w:ascii="楷体" w:hAnsi="楷体" w:eastAsia="楷体" w:cs="楷体"/>
                <w:b/>
                <w:bCs/>
                <w:color w:val="auto"/>
                <w:sz w:val="24"/>
              </w:rPr>
              <w:t>评审内容</w:t>
            </w:r>
          </w:p>
        </w:tc>
        <w:tc>
          <w:tcPr>
            <w:tcW w:w="1649" w:type="pct"/>
            <w:shd w:val="clear" w:color="auto" w:fill="EEECE1"/>
            <w:vAlign w:val="center"/>
          </w:tcPr>
          <w:p w14:paraId="2889F98D">
            <w:pPr>
              <w:adjustRightInd w:val="0"/>
              <w:snapToGrid w:val="0"/>
              <w:ind w:left="40" w:leftChars="19"/>
              <w:jc w:val="center"/>
              <w:rPr>
                <w:rFonts w:ascii="楷体" w:hAnsi="楷体" w:eastAsia="楷体" w:cs="楷体"/>
                <w:b/>
                <w:bCs/>
                <w:color w:val="auto"/>
                <w:sz w:val="24"/>
              </w:rPr>
            </w:pPr>
            <w:r>
              <w:rPr>
                <w:rFonts w:hint="eastAsia" w:ascii="楷体" w:hAnsi="楷体" w:eastAsia="楷体" w:cs="楷体"/>
                <w:b/>
                <w:bCs/>
                <w:color w:val="auto"/>
                <w:sz w:val="24"/>
              </w:rPr>
              <w:t>招标文件要求</w:t>
            </w:r>
          </w:p>
        </w:tc>
        <w:tc>
          <w:tcPr>
            <w:tcW w:w="781" w:type="pct"/>
            <w:shd w:val="clear" w:color="auto" w:fill="EEECE1"/>
            <w:vAlign w:val="center"/>
          </w:tcPr>
          <w:p w14:paraId="59158D36">
            <w:pPr>
              <w:adjustRightInd w:val="0"/>
              <w:snapToGrid w:val="0"/>
              <w:ind w:left="-171"/>
              <w:jc w:val="center"/>
              <w:rPr>
                <w:rFonts w:ascii="楷体" w:hAnsi="楷体" w:eastAsia="楷体" w:cs="楷体"/>
                <w:b/>
                <w:bCs/>
                <w:color w:val="auto"/>
                <w:sz w:val="24"/>
              </w:rPr>
            </w:pPr>
            <w:r>
              <w:rPr>
                <w:rFonts w:hint="eastAsia" w:ascii="楷体" w:hAnsi="楷体" w:eastAsia="楷体" w:cs="楷体"/>
                <w:b/>
                <w:bCs/>
                <w:color w:val="auto"/>
                <w:sz w:val="24"/>
              </w:rPr>
              <w:t>自查结论</w:t>
            </w:r>
          </w:p>
        </w:tc>
        <w:tc>
          <w:tcPr>
            <w:tcW w:w="884" w:type="pct"/>
            <w:shd w:val="clear" w:color="auto" w:fill="EEECE1"/>
            <w:vAlign w:val="center"/>
          </w:tcPr>
          <w:p w14:paraId="5CDF247D">
            <w:pPr>
              <w:adjustRightInd w:val="0"/>
              <w:snapToGrid w:val="0"/>
              <w:ind w:left="-171"/>
              <w:jc w:val="center"/>
              <w:rPr>
                <w:rFonts w:ascii="楷体" w:hAnsi="楷体" w:eastAsia="楷体" w:cs="楷体"/>
                <w:b/>
                <w:bCs/>
                <w:color w:val="auto"/>
                <w:sz w:val="24"/>
              </w:rPr>
            </w:pPr>
            <w:r>
              <w:rPr>
                <w:rFonts w:hint="eastAsia" w:ascii="楷体" w:hAnsi="楷体" w:eastAsia="楷体" w:cs="楷体"/>
                <w:b/>
                <w:bCs/>
                <w:color w:val="auto"/>
                <w:sz w:val="24"/>
              </w:rPr>
              <w:t>证明材料</w:t>
            </w:r>
          </w:p>
          <w:p w14:paraId="78392533">
            <w:pPr>
              <w:adjustRightInd w:val="0"/>
              <w:snapToGrid w:val="0"/>
              <w:ind w:left="-171"/>
              <w:jc w:val="center"/>
              <w:rPr>
                <w:rFonts w:ascii="楷体" w:hAnsi="楷体" w:eastAsia="楷体" w:cs="楷体"/>
                <w:b/>
                <w:bCs/>
                <w:color w:val="auto"/>
                <w:sz w:val="24"/>
              </w:rPr>
            </w:pPr>
            <w:r>
              <w:rPr>
                <w:rFonts w:hint="eastAsia" w:ascii="楷体" w:hAnsi="楷体" w:eastAsia="楷体" w:cs="楷体"/>
                <w:b/>
                <w:bCs/>
                <w:color w:val="auto"/>
                <w:sz w:val="24"/>
              </w:rPr>
              <w:t>对应页码</w:t>
            </w:r>
          </w:p>
        </w:tc>
      </w:tr>
      <w:tr w14:paraId="73E1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13D76DE8">
            <w:pPr>
              <w:adjustRightInd w:val="0"/>
              <w:snapToGrid w:val="0"/>
              <w:jc w:val="center"/>
              <w:rPr>
                <w:rFonts w:ascii="楷体" w:hAnsi="楷体" w:eastAsia="楷体" w:cs="楷体"/>
                <w:color w:val="auto"/>
                <w:sz w:val="24"/>
              </w:rPr>
            </w:pPr>
            <w:r>
              <w:rPr>
                <w:rFonts w:hint="eastAsia" w:ascii="楷体" w:hAnsi="楷体" w:eastAsia="楷体" w:cs="楷体"/>
                <w:color w:val="auto"/>
                <w:sz w:val="24"/>
              </w:rPr>
              <w:t>资格性审查</w:t>
            </w:r>
          </w:p>
        </w:tc>
        <w:tc>
          <w:tcPr>
            <w:tcW w:w="1274" w:type="pct"/>
            <w:vAlign w:val="center"/>
          </w:tcPr>
          <w:p w14:paraId="12ED3872">
            <w:pPr>
              <w:jc w:val="center"/>
              <w:rPr>
                <w:rFonts w:ascii="楷体" w:hAnsi="楷体" w:eastAsia="楷体" w:cs="楷体"/>
                <w:color w:val="auto"/>
                <w:sz w:val="24"/>
              </w:rPr>
            </w:pPr>
            <w:r>
              <w:rPr>
                <w:rFonts w:hint="eastAsia" w:ascii="楷体" w:hAnsi="楷体" w:eastAsia="楷体" w:cs="楷体"/>
                <w:color w:val="auto"/>
                <w:sz w:val="24"/>
                <w:lang w:eastAsia="en-US"/>
              </w:rPr>
              <w:t>合格投标人</w:t>
            </w:r>
          </w:p>
        </w:tc>
        <w:tc>
          <w:tcPr>
            <w:tcW w:w="1649" w:type="pct"/>
            <w:vAlign w:val="center"/>
          </w:tcPr>
          <w:p w14:paraId="76BF2573">
            <w:pPr>
              <w:jc w:val="left"/>
              <w:rPr>
                <w:rFonts w:ascii="楷体" w:hAnsi="楷体" w:eastAsia="楷体" w:cs="楷体"/>
                <w:color w:val="auto"/>
                <w:sz w:val="24"/>
              </w:rPr>
            </w:pPr>
            <w:r>
              <w:rPr>
                <w:rFonts w:hint="eastAsia" w:ascii="楷体" w:hAnsi="楷体" w:eastAsia="楷体" w:cs="楷体"/>
                <w:color w:val="auto"/>
                <w:sz w:val="24"/>
              </w:rPr>
              <w:t>详见投标邀请函中“供应商（服务商）资格”相应条款</w:t>
            </w:r>
          </w:p>
        </w:tc>
        <w:tc>
          <w:tcPr>
            <w:tcW w:w="781" w:type="pct"/>
            <w:vAlign w:val="center"/>
          </w:tcPr>
          <w:p w14:paraId="178069B3">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2358A6FC">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470109BB">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1A5056EC">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5C8B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restart"/>
            <w:vAlign w:val="center"/>
          </w:tcPr>
          <w:p w14:paraId="32DAE8CF">
            <w:pPr>
              <w:adjustRightInd w:val="0"/>
              <w:snapToGrid w:val="0"/>
              <w:jc w:val="center"/>
              <w:rPr>
                <w:rFonts w:ascii="楷体" w:hAnsi="楷体" w:eastAsia="楷体" w:cs="楷体"/>
                <w:color w:val="auto"/>
              </w:rPr>
            </w:pPr>
            <w:r>
              <w:rPr>
                <w:rFonts w:hint="eastAsia" w:ascii="楷体" w:hAnsi="楷体" w:eastAsia="楷体" w:cs="楷体"/>
                <w:color w:val="auto"/>
                <w:sz w:val="24"/>
              </w:rPr>
              <w:t>符合性审查</w:t>
            </w:r>
          </w:p>
        </w:tc>
        <w:tc>
          <w:tcPr>
            <w:tcW w:w="1274" w:type="pct"/>
            <w:vAlign w:val="center"/>
          </w:tcPr>
          <w:p w14:paraId="1AD07BF0">
            <w:pPr>
              <w:jc w:val="center"/>
              <w:rPr>
                <w:rFonts w:ascii="楷体" w:hAnsi="楷体" w:eastAsia="楷体" w:cs="楷体"/>
                <w:color w:val="auto"/>
              </w:rPr>
            </w:pPr>
            <w:r>
              <w:rPr>
                <w:rFonts w:hint="eastAsia" w:ascii="楷体" w:hAnsi="楷体" w:eastAsia="楷体" w:cs="楷体"/>
                <w:color w:val="auto"/>
                <w:sz w:val="24"/>
                <w:lang w:eastAsia="en-US"/>
              </w:rPr>
              <w:t>投标函</w:t>
            </w:r>
          </w:p>
        </w:tc>
        <w:tc>
          <w:tcPr>
            <w:tcW w:w="1649" w:type="pct"/>
            <w:vAlign w:val="center"/>
          </w:tcPr>
          <w:p w14:paraId="3D32A20B">
            <w:pPr>
              <w:jc w:val="left"/>
              <w:rPr>
                <w:rFonts w:ascii="楷体" w:hAnsi="楷体" w:eastAsia="楷体" w:cs="楷体"/>
                <w:color w:val="auto"/>
              </w:rPr>
            </w:pPr>
            <w:r>
              <w:rPr>
                <w:rFonts w:hint="eastAsia" w:ascii="楷体" w:hAnsi="楷体" w:eastAsia="楷体" w:cs="楷体"/>
                <w:color w:val="auto"/>
                <w:sz w:val="24"/>
              </w:rPr>
              <w:t>按对应格式文件填写、签署、盖章</w:t>
            </w:r>
          </w:p>
        </w:tc>
        <w:tc>
          <w:tcPr>
            <w:tcW w:w="781" w:type="pct"/>
            <w:vAlign w:val="center"/>
          </w:tcPr>
          <w:p w14:paraId="3CC012DA">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7A2D3E68">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5C647FF7">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4D26401B">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2664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502805C5">
            <w:pPr>
              <w:adjustRightInd w:val="0"/>
              <w:snapToGrid w:val="0"/>
              <w:jc w:val="center"/>
              <w:rPr>
                <w:rFonts w:ascii="楷体" w:hAnsi="楷体" w:eastAsia="楷体" w:cs="楷体"/>
                <w:color w:val="auto"/>
              </w:rPr>
            </w:pPr>
          </w:p>
        </w:tc>
        <w:tc>
          <w:tcPr>
            <w:tcW w:w="1274" w:type="pct"/>
            <w:vAlign w:val="center"/>
          </w:tcPr>
          <w:p w14:paraId="190D6711">
            <w:pPr>
              <w:jc w:val="center"/>
              <w:rPr>
                <w:rFonts w:ascii="楷体" w:hAnsi="楷体" w:eastAsia="楷体" w:cs="楷体"/>
                <w:color w:val="auto"/>
                <w:sz w:val="24"/>
              </w:rPr>
            </w:pPr>
            <w:r>
              <w:rPr>
                <w:rFonts w:hint="eastAsia" w:ascii="楷体" w:hAnsi="楷体" w:eastAsia="楷体" w:cs="楷体"/>
                <w:color w:val="auto"/>
                <w:sz w:val="24"/>
              </w:rPr>
              <w:t>法定代表人证明书及法定代表人授权委托书</w:t>
            </w:r>
          </w:p>
        </w:tc>
        <w:tc>
          <w:tcPr>
            <w:tcW w:w="1649" w:type="pct"/>
            <w:vAlign w:val="center"/>
          </w:tcPr>
          <w:p w14:paraId="7D90B5AF">
            <w:pPr>
              <w:jc w:val="left"/>
              <w:rPr>
                <w:rFonts w:ascii="楷体" w:hAnsi="楷体" w:eastAsia="楷体" w:cs="楷体"/>
                <w:color w:val="auto"/>
                <w:sz w:val="24"/>
              </w:rPr>
            </w:pPr>
            <w:r>
              <w:rPr>
                <w:rFonts w:hint="eastAsia" w:ascii="楷体" w:hAnsi="楷体" w:eastAsia="楷体" w:cs="楷体"/>
                <w:color w:val="auto"/>
                <w:sz w:val="24"/>
              </w:rPr>
              <w:t>按对应格式文件签署、盖章</w:t>
            </w:r>
          </w:p>
        </w:tc>
        <w:tc>
          <w:tcPr>
            <w:tcW w:w="781" w:type="pct"/>
            <w:vAlign w:val="center"/>
          </w:tcPr>
          <w:p w14:paraId="7F7504CB">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26BDCCF6">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7AC408A9">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481D49C1">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2D0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6FA9B8B4">
            <w:pPr>
              <w:adjustRightInd w:val="0"/>
              <w:snapToGrid w:val="0"/>
              <w:jc w:val="center"/>
              <w:rPr>
                <w:rFonts w:ascii="楷体" w:hAnsi="楷体" w:eastAsia="楷体" w:cs="楷体"/>
                <w:color w:val="auto"/>
              </w:rPr>
            </w:pPr>
          </w:p>
        </w:tc>
        <w:tc>
          <w:tcPr>
            <w:tcW w:w="1274" w:type="pct"/>
            <w:vMerge w:val="restart"/>
            <w:vAlign w:val="center"/>
          </w:tcPr>
          <w:p w14:paraId="62EAB982">
            <w:pPr>
              <w:jc w:val="center"/>
              <w:rPr>
                <w:rFonts w:ascii="楷体" w:hAnsi="楷体" w:eastAsia="楷体" w:cs="楷体"/>
                <w:color w:val="auto"/>
                <w:sz w:val="24"/>
              </w:rPr>
            </w:pPr>
            <w:r>
              <w:rPr>
                <w:rFonts w:hint="eastAsia" w:ascii="楷体" w:hAnsi="楷体" w:eastAsia="楷体" w:cs="楷体"/>
                <w:color w:val="auto"/>
                <w:sz w:val="24"/>
                <w:lang w:eastAsia="en-US"/>
              </w:rPr>
              <w:t>报价要求</w:t>
            </w:r>
          </w:p>
        </w:tc>
        <w:tc>
          <w:tcPr>
            <w:tcW w:w="1649" w:type="pct"/>
            <w:vAlign w:val="center"/>
          </w:tcPr>
          <w:p w14:paraId="440DE915">
            <w:pPr>
              <w:jc w:val="left"/>
              <w:rPr>
                <w:rFonts w:ascii="楷体" w:hAnsi="楷体" w:eastAsia="楷体" w:cs="楷体"/>
                <w:color w:val="auto"/>
                <w:sz w:val="24"/>
              </w:rPr>
            </w:pPr>
            <w:r>
              <w:rPr>
                <w:rFonts w:hint="eastAsia" w:ascii="楷体" w:hAnsi="楷体" w:eastAsia="楷体" w:cs="楷体"/>
                <w:color w:val="auto"/>
                <w:sz w:val="24"/>
              </w:rPr>
              <w:t>投标报价是固定价且是唯一的，投标报价未超出最高限价。</w:t>
            </w:r>
          </w:p>
        </w:tc>
        <w:tc>
          <w:tcPr>
            <w:tcW w:w="781" w:type="pct"/>
            <w:vAlign w:val="center"/>
          </w:tcPr>
          <w:p w14:paraId="4F39CE20">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1B9414B8">
            <w:pPr>
              <w:adjustRightInd w:val="0"/>
              <w:snapToGrid w:val="0"/>
              <w:rPr>
                <w:rFonts w:ascii="楷体" w:hAnsi="楷体" w:eastAsia="楷体" w:cs="楷体"/>
                <w:color w:val="auto"/>
              </w:rPr>
            </w:pPr>
            <w:r>
              <w:rPr>
                <w:rFonts w:hint="eastAsia" w:ascii="楷体" w:hAnsi="楷体" w:eastAsia="楷体" w:cs="楷体"/>
                <w:color w:val="auto"/>
                <w:sz w:val="24"/>
              </w:rPr>
              <w:t>□不通过</w:t>
            </w:r>
          </w:p>
        </w:tc>
        <w:tc>
          <w:tcPr>
            <w:tcW w:w="884" w:type="pct"/>
            <w:vAlign w:val="center"/>
          </w:tcPr>
          <w:p w14:paraId="4EA46DA2">
            <w:pPr>
              <w:adjustRightInd w:val="0"/>
              <w:snapToGrid w:val="0"/>
              <w:ind w:left="-171"/>
              <w:jc w:val="center"/>
              <w:rPr>
                <w:rFonts w:ascii="楷体" w:hAnsi="楷体" w:eastAsia="楷体" w:cs="楷体"/>
                <w:color w:val="auto"/>
                <w:sz w:val="24"/>
              </w:rPr>
            </w:pPr>
            <w:r>
              <w:rPr>
                <w:rFonts w:hint="eastAsia" w:ascii="楷体" w:hAnsi="楷体" w:eastAsia="楷体" w:cs="楷体"/>
                <w:color w:val="auto"/>
                <w:sz w:val="24"/>
              </w:rPr>
              <w:t>见投标文件</w:t>
            </w:r>
          </w:p>
          <w:p w14:paraId="05D8E5C5">
            <w:pPr>
              <w:adjustRightInd w:val="0"/>
              <w:snapToGrid w:val="0"/>
              <w:ind w:left="-171"/>
              <w:jc w:val="center"/>
              <w:rPr>
                <w:rFonts w:ascii="楷体" w:hAnsi="楷体" w:eastAsia="楷体" w:cs="楷体"/>
                <w:color w:val="auto"/>
              </w:rPr>
            </w:pPr>
            <w:r>
              <w:rPr>
                <w:rFonts w:hint="eastAsia" w:ascii="楷体" w:hAnsi="楷体" w:eastAsia="楷体" w:cs="楷体"/>
                <w:color w:val="auto"/>
                <w:sz w:val="24"/>
              </w:rPr>
              <w:t>第（）页</w:t>
            </w:r>
          </w:p>
        </w:tc>
      </w:tr>
      <w:tr w14:paraId="10D3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continue"/>
            <w:vAlign w:val="center"/>
          </w:tcPr>
          <w:p w14:paraId="6DE55F49">
            <w:pPr>
              <w:adjustRightInd w:val="0"/>
              <w:snapToGrid w:val="0"/>
              <w:jc w:val="center"/>
              <w:rPr>
                <w:rFonts w:ascii="楷体" w:hAnsi="楷体" w:eastAsia="楷体" w:cs="楷体"/>
                <w:color w:val="auto"/>
              </w:rPr>
            </w:pPr>
          </w:p>
        </w:tc>
        <w:tc>
          <w:tcPr>
            <w:tcW w:w="1274" w:type="pct"/>
            <w:vMerge w:val="continue"/>
            <w:vAlign w:val="center"/>
          </w:tcPr>
          <w:p w14:paraId="1975E2AE">
            <w:pPr>
              <w:jc w:val="center"/>
              <w:rPr>
                <w:rFonts w:ascii="楷体" w:hAnsi="楷体" w:eastAsia="楷体" w:cs="楷体"/>
                <w:color w:val="auto"/>
                <w:sz w:val="24"/>
              </w:rPr>
            </w:pPr>
          </w:p>
        </w:tc>
        <w:tc>
          <w:tcPr>
            <w:tcW w:w="1649" w:type="pct"/>
            <w:vAlign w:val="center"/>
          </w:tcPr>
          <w:p w14:paraId="177D2A75">
            <w:pPr>
              <w:rPr>
                <w:rFonts w:ascii="楷体" w:hAnsi="楷体" w:eastAsia="楷体" w:cs="楷体"/>
                <w:color w:val="auto"/>
                <w:kern w:val="28"/>
                <w:sz w:val="24"/>
              </w:rPr>
            </w:pPr>
            <w:r>
              <w:rPr>
                <w:rFonts w:hint="eastAsia" w:ascii="楷体" w:hAnsi="楷体" w:eastAsia="楷体" w:cs="楷体"/>
                <w:color w:val="auto"/>
                <w:sz w:val="24"/>
              </w:rPr>
              <w:t>投标人的报价明显低于其他通过符合性审查投标人的报价，评标委员会有权要求投标人在规定时间内提供书面说明或提供相关证明材料，否则视为无效投标。</w:t>
            </w:r>
          </w:p>
        </w:tc>
        <w:tc>
          <w:tcPr>
            <w:tcW w:w="781" w:type="pct"/>
            <w:vAlign w:val="center"/>
          </w:tcPr>
          <w:p w14:paraId="7DBEE4B1">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143A66AC">
            <w:pPr>
              <w:adjustRightInd w:val="0"/>
              <w:snapToGrid w:val="0"/>
              <w:rPr>
                <w:rFonts w:ascii="楷体" w:hAnsi="楷体" w:eastAsia="楷体" w:cs="楷体"/>
                <w:color w:val="auto"/>
              </w:rPr>
            </w:pPr>
            <w:r>
              <w:rPr>
                <w:rFonts w:hint="eastAsia" w:ascii="楷体" w:hAnsi="楷体" w:eastAsia="楷体" w:cs="楷体"/>
                <w:color w:val="auto"/>
                <w:sz w:val="24"/>
              </w:rPr>
              <w:t>□不通过</w:t>
            </w:r>
          </w:p>
        </w:tc>
        <w:tc>
          <w:tcPr>
            <w:tcW w:w="884" w:type="pct"/>
            <w:vAlign w:val="center"/>
          </w:tcPr>
          <w:p w14:paraId="2DE1BE69">
            <w:pPr>
              <w:adjustRightInd w:val="0"/>
              <w:snapToGrid w:val="0"/>
              <w:ind w:left="-171"/>
              <w:jc w:val="center"/>
              <w:rPr>
                <w:rFonts w:ascii="楷体" w:hAnsi="楷体" w:eastAsia="楷体" w:cs="楷体"/>
                <w:color w:val="auto"/>
                <w:sz w:val="24"/>
              </w:rPr>
            </w:pPr>
            <w:r>
              <w:rPr>
                <w:rFonts w:hint="eastAsia" w:ascii="楷体" w:hAnsi="楷体" w:eastAsia="楷体" w:cs="楷体"/>
                <w:color w:val="auto"/>
                <w:sz w:val="24"/>
              </w:rPr>
              <w:t>见投标文件</w:t>
            </w:r>
          </w:p>
          <w:p w14:paraId="53759512">
            <w:pPr>
              <w:adjustRightInd w:val="0"/>
              <w:snapToGrid w:val="0"/>
              <w:ind w:left="-171"/>
              <w:jc w:val="center"/>
              <w:rPr>
                <w:rFonts w:ascii="楷体" w:hAnsi="楷体" w:eastAsia="楷体" w:cs="楷体"/>
                <w:color w:val="auto"/>
              </w:rPr>
            </w:pPr>
            <w:r>
              <w:rPr>
                <w:rFonts w:hint="eastAsia" w:ascii="楷体" w:hAnsi="楷体" w:eastAsia="楷体" w:cs="楷体"/>
                <w:color w:val="auto"/>
                <w:sz w:val="24"/>
              </w:rPr>
              <w:t>第（）页</w:t>
            </w:r>
          </w:p>
        </w:tc>
      </w:tr>
      <w:tr w14:paraId="4BDE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7A6FDE15">
            <w:pPr>
              <w:adjustRightInd w:val="0"/>
              <w:snapToGrid w:val="0"/>
              <w:jc w:val="center"/>
              <w:rPr>
                <w:rFonts w:ascii="楷体" w:hAnsi="楷体" w:eastAsia="楷体" w:cs="楷体"/>
                <w:color w:val="auto"/>
              </w:rPr>
            </w:pPr>
          </w:p>
        </w:tc>
        <w:tc>
          <w:tcPr>
            <w:tcW w:w="1274" w:type="pct"/>
            <w:vMerge w:val="continue"/>
            <w:vAlign w:val="center"/>
          </w:tcPr>
          <w:p w14:paraId="50C3C298">
            <w:pPr>
              <w:jc w:val="center"/>
              <w:rPr>
                <w:rFonts w:ascii="楷体" w:hAnsi="楷体" w:eastAsia="楷体" w:cs="楷体"/>
                <w:color w:val="auto"/>
                <w:sz w:val="24"/>
              </w:rPr>
            </w:pPr>
          </w:p>
        </w:tc>
        <w:tc>
          <w:tcPr>
            <w:tcW w:w="1649" w:type="pct"/>
            <w:vAlign w:val="center"/>
          </w:tcPr>
          <w:p w14:paraId="321AB125">
            <w:pPr>
              <w:jc w:val="left"/>
              <w:rPr>
                <w:rFonts w:ascii="楷体" w:hAnsi="楷体" w:eastAsia="楷体" w:cs="楷体"/>
                <w:color w:val="auto"/>
                <w:sz w:val="24"/>
              </w:rPr>
            </w:pPr>
            <w:r>
              <w:rPr>
                <w:rFonts w:hint="eastAsia" w:ascii="楷体" w:hAnsi="楷体" w:eastAsia="楷体" w:cs="楷体"/>
                <w:color w:val="auto"/>
                <w:sz w:val="24"/>
              </w:rPr>
              <w:t>招标文件不接受提交备选方案。</w:t>
            </w:r>
          </w:p>
        </w:tc>
        <w:tc>
          <w:tcPr>
            <w:tcW w:w="781" w:type="pct"/>
            <w:vAlign w:val="center"/>
          </w:tcPr>
          <w:p w14:paraId="43AF738C">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71A3FBB9">
            <w:pPr>
              <w:adjustRightInd w:val="0"/>
              <w:snapToGrid w:val="0"/>
              <w:rPr>
                <w:rFonts w:ascii="楷体" w:hAnsi="楷体" w:eastAsia="楷体" w:cs="楷体"/>
                <w:color w:val="auto"/>
              </w:rPr>
            </w:pPr>
            <w:r>
              <w:rPr>
                <w:rFonts w:hint="eastAsia" w:ascii="楷体" w:hAnsi="楷体" w:eastAsia="楷体" w:cs="楷体"/>
                <w:color w:val="auto"/>
                <w:sz w:val="24"/>
              </w:rPr>
              <w:t>□不通过</w:t>
            </w:r>
          </w:p>
        </w:tc>
        <w:tc>
          <w:tcPr>
            <w:tcW w:w="884" w:type="pct"/>
            <w:vAlign w:val="center"/>
          </w:tcPr>
          <w:p w14:paraId="03A3B537">
            <w:pPr>
              <w:adjustRightInd w:val="0"/>
              <w:snapToGrid w:val="0"/>
              <w:ind w:left="-171"/>
              <w:jc w:val="center"/>
              <w:rPr>
                <w:rFonts w:ascii="楷体" w:hAnsi="楷体" w:eastAsia="楷体" w:cs="楷体"/>
                <w:color w:val="auto"/>
                <w:sz w:val="24"/>
              </w:rPr>
            </w:pPr>
            <w:r>
              <w:rPr>
                <w:rFonts w:hint="eastAsia" w:ascii="楷体" w:hAnsi="楷体" w:eastAsia="楷体" w:cs="楷体"/>
                <w:color w:val="auto"/>
                <w:sz w:val="24"/>
              </w:rPr>
              <w:t>见投标文件</w:t>
            </w:r>
          </w:p>
          <w:p w14:paraId="560763FA">
            <w:pPr>
              <w:adjustRightInd w:val="0"/>
              <w:snapToGrid w:val="0"/>
              <w:ind w:left="-171"/>
              <w:jc w:val="center"/>
              <w:rPr>
                <w:rFonts w:ascii="楷体" w:hAnsi="楷体" w:eastAsia="楷体" w:cs="楷体"/>
                <w:color w:val="auto"/>
              </w:rPr>
            </w:pPr>
            <w:r>
              <w:rPr>
                <w:rFonts w:hint="eastAsia" w:ascii="楷体" w:hAnsi="楷体" w:eastAsia="楷体" w:cs="楷体"/>
                <w:color w:val="auto"/>
                <w:sz w:val="24"/>
              </w:rPr>
              <w:t>第（）页</w:t>
            </w:r>
          </w:p>
        </w:tc>
      </w:tr>
      <w:tr w14:paraId="5BE5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1DFC9DEC">
            <w:pPr>
              <w:adjustRightInd w:val="0"/>
              <w:snapToGrid w:val="0"/>
              <w:jc w:val="center"/>
              <w:rPr>
                <w:rFonts w:ascii="楷体" w:hAnsi="楷体" w:eastAsia="楷体" w:cs="楷体"/>
                <w:color w:val="auto"/>
              </w:rPr>
            </w:pPr>
          </w:p>
        </w:tc>
        <w:tc>
          <w:tcPr>
            <w:tcW w:w="1274" w:type="pct"/>
            <w:vAlign w:val="center"/>
          </w:tcPr>
          <w:p w14:paraId="0FFB82AC">
            <w:pPr>
              <w:jc w:val="center"/>
              <w:rPr>
                <w:rFonts w:ascii="楷体" w:hAnsi="楷体" w:eastAsia="楷体" w:cs="楷体"/>
                <w:color w:val="auto"/>
              </w:rPr>
            </w:pPr>
            <w:r>
              <w:rPr>
                <w:rFonts w:hint="eastAsia" w:ascii="楷体" w:hAnsi="楷体" w:eastAsia="楷体" w:cs="楷体"/>
                <w:color w:val="auto"/>
                <w:sz w:val="24"/>
                <w:lang w:eastAsia="en-US"/>
              </w:rPr>
              <w:t>投标文件的完整性</w:t>
            </w:r>
          </w:p>
        </w:tc>
        <w:tc>
          <w:tcPr>
            <w:tcW w:w="1649" w:type="pct"/>
            <w:vAlign w:val="center"/>
          </w:tcPr>
          <w:p w14:paraId="6DA2A7A4">
            <w:pPr>
              <w:jc w:val="left"/>
              <w:rPr>
                <w:rFonts w:ascii="楷体" w:hAnsi="楷体" w:eastAsia="楷体" w:cs="楷体"/>
                <w:color w:val="auto"/>
              </w:rPr>
            </w:pPr>
            <w:r>
              <w:rPr>
                <w:rFonts w:hint="eastAsia" w:ascii="楷体" w:hAnsi="楷体" w:eastAsia="楷体" w:cs="楷体"/>
                <w:color w:val="auto"/>
                <w:sz w:val="24"/>
              </w:rPr>
              <w:t>投标文件完整且编排有序，投标内容基本完整，无重大错漏，并按要求密封、签署、盖章。</w:t>
            </w:r>
          </w:p>
        </w:tc>
        <w:tc>
          <w:tcPr>
            <w:tcW w:w="781" w:type="pct"/>
            <w:vAlign w:val="center"/>
          </w:tcPr>
          <w:p w14:paraId="63954564">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394070BD">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72948215">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38EC5C1B">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69CD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7F3411D2">
            <w:pPr>
              <w:adjustRightInd w:val="0"/>
              <w:snapToGrid w:val="0"/>
              <w:jc w:val="center"/>
              <w:rPr>
                <w:rFonts w:ascii="楷体" w:hAnsi="楷体" w:eastAsia="楷体" w:cs="楷体"/>
                <w:color w:val="auto"/>
              </w:rPr>
            </w:pPr>
          </w:p>
        </w:tc>
        <w:tc>
          <w:tcPr>
            <w:tcW w:w="1274" w:type="pct"/>
            <w:vAlign w:val="center"/>
          </w:tcPr>
          <w:p w14:paraId="10EC8FAF">
            <w:pPr>
              <w:jc w:val="center"/>
              <w:rPr>
                <w:rFonts w:ascii="楷体" w:hAnsi="楷体" w:eastAsia="楷体" w:cs="楷体"/>
                <w:color w:val="auto"/>
              </w:rPr>
            </w:pPr>
            <w:r>
              <w:rPr>
                <w:rFonts w:hint="eastAsia" w:ascii="楷体" w:hAnsi="楷体" w:eastAsia="楷体" w:cs="楷体"/>
                <w:color w:val="auto"/>
                <w:sz w:val="24"/>
              </w:rPr>
              <w:t>服务期</w:t>
            </w:r>
          </w:p>
        </w:tc>
        <w:tc>
          <w:tcPr>
            <w:tcW w:w="1649" w:type="pct"/>
            <w:vAlign w:val="center"/>
          </w:tcPr>
          <w:p w14:paraId="4FEF7D56">
            <w:pPr>
              <w:jc w:val="left"/>
              <w:rPr>
                <w:rFonts w:ascii="楷体" w:hAnsi="楷体" w:eastAsia="楷体" w:cs="楷体"/>
                <w:color w:val="auto"/>
              </w:rPr>
            </w:pPr>
            <w:r>
              <w:rPr>
                <w:rFonts w:hint="eastAsia" w:ascii="楷体" w:hAnsi="楷体" w:eastAsia="楷体" w:cs="楷体"/>
                <w:color w:val="auto"/>
                <w:sz w:val="24"/>
                <w:lang w:eastAsia="en-US"/>
              </w:rPr>
              <w:t>满足招标文件要求</w:t>
            </w:r>
          </w:p>
        </w:tc>
        <w:tc>
          <w:tcPr>
            <w:tcW w:w="781" w:type="pct"/>
            <w:vAlign w:val="center"/>
          </w:tcPr>
          <w:p w14:paraId="38BD408D">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59686AF8">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7387A6AA">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1700CFFB">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58C0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3A32E896">
            <w:pPr>
              <w:adjustRightInd w:val="0"/>
              <w:snapToGrid w:val="0"/>
              <w:ind w:left="-171"/>
              <w:jc w:val="center"/>
              <w:rPr>
                <w:rFonts w:ascii="楷体" w:hAnsi="楷体" w:eastAsia="楷体" w:cs="楷体"/>
                <w:color w:val="auto"/>
              </w:rPr>
            </w:pPr>
          </w:p>
        </w:tc>
        <w:tc>
          <w:tcPr>
            <w:tcW w:w="1274" w:type="pct"/>
            <w:shd w:val="clear" w:color="auto" w:fill="auto"/>
            <w:vAlign w:val="center"/>
          </w:tcPr>
          <w:p w14:paraId="0C793550">
            <w:pPr>
              <w:jc w:val="center"/>
              <w:rPr>
                <w:rFonts w:ascii="楷体" w:hAnsi="楷体" w:eastAsia="楷体" w:cs="楷体"/>
                <w:color w:val="auto"/>
                <w:sz w:val="24"/>
                <w:lang w:eastAsia="en-US"/>
              </w:rPr>
            </w:pPr>
            <w:r>
              <w:rPr>
                <w:rFonts w:hint="eastAsia" w:ascii="楷体" w:hAnsi="楷体" w:eastAsia="楷体" w:cs="楷体"/>
                <w:color w:val="auto"/>
                <w:sz w:val="24"/>
              </w:rPr>
              <w:t>“★”号条款</w:t>
            </w:r>
          </w:p>
        </w:tc>
        <w:tc>
          <w:tcPr>
            <w:tcW w:w="1649" w:type="pct"/>
            <w:shd w:val="clear" w:color="auto" w:fill="auto"/>
            <w:vAlign w:val="center"/>
          </w:tcPr>
          <w:p w14:paraId="4DEAC35A">
            <w:pPr>
              <w:jc w:val="center"/>
              <w:rPr>
                <w:rFonts w:ascii="楷体" w:hAnsi="楷体" w:eastAsia="楷体" w:cs="楷体"/>
                <w:color w:val="auto"/>
                <w:sz w:val="24"/>
                <w:lang w:eastAsia="en-US"/>
              </w:rPr>
            </w:pPr>
            <w:r>
              <w:rPr>
                <w:rFonts w:hint="eastAsia" w:ascii="楷体" w:hAnsi="楷体" w:eastAsia="楷体" w:cs="楷体"/>
                <w:color w:val="auto"/>
                <w:sz w:val="24"/>
                <w:lang w:eastAsia="en-US"/>
              </w:rPr>
              <w:t>满足招标文件要求</w:t>
            </w:r>
          </w:p>
        </w:tc>
        <w:tc>
          <w:tcPr>
            <w:tcW w:w="781" w:type="pct"/>
            <w:shd w:val="clear" w:color="auto" w:fill="auto"/>
            <w:vAlign w:val="center"/>
          </w:tcPr>
          <w:p w14:paraId="123BB086">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48311E5E">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shd w:val="clear" w:color="auto" w:fill="auto"/>
            <w:vAlign w:val="center"/>
          </w:tcPr>
          <w:p w14:paraId="67AC917C">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6F996251">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227C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0AEA08CA">
            <w:pPr>
              <w:adjustRightInd w:val="0"/>
              <w:snapToGrid w:val="0"/>
              <w:ind w:left="-171"/>
              <w:jc w:val="center"/>
              <w:rPr>
                <w:rFonts w:ascii="楷体" w:hAnsi="楷体" w:eastAsia="楷体" w:cs="楷体"/>
                <w:color w:val="auto"/>
              </w:rPr>
            </w:pPr>
          </w:p>
        </w:tc>
        <w:tc>
          <w:tcPr>
            <w:tcW w:w="1274" w:type="pct"/>
            <w:vAlign w:val="center"/>
          </w:tcPr>
          <w:p w14:paraId="239BA4BA">
            <w:pPr>
              <w:jc w:val="center"/>
              <w:rPr>
                <w:rFonts w:ascii="楷体" w:hAnsi="楷体" w:eastAsia="楷体" w:cs="楷体"/>
                <w:color w:val="auto"/>
              </w:rPr>
            </w:pPr>
            <w:r>
              <w:rPr>
                <w:rFonts w:hint="eastAsia" w:ascii="楷体" w:hAnsi="楷体" w:eastAsia="楷体" w:cs="楷体"/>
                <w:color w:val="auto"/>
                <w:sz w:val="24"/>
                <w:lang w:eastAsia="en-US"/>
              </w:rPr>
              <w:t>投标有效期</w:t>
            </w:r>
          </w:p>
        </w:tc>
        <w:tc>
          <w:tcPr>
            <w:tcW w:w="1649" w:type="pct"/>
            <w:vAlign w:val="center"/>
          </w:tcPr>
          <w:p w14:paraId="6D1DE51D">
            <w:pPr>
              <w:jc w:val="left"/>
              <w:rPr>
                <w:rFonts w:ascii="楷体" w:hAnsi="楷体" w:eastAsia="楷体" w:cs="楷体"/>
                <w:color w:val="auto"/>
              </w:rPr>
            </w:pPr>
            <w:r>
              <w:rPr>
                <w:rFonts w:hint="eastAsia" w:ascii="楷体" w:hAnsi="楷体" w:eastAsia="楷体" w:cs="楷体"/>
                <w:color w:val="auto"/>
                <w:sz w:val="24"/>
                <w:lang w:eastAsia="en-US"/>
              </w:rPr>
              <w:t>投标截止日起90天</w:t>
            </w:r>
          </w:p>
        </w:tc>
        <w:tc>
          <w:tcPr>
            <w:tcW w:w="781" w:type="pct"/>
            <w:vAlign w:val="center"/>
          </w:tcPr>
          <w:p w14:paraId="5DBFC088">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35E6393E">
            <w:pPr>
              <w:adjustRightInd w:val="0"/>
              <w:snapToGrid w:val="0"/>
              <w:rPr>
                <w:rFonts w:ascii="楷体" w:hAnsi="楷体" w:eastAsia="楷体" w:cs="楷体"/>
                <w:color w:val="auto"/>
                <w:sz w:val="24"/>
              </w:rPr>
            </w:pPr>
            <w:r>
              <w:rPr>
                <w:rFonts w:hint="eastAsia" w:ascii="楷体" w:hAnsi="楷体" w:eastAsia="楷体" w:cs="楷体"/>
                <w:color w:val="auto"/>
                <w:sz w:val="24"/>
              </w:rPr>
              <w:t>□不通过</w:t>
            </w:r>
          </w:p>
        </w:tc>
        <w:tc>
          <w:tcPr>
            <w:tcW w:w="884" w:type="pct"/>
            <w:vAlign w:val="center"/>
          </w:tcPr>
          <w:p w14:paraId="2785D597">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见投标文件</w:t>
            </w:r>
          </w:p>
          <w:p w14:paraId="79B34A91">
            <w:pPr>
              <w:adjustRightInd w:val="0"/>
              <w:snapToGrid w:val="0"/>
              <w:ind w:left="-171" w:firstLine="170" w:firstLineChars="71"/>
              <w:jc w:val="left"/>
              <w:rPr>
                <w:rFonts w:ascii="楷体" w:hAnsi="楷体" w:eastAsia="楷体" w:cs="楷体"/>
                <w:color w:val="auto"/>
                <w:sz w:val="24"/>
              </w:rPr>
            </w:pPr>
            <w:r>
              <w:rPr>
                <w:rFonts w:hint="eastAsia" w:ascii="楷体" w:hAnsi="楷体" w:eastAsia="楷体" w:cs="楷体"/>
                <w:color w:val="auto"/>
                <w:sz w:val="24"/>
              </w:rPr>
              <w:t>第（）页</w:t>
            </w:r>
          </w:p>
        </w:tc>
      </w:tr>
      <w:tr w14:paraId="74AF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0EE04C36">
            <w:pPr>
              <w:adjustRightInd w:val="0"/>
              <w:snapToGrid w:val="0"/>
              <w:ind w:left="-171"/>
              <w:jc w:val="center"/>
              <w:rPr>
                <w:rFonts w:ascii="楷体" w:hAnsi="楷体" w:eastAsia="楷体" w:cs="楷体"/>
                <w:color w:val="auto"/>
              </w:rPr>
            </w:pPr>
          </w:p>
        </w:tc>
        <w:tc>
          <w:tcPr>
            <w:tcW w:w="1274" w:type="pct"/>
            <w:vAlign w:val="center"/>
          </w:tcPr>
          <w:p w14:paraId="7FA3C566">
            <w:pPr>
              <w:jc w:val="center"/>
              <w:rPr>
                <w:rFonts w:ascii="楷体" w:hAnsi="楷体" w:eastAsia="楷体" w:cs="楷体"/>
                <w:color w:val="auto"/>
              </w:rPr>
            </w:pPr>
            <w:r>
              <w:rPr>
                <w:rFonts w:hint="eastAsia" w:ascii="楷体" w:hAnsi="楷体" w:eastAsia="楷体" w:cs="楷体"/>
                <w:color w:val="auto"/>
                <w:sz w:val="24"/>
              </w:rPr>
              <w:t>招标代理服务费支付承诺书</w:t>
            </w:r>
          </w:p>
        </w:tc>
        <w:tc>
          <w:tcPr>
            <w:tcW w:w="1649" w:type="pct"/>
            <w:vAlign w:val="center"/>
          </w:tcPr>
          <w:p w14:paraId="05006AAC">
            <w:pPr>
              <w:jc w:val="left"/>
              <w:rPr>
                <w:rFonts w:ascii="楷体" w:hAnsi="楷体" w:eastAsia="楷体" w:cs="楷体"/>
                <w:color w:val="auto"/>
              </w:rPr>
            </w:pPr>
            <w:r>
              <w:rPr>
                <w:rFonts w:hint="eastAsia" w:ascii="楷体" w:hAnsi="楷体" w:eastAsia="楷体" w:cs="楷体"/>
                <w:color w:val="auto"/>
                <w:sz w:val="24"/>
              </w:rPr>
              <w:t>已按招标文件要求提交招标代理服务费支付承诺书</w:t>
            </w:r>
          </w:p>
        </w:tc>
        <w:tc>
          <w:tcPr>
            <w:tcW w:w="781" w:type="pct"/>
            <w:vAlign w:val="center"/>
          </w:tcPr>
          <w:p w14:paraId="316E6EE7">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48D5C228">
            <w:pPr>
              <w:adjustRightInd w:val="0"/>
              <w:snapToGrid w:val="0"/>
              <w:rPr>
                <w:rFonts w:ascii="楷体" w:hAnsi="楷体" w:eastAsia="楷体" w:cs="楷体"/>
                <w:color w:val="auto"/>
              </w:rPr>
            </w:pPr>
            <w:r>
              <w:rPr>
                <w:rFonts w:hint="eastAsia" w:ascii="楷体" w:hAnsi="楷体" w:eastAsia="楷体" w:cs="楷体"/>
                <w:color w:val="auto"/>
                <w:sz w:val="24"/>
              </w:rPr>
              <w:t>□不通过</w:t>
            </w:r>
          </w:p>
        </w:tc>
        <w:tc>
          <w:tcPr>
            <w:tcW w:w="884" w:type="pct"/>
            <w:vAlign w:val="center"/>
          </w:tcPr>
          <w:p w14:paraId="2C63CF67">
            <w:pPr>
              <w:adjustRightInd w:val="0"/>
              <w:snapToGrid w:val="0"/>
              <w:ind w:left="-171"/>
              <w:jc w:val="center"/>
              <w:rPr>
                <w:rFonts w:ascii="楷体" w:hAnsi="楷体" w:eastAsia="楷体" w:cs="楷体"/>
                <w:color w:val="auto"/>
                <w:sz w:val="24"/>
              </w:rPr>
            </w:pPr>
            <w:r>
              <w:rPr>
                <w:rFonts w:hint="eastAsia" w:ascii="楷体" w:hAnsi="楷体" w:eastAsia="楷体" w:cs="楷体"/>
                <w:color w:val="auto"/>
                <w:sz w:val="24"/>
              </w:rPr>
              <w:t>见投标文件</w:t>
            </w:r>
          </w:p>
          <w:p w14:paraId="605CD1AD">
            <w:pPr>
              <w:adjustRightInd w:val="0"/>
              <w:snapToGrid w:val="0"/>
              <w:ind w:left="-171" w:firstLine="240" w:firstLineChars="100"/>
              <w:jc w:val="center"/>
              <w:rPr>
                <w:rFonts w:ascii="楷体" w:hAnsi="楷体" w:eastAsia="楷体" w:cs="楷体"/>
                <w:color w:val="auto"/>
              </w:rPr>
            </w:pPr>
            <w:r>
              <w:rPr>
                <w:rFonts w:hint="eastAsia" w:ascii="楷体" w:hAnsi="楷体" w:eastAsia="楷体" w:cs="楷体"/>
                <w:color w:val="auto"/>
                <w:sz w:val="24"/>
              </w:rPr>
              <w:t>第（）页</w:t>
            </w:r>
          </w:p>
        </w:tc>
      </w:tr>
      <w:tr w14:paraId="5A2B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Merge w:val="continue"/>
            <w:vAlign w:val="center"/>
          </w:tcPr>
          <w:p w14:paraId="0CB7C83D">
            <w:pPr>
              <w:adjustRightInd w:val="0"/>
              <w:snapToGrid w:val="0"/>
              <w:ind w:left="-171"/>
              <w:jc w:val="center"/>
              <w:rPr>
                <w:rFonts w:ascii="楷体" w:hAnsi="楷体" w:eastAsia="楷体" w:cs="楷体"/>
                <w:color w:val="auto"/>
              </w:rPr>
            </w:pPr>
          </w:p>
        </w:tc>
        <w:tc>
          <w:tcPr>
            <w:tcW w:w="1274" w:type="pct"/>
            <w:vAlign w:val="center"/>
          </w:tcPr>
          <w:p w14:paraId="4E6AF404">
            <w:pPr>
              <w:jc w:val="center"/>
              <w:rPr>
                <w:rFonts w:ascii="楷体" w:hAnsi="楷体" w:eastAsia="楷体" w:cs="楷体"/>
                <w:color w:val="auto"/>
                <w:sz w:val="24"/>
              </w:rPr>
            </w:pPr>
            <w:r>
              <w:rPr>
                <w:rFonts w:hint="eastAsia" w:ascii="楷体" w:hAnsi="楷体" w:eastAsia="楷体" w:cs="楷体"/>
                <w:color w:val="auto"/>
                <w:sz w:val="24"/>
                <w:lang w:eastAsia="en-US"/>
              </w:rPr>
              <w:t>其他要求</w:t>
            </w:r>
          </w:p>
        </w:tc>
        <w:tc>
          <w:tcPr>
            <w:tcW w:w="1649" w:type="pct"/>
            <w:vAlign w:val="center"/>
          </w:tcPr>
          <w:p w14:paraId="6A6E8361">
            <w:pPr>
              <w:jc w:val="left"/>
              <w:rPr>
                <w:rFonts w:ascii="楷体" w:hAnsi="楷体" w:eastAsia="楷体" w:cs="楷体"/>
                <w:color w:val="auto"/>
                <w:sz w:val="24"/>
              </w:rPr>
            </w:pPr>
            <w:r>
              <w:rPr>
                <w:rFonts w:hint="eastAsia" w:ascii="楷体" w:hAnsi="楷体" w:eastAsia="楷体" w:cs="楷体"/>
                <w:color w:val="auto"/>
                <w:sz w:val="24"/>
              </w:rPr>
              <w:t>没有出现法律、法规和招标文件规定的其他投标无效情形</w:t>
            </w:r>
          </w:p>
        </w:tc>
        <w:tc>
          <w:tcPr>
            <w:tcW w:w="781" w:type="pct"/>
            <w:vAlign w:val="center"/>
          </w:tcPr>
          <w:p w14:paraId="4CCAFBCC">
            <w:pPr>
              <w:adjustRightInd w:val="0"/>
              <w:snapToGrid w:val="0"/>
              <w:rPr>
                <w:rFonts w:ascii="楷体" w:hAnsi="楷体" w:eastAsia="楷体" w:cs="楷体"/>
                <w:color w:val="auto"/>
                <w:sz w:val="24"/>
              </w:rPr>
            </w:pPr>
            <w:r>
              <w:rPr>
                <w:rFonts w:hint="eastAsia" w:ascii="楷体" w:hAnsi="楷体" w:eastAsia="楷体" w:cs="楷体"/>
                <w:color w:val="auto"/>
                <w:sz w:val="24"/>
              </w:rPr>
              <w:t>□通过</w:t>
            </w:r>
          </w:p>
          <w:p w14:paraId="66CCC70E">
            <w:pPr>
              <w:adjustRightInd w:val="0"/>
              <w:snapToGrid w:val="0"/>
              <w:rPr>
                <w:rFonts w:ascii="楷体" w:hAnsi="楷体" w:eastAsia="楷体" w:cs="楷体"/>
                <w:color w:val="auto"/>
              </w:rPr>
            </w:pPr>
            <w:r>
              <w:rPr>
                <w:rFonts w:hint="eastAsia" w:ascii="楷体" w:hAnsi="楷体" w:eastAsia="楷体" w:cs="楷体"/>
                <w:color w:val="auto"/>
                <w:sz w:val="24"/>
              </w:rPr>
              <w:t>□不通过</w:t>
            </w:r>
          </w:p>
        </w:tc>
        <w:tc>
          <w:tcPr>
            <w:tcW w:w="884" w:type="pct"/>
            <w:vAlign w:val="center"/>
          </w:tcPr>
          <w:p w14:paraId="6407293B">
            <w:pPr>
              <w:adjustRightInd w:val="0"/>
              <w:snapToGrid w:val="0"/>
              <w:ind w:left="-171"/>
              <w:jc w:val="center"/>
              <w:rPr>
                <w:rFonts w:ascii="楷体" w:hAnsi="楷体" w:eastAsia="楷体" w:cs="楷体"/>
                <w:color w:val="auto"/>
                <w:sz w:val="24"/>
              </w:rPr>
            </w:pPr>
            <w:r>
              <w:rPr>
                <w:rFonts w:hint="eastAsia" w:ascii="楷体" w:hAnsi="楷体" w:eastAsia="楷体" w:cs="楷体"/>
                <w:color w:val="auto"/>
                <w:sz w:val="24"/>
              </w:rPr>
              <w:t>见投标文件</w:t>
            </w:r>
          </w:p>
          <w:p w14:paraId="656EEAA0">
            <w:pPr>
              <w:adjustRightInd w:val="0"/>
              <w:snapToGrid w:val="0"/>
              <w:ind w:left="-171" w:firstLine="240" w:firstLineChars="100"/>
              <w:jc w:val="center"/>
              <w:rPr>
                <w:rFonts w:ascii="楷体" w:hAnsi="楷体" w:eastAsia="楷体" w:cs="楷体"/>
                <w:color w:val="auto"/>
              </w:rPr>
            </w:pPr>
            <w:r>
              <w:rPr>
                <w:rFonts w:hint="eastAsia" w:ascii="楷体" w:hAnsi="楷体" w:eastAsia="楷体" w:cs="楷体"/>
                <w:color w:val="auto"/>
                <w:sz w:val="24"/>
              </w:rPr>
              <w:t>第（）页</w:t>
            </w:r>
          </w:p>
        </w:tc>
      </w:tr>
    </w:tbl>
    <w:p w14:paraId="0EA1534B">
      <w:pPr>
        <w:spacing w:line="360" w:lineRule="auto"/>
        <w:ind w:left="1" w:leftChars="-171" w:hanging="360" w:hangingChars="150"/>
        <w:rPr>
          <w:rFonts w:ascii="楷体" w:hAnsi="楷体" w:eastAsia="楷体" w:cs="楷体"/>
          <w:color w:val="auto"/>
          <w:sz w:val="24"/>
        </w:rPr>
      </w:pPr>
      <w:r>
        <w:rPr>
          <w:rFonts w:hint="eastAsia" w:ascii="楷体" w:hAnsi="楷体" w:eastAsia="楷体" w:cs="楷体"/>
          <w:color w:val="auto"/>
          <w:sz w:val="24"/>
        </w:rPr>
        <w:t>注：1、上表内容将作为投标人有效性审核的重要内容之一，投标人必须严格按照上表所列要求在投标文件中对应如实提供，对资格性审查及符合性审查证明文件的任何缺漏和不符合项将会直接导致投标无效。</w:t>
      </w:r>
    </w:p>
    <w:p w14:paraId="1A6B74F6">
      <w:pPr>
        <w:spacing w:line="360" w:lineRule="auto"/>
        <w:rPr>
          <w:rFonts w:ascii="楷体" w:hAnsi="楷体" w:eastAsia="楷体" w:cs="楷体"/>
          <w:color w:val="auto"/>
          <w:sz w:val="24"/>
        </w:rPr>
      </w:pPr>
      <w:r>
        <w:rPr>
          <w:rFonts w:hint="eastAsia" w:ascii="楷体" w:hAnsi="楷体" w:eastAsia="楷体" w:cs="楷体"/>
          <w:color w:val="auto"/>
          <w:sz w:val="24"/>
        </w:rPr>
        <w:t>2、投标人根据自查结论在对应的□打“√”。</w:t>
      </w:r>
    </w:p>
    <w:p w14:paraId="4CD3A7E5">
      <w:pPr>
        <w:adjustRightInd w:val="0"/>
        <w:snapToGrid w:val="0"/>
        <w:spacing w:line="360" w:lineRule="auto"/>
        <w:ind w:firstLine="3576" w:firstLineChars="1490"/>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78858CFD">
      <w:pPr>
        <w:adjustRightInd w:val="0"/>
        <w:snapToGrid w:val="0"/>
        <w:spacing w:line="360" w:lineRule="auto"/>
        <w:ind w:firstLine="3576" w:firstLineChars="1490"/>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640EE612">
      <w:pPr>
        <w:adjustRightInd w:val="0"/>
        <w:snapToGrid w:val="0"/>
        <w:spacing w:line="360" w:lineRule="auto"/>
        <w:ind w:firstLine="3576" w:firstLineChars="1490"/>
        <w:rPr>
          <w:rFonts w:ascii="楷体" w:hAnsi="楷体" w:eastAsia="楷体" w:cs="楷体"/>
          <w:b/>
          <w:bCs/>
          <w:color w:val="auto"/>
          <w:sz w:val="32"/>
          <w:szCs w:val="32"/>
        </w:rPr>
      </w:pPr>
      <w:r>
        <w:rPr>
          <w:rFonts w:hint="eastAsia" w:ascii="楷体" w:hAnsi="楷体" w:eastAsia="楷体" w:cs="楷体"/>
          <w:color w:val="auto"/>
          <w:sz w:val="24"/>
        </w:rPr>
        <w:t>日期：   年   月   日</w:t>
      </w:r>
      <w:bookmarkStart w:id="347" w:name="_Toc7544"/>
      <w:bookmarkStart w:id="348" w:name="_Toc29972"/>
    </w:p>
    <w:bookmarkEnd w:id="347"/>
    <w:bookmarkEnd w:id="348"/>
    <w:p w14:paraId="170A4723">
      <w:pPr>
        <w:pStyle w:val="4"/>
        <w:numPr>
          <w:ilvl w:val="0"/>
          <w:numId w:val="70"/>
        </w:numPr>
        <w:jc w:val="center"/>
        <w:rPr>
          <w:rFonts w:ascii="楷体" w:hAnsi="楷体" w:eastAsia="楷体" w:cs="楷体"/>
          <w:color w:val="auto"/>
        </w:rPr>
      </w:pPr>
      <w:bookmarkStart w:id="349" w:name="_Toc13209"/>
      <w:bookmarkStart w:id="350" w:name="_Toc23051"/>
      <w:bookmarkStart w:id="351" w:name="_Toc21266"/>
      <w:bookmarkStart w:id="352" w:name="_Toc20740"/>
      <w:r>
        <w:rPr>
          <w:rFonts w:hint="eastAsia" w:ascii="楷体" w:hAnsi="楷体" w:eastAsia="楷体" w:cs="楷体"/>
          <w:color w:val="auto"/>
        </w:rPr>
        <w:br w:type="page"/>
      </w:r>
      <w:bookmarkStart w:id="353" w:name="_Toc8560"/>
      <w:bookmarkStart w:id="354" w:name="_Toc20190"/>
      <w:r>
        <w:rPr>
          <w:rFonts w:hint="eastAsia" w:ascii="楷体" w:hAnsi="楷体" w:eastAsia="楷体" w:cs="楷体"/>
          <w:color w:val="auto"/>
        </w:rPr>
        <w:t>商务评审自查表</w:t>
      </w:r>
      <w:bookmarkEnd w:id="349"/>
      <w:bookmarkEnd w:id="350"/>
      <w:bookmarkEnd w:id="351"/>
      <w:bookmarkEnd w:id="352"/>
      <w:bookmarkEnd w:id="353"/>
      <w:bookmarkEnd w:id="354"/>
    </w:p>
    <w:tbl>
      <w:tblPr>
        <w:tblStyle w:val="43"/>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560"/>
        <w:gridCol w:w="3180"/>
      </w:tblGrid>
      <w:tr w14:paraId="21FF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31" w:type="dxa"/>
            <w:shd w:val="clear" w:color="auto" w:fill="EEECE1"/>
            <w:vAlign w:val="center"/>
          </w:tcPr>
          <w:p w14:paraId="1AE5FE9F">
            <w:pPr>
              <w:jc w:val="center"/>
              <w:rPr>
                <w:rFonts w:ascii="楷体" w:hAnsi="楷体" w:eastAsia="楷体" w:cs="楷体"/>
                <w:b/>
                <w:bCs/>
                <w:color w:val="auto"/>
                <w:sz w:val="24"/>
              </w:rPr>
            </w:pPr>
            <w:r>
              <w:rPr>
                <w:rFonts w:hint="eastAsia" w:ascii="楷体" w:hAnsi="楷体" w:eastAsia="楷体" w:cs="楷体"/>
                <w:b/>
                <w:bCs/>
                <w:color w:val="auto"/>
                <w:sz w:val="24"/>
              </w:rPr>
              <w:t>序号</w:t>
            </w:r>
          </w:p>
        </w:tc>
        <w:tc>
          <w:tcPr>
            <w:tcW w:w="4560" w:type="dxa"/>
            <w:shd w:val="clear" w:color="auto" w:fill="EEECE1"/>
            <w:vAlign w:val="center"/>
          </w:tcPr>
          <w:p w14:paraId="4D1D69F3">
            <w:pPr>
              <w:jc w:val="center"/>
              <w:rPr>
                <w:rFonts w:ascii="楷体" w:hAnsi="楷体" w:eastAsia="楷体" w:cs="楷体"/>
                <w:b/>
                <w:bCs/>
                <w:color w:val="auto"/>
                <w:sz w:val="24"/>
              </w:rPr>
            </w:pPr>
            <w:r>
              <w:rPr>
                <w:rFonts w:hint="eastAsia" w:ascii="楷体" w:hAnsi="楷体" w:eastAsia="楷体" w:cs="楷体"/>
                <w:b/>
                <w:bCs/>
                <w:color w:val="auto"/>
                <w:sz w:val="24"/>
              </w:rPr>
              <w:t>评审分项</w:t>
            </w:r>
          </w:p>
        </w:tc>
        <w:tc>
          <w:tcPr>
            <w:tcW w:w="3180" w:type="dxa"/>
            <w:shd w:val="clear" w:color="auto" w:fill="EEECE1"/>
            <w:vAlign w:val="center"/>
          </w:tcPr>
          <w:p w14:paraId="6896FC86">
            <w:pPr>
              <w:jc w:val="center"/>
              <w:rPr>
                <w:rFonts w:ascii="楷体" w:hAnsi="楷体" w:eastAsia="楷体" w:cs="楷体"/>
                <w:b/>
                <w:bCs/>
                <w:color w:val="auto"/>
                <w:sz w:val="24"/>
              </w:rPr>
            </w:pPr>
            <w:r>
              <w:rPr>
                <w:rFonts w:hint="eastAsia" w:ascii="楷体" w:hAnsi="楷体" w:eastAsia="楷体" w:cs="楷体"/>
                <w:b/>
                <w:bCs/>
                <w:color w:val="auto"/>
                <w:sz w:val="24"/>
              </w:rPr>
              <w:t>证明材料对应页码</w:t>
            </w:r>
          </w:p>
        </w:tc>
      </w:tr>
      <w:tr w14:paraId="400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1" w:type="dxa"/>
            <w:vAlign w:val="center"/>
          </w:tcPr>
          <w:p w14:paraId="36C8A342">
            <w:pPr>
              <w:jc w:val="center"/>
              <w:rPr>
                <w:rFonts w:ascii="楷体" w:hAnsi="楷体" w:eastAsia="楷体" w:cs="楷体"/>
                <w:color w:val="auto"/>
                <w:sz w:val="24"/>
              </w:rPr>
            </w:pPr>
            <w:r>
              <w:rPr>
                <w:rFonts w:hint="eastAsia" w:ascii="楷体" w:hAnsi="楷体" w:eastAsia="楷体" w:cs="楷体"/>
                <w:color w:val="auto"/>
                <w:sz w:val="24"/>
              </w:rPr>
              <w:t>1</w:t>
            </w:r>
          </w:p>
        </w:tc>
        <w:tc>
          <w:tcPr>
            <w:tcW w:w="4560" w:type="dxa"/>
            <w:vAlign w:val="center"/>
          </w:tcPr>
          <w:p w14:paraId="6794A836">
            <w:pPr>
              <w:rPr>
                <w:rFonts w:ascii="楷体" w:hAnsi="楷体" w:eastAsia="楷体" w:cs="楷体"/>
                <w:color w:val="auto"/>
                <w:sz w:val="24"/>
              </w:rPr>
            </w:pPr>
          </w:p>
        </w:tc>
        <w:tc>
          <w:tcPr>
            <w:tcW w:w="3180" w:type="dxa"/>
            <w:vAlign w:val="center"/>
          </w:tcPr>
          <w:p w14:paraId="39BA2602">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60F5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3C806803">
            <w:pPr>
              <w:jc w:val="center"/>
              <w:rPr>
                <w:rFonts w:ascii="楷体" w:hAnsi="楷体" w:eastAsia="楷体" w:cs="楷体"/>
                <w:color w:val="auto"/>
                <w:sz w:val="24"/>
              </w:rPr>
            </w:pPr>
            <w:r>
              <w:rPr>
                <w:rFonts w:hint="eastAsia" w:ascii="楷体" w:hAnsi="楷体" w:eastAsia="楷体" w:cs="楷体"/>
                <w:color w:val="auto"/>
                <w:sz w:val="24"/>
              </w:rPr>
              <w:t>2</w:t>
            </w:r>
          </w:p>
        </w:tc>
        <w:tc>
          <w:tcPr>
            <w:tcW w:w="4560" w:type="dxa"/>
            <w:vAlign w:val="center"/>
          </w:tcPr>
          <w:p w14:paraId="4FE3EA2C">
            <w:pPr>
              <w:rPr>
                <w:rFonts w:ascii="楷体" w:hAnsi="楷体" w:eastAsia="楷体" w:cs="楷体"/>
                <w:color w:val="auto"/>
                <w:sz w:val="24"/>
              </w:rPr>
            </w:pPr>
          </w:p>
        </w:tc>
        <w:tc>
          <w:tcPr>
            <w:tcW w:w="3180" w:type="dxa"/>
            <w:vAlign w:val="center"/>
          </w:tcPr>
          <w:p w14:paraId="0DE1D199">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00EF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31" w:type="dxa"/>
            <w:vAlign w:val="center"/>
          </w:tcPr>
          <w:p w14:paraId="51F58784">
            <w:pPr>
              <w:jc w:val="center"/>
              <w:rPr>
                <w:rFonts w:ascii="楷体" w:hAnsi="楷体" w:eastAsia="楷体" w:cs="楷体"/>
                <w:color w:val="auto"/>
                <w:sz w:val="24"/>
              </w:rPr>
            </w:pPr>
            <w:r>
              <w:rPr>
                <w:rFonts w:hint="eastAsia" w:ascii="楷体" w:hAnsi="楷体" w:eastAsia="楷体" w:cs="楷体"/>
                <w:color w:val="auto"/>
                <w:sz w:val="24"/>
              </w:rPr>
              <w:t>3</w:t>
            </w:r>
          </w:p>
        </w:tc>
        <w:tc>
          <w:tcPr>
            <w:tcW w:w="4560" w:type="dxa"/>
            <w:vAlign w:val="center"/>
          </w:tcPr>
          <w:p w14:paraId="4045C9FE">
            <w:pPr>
              <w:rPr>
                <w:rFonts w:ascii="楷体" w:hAnsi="楷体" w:eastAsia="楷体" w:cs="楷体"/>
                <w:color w:val="auto"/>
                <w:sz w:val="24"/>
              </w:rPr>
            </w:pPr>
          </w:p>
        </w:tc>
        <w:tc>
          <w:tcPr>
            <w:tcW w:w="3180" w:type="dxa"/>
            <w:vAlign w:val="center"/>
          </w:tcPr>
          <w:p w14:paraId="1BF4CCA9">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19D6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2BADE974">
            <w:pPr>
              <w:jc w:val="center"/>
              <w:rPr>
                <w:rFonts w:ascii="楷体" w:hAnsi="楷体" w:eastAsia="楷体" w:cs="楷体"/>
                <w:color w:val="auto"/>
                <w:sz w:val="24"/>
              </w:rPr>
            </w:pPr>
            <w:r>
              <w:rPr>
                <w:rFonts w:hint="eastAsia" w:ascii="楷体" w:hAnsi="楷体" w:eastAsia="楷体" w:cs="楷体"/>
                <w:color w:val="auto"/>
                <w:sz w:val="24"/>
              </w:rPr>
              <w:t>4</w:t>
            </w:r>
          </w:p>
        </w:tc>
        <w:tc>
          <w:tcPr>
            <w:tcW w:w="4560" w:type="dxa"/>
            <w:vAlign w:val="center"/>
          </w:tcPr>
          <w:p w14:paraId="6016D5C1">
            <w:pPr>
              <w:rPr>
                <w:rFonts w:ascii="楷体" w:hAnsi="楷体" w:eastAsia="楷体" w:cs="楷体"/>
                <w:color w:val="auto"/>
                <w:sz w:val="24"/>
              </w:rPr>
            </w:pPr>
          </w:p>
        </w:tc>
        <w:tc>
          <w:tcPr>
            <w:tcW w:w="3180" w:type="dxa"/>
            <w:vAlign w:val="center"/>
          </w:tcPr>
          <w:p w14:paraId="32784D11">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1EFF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1DB95D74">
            <w:pPr>
              <w:jc w:val="center"/>
              <w:rPr>
                <w:rFonts w:ascii="楷体" w:hAnsi="楷体" w:eastAsia="楷体" w:cs="楷体"/>
                <w:color w:val="auto"/>
                <w:sz w:val="24"/>
              </w:rPr>
            </w:pPr>
            <w:r>
              <w:rPr>
                <w:rFonts w:hint="eastAsia" w:ascii="楷体" w:hAnsi="楷体" w:eastAsia="楷体" w:cs="楷体"/>
                <w:color w:val="auto"/>
                <w:sz w:val="24"/>
              </w:rPr>
              <w:t>5</w:t>
            </w:r>
          </w:p>
        </w:tc>
        <w:tc>
          <w:tcPr>
            <w:tcW w:w="4560" w:type="dxa"/>
            <w:vAlign w:val="center"/>
          </w:tcPr>
          <w:p w14:paraId="04E37D4C">
            <w:pPr>
              <w:rPr>
                <w:rFonts w:ascii="楷体" w:hAnsi="楷体" w:eastAsia="楷体" w:cs="楷体"/>
                <w:color w:val="auto"/>
                <w:sz w:val="24"/>
              </w:rPr>
            </w:pPr>
          </w:p>
        </w:tc>
        <w:tc>
          <w:tcPr>
            <w:tcW w:w="3180" w:type="dxa"/>
            <w:vAlign w:val="center"/>
          </w:tcPr>
          <w:p w14:paraId="6B0059AB">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7559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197DD569">
            <w:pPr>
              <w:jc w:val="center"/>
              <w:rPr>
                <w:rFonts w:ascii="楷体" w:hAnsi="楷体" w:eastAsia="楷体" w:cs="楷体"/>
                <w:color w:val="auto"/>
                <w:sz w:val="24"/>
              </w:rPr>
            </w:pPr>
            <w:r>
              <w:rPr>
                <w:rFonts w:hint="eastAsia" w:ascii="楷体" w:hAnsi="楷体" w:eastAsia="楷体" w:cs="楷体"/>
                <w:color w:val="auto"/>
                <w:sz w:val="24"/>
              </w:rPr>
              <w:t>6</w:t>
            </w:r>
          </w:p>
        </w:tc>
        <w:tc>
          <w:tcPr>
            <w:tcW w:w="4560" w:type="dxa"/>
            <w:vAlign w:val="center"/>
          </w:tcPr>
          <w:p w14:paraId="040EBB6C">
            <w:pPr>
              <w:rPr>
                <w:rFonts w:ascii="楷体" w:hAnsi="楷体" w:eastAsia="楷体" w:cs="楷体"/>
                <w:color w:val="auto"/>
                <w:sz w:val="24"/>
              </w:rPr>
            </w:pPr>
          </w:p>
        </w:tc>
        <w:tc>
          <w:tcPr>
            <w:tcW w:w="3180" w:type="dxa"/>
            <w:vAlign w:val="center"/>
          </w:tcPr>
          <w:p w14:paraId="3BA4B12F">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3D8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66EDBD32">
            <w:pPr>
              <w:jc w:val="center"/>
              <w:rPr>
                <w:rFonts w:ascii="楷体" w:hAnsi="楷体" w:eastAsia="楷体" w:cs="楷体"/>
                <w:color w:val="auto"/>
                <w:sz w:val="24"/>
              </w:rPr>
            </w:pPr>
            <w:r>
              <w:rPr>
                <w:rFonts w:hint="eastAsia" w:ascii="楷体" w:hAnsi="楷体" w:eastAsia="楷体" w:cs="楷体"/>
                <w:color w:val="auto"/>
                <w:sz w:val="24"/>
              </w:rPr>
              <w:t>7</w:t>
            </w:r>
          </w:p>
        </w:tc>
        <w:tc>
          <w:tcPr>
            <w:tcW w:w="4560" w:type="dxa"/>
            <w:vAlign w:val="center"/>
          </w:tcPr>
          <w:p w14:paraId="72F150B8">
            <w:pPr>
              <w:rPr>
                <w:rFonts w:ascii="楷体" w:hAnsi="楷体" w:eastAsia="楷体" w:cs="楷体"/>
                <w:color w:val="auto"/>
                <w:sz w:val="24"/>
              </w:rPr>
            </w:pPr>
          </w:p>
        </w:tc>
        <w:tc>
          <w:tcPr>
            <w:tcW w:w="3180" w:type="dxa"/>
            <w:vAlign w:val="center"/>
          </w:tcPr>
          <w:p w14:paraId="0D6C3085">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00B4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246F0EF9">
            <w:pPr>
              <w:jc w:val="center"/>
              <w:rPr>
                <w:rFonts w:ascii="楷体" w:hAnsi="楷体" w:eastAsia="楷体" w:cs="楷体"/>
                <w:color w:val="auto"/>
                <w:sz w:val="24"/>
              </w:rPr>
            </w:pPr>
            <w:r>
              <w:rPr>
                <w:rFonts w:hint="eastAsia" w:ascii="楷体" w:hAnsi="楷体" w:eastAsia="楷体" w:cs="楷体"/>
                <w:color w:val="auto"/>
                <w:sz w:val="24"/>
              </w:rPr>
              <w:t>8</w:t>
            </w:r>
          </w:p>
        </w:tc>
        <w:tc>
          <w:tcPr>
            <w:tcW w:w="4560" w:type="dxa"/>
            <w:vAlign w:val="center"/>
          </w:tcPr>
          <w:p w14:paraId="118EE3EF">
            <w:pPr>
              <w:rPr>
                <w:rFonts w:ascii="楷体" w:hAnsi="楷体" w:eastAsia="楷体" w:cs="楷体"/>
                <w:color w:val="auto"/>
                <w:sz w:val="24"/>
              </w:rPr>
            </w:pPr>
          </w:p>
        </w:tc>
        <w:tc>
          <w:tcPr>
            <w:tcW w:w="3180" w:type="dxa"/>
            <w:vAlign w:val="center"/>
          </w:tcPr>
          <w:p w14:paraId="2E67CCD5">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5309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1" w:type="dxa"/>
            <w:vAlign w:val="center"/>
          </w:tcPr>
          <w:p w14:paraId="5AAC943F">
            <w:pPr>
              <w:jc w:val="center"/>
              <w:rPr>
                <w:rFonts w:ascii="楷体" w:hAnsi="楷体" w:eastAsia="楷体" w:cs="楷体"/>
                <w:color w:val="auto"/>
                <w:sz w:val="24"/>
              </w:rPr>
            </w:pPr>
            <w:r>
              <w:rPr>
                <w:rFonts w:hint="eastAsia" w:ascii="楷体" w:hAnsi="楷体" w:eastAsia="楷体" w:cs="楷体"/>
                <w:color w:val="auto"/>
                <w:sz w:val="24"/>
              </w:rPr>
              <w:t>9</w:t>
            </w:r>
          </w:p>
        </w:tc>
        <w:tc>
          <w:tcPr>
            <w:tcW w:w="4560" w:type="dxa"/>
            <w:vAlign w:val="center"/>
          </w:tcPr>
          <w:p w14:paraId="6D3E58F4">
            <w:pPr>
              <w:rPr>
                <w:rFonts w:ascii="楷体" w:hAnsi="楷体" w:eastAsia="楷体" w:cs="楷体"/>
                <w:color w:val="auto"/>
                <w:sz w:val="24"/>
              </w:rPr>
            </w:pPr>
          </w:p>
        </w:tc>
        <w:tc>
          <w:tcPr>
            <w:tcW w:w="3180" w:type="dxa"/>
            <w:vAlign w:val="center"/>
          </w:tcPr>
          <w:p w14:paraId="2C8F69C0">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0E9C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1" w:type="dxa"/>
            <w:vAlign w:val="center"/>
          </w:tcPr>
          <w:p w14:paraId="701EB3B2">
            <w:pPr>
              <w:jc w:val="center"/>
              <w:rPr>
                <w:rFonts w:ascii="楷体" w:hAnsi="楷体" w:eastAsia="楷体" w:cs="楷体"/>
                <w:color w:val="auto"/>
                <w:sz w:val="24"/>
              </w:rPr>
            </w:pPr>
            <w:r>
              <w:rPr>
                <w:rFonts w:hint="eastAsia" w:ascii="楷体" w:hAnsi="楷体" w:eastAsia="楷体" w:cs="楷体"/>
                <w:color w:val="auto"/>
                <w:sz w:val="24"/>
              </w:rPr>
              <w:t>…</w:t>
            </w:r>
          </w:p>
        </w:tc>
        <w:tc>
          <w:tcPr>
            <w:tcW w:w="4560" w:type="dxa"/>
            <w:vAlign w:val="center"/>
          </w:tcPr>
          <w:p w14:paraId="53C204BF">
            <w:pPr>
              <w:rPr>
                <w:rFonts w:ascii="楷体" w:hAnsi="楷体" w:eastAsia="楷体" w:cs="楷体"/>
                <w:color w:val="auto"/>
                <w:sz w:val="24"/>
              </w:rPr>
            </w:pPr>
          </w:p>
        </w:tc>
        <w:tc>
          <w:tcPr>
            <w:tcW w:w="3180" w:type="dxa"/>
            <w:vAlign w:val="center"/>
          </w:tcPr>
          <w:p w14:paraId="7A4D0ED2">
            <w:pPr>
              <w:jc w:val="center"/>
              <w:rPr>
                <w:rFonts w:ascii="楷体" w:hAnsi="楷体" w:eastAsia="楷体" w:cs="楷体"/>
                <w:color w:val="auto"/>
                <w:sz w:val="24"/>
              </w:rPr>
            </w:pPr>
          </w:p>
        </w:tc>
      </w:tr>
    </w:tbl>
    <w:p w14:paraId="54B4D946">
      <w:pPr>
        <w:spacing w:before="120" w:beforeLines="50" w:line="360" w:lineRule="auto"/>
        <w:rPr>
          <w:rFonts w:ascii="楷体" w:hAnsi="楷体" w:eastAsia="楷体" w:cs="楷体"/>
          <w:color w:val="auto"/>
          <w:sz w:val="24"/>
        </w:rPr>
      </w:pPr>
      <w:r>
        <w:rPr>
          <w:rFonts w:hint="eastAsia" w:ascii="楷体" w:hAnsi="楷体" w:eastAsia="楷体" w:cs="楷体"/>
          <w:color w:val="auto"/>
          <w:sz w:val="24"/>
        </w:rPr>
        <w:t>注：投标人应根据《商务评审表》的各项内容填写此表。</w:t>
      </w:r>
    </w:p>
    <w:p w14:paraId="597E9087">
      <w:pPr>
        <w:rPr>
          <w:rFonts w:ascii="楷体" w:hAnsi="楷体" w:eastAsia="楷体" w:cs="楷体"/>
          <w:color w:val="auto"/>
        </w:rPr>
      </w:pPr>
    </w:p>
    <w:p w14:paraId="40432DF8">
      <w:pPr>
        <w:rPr>
          <w:rFonts w:ascii="楷体" w:hAnsi="楷体" w:eastAsia="楷体" w:cs="楷体"/>
          <w:color w:val="auto"/>
        </w:rPr>
      </w:pPr>
    </w:p>
    <w:p w14:paraId="2EABFF30">
      <w:pPr>
        <w:rPr>
          <w:rFonts w:ascii="楷体" w:hAnsi="楷体" w:eastAsia="楷体" w:cs="楷体"/>
          <w:color w:val="auto"/>
        </w:rPr>
      </w:pPr>
    </w:p>
    <w:p w14:paraId="00052C86">
      <w:pPr>
        <w:rPr>
          <w:rFonts w:ascii="楷体" w:hAnsi="楷体" w:eastAsia="楷体" w:cs="楷体"/>
          <w:color w:val="auto"/>
        </w:rPr>
      </w:pPr>
    </w:p>
    <w:p w14:paraId="7788CD89">
      <w:pPr>
        <w:rPr>
          <w:rFonts w:ascii="楷体" w:hAnsi="楷体" w:eastAsia="楷体" w:cs="楷体"/>
          <w:color w:val="auto"/>
        </w:rPr>
      </w:pPr>
    </w:p>
    <w:p w14:paraId="32615C6C">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51402882">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31C2CB47">
      <w:pPr>
        <w:spacing w:before="72" w:after="72" w:line="400" w:lineRule="exact"/>
        <w:ind w:firstLine="3578" w:firstLineChars="1491"/>
        <w:rPr>
          <w:rFonts w:ascii="楷体" w:hAnsi="楷体" w:eastAsia="楷体" w:cs="楷体"/>
          <w:b/>
          <w:color w:val="auto"/>
          <w:sz w:val="24"/>
        </w:rPr>
      </w:pPr>
      <w:r>
        <w:rPr>
          <w:rFonts w:hint="eastAsia" w:ascii="楷体" w:hAnsi="楷体" w:eastAsia="楷体" w:cs="楷体"/>
          <w:color w:val="auto"/>
          <w:sz w:val="24"/>
        </w:rPr>
        <w:t>日期：   年   月   日</w:t>
      </w:r>
    </w:p>
    <w:p w14:paraId="7B03BCF5">
      <w:pPr>
        <w:spacing w:before="72" w:after="72" w:line="400" w:lineRule="exact"/>
        <w:rPr>
          <w:rFonts w:ascii="楷体" w:hAnsi="楷体" w:eastAsia="楷体" w:cs="楷体"/>
          <w:b/>
          <w:color w:val="auto"/>
          <w:sz w:val="24"/>
        </w:rPr>
      </w:pPr>
    </w:p>
    <w:p w14:paraId="35D491E8">
      <w:pPr>
        <w:rPr>
          <w:rFonts w:ascii="楷体" w:hAnsi="楷体" w:eastAsia="楷体" w:cs="楷体"/>
          <w:color w:val="auto"/>
        </w:rPr>
        <w:sectPr>
          <w:pgSz w:w="11906" w:h="16838"/>
          <w:pgMar w:top="1440" w:right="1800" w:bottom="1440" w:left="1800" w:header="851" w:footer="822" w:gutter="0"/>
          <w:cols w:space="720" w:num="1"/>
          <w:titlePg/>
          <w:docGrid w:linePitch="312" w:charSpace="0"/>
        </w:sectPr>
      </w:pPr>
    </w:p>
    <w:p w14:paraId="49B4BFA9">
      <w:pPr>
        <w:pStyle w:val="4"/>
        <w:numPr>
          <w:ilvl w:val="0"/>
          <w:numId w:val="70"/>
        </w:numPr>
        <w:jc w:val="center"/>
        <w:rPr>
          <w:rFonts w:ascii="楷体" w:hAnsi="楷体" w:eastAsia="楷体" w:cs="楷体"/>
          <w:color w:val="auto"/>
        </w:rPr>
      </w:pPr>
      <w:bookmarkStart w:id="355" w:name="_Toc8696"/>
      <w:bookmarkStart w:id="356" w:name="_Toc191"/>
      <w:r>
        <w:rPr>
          <w:rFonts w:hint="eastAsia" w:ascii="楷体" w:hAnsi="楷体" w:eastAsia="楷体" w:cs="楷体"/>
          <w:color w:val="auto"/>
        </w:rPr>
        <w:t>技术评审自查表</w:t>
      </w:r>
      <w:bookmarkEnd w:id="355"/>
      <w:bookmarkEnd w:id="356"/>
    </w:p>
    <w:tbl>
      <w:tblPr>
        <w:tblStyle w:val="43"/>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560"/>
        <w:gridCol w:w="3180"/>
      </w:tblGrid>
      <w:tr w14:paraId="7CCC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31" w:type="dxa"/>
            <w:shd w:val="clear" w:color="auto" w:fill="EEECE1"/>
            <w:vAlign w:val="center"/>
          </w:tcPr>
          <w:p w14:paraId="19EAF1F2">
            <w:pPr>
              <w:jc w:val="center"/>
              <w:rPr>
                <w:rFonts w:ascii="楷体" w:hAnsi="楷体" w:eastAsia="楷体" w:cs="楷体"/>
                <w:b/>
                <w:bCs/>
                <w:color w:val="auto"/>
                <w:sz w:val="24"/>
              </w:rPr>
            </w:pPr>
            <w:r>
              <w:rPr>
                <w:rFonts w:hint="eastAsia" w:ascii="楷体" w:hAnsi="楷体" w:eastAsia="楷体" w:cs="楷体"/>
                <w:b/>
                <w:bCs/>
                <w:color w:val="auto"/>
                <w:sz w:val="24"/>
              </w:rPr>
              <w:t>序号</w:t>
            </w:r>
          </w:p>
        </w:tc>
        <w:tc>
          <w:tcPr>
            <w:tcW w:w="4560" w:type="dxa"/>
            <w:shd w:val="clear" w:color="auto" w:fill="EEECE1"/>
            <w:vAlign w:val="center"/>
          </w:tcPr>
          <w:p w14:paraId="28A7651E">
            <w:pPr>
              <w:jc w:val="center"/>
              <w:rPr>
                <w:rFonts w:ascii="楷体" w:hAnsi="楷体" w:eastAsia="楷体" w:cs="楷体"/>
                <w:b/>
                <w:bCs/>
                <w:color w:val="auto"/>
                <w:sz w:val="24"/>
              </w:rPr>
            </w:pPr>
            <w:r>
              <w:rPr>
                <w:rFonts w:hint="eastAsia" w:ascii="楷体" w:hAnsi="楷体" w:eastAsia="楷体" w:cs="楷体"/>
                <w:b/>
                <w:bCs/>
                <w:color w:val="auto"/>
                <w:sz w:val="24"/>
              </w:rPr>
              <w:t>评审分项</w:t>
            </w:r>
          </w:p>
        </w:tc>
        <w:tc>
          <w:tcPr>
            <w:tcW w:w="3180" w:type="dxa"/>
            <w:shd w:val="clear" w:color="auto" w:fill="EEECE1"/>
            <w:vAlign w:val="center"/>
          </w:tcPr>
          <w:p w14:paraId="4CDEDD1E">
            <w:pPr>
              <w:jc w:val="center"/>
              <w:rPr>
                <w:rFonts w:ascii="楷体" w:hAnsi="楷体" w:eastAsia="楷体" w:cs="楷体"/>
                <w:b/>
                <w:bCs/>
                <w:color w:val="auto"/>
                <w:sz w:val="24"/>
              </w:rPr>
            </w:pPr>
            <w:r>
              <w:rPr>
                <w:rFonts w:hint="eastAsia" w:ascii="楷体" w:hAnsi="楷体" w:eastAsia="楷体" w:cs="楷体"/>
                <w:b/>
                <w:bCs/>
                <w:color w:val="auto"/>
                <w:sz w:val="24"/>
              </w:rPr>
              <w:t>证明材料对应页码</w:t>
            </w:r>
          </w:p>
        </w:tc>
      </w:tr>
      <w:tr w14:paraId="6CD7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1" w:type="dxa"/>
            <w:vAlign w:val="center"/>
          </w:tcPr>
          <w:p w14:paraId="4FDA668D">
            <w:pPr>
              <w:jc w:val="center"/>
              <w:rPr>
                <w:rFonts w:ascii="楷体" w:hAnsi="楷体" w:eastAsia="楷体" w:cs="楷体"/>
                <w:color w:val="auto"/>
                <w:sz w:val="24"/>
              </w:rPr>
            </w:pPr>
            <w:r>
              <w:rPr>
                <w:rFonts w:hint="eastAsia" w:ascii="楷体" w:hAnsi="楷体" w:eastAsia="楷体" w:cs="楷体"/>
                <w:color w:val="auto"/>
                <w:sz w:val="24"/>
              </w:rPr>
              <w:t>1</w:t>
            </w:r>
          </w:p>
        </w:tc>
        <w:tc>
          <w:tcPr>
            <w:tcW w:w="4560" w:type="dxa"/>
            <w:vAlign w:val="center"/>
          </w:tcPr>
          <w:p w14:paraId="4FB8E262">
            <w:pPr>
              <w:rPr>
                <w:rFonts w:ascii="楷体" w:hAnsi="楷体" w:eastAsia="楷体" w:cs="楷体"/>
                <w:color w:val="auto"/>
                <w:sz w:val="24"/>
              </w:rPr>
            </w:pPr>
          </w:p>
        </w:tc>
        <w:tc>
          <w:tcPr>
            <w:tcW w:w="3180" w:type="dxa"/>
            <w:vAlign w:val="center"/>
          </w:tcPr>
          <w:p w14:paraId="4F3DF726">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01C2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56D310B6">
            <w:pPr>
              <w:jc w:val="center"/>
              <w:rPr>
                <w:rFonts w:ascii="楷体" w:hAnsi="楷体" w:eastAsia="楷体" w:cs="楷体"/>
                <w:color w:val="auto"/>
                <w:sz w:val="24"/>
              </w:rPr>
            </w:pPr>
            <w:r>
              <w:rPr>
                <w:rFonts w:hint="eastAsia" w:ascii="楷体" w:hAnsi="楷体" w:eastAsia="楷体" w:cs="楷体"/>
                <w:color w:val="auto"/>
                <w:sz w:val="24"/>
              </w:rPr>
              <w:t>2</w:t>
            </w:r>
          </w:p>
        </w:tc>
        <w:tc>
          <w:tcPr>
            <w:tcW w:w="4560" w:type="dxa"/>
            <w:vAlign w:val="center"/>
          </w:tcPr>
          <w:p w14:paraId="5B098F27">
            <w:pPr>
              <w:rPr>
                <w:rFonts w:ascii="楷体" w:hAnsi="楷体" w:eastAsia="楷体" w:cs="楷体"/>
                <w:color w:val="auto"/>
                <w:sz w:val="24"/>
              </w:rPr>
            </w:pPr>
          </w:p>
        </w:tc>
        <w:tc>
          <w:tcPr>
            <w:tcW w:w="3180" w:type="dxa"/>
            <w:vAlign w:val="center"/>
          </w:tcPr>
          <w:p w14:paraId="5FD65604">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67E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31" w:type="dxa"/>
            <w:vAlign w:val="center"/>
          </w:tcPr>
          <w:p w14:paraId="114A3452">
            <w:pPr>
              <w:jc w:val="center"/>
              <w:rPr>
                <w:rFonts w:ascii="楷体" w:hAnsi="楷体" w:eastAsia="楷体" w:cs="楷体"/>
                <w:color w:val="auto"/>
                <w:sz w:val="24"/>
              </w:rPr>
            </w:pPr>
            <w:r>
              <w:rPr>
                <w:rFonts w:hint="eastAsia" w:ascii="楷体" w:hAnsi="楷体" w:eastAsia="楷体" w:cs="楷体"/>
                <w:color w:val="auto"/>
                <w:sz w:val="24"/>
              </w:rPr>
              <w:t>3</w:t>
            </w:r>
          </w:p>
        </w:tc>
        <w:tc>
          <w:tcPr>
            <w:tcW w:w="4560" w:type="dxa"/>
            <w:vAlign w:val="center"/>
          </w:tcPr>
          <w:p w14:paraId="6CFACAC7">
            <w:pPr>
              <w:rPr>
                <w:rFonts w:ascii="楷体" w:hAnsi="楷体" w:eastAsia="楷体" w:cs="楷体"/>
                <w:color w:val="auto"/>
                <w:sz w:val="24"/>
              </w:rPr>
            </w:pPr>
          </w:p>
        </w:tc>
        <w:tc>
          <w:tcPr>
            <w:tcW w:w="3180" w:type="dxa"/>
            <w:vAlign w:val="center"/>
          </w:tcPr>
          <w:p w14:paraId="59033423">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28D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1" w:type="dxa"/>
            <w:vAlign w:val="center"/>
          </w:tcPr>
          <w:p w14:paraId="65BF19EF">
            <w:pPr>
              <w:jc w:val="center"/>
              <w:rPr>
                <w:rFonts w:ascii="楷体" w:hAnsi="楷体" w:eastAsia="楷体" w:cs="楷体"/>
                <w:color w:val="auto"/>
                <w:sz w:val="24"/>
              </w:rPr>
            </w:pPr>
            <w:r>
              <w:rPr>
                <w:rFonts w:hint="eastAsia" w:ascii="楷体" w:hAnsi="楷体" w:eastAsia="楷体" w:cs="楷体"/>
                <w:color w:val="auto"/>
                <w:sz w:val="24"/>
              </w:rPr>
              <w:t>4</w:t>
            </w:r>
          </w:p>
        </w:tc>
        <w:tc>
          <w:tcPr>
            <w:tcW w:w="4560" w:type="dxa"/>
            <w:vAlign w:val="center"/>
          </w:tcPr>
          <w:p w14:paraId="5784078B">
            <w:pPr>
              <w:rPr>
                <w:rFonts w:ascii="楷体" w:hAnsi="楷体" w:eastAsia="楷体" w:cs="楷体"/>
                <w:color w:val="auto"/>
                <w:sz w:val="24"/>
              </w:rPr>
            </w:pPr>
          </w:p>
        </w:tc>
        <w:tc>
          <w:tcPr>
            <w:tcW w:w="3180" w:type="dxa"/>
            <w:vAlign w:val="center"/>
          </w:tcPr>
          <w:p w14:paraId="2DCDE81B">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4D97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0A053E38">
            <w:pPr>
              <w:jc w:val="center"/>
              <w:rPr>
                <w:rFonts w:ascii="楷体" w:hAnsi="楷体" w:eastAsia="楷体" w:cs="楷体"/>
                <w:color w:val="auto"/>
                <w:sz w:val="24"/>
              </w:rPr>
            </w:pPr>
            <w:r>
              <w:rPr>
                <w:rFonts w:hint="eastAsia" w:ascii="楷体" w:hAnsi="楷体" w:eastAsia="楷体" w:cs="楷体"/>
                <w:color w:val="auto"/>
                <w:sz w:val="24"/>
              </w:rPr>
              <w:t>5</w:t>
            </w:r>
          </w:p>
        </w:tc>
        <w:tc>
          <w:tcPr>
            <w:tcW w:w="4560" w:type="dxa"/>
            <w:vAlign w:val="center"/>
          </w:tcPr>
          <w:p w14:paraId="5736697D">
            <w:pPr>
              <w:rPr>
                <w:rFonts w:ascii="楷体" w:hAnsi="楷体" w:eastAsia="楷体" w:cs="楷体"/>
                <w:color w:val="auto"/>
                <w:sz w:val="24"/>
              </w:rPr>
            </w:pPr>
          </w:p>
        </w:tc>
        <w:tc>
          <w:tcPr>
            <w:tcW w:w="3180" w:type="dxa"/>
            <w:vAlign w:val="center"/>
          </w:tcPr>
          <w:p w14:paraId="63C80D5A">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5833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2AC46021">
            <w:pPr>
              <w:jc w:val="center"/>
              <w:rPr>
                <w:rFonts w:ascii="楷体" w:hAnsi="楷体" w:eastAsia="楷体" w:cs="楷体"/>
                <w:color w:val="auto"/>
                <w:sz w:val="24"/>
              </w:rPr>
            </w:pPr>
            <w:r>
              <w:rPr>
                <w:rFonts w:hint="eastAsia" w:ascii="楷体" w:hAnsi="楷体" w:eastAsia="楷体" w:cs="楷体"/>
                <w:color w:val="auto"/>
                <w:sz w:val="24"/>
              </w:rPr>
              <w:t>6</w:t>
            </w:r>
          </w:p>
        </w:tc>
        <w:tc>
          <w:tcPr>
            <w:tcW w:w="4560" w:type="dxa"/>
            <w:vAlign w:val="center"/>
          </w:tcPr>
          <w:p w14:paraId="06030900">
            <w:pPr>
              <w:rPr>
                <w:rFonts w:ascii="楷体" w:hAnsi="楷体" w:eastAsia="楷体" w:cs="楷体"/>
                <w:color w:val="auto"/>
                <w:sz w:val="24"/>
              </w:rPr>
            </w:pPr>
          </w:p>
        </w:tc>
        <w:tc>
          <w:tcPr>
            <w:tcW w:w="3180" w:type="dxa"/>
            <w:vAlign w:val="center"/>
          </w:tcPr>
          <w:p w14:paraId="1C572B71">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7849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1" w:type="dxa"/>
            <w:vAlign w:val="center"/>
          </w:tcPr>
          <w:p w14:paraId="4D7D89BF">
            <w:pPr>
              <w:jc w:val="center"/>
              <w:rPr>
                <w:rFonts w:ascii="楷体" w:hAnsi="楷体" w:eastAsia="楷体" w:cs="楷体"/>
                <w:color w:val="auto"/>
                <w:sz w:val="24"/>
              </w:rPr>
            </w:pPr>
            <w:r>
              <w:rPr>
                <w:rFonts w:hint="eastAsia" w:ascii="楷体" w:hAnsi="楷体" w:eastAsia="楷体" w:cs="楷体"/>
                <w:color w:val="auto"/>
                <w:sz w:val="24"/>
              </w:rPr>
              <w:t>7</w:t>
            </w:r>
          </w:p>
        </w:tc>
        <w:tc>
          <w:tcPr>
            <w:tcW w:w="4560" w:type="dxa"/>
            <w:vAlign w:val="center"/>
          </w:tcPr>
          <w:p w14:paraId="43432CCC">
            <w:pPr>
              <w:rPr>
                <w:rFonts w:ascii="楷体" w:hAnsi="楷体" w:eastAsia="楷体" w:cs="楷体"/>
                <w:color w:val="auto"/>
                <w:sz w:val="24"/>
              </w:rPr>
            </w:pPr>
          </w:p>
        </w:tc>
        <w:tc>
          <w:tcPr>
            <w:tcW w:w="3180" w:type="dxa"/>
            <w:vAlign w:val="center"/>
          </w:tcPr>
          <w:p w14:paraId="5440A93A">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1CD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31" w:type="dxa"/>
            <w:vAlign w:val="center"/>
          </w:tcPr>
          <w:p w14:paraId="0F682669">
            <w:pPr>
              <w:jc w:val="center"/>
              <w:rPr>
                <w:rFonts w:ascii="楷体" w:hAnsi="楷体" w:eastAsia="楷体" w:cs="楷体"/>
                <w:color w:val="auto"/>
                <w:sz w:val="24"/>
              </w:rPr>
            </w:pPr>
            <w:r>
              <w:rPr>
                <w:rFonts w:hint="eastAsia" w:ascii="楷体" w:hAnsi="楷体" w:eastAsia="楷体" w:cs="楷体"/>
                <w:color w:val="auto"/>
                <w:sz w:val="24"/>
              </w:rPr>
              <w:t>8</w:t>
            </w:r>
          </w:p>
        </w:tc>
        <w:tc>
          <w:tcPr>
            <w:tcW w:w="4560" w:type="dxa"/>
            <w:vAlign w:val="center"/>
          </w:tcPr>
          <w:p w14:paraId="09F5D270">
            <w:pPr>
              <w:rPr>
                <w:rFonts w:ascii="楷体" w:hAnsi="楷体" w:eastAsia="楷体" w:cs="楷体"/>
                <w:color w:val="auto"/>
                <w:sz w:val="24"/>
              </w:rPr>
            </w:pPr>
          </w:p>
        </w:tc>
        <w:tc>
          <w:tcPr>
            <w:tcW w:w="3180" w:type="dxa"/>
            <w:vAlign w:val="center"/>
          </w:tcPr>
          <w:p w14:paraId="112E0E32">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4006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1" w:type="dxa"/>
            <w:vAlign w:val="center"/>
          </w:tcPr>
          <w:p w14:paraId="3AAADA9C">
            <w:pPr>
              <w:jc w:val="center"/>
              <w:rPr>
                <w:rFonts w:ascii="楷体" w:hAnsi="楷体" w:eastAsia="楷体" w:cs="楷体"/>
                <w:color w:val="auto"/>
                <w:sz w:val="24"/>
              </w:rPr>
            </w:pPr>
            <w:r>
              <w:rPr>
                <w:rFonts w:hint="eastAsia" w:ascii="楷体" w:hAnsi="楷体" w:eastAsia="楷体" w:cs="楷体"/>
                <w:color w:val="auto"/>
                <w:sz w:val="24"/>
              </w:rPr>
              <w:t>9</w:t>
            </w:r>
          </w:p>
        </w:tc>
        <w:tc>
          <w:tcPr>
            <w:tcW w:w="4560" w:type="dxa"/>
            <w:vAlign w:val="center"/>
          </w:tcPr>
          <w:p w14:paraId="3B9BF120">
            <w:pPr>
              <w:rPr>
                <w:rFonts w:ascii="楷体" w:hAnsi="楷体" w:eastAsia="楷体" w:cs="楷体"/>
                <w:color w:val="auto"/>
                <w:sz w:val="24"/>
              </w:rPr>
            </w:pPr>
          </w:p>
        </w:tc>
        <w:tc>
          <w:tcPr>
            <w:tcW w:w="3180" w:type="dxa"/>
            <w:vAlign w:val="center"/>
          </w:tcPr>
          <w:p w14:paraId="17EF15C7">
            <w:pPr>
              <w:jc w:val="center"/>
              <w:rPr>
                <w:rFonts w:ascii="楷体" w:hAnsi="楷体" w:eastAsia="楷体" w:cs="楷体"/>
                <w:color w:val="auto"/>
                <w:sz w:val="24"/>
              </w:rPr>
            </w:pPr>
            <w:r>
              <w:rPr>
                <w:rFonts w:hint="eastAsia" w:ascii="楷体" w:hAnsi="楷体" w:eastAsia="楷体" w:cs="楷体"/>
                <w:color w:val="auto"/>
                <w:sz w:val="24"/>
              </w:rPr>
              <w:t>见投标文件（）页</w:t>
            </w:r>
          </w:p>
        </w:tc>
      </w:tr>
      <w:tr w14:paraId="32C9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1" w:type="dxa"/>
            <w:vAlign w:val="center"/>
          </w:tcPr>
          <w:p w14:paraId="7950721F">
            <w:pPr>
              <w:jc w:val="center"/>
              <w:rPr>
                <w:rFonts w:ascii="楷体" w:hAnsi="楷体" w:eastAsia="楷体" w:cs="楷体"/>
                <w:color w:val="auto"/>
                <w:sz w:val="24"/>
              </w:rPr>
            </w:pPr>
            <w:r>
              <w:rPr>
                <w:rFonts w:hint="eastAsia" w:ascii="楷体" w:hAnsi="楷体" w:eastAsia="楷体" w:cs="楷体"/>
                <w:color w:val="auto"/>
                <w:sz w:val="24"/>
              </w:rPr>
              <w:t>…</w:t>
            </w:r>
          </w:p>
        </w:tc>
        <w:tc>
          <w:tcPr>
            <w:tcW w:w="4560" w:type="dxa"/>
            <w:vAlign w:val="center"/>
          </w:tcPr>
          <w:p w14:paraId="39018E18">
            <w:pPr>
              <w:rPr>
                <w:rFonts w:ascii="楷体" w:hAnsi="楷体" w:eastAsia="楷体" w:cs="楷体"/>
                <w:color w:val="auto"/>
                <w:sz w:val="24"/>
              </w:rPr>
            </w:pPr>
          </w:p>
        </w:tc>
        <w:tc>
          <w:tcPr>
            <w:tcW w:w="3180" w:type="dxa"/>
            <w:vAlign w:val="center"/>
          </w:tcPr>
          <w:p w14:paraId="528703AB">
            <w:pPr>
              <w:jc w:val="center"/>
              <w:rPr>
                <w:rFonts w:ascii="楷体" w:hAnsi="楷体" w:eastAsia="楷体" w:cs="楷体"/>
                <w:color w:val="auto"/>
                <w:sz w:val="24"/>
              </w:rPr>
            </w:pPr>
          </w:p>
        </w:tc>
      </w:tr>
    </w:tbl>
    <w:p w14:paraId="6690BA3F">
      <w:pPr>
        <w:spacing w:before="120" w:beforeLines="50" w:line="360" w:lineRule="auto"/>
        <w:rPr>
          <w:rFonts w:ascii="楷体" w:hAnsi="楷体" w:eastAsia="楷体" w:cs="楷体"/>
          <w:color w:val="auto"/>
          <w:sz w:val="24"/>
        </w:rPr>
      </w:pPr>
      <w:r>
        <w:rPr>
          <w:rFonts w:hint="eastAsia" w:ascii="楷体" w:hAnsi="楷体" w:eastAsia="楷体" w:cs="楷体"/>
          <w:color w:val="auto"/>
          <w:sz w:val="24"/>
        </w:rPr>
        <w:t>注：投标人应根据《技术评审表》的各项内容填写此表。</w:t>
      </w:r>
    </w:p>
    <w:p w14:paraId="0B75C144">
      <w:pPr>
        <w:rPr>
          <w:rFonts w:ascii="楷体" w:hAnsi="楷体" w:eastAsia="楷体" w:cs="楷体"/>
          <w:color w:val="auto"/>
        </w:rPr>
      </w:pPr>
    </w:p>
    <w:p w14:paraId="0AF3242D">
      <w:pPr>
        <w:rPr>
          <w:rFonts w:ascii="楷体" w:hAnsi="楷体" w:eastAsia="楷体" w:cs="楷体"/>
          <w:color w:val="auto"/>
        </w:rPr>
      </w:pPr>
    </w:p>
    <w:p w14:paraId="22FCB10B">
      <w:pPr>
        <w:rPr>
          <w:rFonts w:ascii="楷体" w:hAnsi="楷体" w:eastAsia="楷体" w:cs="楷体"/>
          <w:color w:val="auto"/>
        </w:rPr>
      </w:pPr>
    </w:p>
    <w:p w14:paraId="59BDC2F2">
      <w:pPr>
        <w:rPr>
          <w:rFonts w:ascii="楷体" w:hAnsi="楷体" w:eastAsia="楷体" w:cs="楷体"/>
          <w:color w:val="auto"/>
        </w:rPr>
      </w:pPr>
    </w:p>
    <w:p w14:paraId="2DCC6DE7">
      <w:pPr>
        <w:rPr>
          <w:rFonts w:ascii="楷体" w:hAnsi="楷体" w:eastAsia="楷体" w:cs="楷体"/>
          <w:color w:val="auto"/>
        </w:rPr>
      </w:pPr>
    </w:p>
    <w:p w14:paraId="7944684A">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761538E3">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617F0584">
      <w:pPr>
        <w:spacing w:before="72" w:after="72" w:line="400" w:lineRule="exact"/>
        <w:ind w:firstLine="3578" w:firstLineChars="1491"/>
        <w:rPr>
          <w:rFonts w:ascii="楷体" w:hAnsi="楷体" w:eastAsia="楷体" w:cs="楷体"/>
          <w:b/>
          <w:color w:val="auto"/>
          <w:sz w:val="24"/>
        </w:rPr>
      </w:pPr>
      <w:r>
        <w:rPr>
          <w:rFonts w:hint="eastAsia" w:ascii="楷体" w:hAnsi="楷体" w:eastAsia="楷体" w:cs="楷体"/>
          <w:color w:val="auto"/>
          <w:sz w:val="24"/>
        </w:rPr>
        <w:t>日期：   年   月   日</w:t>
      </w:r>
    </w:p>
    <w:p w14:paraId="431A9489">
      <w:pPr>
        <w:spacing w:before="72" w:after="72" w:line="400" w:lineRule="exact"/>
        <w:rPr>
          <w:rFonts w:ascii="楷体" w:hAnsi="楷体" w:eastAsia="楷体" w:cs="楷体"/>
          <w:b/>
          <w:color w:val="auto"/>
          <w:sz w:val="24"/>
        </w:rPr>
      </w:pPr>
    </w:p>
    <w:p w14:paraId="57B35386">
      <w:pPr>
        <w:spacing w:before="72" w:after="72" w:line="400" w:lineRule="exact"/>
        <w:rPr>
          <w:rFonts w:ascii="楷体" w:hAnsi="楷体" w:eastAsia="楷体" w:cs="楷体"/>
          <w:b/>
          <w:color w:val="auto"/>
          <w:sz w:val="24"/>
        </w:rPr>
      </w:pPr>
    </w:p>
    <w:p w14:paraId="751D5024">
      <w:pPr>
        <w:spacing w:before="72" w:after="72" w:line="400" w:lineRule="exact"/>
        <w:rPr>
          <w:rFonts w:ascii="楷体" w:hAnsi="楷体" w:eastAsia="楷体" w:cs="楷体"/>
          <w:b/>
          <w:color w:val="auto"/>
          <w:sz w:val="24"/>
        </w:rPr>
      </w:pPr>
    </w:p>
    <w:p w14:paraId="007C5E5A">
      <w:pPr>
        <w:spacing w:before="72" w:after="72" w:line="400" w:lineRule="exact"/>
        <w:rPr>
          <w:rFonts w:ascii="楷体" w:hAnsi="楷体" w:eastAsia="楷体" w:cs="楷体"/>
          <w:b/>
          <w:color w:val="auto"/>
          <w:sz w:val="24"/>
        </w:rPr>
      </w:pPr>
    </w:p>
    <w:p w14:paraId="157664D8">
      <w:pPr>
        <w:spacing w:before="72" w:after="72" w:line="400" w:lineRule="exact"/>
        <w:rPr>
          <w:rFonts w:ascii="楷体" w:hAnsi="楷体" w:eastAsia="楷体" w:cs="楷体"/>
          <w:b/>
          <w:color w:val="auto"/>
          <w:sz w:val="24"/>
        </w:rPr>
      </w:pPr>
    </w:p>
    <w:p w14:paraId="47D6A6FE">
      <w:pPr>
        <w:spacing w:before="72" w:after="72" w:line="400" w:lineRule="exact"/>
        <w:rPr>
          <w:rFonts w:ascii="楷体" w:hAnsi="楷体" w:eastAsia="楷体" w:cs="楷体"/>
          <w:b/>
          <w:color w:val="auto"/>
          <w:sz w:val="24"/>
        </w:rPr>
      </w:pPr>
    </w:p>
    <w:p w14:paraId="5674C2FD">
      <w:pPr>
        <w:spacing w:before="72" w:after="72" w:line="400" w:lineRule="exact"/>
        <w:rPr>
          <w:rFonts w:ascii="楷体" w:hAnsi="楷体" w:eastAsia="楷体" w:cs="楷体"/>
          <w:b/>
          <w:color w:val="auto"/>
          <w:sz w:val="24"/>
        </w:rPr>
      </w:pPr>
    </w:p>
    <w:p w14:paraId="30DAC424">
      <w:pPr>
        <w:spacing w:before="72" w:after="72" w:line="400" w:lineRule="exact"/>
        <w:rPr>
          <w:rFonts w:ascii="楷体" w:hAnsi="楷体" w:eastAsia="楷体" w:cs="楷体"/>
          <w:b/>
          <w:color w:val="auto"/>
          <w:sz w:val="24"/>
        </w:rPr>
      </w:pPr>
    </w:p>
    <w:p w14:paraId="6253CC6B">
      <w:pPr>
        <w:spacing w:before="72" w:after="72" w:line="400" w:lineRule="exact"/>
        <w:rPr>
          <w:rFonts w:ascii="楷体" w:hAnsi="楷体" w:eastAsia="楷体" w:cs="楷体"/>
          <w:b/>
          <w:color w:val="auto"/>
          <w:sz w:val="24"/>
        </w:rPr>
      </w:pPr>
    </w:p>
    <w:p w14:paraId="139A3281">
      <w:pPr>
        <w:spacing w:before="72" w:after="72" w:line="400" w:lineRule="exact"/>
        <w:rPr>
          <w:rFonts w:ascii="楷体" w:hAnsi="楷体" w:eastAsia="楷体" w:cs="楷体"/>
          <w:b/>
          <w:color w:val="auto"/>
          <w:sz w:val="24"/>
        </w:rPr>
      </w:pPr>
    </w:p>
    <w:p w14:paraId="0BA70F38">
      <w:pPr>
        <w:spacing w:before="72" w:after="72" w:line="400" w:lineRule="exact"/>
        <w:rPr>
          <w:rFonts w:ascii="楷体" w:hAnsi="楷体" w:eastAsia="楷体" w:cs="楷体"/>
          <w:b/>
          <w:color w:val="auto"/>
          <w:sz w:val="24"/>
        </w:rPr>
      </w:pPr>
    </w:p>
    <w:p w14:paraId="3DC4B2AA">
      <w:pPr>
        <w:rPr>
          <w:rFonts w:ascii="楷体" w:hAnsi="楷体" w:eastAsia="楷体" w:cs="楷体"/>
          <w:color w:val="auto"/>
        </w:rPr>
      </w:pPr>
    </w:p>
    <w:p w14:paraId="2C8F22DF">
      <w:pPr>
        <w:rPr>
          <w:rFonts w:ascii="楷体" w:hAnsi="楷体" w:eastAsia="楷体" w:cs="楷体"/>
          <w:color w:val="auto"/>
        </w:rPr>
      </w:pPr>
    </w:p>
    <w:p w14:paraId="1D28B4A9">
      <w:pPr>
        <w:rPr>
          <w:rFonts w:ascii="楷体" w:hAnsi="楷体" w:eastAsia="楷体" w:cs="楷体"/>
          <w:color w:val="auto"/>
        </w:rPr>
      </w:pPr>
    </w:p>
    <w:p w14:paraId="1D08FBAC">
      <w:pPr>
        <w:rPr>
          <w:rFonts w:ascii="楷体" w:hAnsi="楷体" w:eastAsia="楷体" w:cs="楷体"/>
          <w:color w:val="auto"/>
        </w:rPr>
      </w:pPr>
    </w:p>
    <w:p w14:paraId="57E5495C">
      <w:pPr>
        <w:rPr>
          <w:rFonts w:ascii="楷体" w:hAnsi="楷体" w:eastAsia="楷体" w:cs="楷体"/>
          <w:color w:val="auto"/>
        </w:rPr>
      </w:pPr>
    </w:p>
    <w:p w14:paraId="1DB3C692">
      <w:pPr>
        <w:rPr>
          <w:rFonts w:ascii="楷体" w:hAnsi="楷体" w:eastAsia="楷体" w:cs="楷体"/>
          <w:color w:val="auto"/>
        </w:rPr>
      </w:pPr>
    </w:p>
    <w:p w14:paraId="285FA591">
      <w:pPr>
        <w:rPr>
          <w:rFonts w:ascii="楷体" w:hAnsi="楷体" w:eastAsia="楷体" w:cs="楷体"/>
          <w:color w:val="auto"/>
        </w:rPr>
      </w:pPr>
    </w:p>
    <w:p w14:paraId="7EF89E43">
      <w:pPr>
        <w:rPr>
          <w:rFonts w:ascii="楷体" w:hAnsi="楷体" w:eastAsia="楷体" w:cs="楷体"/>
          <w:color w:val="auto"/>
        </w:rPr>
      </w:pPr>
    </w:p>
    <w:p w14:paraId="71A70DC4">
      <w:pPr>
        <w:rPr>
          <w:rFonts w:ascii="楷体" w:hAnsi="楷体" w:eastAsia="楷体" w:cs="楷体"/>
          <w:color w:val="auto"/>
        </w:rPr>
      </w:pPr>
    </w:p>
    <w:p w14:paraId="6AF8F2AE">
      <w:pPr>
        <w:rPr>
          <w:rFonts w:ascii="楷体" w:hAnsi="楷体" w:eastAsia="楷体" w:cs="楷体"/>
          <w:color w:val="auto"/>
        </w:rPr>
      </w:pPr>
    </w:p>
    <w:p w14:paraId="4C07D957">
      <w:pPr>
        <w:rPr>
          <w:rFonts w:ascii="楷体" w:hAnsi="楷体" w:eastAsia="楷体" w:cs="楷体"/>
          <w:color w:val="auto"/>
        </w:rPr>
      </w:pPr>
    </w:p>
    <w:p w14:paraId="282CED84">
      <w:pPr>
        <w:tabs>
          <w:tab w:val="left" w:pos="720"/>
        </w:tabs>
        <w:jc w:val="center"/>
        <w:rPr>
          <w:rFonts w:ascii="楷体" w:hAnsi="楷体" w:eastAsia="楷体" w:cs="楷体"/>
          <w:color w:val="auto"/>
          <w:sz w:val="44"/>
          <w:szCs w:val="44"/>
        </w:rPr>
      </w:pPr>
      <w:bookmarkStart w:id="357" w:name="_Toc30397"/>
      <w:bookmarkStart w:id="358" w:name="_Toc381489424"/>
      <w:bookmarkStart w:id="359" w:name="_Toc17737"/>
      <w:bookmarkStart w:id="360" w:name="_Toc9365"/>
      <w:bookmarkStart w:id="361" w:name="_Toc2445"/>
      <w:bookmarkStart w:id="362" w:name="_Toc423021954"/>
      <w:bookmarkStart w:id="363" w:name="_Toc11631"/>
    </w:p>
    <w:p w14:paraId="208FDDF3">
      <w:pPr>
        <w:tabs>
          <w:tab w:val="left" w:pos="720"/>
        </w:tabs>
        <w:jc w:val="center"/>
        <w:rPr>
          <w:rFonts w:ascii="楷体" w:hAnsi="楷体" w:eastAsia="楷体" w:cs="楷体"/>
          <w:color w:val="auto"/>
          <w:sz w:val="44"/>
          <w:szCs w:val="44"/>
        </w:rPr>
      </w:pPr>
    </w:p>
    <w:p w14:paraId="118FC76C">
      <w:pPr>
        <w:pStyle w:val="3"/>
        <w:jc w:val="center"/>
        <w:rPr>
          <w:rFonts w:ascii="楷体" w:hAnsi="楷体" w:eastAsia="楷体" w:cs="楷体"/>
          <w:color w:val="auto"/>
          <w:sz w:val="44"/>
          <w:szCs w:val="44"/>
        </w:rPr>
      </w:pPr>
      <w:bookmarkStart w:id="364" w:name="_Toc8535"/>
      <w:bookmarkStart w:id="365" w:name="_Toc16782"/>
      <w:r>
        <w:rPr>
          <w:rFonts w:hint="eastAsia" w:ascii="楷体" w:hAnsi="楷体" w:eastAsia="楷体" w:cs="楷体"/>
          <w:color w:val="auto"/>
          <w:sz w:val="44"/>
          <w:szCs w:val="44"/>
        </w:rPr>
        <w:t>第二部分初审文件</w:t>
      </w:r>
      <w:bookmarkEnd w:id="357"/>
      <w:bookmarkEnd w:id="358"/>
      <w:bookmarkEnd w:id="359"/>
      <w:bookmarkEnd w:id="360"/>
      <w:bookmarkEnd w:id="361"/>
      <w:bookmarkEnd w:id="362"/>
      <w:bookmarkEnd w:id="363"/>
      <w:bookmarkEnd w:id="364"/>
      <w:bookmarkEnd w:id="365"/>
    </w:p>
    <w:p w14:paraId="7E497D69">
      <w:pPr>
        <w:pStyle w:val="4"/>
        <w:ind w:left="0" w:firstLine="420"/>
        <w:jc w:val="center"/>
        <w:rPr>
          <w:rFonts w:ascii="楷体" w:hAnsi="楷体" w:eastAsia="楷体" w:cs="楷体"/>
          <w:color w:val="auto"/>
        </w:rPr>
      </w:pPr>
      <w:bookmarkStart w:id="366" w:name="_Toc169318447"/>
      <w:bookmarkStart w:id="367" w:name="_Toc183316725"/>
      <w:bookmarkStart w:id="368" w:name="_Toc196294644"/>
      <w:bookmarkStart w:id="369" w:name="_Toc168730817"/>
      <w:bookmarkStart w:id="370" w:name="_Toc182886665"/>
      <w:r>
        <w:rPr>
          <w:rFonts w:hint="eastAsia" w:ascii="楷体" w:hAnsi="楷体" w:eastAsia="楷体" w:cs="楷体"/>
          <w:color w:val="auto"/>
        </w:rPr>
        <w:br w:type="page"/>
      </w:r>
      <w:bookmarkStart w:id="371" w:name="_Toc28985"/>
      <w:bookmarkStart w:id="372" w:name="_Toc24134"/>
      <w:bookmarkStart w:id="373" w:name="_Toc10695"/>
      <w:bookmarkStart w:id="374" w:name="_Toc6293"/>
      <w:bookmarkStart w:id="375" w:name="_Toc381489425"/>
      <w:bookmarkStart w:id="376" w:name="_Toc423021955"/>
      <w:bookmarkStart w:id="377" w:name="_Toc4775"/>
      <w:bookmarkStart w:id="378" w:name="_Toc29373"/>
      <w:bookmarkStart w:id="379" w:name="_Toc7618"/>
      <w:r>
        <w:rPr>
          <w:rFonts w:hint="eastAsia" w:ascii="楷体" w:hAnsi="楷体" w:eastAsia="楷体" w:cs="楷体"/>
          <w:color w:val="auto"/>
        </w:rPr>
        <w:t>1、投标函</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27EB484">
      <w:pPr>
        <w:adjustRightInd w:val="0"/>
        <w:snapToGrid w:val="0"/>
        <w:spacing w:before="120" w:beforeLines="50" w:after="120" w:afterLines="50" w:line="360" w:lineRule="auto"/>
        <w:rPr>
          <w:rFonts w:ascii="楷体" w:hAnsi="楷体" w:eastAsia="楷体" w:cs="楷体"/>
          <w:b/>
          <w:color w:val="auto"/>
          <w:sz w:val="24"/>
        </w:rPr>
      </w:pPr>
      <w:r>
        <w:rPr>
          <w:rFonts w:hint="eastAsia" w:ascii="楷体" w:hAnsi="楷体" w:eastAsia="楷体" w:cs="楷体"/>
          <w:b/>
          <w:color w:val="auto"/>
          <w:sz w:val="24"/>
        </w:rPr>
        <w:t>致：广东鼎信招标采购有限公司</w:t>
      </w:r>
    </w:p>
    <w:p w14:paraId="23A571C8">
      <w:pPr>
        <w:tabs>
          <w:tab w:val="left" w:pos="7740"/>
        </w:tabs>
        <w:autoSpaceDE w:val="0"/>
        <w:autoSpaceDN w:val="0"/>
        <w:adjustRightInd w:val="0"/>
        <w:snapToGrid w:val="0"/>
        <w:spacing w:line="360" w:lineRule="auto"/>
        <w:ind w:right="26" w:firstLine="480" w:firstLineChars="200"/>
        <w:rPr>
          <w:rFonts w:ascii="楷体" w:hAnsi="楷体" w:eastAsia="楷体" w:cs="楷体"/>
          <w:color w:val="auto"/>
          <w:kern w:val="0"/>
          <w:sz w:val="24"/>
        </w:rPr>
      </w:pPr>
      <w:bookmarkStart w:id="380" w:name="_Toc182886666"/>
      <w:bookmarkStart w:id="381" w:name="_Toc196294645"/>
      <w:bookmarkStart w:id="382" w:name="_Toc159221038"/>
      <w:bookmarkStart w:id="383" w:name="_Toc124256789"/>
      <w:bookmarkStart w:id="384" w:name="_Toc183316726"/>
      <w:r>
        <w:rPr>
          <w:rFonts w:hint="eastAsia" w:ascii="楷体" w:hAnsi="楷体" w:eastAsia="楷体" w:cs="楷体"/>
          <w:color w:val="auto"/>
          <w:kern w:val="0"/>
          <w:sz w:val="24"/>
        </w:rPr>
        <w:t>依据贵方</w:t>
      </w:r>
      <w:r>
        <w:rPr>
          <w:rFonts w:hint="eastAsia" w:ascii="楷体" w:hAnsi="楷体" w:eastAsia="楷体" w:cs="楷体"/>
          <w:color w:val="auto"/>
          <w:sz w:val="24"/>
        </w:rPr>
        <w:t>招标项目名称</w:t>
      </w:r>
      <w:r>
        <w:rPr>
          <w:rFonts w:hint="eastAsia" w:ascii="楷体" w:hAnsi="楷体" w:eastAsia="楷体" w:cs="楷体"/>
          <w:color w:val="auto"/>
          <w:sz w:val="24"/>
          <w:u w:val="single"/>
        </w:rPr>
        <w:t xml:space="preserve">     （项目编号：)</w:t>
      </w:r>
      <w:r>
        <w:rPr>
          <w:rFonts w:hint="eastAsia" w:ascii="楷体" w:hAnsi="楷体" w:eastAsia="楷体" w:cs="楷体"/>
          <w:color w:val="auto"/>
          <w:kern w:val="0"/>
          <w:sz w:val="24"/>
        </w:rPr>
        <w:t>的投标邀请，我方代表</w:t>
      </w:r>
      <w:r>
        <w:rPr>
          <w:rFonts w:hint="eastAsia" w:ascii="楷体" w:hAnsi="楷体" w:eastAsia="楷体" w:cs="楷体"/>
          <w:color w:val="auto"/>
          <w:sz w:val="24"/>
          <w:u w:val="single"/>
        </w:rPr>
        <w:t>（姓名、职务）</w:t>
      </w:r>
      <w:r>
        <w:rPr>
          <w:rFonts w:hint="eastAsia" w:ascii="楷体" w:hAnsi="楷体" w:eastAsia="楷体" w:cs="楷体"/>
          <w:color w:val="auto"/>
          <w:kern w:val="0"/>
          <w:sz w:val="24"/>
        </w:rPr>
        <w:t>经正式授权并代表</w:t>
      </w:r>
      <w:r>
        <w:rPr>
          <w:rFonts w:hint="eastAsia" w:ascii="楷体" w:hAnsi="楷体" w:eastAsia="楷体" w:cs="楷体"/>
          <w:color w:val="auto"/>
          <w:sz w:val="24"/>
          <w:u w:val="single"/>
        </w:rPr>
        <w:t>（投标人名称、地址）</w:t>
      </w:r>
      <w:r>
        <w:rPr>
          <w:rFonts w:hint="eastAsia" w:ascii="楷体" w:hAnsi="楷体" w:eastAsia="楷体" w:cs="楷体"/>
          <w:color w:val="auto"/>
          <w:kern w:val="0"/>
          <w:sz w:val="24"/>
        </w:rPr>
        <w:t>提交下述文件正本</w:t>
      </w:r>
      <w:r>
        <w:rPr>
          <w:rFonts w:hint="eastAsia" w:ascii="楷体" w:hAnsi="楷体" w:eastAsia="楷体" w:cs="楷体"/>
          <w:color w:val="auto"/>
          <w:kern w:val="0"/>
          <w:sz w:val="24"/>
          <w:u w:val="single"/>
        </w:rPr>
        <w:t>1</w:t>
      </w:r>
      <w:r>
        <w:rPr>
          <w:rFonts w:hint="eastAsia" w:ascii="楷体" w:hAnsi="楷体" w:eastAsia="楷体" w:cs="楷体"/>
          <w:color w:val="auto"/>
          <w:kern w:val="0"/>
          <w:sz w:val="24"/>
        </w:rPr>
        <w:t>份。</w:t>
      </w:r>
    </w:p>
    <w:p w14:paraId="1F4923E8">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rPr>
      </w:pPr>
      <w:r>
        <w:rPr>
          <w:rFonts w:hint="eastAsia" w:ascii="楷体" w:hAnsi="楷体" w:eastAsia="楷体" w:cs="楷体"/>
          <w:color w:val="auto"/>
          <w:sz w:val="24"/>
        </w:rPr>
        <w:t>自查表</w:t>
      </w:r>
    </w:p>
    <w:p w14:paraId="4E115017">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rPr>
      </w:pPr>
      <w:r>
        <w:rPr>
          <w:rFonts w:hint="eastAsia" w:ascii="楷体" w:hAnsi="楷体" w:eastAsia="楷体" w:cs="楷体"/>
          <w:color w:val="auto"/>
          <w:sz w:val="24"/>
        </w:rPr>
        <w:t>初审文件</w:t>
      </w:r>
    </w:p>
    <w:p w14:paraId="5AEFA414">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rPr>
      </w:pPr>
      <w:r>
        <w:rPr>
          <w:rFonts w:hint="eastAsia" w:ascii="楷体" w:hAnsi="楷体" w:eastAsia="楷体" w:cs="楷体"/>
          <w:color w:val="auto"/>
          <w:sz w:val="24"/>
        </w:rPr>
        <w:t>商务文件</w:t>
      </w:r>
    </w:p>
    <w:p w14:paraId="029D8AAD">
      <w:pPr>
        <w:numPr>
          <w:ilvl w:val="0"/>
          <w:numId w:val="71"/>
        </w:numPr>
        <w:tabs>
          <w:tab w:val="left" w:pos="7740"/>
        </w:tabs>
        <w:autoSpaceDE w:val="0"/>
        <w:autoSpaceDN w:val="0"/>
        <w:adjustRightInd w:val="0"/>
        <w:snapToGrid w:val="0"/>
        <w:spacing w:line="360" w:lineRule="auto"/>
        <w:ind w:right="246"/>
        <w:rPr>
          <w:rFonts w:ascii="楷体" w:hAnsi="楷体" w:eastAsia="楷体" w:cs="楷体"/>
          <w:color w:val="auto"/>
          <w:kern w:val="0"/>
          <w:sz w:val="24"/>
        </w:rPr>
      </w:pPr>
      <w:r>
        <w:rPr>
          <w:rFonts w:hint="eastAsia" w:ascii="楷体" w:hAnsi="楷体" w:eastAsia="楷体" w:cs="楷体"/>
          <w:color w:val="auto"/>
          <w:kern w:val="0"/>
          <w:sz w:val="24"/>
        </w:rPr>
        <w:t>技术</w:t>
      </w:r>
      <w:r>
        <w:rPr>
          <w:rFonts w:hint="eastAsia" w:ascii="楷体" w:hAnsi="楷体" w:eastAsia="楷体" w:cs="楷体"/>
          <w:color w:val="auto"/>
          <w:sz w:val="24"/>
        </w:rPr>
        <w:t>文件</w:t>
      </w:r>
    </w:p>
    <w:p w14:paraId="7748A2D9">
      <w:pPr>
        <w:numPr>
          <w:ilvl w:val="0"/>
          <w:numId w:val="71"/>
        </w:numPr>
        <w:tabs>
          <w:tab w:val="left" w:pos="7740"/>
        </w:tabs>
        <w:autoSpaceDE w:val="0"/>
        <w:autoSpaceDN w:val="0"/>
        <w:adjustRightInd w:val="0"/>
        <w:snapToGrid w:val="0"/>
        <w:spacing w:line="360" w:lineRule="auto"/>
        <w:ind w:right="32"/>
        <w:rPr>
          <w:rFonts w:ascii="楷体" w:hAnsi="楷体" w:eastAsia="楷体" w:cs="楷体"/>
          <w:color w:val="auto"/>
          <w:kern w:val="0"/>
          <w:sz w:val="24"/>
        </w:rPr>
      </w:pPr>
      <w:r>
        <w:rPr>
          <w:rFonts w:hint="eastAsia" w:ascii="楷体" w:hAnsi="楷体" w:eastAsia="楷体" w:cs="楷体"/>
          <w:color w:val="auto"/>
          <w:sz w:val="24"/>
        </w:rPr>
        <w:t>报价文件</w:t>
      </w:r>
    </w:p>
    <w:p w14:paraId="0DC3A63E">
      <w:pPr>
        <w:tabs>
          <w:tab w:val="left" w:pos="7740"/>
        </w:tabs>
        <w:autoSpaceDE w:val="0"/>
        <w:autoSpaceDN w:val="0"/>
        <w:adjustRightInd w:val="0"/>
        <w:snapToGrid w:val="0"/>
        <w:spacing w:line="360" w:lineRule="auto"/>
        <w:ind w:right="26" w:firstLine="480" w:firstLineChars="200"/>
        <w:rPr>
          <w:rFonts w:ascii="楷体" w:hAnsi="楷体" w:eastAsia="楷体" w:cs="楷体"/>
          <w:color w:val="auto"/>
          <w:kern w:val="0"/>
          <w:sz w:val="24"/>
        </w:rPr>
      </w:pPr>
      <w:r>
        <w:rPr>
          <w:rFonts w:hint="eastAsia" w:ascii="楷体" w:hAnsi="楷体" w:eastAsia="楷体" w:cs="楷体"/>
          <w:color w:val="auto"/>
          <w:kern w:val="0"/>
          <w:sz w:val="24"/>
        </w:rPr>
        <w:t>在此，我方声明如下：</w:t>
      </w:r>
    </w:p>
    <w:p w14:paraId="7B733DBE">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同意并接受招标文件的各项要求，遵守招标文件中的各项规定，按招标文件的要求提供报价。</w:t>
      </w:r>
    </w:p>
    <w:p w14:paraId="4C260503">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投标有效期为递交投标文件之日起</w:t>
      </w:r>
      <w:r>
        <w:rPr>
          <w:rFonts w:hint="eastAsia" w:ascii="楷体" w:hAnsi="楷体" w:eastAsia="楷体" w:cs="楷体"/>
          <w:color w:val="auto"/>
          <w:sz w:val="24"/>
          <w:u w:val="single"/>
        </w:rPr>
        <w:t>90</w:t>
      </w:r>
      <w:r>
        <w:rPr>
          <w:rFonts w:hint="eastAsia" w:ascii="楷体" w:hAnsi="楷体" w:eastAsia="楷体" w:cs="楷体"/>
          <w:color w:val="auto"/>
          <w:sz w:val="24"/>
        </w:rPr>
        <w:t>天，中标人投标有效期延至合同验收之日。</w:t>
      </w:r>
    </w:p>
    <w:p w14:paraId="13C09F5D">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我方已经详细地阅读了全部招标文件及其附件，包括澄清及参考文件(如果有的话)。我方已完全清晰理解招标文件的要求，不存在任何含糊不清和误解之处，同意放弃对这些文件所提出的异议和异议的权利。</w:t>
      </w:r>
    </w:p>
    <w:p w14:paraId="6BC82B58">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我方是依法注册的法人，在法律、财务及运作上完全独立于招标人或招标代理机构。</w:t>
      </w:r>
    </w:p>
    <w:p w14:paraId="6A955A7F">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我方已毫无保留地向贵方提供一切所需的证明材料。</w:t>
      </w:r>
    </w:p>
    <w:p w14:paraId="0A05D72A">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我方承诺在本次投标中提供的一切文件，无论是原件还是复印件均为真实和准确的，绝无任何虚假、伪造和夸大的成分，否则，愿承担相应的后果和法律责任。</w:t>
      </w:r>
    </w:p>
    <w:p w14:paraId="514F8386">
      <w:pPr>
        <w:numPr>
          <w:ilvl w:val="0"/>
          <w:numId w:val="72"/>
        </w:numPr>
        <w:tabs>
          <w:tab w:val="left" w:pos="7740"/>
        </w:tabs>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我方完全服从和尊重评标委员会所作的评定结果，同时清楚理解到报价最低并非意味着必定获得中标资格。</w:t>
      </w:r>
    </w:p>
    <w:p w14:paraId="421D33B6">
      <w:pPr>
        <w:tabs>
          <w:tab w:val="left" w:pos="7740"/>
        </w:tabs>
        <w:adjustRightInd w:val="0"/>
        <w:snapToGrid w:val="0"/>
        <w:spacing w:line="360" w:lineRule="auto"/>
        <w:ind w:left="420"/>
        <w:rPr>
          <w:rFonts w:ascii="楷体" w:hAnsi="楷体" w:eastAsia="楷体" w:cs="楷体"/>
          <w:color w:val="auto"/>
          <w:sz w:val="24"/>
        </w:rPr>
      </w:pPr>
      <w:r>
        <w:rPr>
          <w:rFonts w:hint="eastAsia" w:ascii="楷体" w:hAnsi="楷体" w:eastAsia="楷体" w:cs="楷体"/>
          <w:color w:val="auto"/>
          <w:sz w:val="24"/>
        </w:rPr>
        <w:t>8、我方同意按招标文件规定向招标代理机构缴纳</w:t>
      </w:r>
      <w:r>
        <w:rPr>
          <w:rFonts w:hint="eastAsia" w:ascii="楷体" w:hAnsi="楷体" w:eastAsia="楷体" w:cs="楷体"/>
          <w:color w:val="auto"/>
          <w:sz w:val="24"/>
          <w:lang w:val="en-GB"/>
        </w:rPr>
        <w:t>招标代理</w:t>
      </w:r>
      <w:r>
        <w:rPr>
          <w:rFonts w:hint="eastAsia" w:ascii="楷体" w:hAnsi="楷体" w:eastAsia="楷体" w:cs="楷体"/>
          <w:color w:val="auto"/>
          <w:sz w:val="24"/>
        </w:rPr>
        <w:t>服务费。</w:t>
      </w:r>
    </w:p>
    <w:p w14:paraId="4189E171">
      <w:pPr>
        <w:adjustRightInd w:val="0"/>
        <w:snapToGrid w:val="0"/>
        <w:spacing w:line="360" w:lineRule="auto"/>
        <w:ind w:firstLine="482" w:firstLineChars="200"/>
        <w:rPr>
          <w:rFonts w:ascii="楷体" w:hAnsi="楷体" w:eastAsia="楷体" w:cs="楷体"/>
          <w:b/>
          <w:bCs/>
          <w:color w:val="auto"/>
          <w:sz w:val="24"/>
        </w:rPr>
      </w:pPr>
      <w:r>
        <w:rPr>
          <w:rFonts w:hint="eastAsia" w:ascii="楷体" w:hAnsi="楷体" w:eastAsia="楷体" w:cs="楷体"/>
          <w:b/>
          <w:bCs/>
          <w:color w:val="auto"/>
          <w:sz w:val="24"/>
        </w:rPr>
        <w:t>备注：本投标函内容不得擅自删改，否则视为无效投标。</w:t>
      </w:r>
    </w:p>
    <w:p w14:paraId="2F29F963">
      <w:pPr>
        <w:tabs>
          <w:tab w:val="left" w:pos="7740"/>
        </w:tabs>
        <w:adjustRightInd w:val="0"/>
        <w:snapToGrid w:val="0"/>
        <w:spacing w:line="360" w:lineRule="auto"/>
        <w:ind w:left="420"/>
        <w:rPr>
          <w:rFonts w:ascii="楷体" w:hAnsi="楷体" w:eastAsia="楷体" w:cs="楷体"/>
          <w:color w:val="auto"/>
          <w:sz w:val="24"/>
        </w:rPr>
      </w:pPr>
    </w:p>
    <w:p w14:paraId="2B9C720D">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 xml:space="preserve">地址：                       电话：     </w:t>
      </w:r>
    </w:p>
    <w:p w14:paraId="1AF6712C">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传真：                       电子邮箱：</w:t>
      </w:r>
    </w:p>
    <w:p w14:paraId="478E2890">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 xml:space="preserve">开户银行：                           </w:t>
      </w:r>
    </w:p>
    <w:p w14:paraId="6DB00EC8">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 xml:space="preserve">账号：                                    </w:t>
      </w:r>
    </w:p>
    <w:p w14:paraId="628C90CD">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p>
    <w:p w14:paraId="4069CD05">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投标人名称（加盖公章）：</w:t>
      </w:r>
    </w:p>
    <w:p w14:paraId="4E371D4D">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 xml:space="preserve">投标人法定代表人或其授权代表（签字）：                                </w:t>
      </w:r>
    </w:p>
    <w:p w14:paraId="25838B60">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r>
        <w:rPr>
          <w:rFonts w:hint="eastAsia" w:ascii="楷体" w:hAnsi="楷体" w:eastAsia="楷体" w:cs="楷体"/>
          <w:color w:val="auto"/>
          <w:kern w:val="0"/>
          <w:sz w:val="24"/>
        </w:rPr>
        <w:t xml:space="preserve">日期：                                   </w:t>
      </w:r>
    </w:p>
    <w:p w14:paraId="75250AA9">
      <w:pPr>
        <w:tabs>
          <w:tab w:val="left" w:pos="7740"/>
        </w:tabs>
        <w:autoSpaceDE w:val="0"/>
        <w:autoSpaceDN w:val="0"/>
        <w:adjustRightInd w:val="0"/>
        <w:snapToGrid w:val="0"/>
        <w:spacing w:line="360" w:lineRule="auto"/>
        <w:ind w:right="246" w:firstLine="480" w:firstLineChars="200"/>
        <w:rPr>
          <w:rFonts w:ascii="楷体" w:hAnsi="楷体" w:eastAsia="楷体" w:cs="楷体"/>
          <w:color w:val="auto"/>
          <w:kern w:val="0"/>
          <w:sz w:val="24"/>
        </w:rPr>
      </w:pPr>
    </w:p>
    <w:p w14:paraId="19ED9733">
      <w:pPr>
        <w:adjustRightInd w:val="0"/>
        <w:snapToGrid w:val="0"/>
        <w:spacing w:line="360" w:lineRule="auto"/>
        <w:ind w:firstLine="480" w:firstLineChars="200"/>
        <w:rPr>
          <w:rFonts w:ascii="楷体" w:hAnsi="楷体" w:eastAsia="楷体" w:cs="楷体"/>
          <w:color w:val="auto"/>
          <w:sz w:val="24"/>
        </w:rPr>
      </w:pPr>
    </w:p>
    <w:p w14:paraId="3964FE7A">
      <w:pPr>
        <w:adjustRightInd w:val="0"/>
        <w:snapToGrid w:val="0"/>
        <w:spacing w:line="360" w:lineRule="auto"/>
        <w:ind w:firstLine="480" w:firstLineChars="200"/>
        <w:rPr>
          <w:rFonts w:ascii="楷体" w:hAnsi="楷体" w:eastAsia="楷体" w:cs="楷体"/>
          <w:color w:val="auto"/>
          <w:sz w:val="24"/>
        </w:rPr>
      </w:pPr>
    </w:p>
    <w:p w14:paraId="64732D5D">
      <w:pPr>
        <w:adjustRightInd w:val="0"/>
        <w:snapToGrid w:val="0"/>
        <w:spacing w:line="360" w:lineRule="auto"/>
        <w:ind w:firstLine="480" w:firstLineChars="200"/>
        <w:rPr>
          <w:rFonts w:ascii="楷体" w:hAnsi="楷体" w:eastAsia="楷体" w:cs="楷体"/>
          <w:color w:val="auto"/>
          <w:sz w:val="24"/>
        </w:rPr>
      </w:pPr>
    </w:p>
    <w:p w14:paraId="13A0D85B">
      <w:pPr>
        <w:adjustRightInd w:val="0"/>
        <w:snapToGrid w:val="0"/>
        <w:spacing w:line="360" w:lineRule="auto"/>
        <w:ind w:firstLine="480" w:firstLineChars="200"/>
        <w:rPr>
          <w:rFonts w:ascii="楷体" w:hAnsi="楷体" w:eastAsia="楷体" w:cs="楷体"/>
          <w:color w:val="auto"/>
          <w:sz w:val="24"/>
        </w:rPr>
      </w:pPr>
    </w:p>
    <w:p w14:paraId="6ABE5357">
      <w:pPr>
        <w:rPr>
          <w:rFonts w:ascii="楷体" w:hAnsi="楷体" w:eastAsia="楷体" w:cs="楷体"/>
          <w:color w:val="auto"/>
          <w:sz w:val="24"/>
        </w:rPr>
      </w:pPr>
      <w:bookmarkStart w:id="385" w:name="_Toc417739816"/>
      <w:bookmarkEnd w:id="385"/>
    </w:p>
    <w:bookmarkEnd w:id="380"/>
    <w:bookmarkEnd w:id="381"/>
    <w:bookmarkEnd w:id="382"/>
    <w:bookmarkEnd w:id="383"/>
    <w:bookmarkEnd w:id="384"/>
    <w:p w14:paraId="2216A197">
      <w:pPr>
        <w:pStyle w:val="4"/>
        <w:jc w:val="center"/>
        <w:rPr>
          <w:rFonts w:ascii="楷体" w:hAnsi="楷体" w:eastAsia="楷体" w:cs="楷体"/>
          <w:color w:val="auto"/>
        </w:rPr>
        <w:sectPr>
          <w:pgSz w:w="11906" w:h="16838"/>
          <w:pgMar w:top="1440" w:right="1800" w:bottom="1440" w:left="1800" w:header="851" w:footer="822" w:gutter="0"/>
          <w:cols w:space="720" w:num="1"/>
          <w:docGrid w:linePitch="312" w:charSpace="0"/>
        </w:sectPr>
      </w:pPr>
      <w:bookmarkStart w:id="386" w:name="_Toc423021956"/>
      <w:bookmarkStart w:id="387" w:name="_Toc381489426"/>
    </w:p>
    <w:p w14:paraId="492212E3">
      <w:pPr>
        <w:pStyle w:val="4"/>
        <w:ind w:left="420" w:firstLine="0"/>
        <w:rPr>
          <w:rFonts w:ascii="楷体" w:hAnsi="楷体" w:eastAsia="楷体" w:cs="楷体"/>
          <w:color w:val="auto"/>
          <w:sz w:val="28"/>
          <w:szCs w:val="28"/>
        </w:rPr>
      </w:pPr>
      <w:bookmarkStart w:id="388" w:name="_Toc24457"/>
      <w:bookmarkStart w:id="389" w:name="_Toc25843"/>
      <w:bookmarkStart w:id="390" w:name="_Toc7592"/>
      <w:bookmarkStart w:id="391" w:name="_Toc32599"/>
      <w:bookmarkStart w:id="392" w:name="_Toc31877"/>
      <w:bookmarkStart w:id="393" w:name="_Toc27927"/>
      <w:bookmarkStart w:id="394" w:name="_Toc18760"/>
      <w:r>
        <w:rPr>
          <w:rFonts w:hint="eastAsia" w:ascii="楷体" w:hAnsi="楷体" w:eastAsia="楷体" w:cs="楷体"/>
          <w:color w:val="auto"/>
          <w:sz w:val="28"/>
          <w:szCs w:val="28"/>
        </w:rPr>
        <w:t xml:space="preserve">附件 </w:t>
      </w:r>
    </w:p>
    <w:bookmarkEnd w:id="386"/>
    <w:bookmarkEnd w:id="387"/>
    <w:bookmarkEnd w:id="388"/>
    <w:bookmarkEnd w:id="389"/>
    <w:bookmarkEnd w:id="390"/>
    <w:bookmarkEnd w:id="391"/>
    <w:bookmarkEnd w:id="392"/>
    <w:bookmarkEnd w:id="393"/>
    <w:bookmarkEnd w:id="394"/>
    <w:p w14:paraId="5A45D692">
      <w:pPr>
        <w:spacing w:line="360" w:lineRule="auto"/>
        <w:jc w:val="center"/>
        <w:rPr>
          <w:rFonts w:ascii="楷体" w:hAnsi="楷体" w:eastAsia="楷体" w:cs="楷体"/>
          <w:color w:val="auto"/>
          <w:sz w:val="24"/>
        </w:rPr>
      </w:pPr>
      <w:r>
        <w:rPr>
          <w:rFonts w:hint="eastAsia" w:ascii="楷体" w:hAnsi="楷体" w:eastAsia="楷体" w:cs="楷体"/>
          <w:b/>
          <w:bCs/>
          <w:color w:val="auto"/>
          <w:sz w:val="24"/>
        </w:rPr>
        <w:t>承诺函</w:t>
      </w:r>
    </w:p>
    <w:p w14:paraId="29576966">
      <w:pPr>
        <w:spacing w:line="360" w:lineRule="auto"/>
        <w:rPr>
          <w:rFonts w:ascii="楷体" w:hAnsi="楷体" w:eastAsia="楷体" w:cs="楷体"/>
          <w:color w:val="auto"/>
          <w:sz w:val="24"/>
        </w:rPr>
      </w:pPr>
      <w:r>
        <w:rPr>
          <w:rFonts w:hint="eastAsia" w:ascii="楷体" w:hAnsi="楷体" w:eastAsia="楷体" w:cs="楷体"/>
          <w:color w:val="auto"/>
          <w:sz w:val="24"/>
        </w:rPr>
        <w:t>致：广东烟草梅州市有限公司平远县分公司</w:t>
      </w:r>
    </w:p>
    <w:p w14:paraId="47AD8DD8">
      <w:pPr>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就“供应商不良行为查询”事宜，本单位郑重作出如下承诺：</w:t>
      </w:r>
    </w:p>
    <w:p w14:paraId="401AE742">
      <w:pPr>
        <w:spacing w:line="360" w:lineRule="auto"/>
        <w:ind w:firstLine="476" w:firstLineChars="200"/>
        <w:rPr>
          <w:rFonts w:ascii="楷体" w:hAnsi="楷体" w:eastAsia="楷体" w:cs="楷体"/>
          <w:color w:val="auto"/>
          <w:spacing w:val="-1"/>
          <w:sz w:val="24"/>
        </w:rPr>
      </w:pPr>
      <w:r>
        <w:rPr>
          <w:rFonts w:hint="eastAsia" w:ascii="楷体" w:hAnsi="楷体" w:eastAsia="楷体" w:cs="楷体"/>
          <w:color w:val="auto"/>
          <w:spacing w:val="-1"/>
          <w:sz w:val="24"/>
        </w:rPr>
        <w:t>1.截至本项目招标文件规定的投标截止时间,本单位没有处于被责令停业、法人资格被取消、财产被接管或冻结、破产等状态，近三年内在经营活动中没有因违法经营受到刑事处罚或者责令停产停业、吊销许可证或者执照、较大数额罚款等行政处罚，近三年内没有发生重大质量、安全事故。</w:t>
      </w:r>
    </w:p>
    <w:p w14:paraId="07440E82">
      <w:pPr>
        <w:spacing w:line="360" w:lineRule="auto"/>
        <w:ind w:firstLine="476" w:firstLineChars="200"/>
        <w:rPr>
          <w:rFonts w:ascii="楷体" w:hAnsi="楷体" w:eastAsia="楷体" w:cs="楷体"/>
          <w:color w:val="auto"/>
          <w:spacing w:val="-1"/>
          <w:sz w:val="24"/>
        </w:rPr>
      </w:pPr>
      <w:r>
        <w:rPr>
          <w:rFonts w:hint="eastAsia" w:ascii="楷体" w:hAnsi="楷体" w:eastAsia="楷体" w:cs="楷体"/>
          <w:color w:val="auto"/>
          <w:spacing w:val="-1"/>
          <w:sz w:val="24"/>
        </w:rPr>
        <w:t>2.与招标人存在利害关系可能影响招标公正性的法人、其它组织或者个人，不得参与本项目投标。</w:t>
      </w:r>
    </w:p>
    <w:p w14:paraId="1CD695AC">
      <w:pPr>
        <w:spacing w:line="360" w:lineRule="auto"/>
        <w:ind w:firstLine="480" w:firstLineChars="200"/>
        <w:rPr>
          <w:rFonts w:ascii="楷体" w:hAnsi="楷体" w:eastAsia="楷体" w:cs="楷体"/>
          <w:color w:val="auto"/>
          <w:spacing w:val="-1"/>
          <w:sz w:val="24"/>
        </w:rPr>
      </w:pPr>
      <w:r>
        <w:rPr>
          <w:rFonts w:hint="eastAsia" w:ascii="楷体" w:hAnsi="楷体" w:eastAsia="楷体" w:cs="楷体"/>
          <w:color w:val="auto"/>
          <w:sz w:val="24"/>
        </w:rPr>
        <w:t>3.</w:t>
      </w:r>
      <w:r>
        <w:rPr>
          <w:rFonts w:hint="eastAsia" w:ascii="楷体" w:hAnsi="楷体" w:eastAsia="楷体" w:cs="楷体"/>
          <w:color w:val="auto"/>
          <w:spacing w:val="-1"/>
          <w:sz w:val="24"/>
        </w:rPr>
        <w:t>本单位向评审委员会提交的“中国裁判文书网”（https://wenshu.court.gov.cn/）、“信用中国”（www.creditchina.gov.cn）、“国家企业信用信息公示系统”网站（www.gsxt.gov.cn）查询信息均真实、合法、有效。</w:t>
      </w:r>
    </w:p>
    <w:p w14:paraId="0A5FAD17">
      <w:pPr>
        <w:spacing w:line="360" w:lineRule="auto"/>
        <w:ind w:firstLine="476" w:firstLineChars="200"/>
        <w:rPr>
          <w:rFonts w:ascii="楷体" w:hAnsi="楷体" w:eastAsia="楷体" w:cs="楷体"/>
          <w:color w:val="auto"/>
          <w:spacing w:val="-1"/>
          <w:sz w:val="24"/>
        </w:rPr>
      </w:pPr>
      <w:r>
        <w:rPr>
          <w:rFonts w:hint="eastAsia" w:ascii="楷体" w:hAnsi="楷体" w:eastAsia="楷体" w:cs="楷体"/>
          <w:color w:val="auto"/>
          <w:spacing w:val="-1"/>
          <w:sz w:val="24"/>
        </w:rPr>
        <w:t>4.本单位在本次投标活动中绝无资质挂靠、串通采购人（招标人）或其他投标人、伪造业绩或提供虚假业绩等损害公开招标活动公开公平公正的情形。</w:t>
      </w:r>
    </w:p>
    <w:p w14:paraId="0F5EC7E1">
      <w:pPr>
        <w:spacing w:line="360" w:lineRule="auto"/>
        <w:ind w:firstLine="480" w:firstLineChars="200"/>
        <w:rPr>
          <w:rFonts w:ascii="楷体" w:hAnsi="楷体" w:eastAsia="楷体" w:cs="楷体"/>
          <w:color w:val="auto"/>
          <w:spacing w:val="-1"/>
          <w:sz w:val="24"/>
        </w:rPr>
      </w:pPr>
      <w:r>
        <w:rPr>
          <w:rFonts w:hint="eastAsia" w:ascii="楷体" w:hAnsi="楷体" w:eastAsia="楷体" w:cs="楷体"/>
          <w:color w:val="auto"/>
          <w:sz w:val="24"/>
        </w:rPr>
        <w:t>5.截至本项目招标文件规定的投标截止时间，本单位没有贵司规定的“供应商不良行为”信息：</w:t>
      </w:r>
      <w:r>
        <w:rPr>
          <w:rFonts w:hint="eastAsia" w:ascii="楷体" w:hAnsi="楷体" w:eastAsia="楷体" w:cs="楷体"/>
          <w:color w:val="auto"/>
          <w:spacing w:val="-6"/>
          <w:sz w:val="24"/>
        </w:rPr>
        <w:t>近三年来生效的涉及行</w:t>
      </w:r>
      <w:r>
        <w:rPr>
          <w:rFonts w:hint="eastAsia" w:ascii="楷体" w:hAnsi="楷体" w:eastAsia="楷体" w:cs="楷体"/>
          <w:color w:val="auto"/>
          <w:spacing w:val="-1"/>
          <w:sz w:val="24"/>
        </w:rPr>
        <w:t>贿方面的刑事判决书、刑事</w:t>
      </w:r>
      <w:r>
        <w:rPr>
          <w:rFonts w:hint="eastAsia" w:ascii="楷体" w:hAnsi="楷体" w:eastAsia="楷体" w:cs="楷体"/>
          <w:color w:val="auto"/>
          <w:sz w:val="24"/>
        </w:rPr>
        <w:t>裁定书等信息；</w:t>
      </w:r>
      <w:r>
        <w:rPr>
          <w:rFonts w:hint="eastAsia" w:ascii="楷体" w:hAnsi="楷体" w:eastAsia="楷体" w:cs="楷体"/>
          <w:color w:val="auto"/>
          <w:spacing w:val="-2"/>
          <w:sz w:val="24"/>
        </w:rPr>
        <w:t>失信惩戒对象、失</w:t>
      </w:r>
      <w:r>
        <w:rPr>
          <w:rFonts w:hint="eastAsia" w:ascii="楷体" w:hAnsi="楷体" w:eastAsia="楷体" w:cs="楷体"/>
          <w:color w:val="auto"/>
          <w:spacing w:val="-1"/>
          <w:sz w:val="24"/>
        </w:rPr>
        <w:t>信被执</w:t>
      </w:r>
      <w:r>
        <w:rPr>
          <w:rFonts w:hint="eastAsia" w:ascii="楷体" w:hAnsi="楷体" w:eastAsia="楷体" w:cs="楷体"/>
          <w:color w:val="auto"/>
          <w:sz w:val="24"/>
        </w:rPr>
        <w:t>行人、重大税收违法失信主体信息；</w:t>
      </w:r>
      <w:r>
        <w:rPr>
          <w:rFonts w:hint="eastAsia" w:ascii="楷体" w:hAnsi="楷体" w:eastAsia="楷体" w:cs="楷体"/>
          <w:color w:val="auto"/>
          <w:spacing w:val="-2"/>
          <w:sz w:val="24"/>
        </w:rPr>
        <w:t>严重违</w:t>
      </w:r>
      <w:r>
        <w:rPr>
          <w:rFonts w:hint="eastAsia" w:ascii="楷体" w:hAnsi="楷体" w:eastAsia="楷体" w:cs="楷体"/>
          <w:color w:val="auto"/>
          <w:spacing w:val="-1"/>
          <w:sz w:val="24"/>
        </w:rPr>
        <w:t>法失信企业名单以及相关行政处</w:t>
      </w:r>
      <w:r>
        <w:rPr>
          <w:rFonts w:hint="eastAsia" w:ascii="楷体" w:hAnsi="楷体" w:eastAsia="楷体" w:cs="楷体"/>
          <w:color w:val="auto"/>
          <w:sz w:val="24"/>
        </w:rPr>
        <w:t>罚信息；</w:t>
      </w:r>
      <w:r>
        <w:rPr>
          <w:rFonts w:hint="eastAsia" w:ascii="楷体" w:hAnsi="楷体" w:eastAsia="楷体" w:cs="楷体"/>
          <w:color w:val="auto"/>
          <w:spacing w:val="-2"/>
          <w:sz w:val="24"/>
        </w:rPr>
        <w:t>信用建</w:t>
      </w:r>
      <w:r>
        <w:rPr>
          <w:rFonts w:hint="eastAsia" w:ascii="楷体" w:hAnsi="楷体" w:eastAsia="楷体" w:cs="楷体"/>
          <w:color w:val="auto"/>
          <w:spacing w:val="-6"/>
          <w:sz w:val="24"/>
        </w:rPr>
        <w:t>设的</w:t>
      </w:r>
      <w:r>
        <w:rPr>
          <w:rFonts w:hint="eastAsia" w:ascii="楷体" w:hAnsi="楷体" w:eastAsia="楷体" w:cs="楷体"/>
          <w:color w:val="auto"/>
          <w:spacing w:val="-5"/>
          <w:sz w:val="24"/>
        </w:rPr>
        <w:t>黑</w:t>
      </w:r>
      <w:r>
        <w:rPr>
          <w:rFonts w:hint="eastAsia" w:ascii="楷体" w:hAnsi="楷体" w:eastAsia="楷体" w:cs="楷体"/>
          <w:color w:val="auto"/>
          <w:spacing w:val="-3"/>
          <w:sz w:val="24"/>
        </w:rPr>
        <w:t>名单、失信联合惩戒记录；企业</w:t>
      </w:r>
      <w:r>
        <w:rPr>
          <w:rFonts w:hint="eastAsia" w:ascii="楷体" w:hAnsi="楷体" w:eastAsia="楷体" w:cs="楷体"/>
          <w:color w:val="auto"/>
          <w:spacing w:val="-1"/>
          <w:sz w:val="24"/>
        </w:rPr>
        <w:t>不良行</w:t>
      </w:r>
      <w:r>
        <w:rPr>
          <w:rFonts w:hint="eastAsia" w:ascii="楷体" w:hAnsi="楷体" w:eastAsia="楷体" w:cs="楷体"/>
          <w:color w:val="auto"/>
          <w:sz w:val="24"/>
        </w:rPr>
        <w:t>为、企业黑名单；</w:t>
      </w:r>
      <w:r>
        <w:rPr>
          <w:rFonts w:hint="eastAsia" w:ascii="楷体" w:hAnsi="楷体" w:eastAsia="楷体" w:cs="楷体"/>
          <w:color w:val="auto"/>
          <w:spacing w:val="2"/>
          <w:sz w:val="24"/>
        </w:rPr>
        <w:t>烟草行业供应商不良行为</w:t>
      </w:r>
      <w:r>
        <w:rPr>
          <w:rFonts w:hint="eastAsia" w:ascii="楷体" w:hAnsi="楷体" w:eastAsia="楷体" w:cs="楷体"/>
          <w:color w:val="auto"/>
          <w:spacing w:val="-1"/>
          <w:sz w:val="24"/>
        </w:rPr>
        <w:t>信息等；</w:t>
      </w:r>
    </w:p>
    <w:p w14:paraId="58F75802">
      <w:pPr>
        <w:spacing w:line="360" w:lineRule="auto"/>
        <w:ind w:firstLine="476" w:firstLineChars="200"/>
        <w:rPr>
          <w:rFonts w:ascii="楷体" w:hAnsi="楷体" w:eastAsia="楷体" w:cs="楷体"/>
          <w:color w:val="auto"/>
          <w:spacing w:val="-1"/>
          <w:sz w:val="24"/>
        </w:rPr>
      </w:pPr>
      <w:r>
        <w:rPr>
          <w:rFonts w:hint="eastAsia" w:ascii="楷体" w:hAnsi="楷体" w:eastAsia="楷体" w:cs="楷体"/>
          <w:color w:val="auto"/>
          <w:spacing w:val="-1"/>
          <w:sz w:val="24"/>
        </w:rPr>
        <w:t>6.截至本项目招标文件规定的投标截止时间，本单位的法定代表人、主要负责人或实际控制人以及拟委任的项目负责人均没有贵司规定的“供应商不</w:t>
      </w:r>
      <w:r>
        <w:rPr>
          <w:rFonts w:hint="eastAsia" w:ascii="楷体" w:hAnsi="楷体" w:eastAsia="楷体" w:cs="楷体"/>
          <w:color w:val="auto"/>
          <w:sz w:val="24"/>
        </w:rPr>
        <w:t>良行为”信息：行贿行为记录、人员不良行为信息、人员黑名单信息、烟草行业供应商不良行为信息等，本单位</w:t>
      </w:r>
      <w:r>
        <w:rPr>
          <w:rFonts w:hint="eastAsia" w:ascii="楷体" w:hAnsi="楷体" w:eastAsia="楷体" w:cs="楷体"/>
          <w:color w:val="auto"/>
          <w:spacing w:val="-1"/>
          <w:sz w:val="24"/>
        </w:rPr>
        <w:t>也不是存在行贿行为供应商“换马甲”“换壳”之后的单位（含法定代表人、主要负责人和实际控制人）</w:t>
      </w:r>
      <w:r>
        <w:rPr>
          <w:rFonts w:hint="eastAsia" w:ascii="楷体" w:hAnsi="楷体" w:eastAsia="楷体" w:cs="楷体"/>
          <w:color w:val="auto"/>
          <w:sz w:val="24"/>
        </w:rPr>
        <w:t>。</w:t>
      </w:r>
    </w:p>
    <w:p w14:paraId="46E01DAD">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7.截至本项目招标文件规定的投标截止时间，本单位没有严重违反招标投标有关规定和烟草企业供应商管理规定的行为，主要包括：</w:t>
      </w:r>
    </w:p>
    <w:p w14:paraId="3C560B9E">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（1）中标或成交后无正当理由拒不与采购人签订采购合同， 或未按照采购文件确定的主要条款签订采购合同；</w:t>
      </w:r>
    </w:p>
    <w:p w14:paraId="2FA13E94">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（2）中标项目违反合同约定进行转包、分包；</w:t>
      </w:r>
    </w:p>
    <w:p w14:paraId="7F065024">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（3）擅自变更、中止或终止中标的采购合同；</w:t>
      </w:r>
    </w:p>
    <w:p w14:paraId="030D4F67">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（4）履约过程中，提供假冒伪劣产品或弄虚作假、偷工减料，或产品和服务质量严重偏离合同约定，验收或考核评价不合格；</w:t>
      </w:r>
    </w:p>
    <w:p w14:paraId="764D3244">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（5）与采购人、其他供应商或招标代理机构恶意串通；</w:t>
      </w:r>
    </w:p>
    <w:p w14:paraId="3EC1F00A">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（6）提供虚假材料谋取中标、成交；</w:t>
      </w:r>
    </w:p>
    <w:p w14:paraId="154F0EA3">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（7）捏造曲解事实、提供虚假材料或以非法手段取得 证明材料进行恶意投诉、违法滥诉，以达到中标或排除潜在竞争对手目的；</w:t>
      </w:r>
    </w:p>
    <w:p w14:paraId="69B8585A">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（8）直接或间接从采购人或招标代理机构处获得其他供应商的相关情况，并修改其投标文件或响应文件；</w:t>
      </w:r>
    </w:p>
    <w:p w14:paraId="253FF53B">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（9）与其他供应商事先约定由某一特定供应商中标、成交，或商定部分供应商放弃参加采购活动或放弃中标、成交；</w:t>
      </w:r>
    </w:p>
    <w:p w14:paraId="7487CCF8">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（10）与其他供应商协商报价、技术方案等投标文件或响应文件的实质性内容；</w:t>
      </w:r>
    </w:p>
    <w:p w14:paraId="32D6E6ED">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（11）与其他供应商属于同一集团、协会、商会等组织成员，并按照组织要求协同参加采购活动；</w:t>
      </w:r>
    </w:p>
    <w:p w14:paraId="6E3BD65F">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（12）与采购人或招标代理机构之间、其他供应商相互之间， 为谋求特定供应商中标、成交或排斥其他供应商等串通行为；</w:t>
      </w:r>
    </w:p>
    <w:p w14:paraId="026A4B4B">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（13）拒绝有关部门监督检查或过程中提供虚假信息；</w:t>
      </w:r>
    </w:p>
    <w:p w14:paraId="68890BE1">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（14）法律法规和制度规定的其他采购严重违法失信行为；</w:t>
      </w:r>
    </w:p>
    <w:p w14:paraId="759D6F73">
      <w:pPr>
        <w:spacing w:before="1" w:line="347" w:lineRule="auto"/>
        <w:ind w:left="12" w:firstLine="637"/>
        <w:rPr>
          <w:rFonts w:ascii="楷体" w:hAnsi="楷体" w:eastAsia="楷体" w:cs="楷体"/>
          <w:color w:val="auto"/>
          <w:sz w:val="24"/>
        </w:rPr>
      </w:pPr>
      <w:r>
        <w:rPr>
          <w:rFonts w:hint="eastAsia" w:ascii="楷体" w:hAnsi="楷体" w:eastAsia="楷体" w:cs="楷体"/>
          <w:color w:val="auto"/>
          <w:sz w:val="24"/>
        </w:rPr>
        <w:t>（15）其他违法犯罪行为。</w:t>
      </w:r>
    </w:p>
    <w:p w14:paraId="680BF75A">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8.如经评审委员会复核、招标人或招标人上级主管部门、招标投标主管部门或有关第三方提供线索等渠道发现本单位有违反前述1至5条的情形，评审委员会、招标人有权依据招标投标有关法律法规及本项目招标文件关于“合格投标人”、“投标人须知”的有关要求拒绝本单位投标、取消本单位中标资格、解除与本单位已签订的合同、追究相关责任（包括但不限于依据已签订的合同采取警示约谈、降低考核评分数、降低供货份额、缩短服务期等相应惩戒措施），本单位承诺将配合相关监督部门依法依规处理。</w:t>
      </w:r>
    </w:p>
    <w:p w14:paraId="03140613">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9.单位负责人为同一人或者存在直接控股、管理关系的不同供应商，不得同时参加本招标项目投标。</w:t>
      </w:r>
    </w:p>
    <w:p w14:paraId="25C8CFDD">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10.本单位无行贿犯罪记录。</w:t>
      </w:r>
    </w:p>
    <w:p w14:paraId="4C079A98">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11.投标人及其法定代表人、主要负责人或实际控制人、拟委任的项目负责人参加本次招投标活动前3年内（公司成立不足三年的从成立起计算）不得有行贿行为记录。</w:t>
      </w:r>
    </w:p>
    <w:p w14:paraId="2E375330">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12.本项目不接受联合体投标，中标后不得转包、不得分包。</w:t>
      </w:r>
    </w:p>
    <w:p w14:paraId="239F0AD8">
      <w:pPr>
        <w:tabs>
          <w:tab w:val="left" w:pos="0"/>
          <w:tab w:val="left" w:pos="567"/>
        </w:tabs>
        <w:autoSpaceDE w:val="0"/>
        <w:autoSpaceDN w:val="0"/>
        <w:adjustRightInd w:val="0"/>
        <w:spacing w:line="360" w:lineRule="auto"/>
        <w:ind w:firstLine="480" w:firstLineChars="200"/>
        <w:rPr>
          <w:rFonts w:ascii="楷体" w:hAnsi="楷体" w:eastAsia="楷体" w:cs="楷体"/>
          <w:color w:val="auto"/>
          <w:sz w:val="24"/>
        </w:rPr>
      </w:pPr>
    </w:p>
    <w:p w14:paraId="4E951D89">
      <w:pPr>
        <w:spacing w:line="360" w:lineRule="auto"/>
        <w:rPr>
          <w:rFonts w:ascii="楷体" w:hAnsi="楷体" w:eastAsia="楷体" w:cs="楷体"/>
          <w:color w:val="auto"/>
          <w:sz w:val="24"/>
        </w:rPr>
      </w:pPr>
    </w:p>
    <w:p w14:paraId="02759EDB">
      <w:pPr>
        <w:spacing w:line="360" w:lineRule="auto"/>
        <w:ind w:firstLine="506" w:firstLineChars="210"/>
        <w:rPr>
          <w:rFonts w:ascii="楷体" w:hAnsi="楷体" w:eastAsia="楷体" w:cs="楷体"/>
          <w:color w:val="auto"/>
          <w:sz w:val="24"/>
        </w:rPr>
      </w:pPr>
      <w:r>
        <w:rPr>
          <w:rFonts w:hint="eastAsia" w:ascii="楷体" w:hAnsi="楷体" w:eastAsia="楷体" w:cs="楷体"/>
          <w:b/>
          <w:bCs/>
          <w:color w:val="auto"/>
          <w:sz w:val="24"/>
        </w:rPr>
        <w:t>特此承诺！</w:t>
      </w:r>
    </w:p>
    <w:p w14:paraId="353600C8">
      <w:pPr>
        <w:wordWrap w:val="0"/>
        <w:spacing w:line="360" w:lineRule="auto"/>
        <w:jc w:val="right"/>
        <w:rPr>
          <w:rFonts w:ascii="楷体" w:hAnsi="楷体" w:eastAsia="楷体" w:cs="楷体"/>
          <w:color w:val="auto"/>
          <w:sz w:val="24"/>
        </w:rPr>
      </w:pPr>
    </w:p>
    <w:p w14:paraId="054412A1">
      <w:pPr>
        <w:spacing w:line="360" w:lineRule="auto"/>
        <w:ind w:right="240"/>
        <w:jc w:val="right"/>
        <w:rPr>
          <w:rFonts w:ascii="楷体" w:hAnsi="楷体" w:eastAsia="楷体" w:cs="楷体"/>
          <w:color w:val="auto"/>
          <w:sz w:val="24"/>
        </w:rPr>
      </w:pPr>
      <w:r>
        <w:rPr>
          <w:rFonts w:hint="eastAsia" w:ascii="楷体" w:hAnsi="楷体" w:eastAsia="楷体" w:cs="楷体"/>
          <w:color w:val="auto"/>
          <w:sz w:val="24"/>
        </w:rPr>
        <w:t xml:space="preserve">投标人法定代表人（或授权代表）签字：       </w:t>
      </w:r>
    </w:p>
    <w:p w14:paraId="10995434">
      <w:pPr>
        <w:spacing w:line="360" w:lineRule="auto"/>
        <w:ind w:right="240"/>
        <w:jc w:val="right"/>
        <w:rPr>
          <w:rFonts w:ascii="楷体" w:hAnsi="楷体" w:eastAsia="楷体" w:cs="楷体"/>
          <w:color w:val="auto"/>
          <w:sz w:val="24"/>
        </w:rPr>
      </w:pPr>
      <w:r>
        <w:rPr>
          <w:rFonts w:hint="eastAsia" w:ascii="楷体" w:hAnsi="楷体" w:eastAsia="楷体" w:cs="楷体"/>
          <w:color w:val="auto"/>
          <w:sz w:val="24"/>
        </w:rPr>
        <w:t xml:space="preserve">投标人名称（加盖公章）：     </w:t>
      </w:r>
    </w:p>
    <w:p w14:paraId="02BC03DB">
      <w:pPr>
        <w:spacing w:line="360" w:lineRule="auto"/>
        <w:ind w:right="240"/>
        <w:jc w:val="right"/>
        <w:rPr>
          <w:rFonts w:ascii="楷体" w:hAnsi="楷体" w:eastAsia="楷体" w:cs="楷体"/>
          <w:color w:val="auto"/>
          <w:sz w:val="24"/>
        </w:rPr>
      </w:pPr>
      <w:r>
        <w:rPr>
          <w:rFonts w:hint="eastAsia" w:ascii="楷体" w:hAnsi="楷体" w:eastAsia="楷体" w:cs="楷体"/>
          <w:color w:val="auto"/>
          <w:sz w:val="24"/>
        </w:rPr>
        <w:t>承诺日期：      年    月    日</w:t>
      </w:r>
    </w:p>
    <w:p w14:paraId="5F3C43C6">
      <w:pPr>
        <w:pStyle w:val="4"/>
        <w:numPr>
          <w:ilvl w:val="255"/>
          <w:numId w:val="0"/>
        </w:numPr>
        <w:ind w:left="420"/>
        <w:rPr>
          <w:rFonts w:ascii="楷体" w:hAnsi="楷体" w:eastAsia="楷体" w:cs="楷体"/>
          <w:color w:val="auto"/>
        </w:rPr>
      </w:pPr>
    </w:p>
    <w:p w14:paraId="12784CFF">
      <w:pPr>
        <w:pStyle w:val="4"/>
        <w:ind w:left="0" w:firstLine="420"/>
        <w:jc w:val="center"/>
        <w:rPr>
          <w:rFonts w:ascii="楷体" w:hAnsi="楷体" w:eastAsia="楷体" w:cs="楷体"/>
          <w:color w:val="auto"/>
        </w:rPr>
      </w:pPr>
      <w:r>
        <w:rPr>
          <w:rFonts w:hint="eastAsia" w:ascii="楷体" w:hAnsi="楷体" w:eastAsia="楷体" w:cs="楷体"/>
          <w:color w:val="auto"/>
        </w:rPr>
        <w:br w:type="page"/>
      </w:r>
      <w:bookmarkStart w:id="395" w:name="_Toc4850"/>
      <w:bookmarkStart w:id="396" w:name="_Toc22784"/>
      <w:bookmarkStart w:id="397" w:name="_Toc27480"/>
      <w:bookmarkStart w:id="398" w:name="_Toc18060"/>
      <w:bookmarkStart w:id="399" w:name="_Toc8104"/>
      <w:bookmarkStart w:id="400" w:name="_Toc20499"/>
      <w:bookmarkStart w:id="401" w:name="_Toc423021960"/>
      <w:bookmarkStart w:id="402" w:name="_Toc11350"/>
      <w:bookmarkStart w:id="403" w:name="_Toc197799988"/>
      <w:bookmarkStart w:id="404" w:name="_Toc381489429"/>
      <w:bookmarkStart w:id="405" w:name="_Toc196294648"/>
    </w:p>
    <w:p w14:paraId="77F4EAEE">
      <w:pPr>
        <w:pStyle w:val="4"/>
        <w:ind w:left="0" w:firstLine="420"/>
        <w:jc w:val="center"/>
        <w:rPr>
          <w:rFonts w:ascii="楷体" w:hAnsi="楷体" w:eastAsia="楷体" w:cs="楷体"/>
          <w:color w:val="auto"/>
        </w:rPr>
      </w:pPr>
      <w:r>
        <w:rPr>
          <w:rFonts w:hint="eastAsia" w:ascii="楷体" w:hAnsi="楷体" w:eastAsia="楷体" w:cs="楷体"/>
          <w:color w:val="auto"/>
        </w:rPr>
        <w:t>2</w:t>
      </w:r>
      <w:r>
        <w:rPr>
          <w:rFonts w:ascii="楷体" w:hAnsi="楷体" w:eastAsia="楷体" w:cs="楷体"/>
          <w:color w:val="auto"/>
        </w:rPr>
        <w:t>、投标人必须具有交通运输部门颁发的有效期内《道路运输经营许可证》或《机动车维修经营备案表》，经营范围须包含二类或二类以上机动车维修</w:t>
      </w:r>
    </w:p>
    <w:p w14:paraId="1D5BD944">
      <w:pPr>
        <w:rPr>
          <w:rFonts w:ascii="楷体" w:hAnsi="楷体" w:eastAsia="楷体" w:cs="楷体"/>
          <w:b/>
          <w:bCs/>
          <w:color w:val="auto"/>
          <w:sz w:val="32"/>
          <w:szCs w:val="32"/>
        </w:rPr>
      </w:pPr>
    </w:p>
    <w:p w14:paraId="77E12F55">
      <w:pPr>
        <w:pStyle w:val="37"/>
        <w:rPr>
          <w:rFonts w:ascii="楷体" w:hAnsi="楷体" w:eastAsia="楷体" w:cs="楷体"/>
          <w:b/>
          <w:bCs/>
          <w:color w:val="auto"/>
          <w:sz w:val="32"/>
          <w:szCs w:val="32"/>
        </w:rPr>
      </w:pPr>
    </w:p>
    <w:p w14:paraId="5E22C271">
      <w:pPr>
        <w:pStyle w:val="17"/>
        <w:rPr>
          <w:rFonts w:ascii="楷体" w:hAnsi="楷体" w:eastAsia="楷体" w:cs="楷体"/>
          <w:b/>
          <w:bCs/>
          <w:color w:val="auto"/>
          <w:sz w:val="32"/>
          <w:szCs w:val="32"/>
        </w:rPr>
      </w:pPr>
    </w:p>
    <w:p w14:paraId="66F8DA9F">
      <w:pPr>
        <w:rPr>
          <w:rFonts w:ascii="楷体" w:hAnsi="楷体" w:eastAsia="楷体" w:cs="楷体"/>
          <w:b/>
          <w:bCs/>
          <w:color w:val="auto"/>
          <w:sz w:val="32"/>
          <w:szCs w:val="32"/>
        </w:rPr>
      </w:pPr>
    </w:p>
    <w:p w14:paraId="094E8860">
      <w:pPr>
        <w:pStyle w:val="37"/>
        <w:rPr>
          <w:rFonts w:ascii="楷体" w:hAnsi="楷体" w:eastAsia="楷体" w:cs="楷体"/>
          <w:b/>
          <w:bCs/>
          <w:color w:val="auto"/>
          <w:sz w:val="32"/>
          <w:szCs w:val="32"/>
        </w:rPr>
      </w:pPr>
    </w:p>
    <w:p w14:paraId="2AF38BE8">
      <w:pPr>
        <w:pStyle w:val="17"/>
        <w:rPr>
          <w:rFonts w:ascii="楷体" w:hAnsi="楷体" w:eastAsia="楷体" w:cs="楷体"/>
          <w:b/>
          <w:bCs/>
          <w:color w:val="auto"/>
          <w:sz w:val="32"/>
          <w:szCs w:val="32"/>
        </w:rPr>
      </w:pPr>
    </w:p>
    <w:p w14:paraId="59298925">
      <w:pPr>
        <w:rPr>
          <w:rFonts w:ascii="楷体" w:hAnsi="楷体" w:eastAsia="楷体" w:cs="楷体"/>
          <w:b/>
          <w:bCs/>
          <w:color w:val="auto"/>
          <w:sz w:val="32"/>
          <w:szCs w:val="32"/>
        </w:rPr>
      </w:pPr>
    </w:p>
    <w:p w14:paraId="0888842B">
      <w:pPr>
        <w:pStyle w:val="37"/>
        <w:rPr>
          <w:rFonts w:ascii="楷体" w:hAnsi="楷体" w:eastAsia="楷体" w:cs="楷体"/>
          <w:b/>
          <w:bCs/>
          <w:color w:val="auto"/>
          <w:sz w:val="32"/>
          <w:szCs w:val="32"/>
        </w:rPr>
      </w:pPr>
    </w:p>
    <w:p w14:paraId="38619F60">
      <w:pPr>
        <w:pStyle w:val="17"/>
        <w:rPr>
          <w:rFonts w:ascii="楷体" w:hAnsi="楷体" w:eastAsia="楷体" w:cs="楷体"/>
          <w:b/>
          <w:bCs/>
          <w:color w:val="auto"/>
          <w:sz w:val="32"/>
          <w:szCs w:val="32"/>
        </w:rPr>
      </w:pPr>
    </w:p>
    <w:p w14:paraId="2D8D6A87">
      <w:pPr>
        <w:rPr>
          <w:rFonts w:ascii="楷体" w:hAnsi="楷体" w:eastAsia="楷体" w:cs="楷体"/>
          <w:b/>
          <w:bCs/>
          <w:color w:val="auto"/>
          <w:sz w:val="32"/>
          <w:szCs w:val="32"/>
        </w:rPr>
      </w:pPr>
    </w:p>
    <w:p w14:paraId="7948D41C">
      <w:pPr>
        <w:pStyle w:val="37"/>
        <w:rPr>
          <w:rFonts w:ascii="楷体" w:hAnsi="楷体" w:eastAsia="楷体" w:cs="楷体"/>
          <w:b/>
          <w:bCs/>
          <w:color w:val="auto"/>
          <w:sz w:val="32"/>
          <w:szCs w:val="32"/>
        </w:rPr>
      </w:pPr>
    </w:p>
    <w:p w14:paraId="364381DE">
      <w:pPr>
        <w:pStyle w:val="17"/>
        <w:rPr>
          <w:rFonts w:ascii="楷体" w:hAnsi="楷体" w:eastAsia="楷体" w:cs="楷体"/>
          <w:b/>
          <w:bCs/>
          <w:color w:val="auto"/>
          <w:sz w:val="32"/>
          <w:szCs w:val="32"/>
        </w:rPr>
      </w:pPr>
    </w:p>
    <w:p w14:paraId="2F003306">
      <w:pPr>
        <w:rPr>
          <w:rFonts w:ascii="楷体" w:hAnsi="楷体" w:eastAsia="楷体" w:cs="楷体"/>
          <w:b/>
          <w:bCs/>
          <w:color w:val="auto"/>
          <w:sz w:val="32"/>
          <w:szCs w:val="32"/>
        </w:rPr>
      </w:pPr>
    </w:p>
    <w:p w14:paraId="50AE7CD7">
      <w:pPr>
        <w:pStyle w:val="37"/>
        <w:rPr>
          <w:rFonts w:ascii="楷体" w:hAnsi="楷体" w:eastAsia="楷体" w:cs="楷体"/>
          <w:b/>
          <w:bCs/>
          <w:color w:val="auto"/>
          <w:sz w:val="32"/>
          <w:szCs w:val="32"/>
        </w:rPr>
      </w:pPr>
    </w:p>
    <w:p w14:paraId="4D002609">
      <w:pPr>
        <w:pStyle w:val="17"/>
        <w:rPr>
          <w:rFonts w:ascii="楷体" w:hAnsi="楷体" w:eastAsia="楷体" w:cs="楷体"/>
          <w:b/>
          <w:bCs/>
          <w:color w:val="auto"/>
          <w:sz w:val="32"/>
          <w:szCs w:val="32"/>
        </w:rPr>
      </w:pPr>
    </w:p>
    <w:p w14:paraId="7E2F35BC">
      <w:pPr>
        <w:rPr>
          <w:rFonts w:ascii="楷体" w:hAnsi="楷体" w:eastAsia="楷体" w:cs="楷体"/>
          <w:b/>
          <w:bCs/>
          <w:color w:val="auto"/>
          <w:sz w:val="32"/>
          <w:szCs w:val="32"/>
        </w:rPr>
      </w:pPr>
    </w:p>
    <w:p w14:paraId="529F09A8">
      <w:pPr>
        <w:pStyle w:val="37"/>
        <w:rPr>
          <w:rFonts w:ascii="楷体" w:hAnsi="楷体" w:eastAsia="楷体" w:cs="楷体"/>
          <w:b/>
          <w:bCs/>
          <w:color w:val="auto"/>
          <w:sz w:val="32"/>
          <w:szCs w:val="32"/>
        </w:rPr>
      </w:pPr>
    </w:p>
    <w:p w14:paraId="06611F2E">
      <w:pPr>
        <w:pStyle w:val="17"/>
        <w:rPr>
          <w:rFonts w:ascii="楷体" w:hAnsi="楷体" w:eastAsia="楷体" w:cs="楷体"/>
          <w:b/>
          <w:bCs/>
          <w:color w:val="auto"/>
          <w:sz w:val="32"/>
          <w:szCs w:val="32"/>
        </w:rPr>
      </w:pPr>
    </w:p>
    <w:p w14:paraId="4EC0BAA2">
      <w:pPr>
        <w:rPr>
          <w:rFonts w:ascii="楷体" w:hAnsi="楷体" w:eastAsia="楷体" w:cs="楷体"/>
          <w:b/>
          <w:bCs/>
          <w:color w:val="auto"/>
          <w:sz w:val="32"/>
          <w:szCs w:val="32"/>
        </w:rPr>
      </w:pPr>
    </w:p>
    <w:p w14:paraId="2C59EDCC">
      <w:pPr>
        <w:pStyle w:val="37"/>
        <w:rPr>
          <w:rFonts w:ascii="楷体" w:hAnsi="楷体" w:eastAsia="楷体" w:cs="楷体"/>
          <w:b/>
          <w:bCs/>
          <w:color w:val="auto"/>
          <w:sz w:val="32"/>
          <w:szCs w:val="32"/>
        </w:rPr>
      </w:pPr>
    </w:p>
    <w:p w14:paraId="035139CE">
      <w:pPr>
        <w:pStyle w:val="17"/>
        <w:rPr>
          <w:rFonts w:ascii="楷体" w:hAnsi="楷体" w:eastAsia="楷体" w:cs="楷体"/>
          <w:b/>
          <w:bCs/>
          <w:color w:val="auto"/>
          <w:sz w:val="32"/>
          <w:szCs w:val="32"/>
        </w:rPr>
      </w:pPr>
    </w:p>
    <w:p w14:paraId="41F2FE40">
      <w:pPr>
        <w:rPr>
          <w:color w:val="auto"/>
        </w:rPr>
      </w:pPr>
    </w:p>
    <w:p w14:paraId="5033301B">
      <w:pPr>
        <w:rPr>
          <w:color w:val="auto"/>
        </w:rPr>
      </w:pPr>
    </w:p>
    <w:p w14:paraId="588BDB6A">
      <w:pPr>
        <w:pStyle w:val="4"/>
        <w:ind w:left="0" w:firstLine="420"/>
        <w:jc w:val="center"/>
        <w:rPr>
          <w:rFonts w:ascii="楷体" w:hAnsi="楷体" w:eastAsia="楷体" w:cs="楷体"/>
          <w:color w:val="auto"/>
        </w:rPr>
      </w:pPr>
      <w:r>
        <w:rPr>
          <w:rFonts w:hint="eastAsia" w:ascii="楷体" w:hAnsi="楷体" w:eastAsia="楷体" w:cs="楷体"/>
          <w:color w:val="auto"/>
        </w:rPr>
        <w:t>3</w:t>
      </w:r>
      <w:r>
        <w:rPr>
          <w:rFonts w:ascii="楷体" w:hAnsi="楷体" w:eastAsia="楷体" w:cs="楷体"/>
          <w:color w:val="auto"/>
        </w:rPr>
        <w:t>、</w:t>
      </w:r>
      <w:r>
        <w:rPr>
          <w:rFonts w:hint="eastAsia" w:ascii="楷体" w:hAnsi="楷体" w:eastAsia="楷体" w:cs="楷体"/>
          <w:color w:val="auto"/>
        </w:rPr>
        <w:t>法定代表人证明书和法定代表人授权委托书</w:t>
      </w:r>
      <w:bookmarkEnd w:id="395"/>
      <w:bookmarkEnd w:id="396"/>
      <w:bookmarkEnd w:id="397"/>
      <w:bookmarkEnd w:id="398"/>
      <w:bookmarkEnd w:id="399"/>
      <w:bookmarkEnd w:id="400"/>
      <w:bookmarkEnd w:id="401"/>
      <w:bookmarkEnd w:id="402"/>
    </w:p>
    <w:p w14:paraId="6548BF0D">
      <w:pPr>
        <w:numPr>
          <w:ilvl w:val="0"/>
          <w:numId w:val="73"/>
        </w:numPr>
        <w:spacing w:before="72" w:after="72" w:line="360" w:lineRule="auto"/>
        <w:jc w:val="center"/>
        <w:rPr>
          <w:rFonts w:ascii="楷体" w:hAnsi="楷体" w:eastAsia="楷体" w:cs="楷体"/>
          <w:color w:val="auto"/>
          <w:sz w:val="30"/>
          <w:szCs w:val="30"/>
        </w:rPr>
      </w:pPr>
      <w:r>
        <w:rPr>
          <w:rFonts w:hint="eastAsia" w:ascii="楷体" w:hAnsi="楷体" w:eastAsia="楷体" w:cs="楷体"/>
          <w:b/>
          <w:color w:val="auto"/>
          <w:kern w:val="44"/>
          <w:sz w:val="30"/>
          <w:szCs w:val="30"/>
        </w:rPr>
        <w:t>法定代表人证明书</w:t>
      </w:r>
    </w:p>
    <w:p w14:paraId="51477097">
      <w:pPr>
        <w:adjustRightInd w:val="0"/>
        <w:snapToGrid w:val="0"/>
        <w:spacing w:before="120" w:beforeLines="50" w:after="120" w:afterLines="50" w:line="360" w:lineRule="auto"/>
        <w:rPr>
          <w:rFonts w:ascii="楷体" w:hAnsi="楷体" w:eastAsia="楷体" w:cs="楷体"/>
          <w:b/>
          <w:color w:val="auto"/>
          <w:sz w:val="24"/>
        </w:rPr>
      </w:pPr>
      <w:r>
        <w:rPr>
          <w:rFonts w:hint="eastAsia" w:ascii="楷体" w:hAnsi="楷体" w:eastAsia="楷体" w:cs="楷体"/>
          <w:b/>
          <w:color w:val="auto"/>
          <w:sz w:val="24"/>
        </w:rPr>
        <w:t>致：广东鼎信招标采购有限公司</w:t>
      </w:r>
    </w:p>
    <w:p w14:paraId="664542DA">
      <w:pPr>
        <w:spacing w:before="72" w:after="72" w:line="360" w:lineRule="auto"/>
        <w:ind w:firstLine="480" w:firstLineChars="200"/>
        <w:rPr>
          <w:rFonts w:ascii="楷体" w:hAnsi="楷体" w:eastAsia="楷体" w:cs="楷体"/>
          <w:color w:val="auto"/>
          <w:sz w:val="24"/>
        </w:rPr>
      </w:pPr>
      <w:r>
        <w:rPr>
          <w:rFonts w:hint="eastAsia" w:ascii="楷体" w:hAnsi="楷体" w:eastAsia="楷体" w:cs="楷体"/>
          <w:color w:val="auto"/>
          <w:sz w:val="24"/>
          <w:u w:val="single"/>
        </w:rPr>
        <w:t>　　　　</w:t>
      </w:r>
      <w:r>
        <w:rPr>
          <w:rFonts w:hint="eastAsia" w:ascii="楷体" w:hAnsi="楷体" w:eastAsia="楷体" w:cs="楷体"/>
          <w:color w:val="auto"/>
          <w:sz w:val="24"/>
        </w:rPr>
        <w:t>同志，现任我单位</w:t>
      </w:r>
      <w:r>
        <w:rPr>
          <w:rFonts w:hint="eastAsia" w:ascii="楷体" w:hAnsi="楷体" w:eastAsia="楷体" w:cs="楷体"/>
          <w:color w:val="auto"/>
          <w:sz w:val="24"/>
          <w:u w:val="single"/>
        </w:rPr>
        <w:t>　　　　　　　</w:t>
      </w:r>
      <w:r>
        <w:rPr>
          <w:rFonts w:hint="eastAsia" w:ascii="楷体" w:hAnsi="楷体" w:eastAsia="楷体" w:cs="楷体"/>
          <w:color w:val="auto"/>
          <w:sz w:val="24"/>
        </w:rPr>
        <w:t>职务，为法定代表人，特此证明。</w:t>
      </w:r>
    </w:p>
    <w:p w14:paraId="5C4411D2">
      <w:pPr>
        <w:spacing w:before="72" w:after="72"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本证明书有效期与本公司投标文件中标注的投标有效期相同。</w:t>
      </w:r>
    </w:p>
    <w:p w14:paraId="50FE9E15">
      <w:pPr>
        <w:spacing w:before="72" w:after="72" w:line="360" w:lineRule="auto"/>
        <w:ind w:firstLine="482" w:firstLineChars="200"/>
        <w:rPr>
          <w:rFonts w:ascii="楷体" w:hAnsi="楷体" w:eastAsia="楷体" w:cs="楷体"/>
          <w:b/>
          <w:color w:val="auto"/>
          <w:sz w:val="24"/>
        </w:rPr>
      </w:pPr>
    </w:p>
    <w:p w14:paraId="02C1F541">
      <w:pPr>
        <w:spacing w:before="72" w:after="72" w:line="360" w:lineRule="auto"/>
        <w:ind w:firstLine="420" w:firstLineChars="200"/>
        <w:rPr>
          <w:rFonts w:ascii="楷体" w:hAnsi="楷体" w:eastAsia="楷体" w:cs="楷体"/>
          <w:color w:val="auto"/>
          <w:szCs w:val="21"/>
        </w:rPr>
      </w:pPr>
    </w:p>
    <w:p w14:paraId="6DB33D6A">
      <w:pPr>
        <w:spacing w:before="72" w:after="72" w:line="360" w:lineRule="auto"/>
        <w:rPr>
          <w:rFonts w:ascii="楷体" w:hAnsi="楷体" w:eastAsia="楷体" w:cs="楷体"/>
          <w:color w:val="auto"/>
          <w:sz w:val="24"/>
        </w:rPr>
      </w:pPr>
      <w:r>
        <w:rPr>
          <w:rFonts w:hint="eastAsia" w:ascii="楷体" w:hAnsi="楷体" w:eastAsia="楷体" w:cs="楷体"/>
          <w:color w:val="auto"/>
          <w:sz w:val="24"/>
        </w:rPr>
        <w:t>投标人名称（加盖公章）：</w:t>
      </w:r>
    </w:p>
    <w:p w14:paraId="10F2B35D">
      <w:pPr>
        <w:spacing w:before="240" w:beforeLines="100"/>
        <w:rPr>
          <w:rFonts w:ascii="楷体" w:hAnsi="楷体" w:eastAsia="楷体" w:cs="楷体"/>
          <w:b/>
          <w:bCs/>
          <w:color w:val="auto"/>
          <w:sz w:val="28"/>
          <w:szCs w:val="28"/>
        </w:rPr>
      </w:pPr>
      <w:r>
        <w:rPr>
          <w:rFonts w:hint="eastAsia" w:ascii="楷体" w:hAnsi="楷体" w:eastAsia="楷体" w:cs="楷体"/>
          <w:color w:val="auto"/>
          <w:sz w:val="24"/>
        </w:rPr>
        <w:t>日期：</w:t>
      </w:r>
      <w:r>
        <w:rPr>
          <w:rFonts w:hint="eastAsia" w:ascii="楷体" w:hAnsi="楷体" w:eastAsia="楷体" w:cs="楷体"/>
          <w:bCs/>
          <w:color w:val="auto"/>
          <w:sz w:val="24"/>
        </w:rPr>
        <w:t xml:space="preserve">    年    月    日</w:t>
      </w:r>
    </w:p>
    <w:p w14:paraId="09EDEB8D">
      <w:pPr>
        <w:spacing w:before="72" w:after="72" w:line="360" w:lineRule="auto"/>
        <w:ind w:firstLine="480" w:firstLineChars="200"/>
        <w:rPr>
          <w:rFonts w:ascii="楷体" w:hAnsi="楷体" w:eastAsia="楷体" w:cs="楷体"/>
          <w:color w:val="auto"/>
          <w:sz w:val="24"/>
        </w:rPr>
      </w:pPr>
    </w:p>
    <w:p w14:paraId="5B49D849">
      <w:pPr>
        <w:spacing w:before="72" w:after="72" w:line="360" w:lineRule="auto"/>
        <w:ind w:firstLine="480" w:firstLineChars="200"/>
        <w:rPr>
          <w:rFonts w:ascii="楷体" w:hAnsi="楷体" w:eastAsia="楷体" w:cs="楷体"/>
          <w:color w:val="auto"/>
          <w:sz w:val="24"/>
        </w:rPr>
      </w:pPr>
    </w:p>
    <w:p w14:paraId="04CE9A1F">
      <w:pPr>
        <w:pStyle w:val="22"/>
        <w:spacing w:before="72" w:after="72" w:line="360" w:lineRule="auto"/>
        <w:rPr>
          <w:rFonts w:ascii="楷体" w:hAnsi="楷体" w:eastAsia="楷体" w:cs="楷体"/>
          <w:b/>
          <w:color w:val="auto"/>
          <w:sz w:val="24"/>
        </w:rPr>
      </w:pPr>
      <w:r>
        <w:rPr>
          <w:rFonts w:hint="eastAsia" w:ascii="楷体" w:hAnsi="楷体" w:eastAsia="楷体" w:cs="楷体"/>
          <w:b/>
          <w:bCs/>
          <w:color w:val="auto"/>
          <w:sz w:val="24"/>
        </w:rPr>
        <mc:AlternateContent>
          <mc:Choice Requires="wps">
            <w:drawing>
              <wp:anchor distT="0" distB="0" distL="114300" distR="114300" simplePos="0" relativeHeight="251662336" behindDoc="0" locked="0" layoutInCell="1" allowOverlap="1">
                <wp:simplePos x="0" y="0"/>
                <wp:positionH relativeFrom="column">
                  <wp:posOffset>2893060</wp:posOffset>
                </wp:positionH>
                <wp:positionV relativeFrom="paragraph">
                  <wp:posOffset>329565</wp:posOffset>
                </wp:positionV>
                <wp:extent cx="2628900" cy="1755140"/>
                <wp:effectExtent l="4445" t="4445" r="14605" b="12065"/>
                <wp:wrapNone/>
                <wp:docPr id="5" name="Rectangle 103"/>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BD9641">
                            <w:pPr>
                              <w:spacing w:before="72" w:after="72"/>
                              <w:rPr>
                                <w:rFonts w:eastAsia="黑体"/>
                                <w:b/>
                                <w:sz w:val="30"/>
                              </w:rPr>
                            </w:pPr>
                          </w:p>
                          <w:p w14:paraId="205803DB">
                            <w:pPr>
                              <w:spacing w:before="72" w:after="72"/>
                              <w:rPr>
                                <w:rFonts w:ascii="楷体" w:hAnsi="楷体" w:eastAsia="楷体" w:cs="楷体"/>
                                <w:b/>
                                <w:sz w:val="30"/>
                              </w:rPr>
                            </w:pPr>
                          </w:p>
                          <w:p w14:paraId="2A0C45C6">
                            <w:pPr>
                              <w:spacing w:before="72" w:after="72"/>
                              <w:jc w:val="center"/>
                              <w:rPr>
                                <w:rFonts w:ascii="楷体" w:hAnsi="楷体" w:eastAsia="楷体" w:cs="楷体"/>
                                <w:sz w:val="24"/>
                              </w:rPr>
                            </w:pPr>
                            <w:r>
                              <w:rPr>
                                <w:rFonts w:hint="eastAsia" w:ascii="楷体" w:hAnsi="楷体" w:eastAsia="楷体" w:cs="楷体"/>
                                <w:sz w:val="24"/>
                              </w:rPr>
                              <w:t>法定代表人</w:t>
                            </w:r>
                          </w:p>
                          <w:p w14:paraId="3210DD3D">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296886A7">
                            <w:pPr>
                              <w:spacing w:before="72" w:after="72"/>
                              <w:jc w:val="center"/>
                              <w:rPr>
                                <w:rFonts w:ascii="楷体" w:hAnsi="楷体" w:eastAsia="楷体" w:cs="楷体"/>
                                <w:sz w:val="24"/>
                              </w:rPr>
                            </w:pPr>
                            <w:r>
                              <w:rPr>
                                <w:rFonts w:hint="eastAsia" w:ascii="楷体" w:hAnsi="楷体" w:eastAsia="楷体" w:cs="楷体"/>
                                <w:sz w:val="24"/>
                              </w:rPr>
                              <w:t>（反面）</w:t>
                            </w:r>
                          </w:p>
                        </w:txbxContent>
                      </wps:txbx>
                      <wps:bodyPr wrap="square" anchor="t" anchorCtr="0" upright="1"/>
                    </wps:wsp>
                  </a:graphicData>
                </a:graphic>
              </wp:anchor>
            </w:drawing>
          </mc:Choice>
          <mc:Fallback>
            <w:pict>
              <v:rect id="Rectangle 103" o:spid="_x0000_s1026" o:spt="1" style="position:absolute;left:0pt;margin-left:227.8pt;margin-top:25.95pt;height:138.2pt;width:207pt;z-index:251662336;mso-width-relative:page;mso-height-relative:page;" fillcolor="#FFFFFF" filled="t" stroked="t" coordsize="21600,21600" o:gfxdata="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u357tkAAAAKAQAA&#10;DwAAAAAAAAABACAAAAAiAAAAZHJzL2Rvd25yZXYueG1sUEsBAhQAFAAAAAgAh07iQCL9k9cYAgAA&#10;ZAQAAA4AAAAAAAAAAQAgAAAAKAEAAGRycy9lMm9Eb2MueG1sUEsFBgAAAAAGAAYAWQEAALIFAAAA&#10;AA==&#10;">
                <v:fill on="t" focussize="0,0"/>
                <v:stroke color="#000000" joinstyle="miter"/>
                <v:imagedata o:title=""/>
                <o:lock v:ext="edit" aspectratio="f"/>
                <v:textbox>
                  <w:txbxContent>
                    <w:p w14:paraId="5CBD9641">
                      <w:pPr>
                        <w:spacing w:before="72" w:after="72"/>
                        <w:rPr>
                          <w:rFonts w:eastAsia="黑体"/>
                          <w:b/>
                          <w:sz w:val="30"/>
                        </w:rPr>
                      </w:pPr>
                    </w:p>
                    <w:p w14:paraId="205803DB">
                      <w:pPr>
                        <w:spacing w:before="72" w:after="72"/>
                        <w:rPr>
                          <w:rFonts w:ascii="楷体" w:hAnsi="楷体" w:eastAsia="楷体" w:cs="楷体"/>
                          <w:b/>
                          <w:sz w:val="30"/>
                        </w:rPr>
                      </w:pPr>
                    </w:p>
                    <w:p w14:paraId="2A0C45C6">
                      <w:pPr>
                        <w:spacing w:before="72" w:after="72"/>
                        <w:jc w:val="center"/>
                        <w:rPr>
                          <w:rFonts w:ascii="楷体" w:hAnsi="楷体" w:eastAsia="楷体" w:cs="楷体"/>
                          <w:sz w:val="24"/>
                        </w:rPr>
                      </w:pPr>
                      <w:r>
                        <w:rPr>
                          <w:rFonts w:hint="eastAsia" w:ascii="楷体" w:hAnsi="楷体" w:eastAsia="楷体" w:cs="楷体"/>
                          <w:sz w:val="24"/>
                        </w:rPr>
                        <w:t>法定代表人</w:t>
                      </w:r>
                    </w:p>
                    <w:p w14:paraId="3210DD3D">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296886A7">
                      <w:pPr>
                        <w:spacing w:before="72" w:after="72"/>
                        <w:jc w:val="center"/>
                        <w:rPr>
                          <w:rFonts w:ascii="楷体" w:hAnsi="楷体" w:eastAsia="楷体" w:cs="楷体"/>
                          <w:sz w:val="24"/>
                        </w:rPr>
                      </w:pPr>
                      <w:r>
                        <w:rPr>
                          <w:rFonts w:hint="eastAsia" w:ascii="楷体" w:hAnsi="楷体" w:eastAsia="楷体" w:cs="楷体"/>
                          <w:sz w:val="24"/>
                        </w:rPr>
                        <w:t>（反面）</w:t>
                      </w:r>
                    </w:p>
                  </w:txbxContent>
                </v:textbox>
              </v:rect>
            </w:pict>
          </mc:Fallback>
        </mc:AlternateContent>
      </w:r>
      <w:r>
        <w:rPr>
          <w:rFonts w:hint="eastAsia" w:ascii="楷体" w:hAnsi="楷体" w:eastAsia="楷体" w:cs="楷体"/>
          <w:b/>
          <w:bCs/>
          <w:color w:val="auto"/>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315595</wp:posOffset>
                </wp:positionV>
                <wp:extent cx="2628900" cy="1755140"/>
                <wp:effectExtent l="4445" t="4445" r="14605" b="12065"/>
                <wp:wrapNone/>
                <wp:docPr id="9" name="Rectangle 104"/>
                <wp:cNvGraphicFramePr/>
                <a:graphic xmlns:a="http://schemas.openxmlformats.org/drawingml/2006/main">
                  <a:graphicData uri="http://schemas.microsoft.com/office/word/2010/wordprocessingShape">
                    <wps:wsp>
                      <wps:cNvSpPr/>
                      <wps:spPr>
                        <a:xfrm>
                          <a:off x="0" y="0"/>
                          <a:ext cx="2628900" cy="17551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E0F494">
                            <w:pPr>
                              <w:spacing w:before="72" w:after="72"/>
                              <w:rPr>
                                <w:rFonts w:eastAsia="黑体"/>
                                <w:b/>
                                <w:sz w:val="30"/>
                              </w:rPr>
                            </w:pPr>
                          </w:p>
                          <w:p w14:paraId="62523CC4">
                            <w:pPr>
                              <w:spacing w:before="72" w:after="72"/>
                              <w:rPr>
                                <w:rFonts w:eastAsia="黑体"/>
                                <w:b/>
                                <w:sz w:val="30"/>
                              </w:rPr>
                            </w:pPr>
                          </w:p>
                          <w:p w14:paraId="22D5C4C9">
                            <w:pPr>
                              <w:spacing w:before="72" w:after="72"/>
                              <w:jc w:val="center"/>
                              <w:rPr>
                                <w:rFonts w:ascii="楷体" w:hAnsi="楷体" w:eastAsia="楷体" w:cs="楷体"/>
                                <w:sz w:val="24"/>
                              </w:rPr>
                            </w:pPr>
                            <w:r>
                              <w:rPr>
                                <w:rFonts w:hint="eastAsia" w:ascii="楷体" w:hAnsi="楷体" w:eastAsia="楷体" w:cs="楷体"/>
                                <w:sz w:val="24"/>
                              </w:rPr>
                              <w:t>法定代表人</w:t>
                            </w:r>
                          </w:p>
                          <w:p w14:paraId="0A315290">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12726579">
                            <w:pPr>
                              <w:spacing w:before="72" w:after="72"/>
                              <w:jc w:val="center"/>
                              <w:rPr>
                                <w:rFonts w:ascii="楷体" w:hAnsi="楷体" w:eastAsia="楷体" w:cs="楷体"/>
                                <w:sz w:val="24"/>
                              </w:rPr>
                            </w:pPr>
                            <w:r>
                              <w:rPr>
                                <w:rFonts w:hint="eastAsia" w:ascii="楷体" w:hAnsi="楷体" w:eastAsia="楷体" w:cs="楷体"/>
                                <w:sz w:val="24"/>
                              </w:rPr>
                              <w:t>（正面）</w:t>
                            </w:r>
                          </w:p>
                        </w:txbxContent>
                      </wps:txbx>
                      <wps:bodyPr wrap="square" anchor="t" anchorCtr="0" upright="1"/>
                    </wps:wsp>
                  </a:graphicData>
                </a:graphic>
              </wp:anchor>
            </w:drawing>
          </mc:Choice>
          <mc:Fallback>
            <w:pict>
              <v:rect id="Rectangle 104" o:spid="_x0000_s1026" o:spt="1" style="position:absolute;left:0pt;margin-left:-0.85pt;margin-top:24.85pt;height:138.2pt;width:207pt;z-index:251663360;mso-width-relative:page;mso-height-relative:page;" fillcolor="#FFFFFF" filled="t" stroked="t" coordsize="21600,21600" o:gfxdata="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qa4pp2QAAAAkBAAAPAAAA&#10;AAAAAAEAIAAAACIAAABkcnMvZG93bnJldi54bWxQSwECFAAUAAAACACHTuJAc3bIoRQCAABkBAAA&#10;DgAAAAAAAAABACAAAAAoAQAAZHJzL2Uyb0RvYy54bWxQSwUGAAAAAAYABgBZAQAArgUAAAAA&#10;">
                <v:fill on="t" focussize="0,0"/>
                <v:stroke color="#000000" joinstyle="miter"/>
                <v:imagedata o:title=""/>
                <o:lock v:ext="edit" aspectratio="f"/>
                <v:textbox>
                  <w:txbxContent>
                    <w:p w14:paraId="1CE0F494">
                      <w:pPr>
                        <w:spacing w:before="72" w:after="72"/>
                        <w:rPr>
                          <w:rFonts w:eastAsia="黑体"/>
                          <w:b/>
                          <w:sz w:val="30"/>
                        </w:rPr>
                      </w:pPr>
                    </w:p>
                    <w:p w14:paraId="62523CC4">
                      <w:pPr>
                        <w:spacing w:before="72" w:after="72"/>
                        <w:rPr>
                          <w:rFonts w:eastAsia="黑体"/>
                          <w:b/>
                          <w:sz w:val="30"/>
                        </w:rPr>
                      </w:pPr>
                    </w:p>
                    <w:p w14:paraId="22D5C4C9">
                      <w:pPr>
                        <w:spacing w:before="72" w:after="72"/>
                        <w:jc w:val="center"/>
                        <w:rPr>
                          <w:rFonts w:ascii="楷体" w:hAnsi="楷体" w:eastAsia="楷体" w:cs="楷体"/>
                          <w:sz w:val="24"/>
                        </w:rPr>
                      </w:pPr>
                      <w:r>
                        <w:rPr>
                          <w:rFonts w:hint="eastAsia" w:ascii="楷体" w:hAnsi="楷体" w:eastAsia="楷体" w:cs="楷体"/>
                          <w:sz w:val="24"/>
                        </w:rPr>
                        <w:t>法定代表人</w:t>
                      </w:r>
                    </w:p>
                    <w:p w14:paraId="0A315290">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12726579">
                      <w:pPr>
                        <w:spacing w:before="72" w:after="72"/>
                        <w:jc w:val="center"/>
                        <w:rPr>
                          <w:rFonts w:ascii="楷体" w:hAnsi="楷体" w:eastAsia="楷体" w:cs="楷体"/>
                          <w:sz w:val="24"/>
                        </w:rPr>
                      </w:pPr>
                      <w:r>
                        <w:rPr>
                          <w:rFonts w:hint="eastAsia" w:ascii="楷体" w:hAnsi="楷体" w:eastAsia="楷体" w:cs="楷体"/>
                          <w:sz w:val="24"/>
                        </w:rPr>
                        <w:t>（正面）</w:t>
                      </w:r>
                    </w:p>
                  </w:txbxContent>
                </v:textbox>
              </v:rect>
            </w:pict>
          </mc:Fallback>
        </mc:AlternateContent>
      </w:r>
      <w:r>
        <w:rPr>
          <w:rFonts w:hint="eastAsia" w:ascii="楷体" w:hAnsi="楷体" w:eastAsia="楷体" w:cs="楷体"/>
          <w:b/>
          <w:color w:val="auto"/>
          <w:sz w:val="24"/>
        </w:rPr>
        <w:t>附法人身份证粘贴处（正反面）</w:t>
      </w:r>
    </w:p>
    <w:p w14:paraId="73C21D43">
      <w:pPr>
        <w:spacing w:before="72" w:after="72" w:line="360" w:lineRule="auto"/>
        <w:rPr>
          <w:rFonts w:ascii="楷体" w:hAnsi="楷体" w:eastAsia="楷体" w:cs="楷体"/>
          <w:b/>
          <w:bCs/>
          <w:color w:val="auto"/>
          <w:sz w:val="24"/>
        </w:rPr>
      </w:pPr>
    </w:p>
    <w:p w14:paraId="416E8B72">
      <w:pPr>
        <w:spacing w:before="72" w:after="72" w:line="360" w:lineRule="auto"/>
        <w:rPr>
          <w:rFonts w:ascii="楷体" w:hAnsi="楷体" w:eastAsia="楷体" w:cs="楷体"/>
          <w:b/>
          <w:bCs/>
          <w:color w:val="auto"/>
          <w:sz w:val="24"/>
        </w:rPr>
      </w:pPr>
    </w:p>
    <w:p w14:paraId="05C20585">
      <w:pPr>
        <w:spacing w:before="72" w:after="72" w:line="360" w:lineRule="auto"/>
        <w:rPr>
          <w:rFonts w:ascii="楷体" w:hAnsi="楷体" w:eastAsia="楷体" w:cs="楷体"/>
          <w:b/>
          <w:bCs/>
          <w:color w:val="auto"/>
          <w:sz w:val="24"/>
        </w:rPr>
      </w:pPr>
    </w:p>
    <w:p w14:paraId="3D8BD3D4">
      <w:pPr>
        <w:spacing w:before="72" w:after="72" w:line="360" w:lineRule="auto"/>
        <w:rPr>
          <w:rFonts w:ascii="楷体" w:hAnsi="楷体" w:eastAsia="楷体" w:cs="楷体"/>
          <w:b/>
          <w:bCs/>
          <w:color w:val="auto"/>
          <w:sz w:val="24"/>
        </w:rPr>
      </w:pPr>
    </w:p>
    <w:p w14:paraId="345467F0">
      <w:pPr>
        <w:spacing w:before="72" w:after="72" w:line="360" w:lineRule="auto"/>
        <w:rPr>
          <w:rFonts w:ascii="楷体" w:hAnsi="楷体" w:eastAsia="楷体" w:cs="楷体"/>
          <w:b/>
          <w:bCs/>
          <w:color w:val="auto"/>
          <w:sz w:val="24"/>
        </w:rPr>
      </w:pPr>
    </w:p>
    <w:p w14:paraId="0F1B8DF2">
      <w:pPr>
        <w:spacing w:before="72" w:after="72" w:line="360" w:lineRule="auto"/>
        <w:rPr>
          <w:rFonts w:ascii="楷体" w:hAnsi="楷体" w:eastAsia="楷体" w:cs="楷体"/>
          <w:b/>
          <w:bCs/>
          <w:color w:val="auto"/>
          <w:sz w:val="24"/>
        </w:rPr>
        <w:sectPr>
          <w:pgSz w:w="11906" w:h="16838"/>
          <w:pgMar w:top="1440" w:right="1800" w:bottom="1440" w:left="1800" w:header="851" w:footer="992" w:gutter="0"/>
          <w:cols w:space="720" w:num="1"/>
          <w:docGrid w:linePitch="312" w:charSpace="0"/>
        </w:sectPr>
      </w:pPr>
    </w:p>
    <w:p w14:paraId="3CA6B6F4">
      <w:pPr>
        <w:numPr>
          <w:ilvl w:val="0"/>
          <w:numId w:val="73"/>
        </w:numPr>
        <w:spacing w:before="72" w:after="72" w:line="360" w:lineRule="auto"/>
        <w:jc w:val="center"/>
        <w:rPr>
          <w:rFonts w:ascii="楷体" w:hAnsi="楷体" w:eastAsia="楷体" w:cs="楷体"/>
          <w:b/>
          <w:color w:val="auto"/>
          <w:kern w:val="44"/>
          <w:sz w:val="30"/>
          <w:szCs w:val="30"/>
        </w:rPr>
      </w:pPr>
      <w:bookmarkStart w:id="406" w:name="_Toc413404716"/>
      <w:bookmarkStart w:id="407" w:name="_Toc415496511"/>
      <w:bookmarkStart w:id="408" w:name="_Toc414383247"/>
      <w:bookmarkStart w:id="409" w:name="_Toc413372470"/>
      <w:bookmarkStart w:id="410" w:name="_Toc381489428"/>
      <w:bookmarkStart w:id="411" w:name="_Toc414383032"/>
      <w:bookmarkStart w:id="412" w:name="_Toc417738414"/>
      <w:bookmarkStart w:id="413" w:name="_Toc415494949"/>
      <w:bookmarkStart w:id="414" w:name="_Toc413373063"/>
      <w:r>
        <w:rPr>
          <w:rFonts w:hint="eastAsia" w:ascii="楷体" w:hAnsi="楷体" w:eastAsia="楷体" w:cs="楷体"/>
          <w:b/>
          <w:color w:val="auto"/>
          <w:kern w:val="44"/>
          <w:sz w:val="30"/>
          <w:szCs w:val="30"/>
        </w:rPr>
        <w:t>法定代表人授权委托书</w:t>
      </w:r>
      <w:bookmarkEnd w:id="406"/>
      <w:bookmarkEnd w:id="407"/>
      <w:bookmarkEnd w:id="408"/>
      <w:bookmarkEnd w:id="409"/>
      <w:bookmarkEnd w:id="410"/>
      <w:bookmarkEnd w:id="411"/>
      <w:bookmarkEnd w:id="412"/>
      <w:bookmarkEnd w:id="413"/>
      <w:bookmarkEnd w:id="414"/>
    </w:p>
    <w:p w14:paraId="1FF10D2C">
      <w:pPr>
        <w:spacing w:before="120" w:beforeLines="50" w:after="120" w:afterLines="50" w:line="360" w:lineRule="auto"/>
        <w:rPr>
          <w:rFonts w:ascii="楷体" w:hAnsi="楷体" w:eastAsia="楷体" w:cs="楷体"/>
          <w:b/>
          <w:color w:val="auto"/>
          <w:sz w:val="24"/>
        </w:rPr>
      </w:pPr>
      <w:r>
        <w:rPr>
          <w:rFonts w:hint="eastAsia" w:ascii="楷体" w:hAnsi="楷体" w:eastAsia="楷体" w:cs="楷体"/>
          <w:b/>
          <w:color w:val="auto"/>
          <w:sz w:val="24"/>
        </w:rPr>
        <w:t>致：广东鼎信招标采购有限公司</w:t>
      </w:r>
    </w:p>
    <w:p w14:paraId="4CA49F30">
      <w:pPr>
        <w:pStyle w:val="22"/>
        <w:spacing w:before="72" w:after="72" w:line="360" w:lineRule="auto"/>
        <w:ind w:firstLine="420"/>
        <w:rPr>
          <w:rFonts w:ascii="楷体" w:hAnsi="楷体" w:eastAsia="楷体" w:cs="楷体"/>
          <w:color w:val="auto"/>
          <w:sz w:val="24"/>
        </w:rPr>
      </w:pPr>
      <w:r>
        <w:rPr>
          <w:rFonts w:hint="eastAsia" w:ascii="楷体" w:hAnsi="楷体" w:eastAsia="楷体" w:cs="楷体"/>
          <w:color w:val="auto"/>
          <w:sz w:val="24"/>
        </w:rPr>
        <w:t>我</w:t>
      </w:r>
      <w:r>
        <w:rPr>
          <w:rFonts w:hint="eastAsia" w:ascii="楷体" w:hAnsi="楷体" w:eastAsia="楷体" w:cs="楷体"/>
          <w:color w:val="auto"/>
          <w:sz w:val="24"/>
          <w:u w:val="single"/>
        </w:rPr>
        <w:t>　　   　　</w:t>
      </w:r>
      <w:r>
        <w:rPr>
          <w:rFonts w:hint="eastAsia" w:ascii="楷体" w:hAnsi="楷体" w:eastAsia="楷体" w:cs="楷体"/>
          <w:color w:val="auto"/>
          <w:sz w:val="24"/>
        </w:rPr>
        <w:t>（姓名）系</w:t>
      </w:r>
      <w:r>
        <w:rPr>
          <w:rFonts w:hint="eastAsia" w:ascii="楷体" w:hAnsi="楷体" w:eastAsia="楷体" w:cs="楷体"/>
          <w:color w:val="auto"/>
          <w:sz w:val="24"/>
          <w:u w:val="single"/>
        </w:rPr>
        <w:t>　　  　　　　</w:t>
      </w:r>
      <w:r>
        <w:rPr>
          <w:rFonts w:hint="eastAsia" w:ascii="楷体" w:hAnsi="楷体" w:eastAsia="楷体" w:cs="楷体"/>
          <w:color w:val="auto"/>
          <w:sz w:val="24"/>
        </w:rPr>
        <w:t>（投标人名称）的法定代表人，现授权委托</w:t>
      </w:r>
      <w:r>
        <w:rPr>
          <w:rFonts w:hint="eastAsia" w:ascii="楷体" w:hAnsi="楷体" w:eastAsia="楷体" w:cs="楷体"/>
          <w:color w:val="auto"/>
          <w:sz w:val="24"/>
          <w:u w:val="single"/>
        </w:rPr>
        <w:t>　　　　　　　　   　　　</w:t>
      </w:r>
      <w:r>
        <w:rPr>
          <w:rFonts w:hint="eastAsia" w:ascii="楷体" w:hAnsi="楷体" w:eastAsia="楷体" w:cs="楷体"/>
          <w:color w:val="auto"/>
          <w:sz w:val="24"/>
        </w:rPr>
        <w:t>（被授权人姓名、职务）为我公司授权代表，以本公司的名义参加</w:t>
      </w:r>
      <w:r>
        <w:rPr>
          <w:rFonts w:hint="eastAsia" w:ascii="楷体" w:hAnsi="楷体" w:eastAsia="楷体" w:cs="楷体"/>
          <w:color w:val="auto"/>
          <w:sz w:val="24"/>
          <w:u w:val="single"/>
          <w:lang w:val="zh-CN"/>
        </w:rPr>
        <w:t>（项目名称、项目编号）</w:t>
      </w:r>
      <w:r>
        <w:rPr>
          <w:rFonts w:hint="eastAsia" w:ascii="楷体" w:hAnsi="楷体" w:eastAsia="楷体" w:cs="楷体"/>
          <w:color w:val="auto"/>
          <w:sz w:val="24"/>
        </w:rPr>
        <w:t>的投标活动以及处理与之有关的一切事务。</w:t>
      </w:r>
    </w:p>
    <w:p w14:paraId="1C74C654">
      <w:pPr>
        <w:pStyle w:val="22"/>
        <w:spacing w:before="72" w:after="72" w:line="360" w:lineRule="auto"/>
        <w:ind w:firstLine="420"/>
        <w:rPr>
          <w:rFonts w:ascii="楷体" w:hAnsi="楷体" w:eastAsia="楷体" w:cs="楷体"/>
          <w:color w:val="auto"/>
          <w:sz w:val="24"/>
        </w:rPr>
      </w:pPr>
      <w:r>
        <w:rPr>
          <w:rFonts w:hint="eastAsia" w:ascii="楷体" w:hAnsi="楷体" w:eastAsia="楷体" w:cs="楷体"/>
          <w:color w:val="auto"/>
          <w:sz w:val="24"/>
        </w:rPr>
        <w:t>本授权委托书自法定代表人签字之日起生效，被授权人</w:t>
      </w:r>
      <w:r>
        <w:rPr>
          <w:rFonts w:hint="eastAsia" w:ascii="楷体" w:hAnsi="楷体" w:eastAsia="楷体" w:cs="楷体"/>
          <w:color w:val="auto"/>
          <w:sz w:val="24"/>
          <w:u w:val="single"/>
        </w:rPr>
        <w:t>（投标人授权代表）</w:t>
      </w:r>
      <w:r>
        <w:rPr>
          <w:rFonts w:hint="eastAsia" w:ascii="楷体" w:hAnsi="楷体" w:eastAsia="楷体" w:cs="楷体"/>
          <w:color w:val="auto"/>
          <w:sz w:val="24"/>
        </w:rPr>
        <w:t>无转委托权限。</w:t>
      </w:r>
    </w:p>
    <w:p w14:paraId="31844978">
      <w:pPr>
        <w:pStyle w:val="22"/>
        <w:spacing w:before="72" w:after="72" w:line="360" w:lineRule="auto"/>
        <w:ind w:firstLine="420"/>
        <w:rPr>
          <w:rFonts w:ascii="楷体" w:hAnsi="楷体" w:eastAsia="楷体" w:cs="楷体"/>
          <w:color w:val="auto"/>
          <w:sz w:val="24"/>
        </w:rPr>
      </w:pPr>
    </w:p>
    <w:p w14:paraId="18EE4583">
      <w:pPr>
        <w:pStyle w:val="22"/>
        <w:spacing w:before="72" w:after="72" w:line="360" w:lineRule="auto"/>
        <w:rPr>
          <w:rFonts w:ascii="楷体" w:hAnsi="楷体" w:eastAsia="楷体" w:cs="楷体"/>
          <w:color w:val="auto"/>
          <w:sz w:val="24"/>
        </w:rPr>
      </w:pPr>
    </w:p>
    <w:p w14:paraId="5F0AEABB">
      <w:pPr>
        <w:adjustRightInd w:val="0"/>
        <w:snapToGrid w:val="0"/>
        <w:spacing w:before="72" w:after="72" w:line="480" w:lineRule="auto"/>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399BAA5F">
      <w:pPr>
        <w:adjustRightInd w:val="0"/>
        <w:snapToGrid w:val="0"/>
        <w:spacing w:before="72" w:after="72" w:line="480" w:lineRule="auto"/>
        <w:rPr>
          <w:rFonts w:ascii="楷体" w:hAnsi="楷体" w:eastAsia="楷体" w:cs="楷体"/>
          <w:color w:val="auto"/>
          <w:sz w:val="24"/>
        </w:rPr>
      </w:pPr>
      <w:r>
        <w:rPr>
          <w:rFonts w:hint="eastAsia" w:ascii="楷体" w:hAnsi="楷体" w:eastAsia="楷体" w:cs="楷体"/>
          <w:color w:val="auto"/>
          <w:sz w:val="24"/>
        </w:rPr>
        <w:t>投标人法定代表人（签字或签章）：</w:t>
      </w:r>
    </w:p>
    <w:p w14:paraId="528EEDCE">
      <w:pPr>
        <w:adjustRightInd w:val="0"/>
        <w:snapToGrid w:val="0"/>
        <w:spacing w:before="72" w:after="72" w:line="480" w:lineRule="auto"/>
        <w:rPr>
          <w:rFonts w:ascii="楷体" w:hAnsi="楷体" w:eastAsia="楷体" w:cs="楷体"/>
          <w:color w:val="auto"/>
          <w:sz w:val="24"/>
        </w:rPr>
      </w:pPr>
      <w:r>
        <w:rPr>
          <w:rFonts w:hint="eastAsia" w:ascii="楷体" w:hAnsi="楷体" w:eastAsia="楷体" w:cs="楷体"/>
          <w:color w:val="auto"/>
          <w:sz w:val="24"/>
        </w:rPr>
        <w:t>投标人授权代表（签名）：</w:t>
      </w:r>
    </w:p>
    <w:p w14:paraId="227B79B2">
      <w:pPr>
        <w:pStyle w:val="22"/>
        <w:spacing w:before="72" w:after="72" w:line="360" w:lineRule="auto"/>
        <w:rPr>
          <w:rFonts w:ascii="楷体" w:hAnsi="楷体" w:eastAsia="楷体" w:cs="楷体"/>
          <w:color w:val="auto"/>
          <w:sz w:val="24"/>
        </w:rPr>
      </w:pPr>
      <w:r>
        <w:rPr>
          <w:rFonts w:hint="eastAsia" w:ascii="楷体" w:hAnsi="楷体" w:eastAsia="楷体" w:cs="楷体"/>
          <w:color w:val="auto"/>
          <w:sz w:val="24"/>
        </w:rPr>
        <w:t>签发日期：   年   月   日</w:t>
      </w:r>
    </w:p>
    <w:p w14:paraId="1FF2C50B">
      <w:pPr>
        <w:pStyle w:val="22"/>
        <w:spacing w:before="72" w:after="72" w:line="360" w:lineRule="auto"/>
        <w:rPr>
          <w:rFonts w:ascii="楷体" w:hAnsi="楷体" w:eastAsia="楷体" w:cs="楷体"/>
          <w:color w:val="auto"/>
          <w:sz w:val="24"/>
        </w:rPr>
      </w:pPr>
    </w:p>
    <w:p w14:paraId="2B8412B9">
      <w:pPr>
        <w:spacing w:before="72" w:after="72" w:line="360" w:lineRule="auto"/>
        <w:rPr>
          <w:rFonts w:ascii="楷体" w:hAnsi="楷体" w:eastAsia="楷体" w:cs="楷体"/>
          <w:b/>
          <w:bCs/>
          <w:color w:val="auto"/>
          <w:sz w:val="24"/>
        </w:rPr>
      </w:pPr>
      <w:r>
        <w:rPr>
          <w:rFonts w:hint="eastAsia" w:ascii="楷体" w:hAnsi="楷体" w:eastAsia="楷体" w:cs="楷体"/>
          <w:b/>
          <w:bCs/>
          <w:color w:val="auto"/>
          <w:sz w:val="24"/>
        </w:rP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93345</wp:posOffset>
                </wp:positionV>
                <wp:extent cx="2628900" cy="1755140"/>
                <wp:effectExtent l="4445" t="4445" r="14605" b="12065"/>
                <wp:wrapNone/>
                <wp:docPr id="3" name="矩形 3"/>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92E82F">
                            <w:pPr>
                              <w:spacing w:before="72" w:after="72"/>
                              <w:rPr>
                                <w:rFonts w:eastAsia="黑体"/>
                                <w:b/>
                                <w:sz w:val="30"/>
                              </w:rPr>
                            </w:pPr>
                          </w:p>
                          <w:p w14:paraId="09FE4A2E">
                            <w:pPr>
                              <w:spacing w:before="72" w:after="72"/>
                              <w:rPr>
                                <w:rFonts w:ascii="楷体" w:hAnsi="楷体" w:eastAsia="楷体" w:cs="楷体"/>
                                <w:b/>
                                <w:sz w:val="30"/>
                              </w:rPr>
                            </w:pPr>
                          </w:p>
                          <w:p w14:paraId="0149322B">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5E91F84E">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3C82FC13">
                            <w:pPr>
                              <w:spacing w:before="72" w:after="72"/>
                              <w:jc w:val="center"/>
                              <w:rPr>
                                <w:rFonts w:ascii="楷体" w:hAnsi="楷体" w:eastAsia="楷体" w:cs="楷体"/>
                                <w:sz w:val="24"/>
                              </w:rPr>
                            </w:pPr>
                            <w:r>
                              <w:rPr>
                                <w:rFonts w:hint="eastAsia" w:ascii="楷体" w:hAnsi="楷体" w:eastAsia="楷体" w:cs="楷体"/>
                                <w:sz w:val="24"/>
                              </w:rPr>
                              <w:t>（反面）</w:t>
                            </w:r>
                          </w:p>
                        </w:txbxContent>
                      </wps:txbx>
                      <wps:bodyPr wrap="square" anchor="t" anchorCtr="0" upright="1"/>
                    </wps:wsp>
                  </a:graphicData>
                </a:graphic>
              </wp:anchor>
            </w:drawing>
          </mc:Choice>
          <mc:Fallback>
            <w:pict>
              <v:rect id="_x0000_s1026" o:spid="_x0000_s1026" o:spt="1" style="position:absolute;left:0pt;margin-left:225.35pt;margin-top:7.35pt;height:138.2pt;width:207pt;z-index:251660288;mso-width-relative:page;mso-height-relative:page;" fillcolor="#FFFFFF" filled="t" stroked="t" coordsize="21600,21600" o:gfxdata="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QSjQX&#10;2AAAAAoBAAAPAAAAAAAAAAEAIAAAACIAAABkcnMvZG93bnJldi54bWxQSwECFAAUAAAACACHTuJA&#10;JewIriECAABfBAAADgAAAAAAAAABACAAAAAnAQAAZHJzL2Uyb0RvYy54bWxQSwUGAAAAAAYABgBZ&#10;AQAAugUAAAAA&#10;">
                <v:fill on="t" focussize="0,0"/>
                <v:stroke color="#000000" joinstyle="miter"/>
                <v:imagedata o:title=""/>
                <o:lock v:ext="edit" aspectratio="f"/>
                <v:textbox>
                  <w:txbxContent>
                    <w:p w14:paraId="0092E82F">
                      <w:pPr>
                        <w:spacing w:before="72" w:after="72"/>
                        <w:rPr>
                          <w:rFonts w:eastAsia="黑体"/>
                          <w:b/>
                          <w:sz w:val="30"/>
                        </w:rPr>
                      </w:pPr>
                    </w:p>
                    <w:p w14:paraId="09FE4A2E">
                      <w:pPr>
                        <w:spacing w:before="72" w:after="72"/>
                        <w:rPr>
                          <w:rFonts w:ascii="楷体" w:hAnsi="楷体" w:eastAsia="楷体" w:cs="楷体"/>
                          <w:b/>
                          <w:sz w:val="30"/>
                        </w:rPr>
                      </w:pPr>
                    </w:p>
                    <w:p w14:paraId="0149322B">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5E91F84E">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3C82FC13">
                      <w:pPr>
                        <w:spacing w:before="72" w:after="72"/>
                        <w:jc w:val="center"/>
                        <w:rPr>
                          <w:rFonts w:ascii="楷体" w:hAnsi="楷体" w:eastAsia="楷体" w:cs="楷体"/>
                          <w:sz w:val="24"/>
                        </w:rPr>
                      </w:pPr>
                      <w:r>
                        <w:rPr>
                          <w:rFonts w:hint="eastAsia" w:ascii="楷体" w:hAnsi="楷体" w:eastAsia="楷体" w:cs="楷体"/>
                          <w:sz w:val="24"/>
                        </w:rPr>
                        <w:t>（反面）</w:t>
                      </w:r>
                    </w:p>
                  </w:txbxContent>
                </v:textbox>
              </v:rect>
            </w:pict>
          </mc:Fallback>
        </mc:AlternateContent>
      </w:r>
      <w:r>
        <w:rPr>
          <w:rFonts w:hint="eastAsia" w:ascii="楷体" w:hAnsi="楷体" w:eastAsia="楷体" w:cs="楷体"/>
          <w:b/>
          <w:bCs/>
          <w:color w:val="auto"/>
          <w:sz w:val="24"/>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110490</wp:posOffset>
                </wp:positionV>
                <wp:extent cx="2628900" cy="1755140"/>
                <wp:effectExtent l="4445" t="4445" r="14605" b="12065"/>
                <wp:wrapNone/>
                <wp:docPr id="4" name="矩形 2"/>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2D5333">
                            <w:pPr>
                              <w:spacing w:before="72" w:after="72"/>
                              <w:rPr>
                                <w:rFonts w:eastAsia="黑体"/>
                                <w:b/>
                                <w:sz w:val="30"/>
                              </w:rPr>
                            </w:pPr>
                          </w:p>
                          <w:p w14:paraId="27710F58">
                            <w:pPr>
                              <w:spacing w:before="72" w:after="72"/>
                              <w:rPr>
                                <w:rFonts w:eastAsia="黑体"/>
                                <w:b/>
                                <w:sz w:val="30"/>
                              </w:rPr>
                            </w:pPr>
                          </w:p>
                          <w:p w14:paraId="33499C2C">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24B18DFE">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54A00F51">
                            <w:pPr>
                              <w:spacing w:before="72" w:after="72"/>
                              <w:jc w:val="center"/>
                              <w:rPr>
                                <w:rFonts w:ascii="楷体" w:hAnsi="楷体" w:eastAsia="楷体" w:cs="楷体"/>
                                <w:sz w:val="24"/>
                              </w:rPr>
                            </w:pPr>
                            <w:r>
                              <w:rPr>
                                <w:rFonts w:hint="eastAsia" w:ascii="楷体" w:hAnsi="楷体" w:eastAsia="楷体" w:cs="楷体"/>
                                <w:sz w:val="24"/>
                              </w:rPr>
                              <w:t>（正面）</w:t>
                            </w:r>
                          </w:p>
                        </w:txbxContent>
                      </wps:txbx>
                      <wps:bodyPr wrap="square" anchor="t" anchorCtr="0" upright="1"/>
                    </wps:wsp>
                  </a:graphicData>
                </a:graphic>
              </wp:anchor>
            </w:drawing>
          </mc:Choice>
          <mc:Fallback>
            <w:pict>
              <v:rect id="矩形 2" o:spid="_x0000_s1026" o:spt="1" style="position:absolute;left:0pt;margin-left:-6.05pt;margin-top:8.7pt;height:138.2pt;width:207pt;z-index:251661312;mso-width-relative:page;mso-height-relative:page;" fillcolor="#FFFFFF" filled="t" stroked="t" coordsize="21600,21600" o:gfxdata="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Ai3XY&#10;AAAACgEAAA8AAAAAAAAAAQAgAAAAIgAAAGRycy9kb3ducmV2LnhtbFBLAQIUABQAAAAIAIdO4kCX&#10;zMfIIAIAAF8EAAAOAAAAAAAAAAEAIAAAACcBAABkcnMvZTJvRG9jLnhtbFBLBQYAAAAABgAGAFkB&#10;AAC5BQAAAAA=&#10;">
                <v:fill on="t" focussize="0,0"/>
                <v:stroke color="#000000" joinstyle="miter"/>
                <v:imagedata o:title=""/>
                <o:lock v:ext="edit" aspectratio="f"/>
                <v:textbox>
                  <w:txbxContent>
                    <w:p w14:paraId="382D5333">
                      <w:pPr>
                        <w:spacing w:before="72" w:after="72"/>
                        <w:rPr>
                          <w:rFonts w:eastAsia="黑体"/>
                          <w:b/>
                          <w:sz w:val="30"/>
                        </w:rPr>
                      </w:pPr>
                    </w:p>
                    <w:p w14:paraId="27710F58">
                      <w:pPr>
                        <w:spacing w:before="72" w:after="72"/>
                        <w:rPr>
                          <w:rFonts w:eastAsia="黑体"/>
                          <w:b/>
                          <w:sz w:val="30"/>
                        </w:rPr>
                      </w:pPr>
                    </w:p>
                    <w:p w14:paraId="33499C2C">
                      <w:pPr>
                        <w:spacing w:before="72" w:after="72"/>
                        <w:jc w:val="center"/>
                        <w:rPr>
                          <w:rFonts w:ascii="楷体" w:hAnsi="楷体" w:eastAsia="楷体" w:cs="楷体"/>
                          <w:sz w:val="24"/>
                        </w:rPr>
                      </w:pPr>
                      <w:r>
                        <w:rPr>
                          <w:rFonts w:hint="eastAsia" w:ascii="楷体" w:hAnsi="楷体" w:eastAsia="楷体" w:cs="楷体"/>
                          <w:sz w:val="24"/>
                        </w:rPr>
                        <w:t>被授权人（授权代表）</w:t>
                      </w:r>
                    </w:p>
                    <w:p w14:paraId="24B18DFE">
                      <w:pPr>
                        <w:spacing w:before="72" w:after="72"/>
                        <w:jc w:val="center"/>
                        <w:rPr>
                          <w:rFonts w:ascii="楷体" w:hAnsi="楷体" w:eastAsia="楷体" w:cs="楷体"/>
                          <w:sz w:val="24"/>
                        </w:rPr>
                      </w:pPr>
                      <w:r>
                        <w:rPr>
                          <w:rFonts w:hint="eastAsia" w:ascii="楷体" w:hAnsi="楷体" w:eastAsia="楷体" w:cs="楷体"/>
                          <w:sz w:val="24"/>
                        </w:rPr>
                        <w:t>居民身份证复印件粘贴处</w:t>
                      </w:r>
                    </w:p>
                    <w:p w14:paraId="54A00F51">
                      <w:pPr>
                        <w:spacing w:before="72" w:after="72"/>
                        <w:jc w:val="center"/>
                        <w:rPr>
                          <w:rFonts w:ascii="楷体" w:hAnsi="楷体" w:eastAsia="楷体" w:cs="楷体"/>
                          <w:sz w:val="24"/>
                        </w:rPr>
                      </w:pPr>
                      <w:r>
                        <w:rPr>
                          <w:rFonts w:hint="eastAsia" w:ascii="楷体" w:hAnsi="楷体" w:eastAsia="楷体" w:cs="楷体"/>
                          <w:sz w:val="24"/>
                        </w:rPr>
                        <w:t>（正面）</w:t>
                      </w:r>
                    </w:p>
                  </w:txbxContent>
                </v:textbox>
              </v:rect>
            </w:pict>
          </mc:Fallback>
        </mc:AlternateContent>
      </w:r>
    </w:p>
    <w:p w14:paraId="1300D9AA">
      <w:pPr>
        <w:spacing w:before="72" w:after="72" w:line="360" w:lineRule="auto"/>
        <w:rPr>
          <w:rFonts w:ascii="楷体" w:hAnsi="楷体" w:eastAsia="楷体" w:cs="楷体"/>
          <w:b/>
          <w:bCs/>
          <w:color w:val="auto"/>
          <w:sz w:val="24"/>
        </w:rPr>
      </w:pPr>
    </w:p>
    <w:p w14:paraId="303A95BD">
      <w:pPr>
        <w:spacing w:before="72" w:after="72" w:line="360" w:lineRule="auto"/>
        <w:rPr>
          <w:rFonts w:ascii="楷体" w:hAnsi="楷体" w:eastAsia="楷体" w:cs="楷体"/>
          <w:b/>
          <w:bCs/>
          <w:color w:val="auto"/>
          <w:sz w:val="24"/>
        </w:rPr>
      </w:pPr>
    </w:p>
    <w:p w14:paraId="060229D4">
      <w:pPr>
        <w:spacing w:before="72" w:after="72" w:line="360" w:lineRule="auto"/>
        <w:rPr>
          <w:rFonts w:ascii="楷体" w:hAnsi="楷体" w:eastAsia="楷体" w:cs="楷体"/>
          <w:b/>
          <w:bCs/>
          <w:color w:val="auto"/>
          <w:sz w:val="24"/>
        </w:rPr>
      </w:pPr>
    </w:p>
    <w:p w14:paraId="75FD8E0C">
      <w:pPr>
        <w:spacing w:before="72" w:after="72" w:line="360" w:lineRule="auto"/>
        <w:rPr>
          <w:rFonts w:ascii="楷体" w:hAnsi="楷体" w:eastAsia="楷体" w:cs="楷体"/>
          <w:b/>
          <w:bCs/>
          <w:color w:val="auto"/>
          <w:sz w:val="24"/>
        </w:rPr>
      </w:pPr>
    </w:p>
    <w:p w14:paraId="1ED7D8C6">
      <w:pPr>
        <w:spacing w:before="72" w:after="72" w:line="360" w:lineRule="auto"/>
        <w:rPr>
          <w:rFonts w:ascii="楷体" w:hAnsi="楷体" w:eastAsia="楷体" w:cs="楷体"/>
          <w:b/>
          <w:bCs/>
          <w:color w:val="auto"/>
          <w:sz w:val="24"/>
        </w:rPr>
      </w:pPr>
    </w:p>
    <w:p w14:paraId="6BFEA97B">
      <w:pPr>
        <w:spacing w:before="72" w:after="72" w:line="360" w:lineRule="auto"/>
        <w:jc w:val="center"/>
        <w:rPr>
          <w:rFonts w:ascii="楷体" w:hAnsi="楷体" w:eastAsia="楷体" w:cs="楷体"/>
          <w:b/>
          <w:bCs/>
          <w:color w:val="auto"/>
          <w:sz w:val="24"/>
        </w:rPr>
      </w:pPr>
    </w:p>
    <w:p w14:paraId="01A37DE2">
      <w:pPr>
        <w:pStyle w:val="4"/>
        <w:numPr>
          <w:ilvl w:val="0"/>
          <w:numId w:val="74"/>
        </w:numPr>
        <w:jc w:val="center"/>
        <w:rPr>
          <w:rFonts w:ascii="楷体" w:hAnsi="楷体" w:eastAsia="楷体" w:cs="楷体"/>
          <w:color w:val="auto"/>
        </w:rPr>
        <w:sectPr>
          <w:pgSz w:w="11906" w:h="16838"/>
          <w:pgMar w:top="1440" w:right="1800" w:bottom="1440" w:left="1800" w:header="851" w:footer="992" w:gutter="0"/>
          <w:cols w:space="720" w:num="1"/>
          <w:docGrid w:linePitch="312" w:charSpace="0"/>
        </w:sectPr>
      </w:pPr>
      <w:bookmarkStart w:id="415" w:name="_Toc196294647"/>
      <w:bookmarkStart w:id="416" w:name="_Toc183316728"/>
      <w:bookmarkStart w:id="417" w:name="_Toc182886668"/>
    </w:p>
    <w:bookmarkEnd w:id="403"/>
    <w:bookmarkEnd w:id="404"/>
    <w:bookmarkEnd w:id="405"/>
    <w:bookmarkEnd w:id="415"/>
    <w:bookmarkEnd w:id="416"/>
    <w:bookmarkEnd w:id="417"/>
    <w:p w14:paraId="17127349">
      <w:pPr>
        <w:pStyle w:val="4"/>
        <w:ind w:left="0" w:firstLine="420"/>
        <w:jc w:val="center"/>
        <w:rPr>
          <w:rFonts w:ascii="楷体" w:hAnsi="楷体" w:eastAsia="楷体" w:cs="楷体"/>
          <w:color w:val="auto"/>
        </w:rPr>
      </w:pPr>
      <w:bookmarkStart w:id="418" w:name="_Toc3825"/>
      <w:bookmarkStart w:id="419" w:name="_Toc571"/>
      <w:bookmarkStart w:id="420" w:name="_Toc583"/>
      <w:bookmarkStart w:id="421" w:name="_Toc483642771"/>
      <w:bookmarkStart w:id="422" w:name="_Toc28687"/>
      <w:bookmarkStart w:id="423" w:name="_Toc423021970"/>
      <w:bookmarkStart w:id="424" w:name="_Toc22209"/>
      <w:bookmarkStart w:id="425" w:name="_Toc10517"/>
      <w:bookmarkStart w:id="426" w:name="_Toc196294634"/>
      <w:r>
        <w:rPr>
          <w:rFonts w:hint="eastAsia" w:ascii="楷体" w:hAnsi="楷体" w:eastAsia="楷体" w:cs="楷体"/>
          <w:color w:val="auto"/>
        </w:rPr>
        <w:t>4</w:t>
      </w:r>
      <w:r>
        <w:rPr>
          <w:rFonts w:ascii="楷体" w:hAnsi="楷体" w:eastAsia="楷体" w:cs="楷体"/>
          <w:color w:val="auto"/>
        </w:rPr>
        <w:t>、</w:t>
      </w:r>
      <w:r>
        <w:rPr>
          <w:rFonts w:hint="eastAsia" w:ascii="楷体" w:hAnsi="楷体" w:eastAsia="楷体" w:cs="楷体"/>
          <w:color w:val="auto"/>
        </w:rPr>
        <w:t>招标代理服务费支付承诺书</w:t>
      </w:r>
      <w:bookmarkEnd w:id="418"/>
      <w:bookmarkEnd w:id="419"/>
      <w:bookmarkEnd w:id="420"/>
      <w:bookmarkEnd w:id="421"/>
      <w:bookmarkEnd w:id="422"/>
      <w:bookmarkEnd w:id="423"/>
      <w:bookmarkEnd w:id="424"/>
      <w:bookmarkEnd w:id="425"/>
    </w:p>
    <w:p w14:paraId="1B4DF02C">
      <w:pPr>
        <w:spacing w:before="120" w:beforeLines="50" w:after="120" w:afterLines="50" w:line="360" w:lineRule="auto"/>
        <w:rPr>
          <w:rFonts w:ascii="楷体" w:hAnsi="楷体" w:eastAsia="楷体" w:cs="楷体"/>
          <w:b/>
          <w:bCs/>
          <w:color w:val="auto"/>
          <w:sz w:val="24"/>
        </w:rPr>
      </w:pPr>
      <w:r>
        <w:rPr>
          <w:rFonts w:hint="eastAsia" w:ascii="楷体" w:hAnsi="楷体" w:eastAsia="楷体" w:cs="楷体"/>
          <w:b/>
          <w:bCs/>
          <w:color w:val="auto"/>
          <w:sz w:val="24"/>
        </w:rPr>
        <w:t>致：广东鼎信招标采购有限公司</w:t>
      </w:r>
    </w:p>
    <w:p w14:paraId="46709C1C">
      <w:pPr>
        <w:spacing w:before="72" w:after="72"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本公司</w:t>
      </w:r>
      <w:r>
        <w:rPr>
          <w:rFonts w:hint="eastAsia" w:ascii="楷体" w:hAnsi="楷体" w:eastAsia="楷体" w:cs="楷体"/>
          <w:color w:val="auto"/>
          <w:sz w:val="24"/>
          <w:u w:val="single"/>
        </w:rPr>
        <w:t xml:space="preserve">     (投标人全称)   </w:t>
      </w:r>
      <w:r>
        <w:rPr>
          <w:rFonts w:hint="eastAsia" w:ascii="楷体" w:hAnsi="楷体" w:eastAsia="楷体" w:cs="楷体"/>
          <w:color w:val="auto"/>
          <w:sz w:val="24"/>
        </w:rPr>
        <w:t>在参加贵公司举行的</w:t>
      </w:r>
      <w:r>
        <w:rPr>
          <w:rFonts w:hint="eastAsia" w:ascii="楷体" w:hAnsi="楷体" w:eastAsia="楷体" w:cs="楷体"/>
          <w:color w:val="auto"/>
          <w:sz w:val="24"/>
          <w:u w:val="single"/>
        </w:rPr>
        <w:t>（项目名称）(项目编号： )</w:t>
      </w:r>
      <w:r>
        <w:rPr>
          <w:rFonts w:hint="eastAsia" w:ascii="楷体" w:hAnsi="楷体" w:eastAsia="楷体" w:cs="楷体"/>
          <w:color w:val="auto"/>
          <w:sz w:val="24"/>
        </w:rPr>
        <w:t>招标中如获中标,保证在收到贵公司发出的中标通知书的同时，向贵公司交纳招标代理服务费。</w:t>
      </w:r>
    </w:p>
    <w:p w14:paraId="27AE3943">
      <w:pPr>
        <w:spacing w:before="72" w:after="72"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如我公司违反上述承诺，愿意承担由此引起的全部法律责任。</w:t>
      </w:r>
    </w:p>
    <w:p w14:paraId="4CBA7FC8">
      <w:pPr>
        <w:spacing w:before="72" w:after="72" w:line="360" w:lineRule="auto"/>
        <w:ind w:firstLine="544" w:firstLineChars="227"/>
        <w:rPr>
          <w:rFonts w:ascii="楷体" w:hAnsi="楷体" w:eastAsia="楷体" w:cs="楷体"/>
          <w:color w:val="auto"/>
          <w:sz w:val="24"/>
        </w:rPr>
      </w:pPr>
      <w:r>
        <w:rPr>
          <w:rFonts w:hint="eastAsia" w:ascii="楷体" w:hAnsi="楷体" w:eastAsia="楷体" w:cs="楷体"/>
          <w:color w:val="auto"/>
          <w:sz w:val="24"/>
        </w:rPr>
        <w:t>特此承诺。</w:t>
      </w:r>
    </w:p>
    <w:p w14:paraId="4AB75AF6">
      <w:pPr>
        <w:spacing w:before="72" w:after="72" w:line="360" w:lineRule="auto"/>
        <w:ind w:left="315"/>
        <w:rPr>
          <w:rFonts w:ascii="楷体" w:hAnsi="楷体" w:eastAsia="楷体" w:cs="楷体"/>
          <w:color w:val="auto"/>
          <w:sz w:val="24"/>
        </w:rPr>
      </w:pPr>
    </w:p>
    <w:p w14:paraId="1250C9CD">
      <w:pPr>
        <w:spacing w:before="72" w:after="72" w:line="360" w:lineRule="auto"/>
        <w:ind w:left="315"/>
        <w:rPr>
          <w:rFonts w:ascii="楷体" w:hAnsi="楷体" w:eastAsia="楷体" w:cs="楷体"/>
          <w:color w:val="auto"/>
          <w:sz w:val="24"/>
        </w:rPr>
      </w:pPr>
    </w:p>
    <w:p w14:paraId="5C838E51">
      <w:pPr>
        <w:spacing w:before="72" w:after="72" w:line="360" w:lineRule="auto"/>
        <w:ind w:left="315"/>
        <w:rPr>
          <w:rFonts w:ascii="楷体" w:hAnsi="楷体" w:eastAsia="楷体" w:cs="楷体"/>
          <w:color w:val="auto"/>
          <w:sz w:val="24"/>
        </w:rPr>
      </w:pPr>
    </w:p>
    <w:p w14:paraId="62E01EE2">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03382DA2">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4B57F496">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71BF9973">
      <w:pPr>
        <w:snapToGrid w:val="0"/>
        <w:spacing w:line="360" w:lineRule="auto"/>
        <w:ind w:firstLine="470" w:firstLineChars="196"/>
        <w:rPr>
          <w:rFonts w:ascii="楷体" w:hAnsi="楷体" w:eastAsia="楷体" w:cs="楷体"/>
          <w:color w:val="auto"/>
          <w:sz w:val="24"/>
        </w:rPr>
      </w:pPr>
    </w:p>
    <w:p w14:paraId="07EEBCB4">
      <w:pPr>
        <w:rPr>
          <w:rFonts w:ascii="楷体" w:hAnsi="楷体" w:eastAsia="楷体" w:cs="楷体"/>
          <w:color w:val="auto"/>
          <w:sz w:val="24"/>
        </w:rPr>
      </w:pPr>
      <w:r>
        <w:rPr>
          <w:rFonts w:hint="eastAsia" w:ascii="楷体" w:hAnsi="楷体" w:eastAsia="楷体" w:cs="楷体"/>
          <w:color w:val="auto"/>
          <w:sz w:val="24"/>
        </w:rPr>
        <w:br w:type="page"/>
      </w:r>
    </w:p>
    <w:p w14:paraId="710CF53F">
      <w:pPr>
        <w:rPr>
          <w:rFonts w:ascii="楷体" w:hAnsi="楷体" w:eastAsia="楷体" w:cs="楷体"/>
          <w:color w:val="auto"/>
          <w:sz w:val="24"/>
        </w:rPr>
        <w:sectPr>
          <w:pgSz w:w="11906" w:h="16838"/>
          <w:pgMar w:top="1440" w:right="1800" w:bottom="1440" w:left="1800" w:header="851" w:footer="992" w:gutter="0"/>
          <w:cols w:space="720" w:num="1"/>
          <w:docGrid w:linePitch="312" w:charSpace="0"/>
        </w:sectPr>
      </w:pPr>
    </w:p>
    <w:p w14:paraId="1EAE0646">
      <w:pPr>
        <w:tabs>
          <w:tab w:val="left" w:pos="720"/>
        </w:tabs>
        <w:jc w:val="center"/>
        <w:rPr>
          <w:rFonts w:ascii="楷体" w:hAnsi="楷体" w:eastAsia="楷体" w:cs="楷体"/>
          <w:color w:val="auto"/>
          <w:sz w:val="44"/>
          <w:szCs w:val="44"/>
        </w:rPr>
      </w:pPr>
      <w:bookmarkStart w:id="427" w:name="_Toc32133"/>
      <w:bookmarkEnd w:id="427"/>
      <w:bookmarkStart w:id="428" w:name="_Toc10488322"/>
      <w:bookmarkEnd w:id="428"/>
      <w:bookmarkStart w:id="429" w:name="_Toc10821"/>
      <w:bookmarkStart w:id="430" w:name="_Toc423021961"/>
      <w:bookmarkStart w:id="431" w:name="_Toc11738"/>
      <w:bookmarkStart w:id="432" w:name="_Toc381489435"/>
      <w:bookmarkStart w:id="433" w:name="_Toc18188"/>
      <w:bookmarkStart w:id="434" w:name="_Toc20635"/>
      <w:bookmarkStart w:id="435" w:name="_Toc16543"/>
    </w:p>
    <w:p w14:paraId="7D8BD5B3">
      <w:pPr>
        <w:tabs>
          <w:tab w:val="left" w:pos="720"/>
        </w:tabs>
        <w:jc w:val="center"/>
        <w:rPr>
          <w:rFonts w:ascii="楷体" w:hAnsi="楷体" w:eastAsia="楷体" w:cs="楷体"/>
          <w:color w:val="auto"/>
          <w:sz w:val="44"/>
          <w:szCs w:val="44"/>
        </w:rPr>
      </w:pPr>
    </w:p>
    <w:p w14:paraId="7069F4D6">
      <w:pPr>
        <w:tabs>
          <w:tab w:val="left" w:pos="720"/>
        </w:tabs>
        <w:jc w:val="center"/>
        <w:rPr>
          <w:rFonts w:ascii="楷体" w:hAnsi="楷体" w:eastAsia="楷体" w:cs="楷体"/>
          <w:color w:val="auto"/>
          <w:sz w:val="44"/>
          <w:szCs w:val="44"/>
        </w:rPr>
      </w:pPr>
    </w:p>
    <w:p w14:paraId="07F48A37">
      <w:pPr>
        <w:tabs>
          <w:tab w:val="left" w:pos="720"/>
        </w:tabs>
        <w:jc w:val="center"/>
        <w:rPr>
          <w:rFonts w:ascii="楷体" w:hAnsi="楷体" w:eastAsia="楷体" w:cs="楷体"/>
          <w:color w:val="auto"/>
          <w:sz w:val="44"/>
          <w:szCs w:val="44"/>
        </w:rPr>
      </w:pPr>
    </w:p>
    <w:p w14:paraId="022A7639">
      <w:pPr>
        <w:tabs>
          <w:tab w:val="left" w:pos="720"/>
        </w:tabs>
        <w:jc w:val="center"/>
        <w:rPr>
          <w:rFonts w:ascii="楷体" w:hAnsi="楷体" w:eastAsia="楷体" w:cs="楷体"/>
          <w:color w:val="auto"/>
          <w:sz w:val="44"/>
          <w:szCs w:val="44"/>
        </w:rPr>
      </w:pPr>
    </w:p>
    <w:p w14:paraId="0543CD3C">
      <w:pPr>
        <w:pStyle w:val="3"/>
        <w:adjustRightInd w:val="0"/>
        <w:snapToGrid w:val="0"/>
        <w:spacing w:before="3600" w:beforeLines="1500" w:after="3600" w:afterLines="1500" w:line="240" w:lineRule="auto"/>
        <w:jc w:val="center"/>
        <w:rPr>
          <w:rFonts w:ascii="楷体" w:hAnsi="楷体" w:eastAsia="楷体" w:cs="楷体"/>
          <w:color w:val="auto"/>
          <w:sz w:val="44"/>
          <w:szCs w:val="44"/>
        </w:rPr>
      </w:pPr>
      <w:bookmarkStart w:id="436" w:name="_Toc9313"/>
      <w:bookmarkStart w:id="437" w:name="_Toc32317"/>
      <w:r>
        <w:rPr>
          <w:rFonts w:hint="eastAsia" w:ascii="楷体" w:hAnsi="楷体" w:eastAsia="楷体" w:cs="楷体"/>
          <w:color w:val="auto"/>
          <w:sz w:val="44"/>
          <w:szCs w:val="44"/>
        </w:rPr>
        <w:t>第三部分商务文件</w:t>
      </w:r>
      <w:bookmarkEnd w:id="426"/>
      <w:bookmarkEnd w:id="429"/>
      <w:bookmarkEnd w:id="430"/>
      <w:bookmarkEnd w:id="431"/>
      <w:bookmarkEnd w:id="432"/>
      <w:bookmarkEnd w:id="433"/>
      <w:bookmarkEnd w:id="434"/>
      <w:bookmarkEnd w:id="435"/>
      <w:bookmarkEnd w:id="436"/>
      <w:bookmarkEnd w:id="437"/>
    </w:p>
    <w:p w14:paraId="536AF23E">
      <w:pPr>
        <w:rPr>
          <w:rFonts w:ascii="楷体" w:hAnsi="楷体" w:eastAsia="楷体" w:cs="楷体"/>
          <w:color w:val="auto"/>
        </w:rPr>
      </w:pPr>
    </w:p>
    <w:p w14:paraId="26CCE796">
      <w:pPr>
        <w:rPr>
          <w:rFonts w:ascii="楷体" w:hAnsi="楷体" w:eastAsia="楷体" w:cs="楷体"/>
          <w:color w:val="auto"/>
        </w:rPr>
        <w:sectPr>
          <w:pgSz w:w="11906" w:h="16838"/>
          <w:pgMar w:top="1440" w:right="1800" w:bottom="1440" w:left="1800" w:header="851" w:footer="992" w:gutter="0"/>
          <w:cols w:space="720" w:num="1"/>
          <w:docGrid w:linePitch="312" w:charSpace="0"/>
        </w:sectPr>
      </w:pPr>
    </w:p>
    <w:p w14:paraId="1A91EB22">
      <w:pPr>
        <w:rPr>
          <w:rFonts w:ascii="楷体" w:hAnsi="楷体" w:eastAsia="楷体" w:cs="楷体"/>
          <w:color w:val="auto"/>
        </w:rPr>
      </w:pPr>
    </w:p>
    <w:p w14:paraId="49C4EC99">
      <w:pPr>
        <w:pStyle w:val="4"/>
        <w:numPr>
          <w:ilvl w:val="0"/>
          <w:numId w:val="75"/>
        </w:numPr>
        <w:adjustRightInd w:val="0"/>
        <w:snapToGrid w:val="0"/>
        <w:spacing w:before="0" w:after="0"/>
        <w:jc w:val="center"/>
        <w:rPr>
          <w:rFonts w:ascii="楷体" w:hAnsi="楷体" w:eastAsia="楷体" w:cs="楷体"/>
          <w:color w:val="auto"/>
        </w:rPr>
      </w:pPr>
      <w:bookmarkStart w:id="438" w:name="_Toc423021962"/>
      <w:bookmarkStart w:id="439" w:name="_Toc381489436"/>
      <w:bookmarkStart w:id="440" w:name="_Toc9533"/>
      <w:bookmarkStart w:id="441" w:name="_Toc18420"/>
      <w:bookmarkStart w:id="442" w:name="_Toc30547"/>
      <w:bookmarkStart w:id="443" w:name="_Toc8003"/>
      <w:bookmarkStart w:id="444" w:name="_Toc9516"/>
      <w:bookmarkStart w:id="445" w:name="_Toc30265"/>
      <w:bookmarkStart w:id="446" w:name="_Toc26018"/>
      <w:r>
        <w:rPr>
          <w:rFonts w:hint="eastAsia" w:ascii="楷体" w:hAnsi="楷体" w:eastAsia="楷体" w:cs="楷体"/>
          <w:color w:val="auto"/>
        </w:rPr>
        <w:t>投标人</w:t>
      </w:r>
      <w:bookmarkEnd w:id="438"/>
      <w:bookmarkEnd w:id="439"/>
      <w:bookmarkEnd w:id="440"/>
      <w:r>
        <w:rPr>
          <w:rFonts w:hint="eastAsia" w:ascii="楷体" w:hAnsi="楷体" w:eastAsia="楷体" w:cs="楷体"/>
          <w:color w:val="auto"/>
        </w:rPr>
        <w:t>概况</w:t>
      </w:r>
      <w:bookmarkEnd w:id="441"/>
      <w:bookmarkEnd w:id="442"/>
      <w:bookmarkEnd w:id="443"/>
      <w:bookmarkEnd w:id="444"/>
      <w:bookmarkEnd w:id="445"/>
      <w:bookmarkEnd w:id="446"/>
    </w:p>
    <w:p w14:paraId="0B2D3676">
      <w:pPr>
        <w:numPr>
          <w:ilvl w:val="0"/>
          <w:numId w:val="76"/>
        </w:numPr>
        <w:adjustRightInd w:val="0"/>
        <w:snapToGrid w:val="0"/>
        <w:spacing w:line="360" w:lineRule="auto"/>
        <w:jc w:val="center"/>
        <w:rPr>
          <w:rFonts w:ascii="楷体" w:hAnsi="楷体" w:eastAsia="楷体" w:cs="楷体"/>
          <w:b/>
          <w:color w:val="auto"/>
          <w:kern w:val="44"/>
          <w:sz w:val="30"/>
          <w:szCs w:val="30"/>
        </w:rPr>
      </w:pPr>
      <w:r>
        <w:rPr>
          <w:rFonts w:hint="eastAsia" w:ascii="楷体" w:hAnsi="楷体" w:eastAsia="楷体" w:cs="楷体"/>
          <w:b/>
          <w:color w:val="auto"/>
          <w:kern w:val="44"/>
          <w:sz w:val="30"/>
          <w:szCs w:val="30"/>
        </w:rPr>
        <w:t>投标人情况介绍表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188"/>
        <w:gridCol w:w="491"/>
        <w:gridCol w:w="914"/>
        <w:gridCol w:w="259"/>
        <w:gridCol w:w="943"/>
        <w:gridCol w:w="1568"/>
        <w:gridCol w:w="748"/>
        <w:gridCol w:w="160"/>
        <w:gridCol w:w="1178"/>
      </w:tblGrid>
      <w:tr w14:paraId="71E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5B4F5869">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单位名称</w:t>
            </w:r>
          </w:p>
        </w:tc>
        <w:tc>
          <w:tcPr>
            <w:tcW w:w="4370" w:type="pct"/>
            <w:gridSpan w:val="9"/>
            <w:vAlign w:val="center"/>
          </w:tcPr>
          <w:p w14:paraId="292FC9B7">
            <w:pPr>
              <w:tabs>
                <w:tab w:val="left" w:pos="540"/>
              </w:tabs>
              <w:spacing w:line="440" w:lineRule="exact"/>
              <w:ind w:left="-130" w:leftChars="-63" w:right="-105" w:rightChars="-50" w:hanging="2"/>
              <w:jc w:val="center"/>
              <w:rPr>
                <w:rFonts w:ascii="楷体" w:hAnsi="楷体" w:eastAsia="楷体" w:cs="楷体"/>
                <w:color w:val="auto"/>
                <w:sz w:val="24"/>
              </w:rPr>
            </w:pPr>
          </w:p>
        </w:tc>
      </w:tr>
      <w:tr w14:paraId="4930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AB1CE15">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地址</w:t>
            </w:r>
          </w:p>
        </w:tc>
        <w:tc>
          <w:tcPr>
            <w:tcW w:w="4370" w:type="pct"/>
            <w:gridSpan w:val="9"/>
            <w:vAlign w:val="center"/>
          </w:tcPr>
          <w:p w14:paraId="4A0A855B">
            <w:pPr>
              <w:tabs>
                <w:tab w:val="left" w:pos="540"/>
              </w:tabs>
              <w:spacing w:line="440" w:lineRule="exact"/>
              <w:ind w:left="-130" w:leftChars="-63" w:right="-105" w:rightChars="-50" w:hanging="2"/>
              <w:jc w:val="center"/>
              <w:rPr>
                <w:rFonts w:ascii="楷体" w:hAnsi="楷体" w:eastAsia="楷体" w:cs="楷体"/>
                <w:color w:val="auto"/>
                <w:sz w:val="24"/>
              </w:rPr>
            </w:pPr>
          </w:p>
        </w:tc>
      </w:tr>
      <w:tr w14:paraId="1F92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7C36D175">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主管部门</w:t>
            </w:r>
          </w:p>
        </w:tc>
        <w:tc>
          <w:tcPr>
            <w:tcW w:w="985" w:type="pct"/>
            <w:gridSpan w:val="2"/>
            <w:vAlign w:val="center"/>
          </w:tcPr>
          <w:p w14:paraId="3E5F4684">
            <w:pPr>
              <w:tabs>
                <w:tab w:val="left" w:pos="540"/>
              </w:tabs>
              <w:spacing w:line="440" w:lineRule="exact"/>
              <w:ind w:left="-130" w:leftChars="-63" w:right="-105" w:rightChars="-50" w:hanging="2"/>
              <w:jc w:val="center"/>
              <w:rPr>
                <w:rFonts w:ascii="楷体" w:hAnsi="楷体" w:eastAsia="楷体" w:cs="楷体"/>
                <w:color w:val="auto"/>
                <w:sz w:val="24"/>
              </w:rPr>
            </w:pPr>
          </w:p>
        </w:tc>
        <w:tc>
          <w:tcPr>
            <w:tcW w:w="688" w:type="pct"/>
            <w:gridSpan w:val="2"/>
            <w:vAlign w:val="center"/>
          </w:tcPr>
          <w:p w14:paraId="077E65B9">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法人代表</w:t>
            </w:r>
          </w:p>
        </w:tc>
        <w:tc>
          <w:tcPr>
            <w:tcW w:w="1472" w:type="pct"/>
            <w:gridSpan w:val="2"/>
            <w:vAlign w:val="center"/>
          </w:tcPr>
          <w:p w14:paraId="6CDC872B">
            <w:pPr>
              <w:tabs>
                <w:tab w:val="left" w:pos="540"/>
              </w:tabs>
              <w:spacing w:line="440" w:lineRule="exact"/>
              <w:ind w:left="-130" w:leftChars="-63" w:right="-105" w:rightChars="-50" w:hanging="2"/>
              <w:jc w:val="center"/>
              <w:rPr>
                <w:rFonts w:ascii="楷体" w:hAnsi="楷体" w:eastAsia="楷体" w:cs="楷体"/>
                <w:color w:val="auto"/>
                <w:sz w:val="24"/>
              </w:rPr>
            </w:pPr>
          </w:p>
        </w:tc>
        <w:tc>
          <w:tcPr>
            <w:tcW w:w="439" w:type="pct"/>
            <w:vAlign w:val="center"/>
          </w:tcPr>
          <w:p w14:paraId="4EB93E34">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职务</w:t>
            </w:r>
          </w:p>
        </w:tc>
        <w:tc>
          <w:tcPr>
            <w:tcW w:w="783" w:type="pct"/>
            <w:gridSpan w:val="2"/>
          </w:tcPr>
          <w:p w14:paraId="5500CDCD">
            <w:pPr>
              <w:tabs>
                <w:tab w:val="left" w:pos="540"/>
              </w:tabs>
              <w:spacing w:line="440" w:lineRule="exact"/>
              <w:ind w:left="-130" w:leftChars="-63" w:right="-105" w:rightChars="-50" w:hanging="2"/>
              <w:jc w:val="center"/>
              <w:rPr>
                <w:rFonts w:ascii="楷体" w:hAnsi="楷体" w:eastAsia="楷体" w:cs="楷体"/>
                <w:color w:val="auto"/>
                <w:sz w:val="24"/>
              </w:rPr>
            </w:pPr>
          </w:p>
        </w:tc>
      </w:tr>
      <w:tr w14:paraId="583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29EBF4EA">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经济类型</w:t>
            </w:r>
          </w:p>
        </w:tc>
        <w:tc>
          <w:tcPr>
            <w:tcW w:w="985" w:type="pct"/>
            <w:gridSpan w:val="2"/>
            <w:vAlign w:val="center"/>
          </w:tcPr>
          <w:p w14:paraId="25350A92">
            <w:pPr>
              <w:tabs>
                <w:tab w:val="left" w:pos="540"/>
              </w:tabs>
              <w:spacing w:line="440" w:lineRule="exact"/>
              <w:ind w:left="-130" w:leftChars="-63" w:right="-105" w:rightChars="-50" w:hanging="2"/>
              <w:jc w:val="center"/>
              <w:rPr>
                <w:rFonts w:ascii="楷体" w:hAnsi="楷体" w:eastAsia="楷体" w:cs="楷体"/>
                <w:color w:val="auto"/>
                <w:sz w:val="24"/>
              </w:rPr>
            </w:pPr>
          </w:p>
        </w:tc>
        <w:tc>
          <w:tcPr>
            <w:tcW w:w="688" w:type="pct"/>
            <w:gridSpan w:val="2"/>
            <w:vAlign w:val="center"/>
          </w:tcPr>
          <w:p w14:paraId="1E1396B0">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授权代表</w:t>
            </w:r>
          </w:p>
        </w:tc>
        <w:tc>
          <w:tcPr>
            <w:tcW w:w="1472" w:type="pct"/>
            <w:gridSpan w:val="2"/>
            <w:vAlign w:val="center"/>
          </w:tcPr>
          <w:p w14:paraId="71CCD291">
            <w:pPr>
              <w:tabs>
                <w:tab w:val="left" w:pos="540"/>
              </w:tabs>
              <w:spacing w:line="440" w:lineRule="exact"/>
              <w:ind w:left="-130" w:leftChars="-63" w:right="-105" w:rightChars="-50" w:hanging="2"/>
              <w:jc w:val="center"/>
              <w:rPr>
                <w:rFonts w:ascii="楷体" w:hAnsi="楷体" w:eastAsia="楷体" w:cs="楷体"/>
                <w:color w:val="auto"/>
                <w:sz w:val="24"/>
              </w:rPr>
            </w:pPr>
          </w:p>
        </w:tc>
        <w:tc>
          <w:tcPr>
            <w:tcW w:w="439" w:type="pct"/>
            <w:vAlign w:val="center"/>
          </w:tcPr>
          <w:p w14:paraId="7E095EC1">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职务</w:t>
            </w:r>
          </w:p>
        </w:tc>
        <w:tc>
          <w:tcPr>
            <w:tcW w:w="783" w:type="pct"/>
            <w:gridSpan w:val="2"/>
          </w:tcPr>
          <w:p w14:paraId="344EA22A">
            <w:pPr>
              <w:tabs>
                <w:tab w:val="left" w:pos="540"/>
              </w:tabs>
              <w:spacing w:line="440" w:lineRule="exact"/>
              <w:ind w:left="-130" w:leftChars="-63" w:right="-105" w:rightChars="-50" w:hanging="2"/>
              <w:jc w:val="center"/>
              <w:rPr>
                <w:rFonts w:ascii="楷体" w:hAnsi="楷体" w:eastAsia="楷体" w:cs="楷体"/>
                <w:color w:val="auto"/>
                <w:sz w:val="24"/>
              </w:rPr>
            </w:pPr>
          </w:p>
        </w:tc>
      </w:tr>
      <w:tr w14:paraId="470A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3FEE5F1">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邮编</w:t>
            </w:r>
          </w:p>
        </w:tc>
        <w:tc>
          <w:tcPr>
            <w:tcW w:w="985" w:type="pct"/>
            <w:gridSpan w:val="2"/>
            <w:vAlign w:val="center"/>
          </w:tcPr>
          <w:p w14:paraId="60C8A5B2">
            <w:pPr>
              <w:tabs>
                <w:tab w:val="left" w:pos="540"/>
              </w:tabs>
              <w:spacing w:line="440" w:lineRule="exact"/>
              <w:ind w:left="-130" w:leftChars="-63" w:right="-105" w:rightChars="-50" w:hanging="2"/>
              <w:jc w:val="center"/>
              <w:rPr>
                <w:rFonts w:ascii="楷体" w:hAnsi="楷体" w:eastAsia="楷体" w:cs="楷体"/>
                <w:color w:val="auto"/>
                <w:sz w:val="24"/>
              </w:rPr>
            </w:pPr>
          </w:p>
        </w:tc>
        <w:tc>
          <w:tcPr>
            <w:tcW w:w="688" w:type="pct"/>
            <w:gridSpan w:val="2"/>
            <w:vAlign w:val="center"/>
          </w:tcPr>
          <w:p w14:paraId="1F782995">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电话</w:t>
            </w:r>
          </w:p>
        </w:tc>
        <w:tc>
          <w:tcPr>
            <w:tcW w:w="1472" w:type="pct"/>
            <w:gridSpan w:val="2"/>
            <w:vAlign w:val="center"/>
          </w:tcPr>
          <w:p w14:paraId="309BA008">
            <w:pPr>
              <w:tabs>
                <w:tab w:val="left" w:pos="540"/>
              </w:tabs>
              <w:spacing w:line="440" w:lineRule="exact"/>
              <w:ind w:left="-130" w:leftChars="-63" w:right="-105" w:rightChars="-50" w:hanging="2"/>
              <w:jc w:val="center"/>
              <w:rPr>
                <w:rFonts w:ascii="楷体" w:hAnsi="楷体" w:eastAsia="楷体" w:cs="楷体"/>
                <w:color w:val="auto"/>
                <w:sz w:val="24"/>
              </w:rPr>
            </w:pPr>
          </w:p>
        </w:tc>
        <w:tc>
          <w:tcPr>
            <w:tcW w:w="439" w:type="pct"/>
            <w:vAlign w:val="center"/>
          </w:tcPr>
          <w:p w14:paraId="6BC846F8">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传真</w:t>
            </w:r>
          </w:p>
        </w:tc>
        <w:tc>
          <w:tcPr>
            <w:tcW w:w="783" w:type="pct"/>
            <w:gridSpan w:val="2"/>
          </w:tcPr>
          <w:p w14:paraId="0E9E342E">
            <w:pPr>
              <w:tabs>
                <w:tab w:val="left" w:pos="540"/>
              </w:tabs>
              <w:spacing w:line="440" w:lineRule="exact"/>
              <w:ind w:left="-130" w:leftChars="-63" w:right="-105" w:rightChars="-50" w:hanging="2"/>
              <w:jc w:val="center"/>
              <w:rPr>
                <w:rFonts w:ascii="楷体" w:hAnsi="楷体" w:eastAsia="楷体" w:cs="楷体"/>
                <w:color w:val="auto"/>
                <w:sz w:val="24"/>
              </w:rPr>
            </w:pPr>
          </w:p>
        </w:tc>
      </w:tr>
      <w:tr w14:paraId="2628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19CDB24F">
            <w:pPr>
              <w:tabs>
                <w:tab w:val="left" w:pos="540"/>
              </w:tabs>
              <w:ind w:left="-128" w:leftChars="-62" w:right="-105" w:rightChars="-50" w:hanging="2"/>
              <w:jc w:val="center"/>
              <w:rPr>
                <w:rFonts w:ascii="楷体" w:hAnsi="楷体" w:eastAsia="楷体" w:cs="楷体"/>
                <w:color w:val="auto"/>
                <w:sz w:val="24"/>
              </w:rPr>
            </w:pPr>
            <w:r>
              <w:rPr>
                <w:rFonts w:hint="eastAsia" w:ascii="楷体" w:hAnsi="楷体" w:eastAsia="楷体" w:cs="楷体"/>
                <w:color w:val="auto"/>
                <w:sz w:val="24"/>
              </w:rPr>
              <w:t>单位简介及机构设置</w:t>
            </w:r>
          </w:p>
        </w:tc>
        <w:tc>
          <w:tcPr>
            <w:tcW w:w="4370" w:type="pct"/>
            <w:gridSpan w:val="9"/>
          </w:tcPr>
          <w:p w14:paraId="36229725">
            <w:pPr>
              <w:tabs>
                <w:tab w:val="left" w:pos="540"/>
              </w:tabs>
              <w:spacing w:line="440" w:lineRule="exact"/>
              <w:ind w:left="-130" w:leftChars="-63" w:right="-105" w:rightChars="-50" w:hanging="2"/>
              <w:jc w:val="center"/>
              <w:rPr>
                <w:rFonts w:ascii="楷体" w:hAnsi="楷体" w:eastAsia="楷体" w:cs="楷体"/>
                <w:color w:val="auto"/>
                <w:sz w:val="24"/>
              </w:rPr>
            </w:pPr>
          </w:p>
        </w:tc>
      </w:tr>
      <w:tr w14:paraId="2B5A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29" w:type="pct"/>
            <w:vAlign w:val="center"/>
          </w:tcPr>
          <w:p w14:paraId="766D8DB4">
            <w:pPr>
              <w:tabs>
                <w:tab w:val="left" w:pos="540"/>
              </w:tabs>
              <w:ind w:left="-128" w:leftChars="-62" w:right="-105" w:rightChars="-50" w:hanging="2"/>
              <w:jc w:val="center"/>
              <w:rPr>
                <w:rFonts w:ascii="楷体" w:hAnsi="楷体" w:eastAsia="楷体" w:cs="楷体"/>
                <w:color w:val="auto"/>
                <w:sz w:val="24"/>
              </w:rPr>
            </w:pPr>
            <w:r>
              <w:rPr>
                <w:rFonts w:hint="eastAsia" w:ascii="楷体" w:hAnsi="楷体" w:eastAsia="楷体" w:cs="楷体"/>
                <w:color w:val="auto"/>
                <w:sz w:val="24"/>
              </w:rPr>
              <w:t>单位优势及特长</w:t>
            </w:r>
          </w:p>
        </w:tc>
        <w:tc>
          <w:tcPr>
            <w:tcW w:w="4370" w:type="pct"/>
            <w:gridSpan w:val="9"/>
          </w:tcPr>
          <w:p w14:paraId="4C5A1284">
            <w:pPr>
              <w:tabs>
                <w:tab w:val="left" w:pos="540"/>
              </w:tabs>
              <w:spacing w:line="440" w:lineRule="exact"/>
              <w:ind w:left="-130" w:leftChars="-63" w:right="-105" w:rightChars="-50" w:hanging="2"/>
              <w:jc w:val="center"/>
              <w:rPr>
                <w:rFonts w:ascii="楷体" w:hAnsi="楷体" w:eastAsia="楷体" w:cs="楷体"/>
                <w:color w:val="auto"/>
                <w:sz w:val="24"/>
              </w:rPr>
            </w:pPr>
          </w:p>
        </w:tc>
      </w:tr>
      <w:tr w14:paraId="4B1A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restart"/>
            <w:vAlign w:val="center"/>
          </w:tcPr>
          <w:p w14:paraId="29B56B97">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单位概况</w:t>
            </w:r>
          </w:p>
        </w:tc>
        <w:tc>
          <w:tcPr>
            <w:tcW w:w="697" w:type="pct"/>
          </w:tcPr>
          <w:p w14:paraId="4528A378">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注册资本</w:t>
            </w:r>
          </w:p>
        </w:tc>
        <w:tc>
          <w:tcPr>
            <w:tcW w:w="824" w:type="pct"/>
            <w:gridSpan w:val="2"/>
          </w:tcPr>
          <w:p w14:paraId="4775046E">
            <w:pPr>
              <w:tabs>
                <w:tab w:val="left" w:pos="540"/>
              </w:tabs>
              <w:spacing w:line="440" w:lineRule="exact"/>
              <w:ind w:left="-130" w:leftChars="-63" w:right="-105" w:rightChars="-50" w:hanging="2"/>
              <w:jc w:val="right"/>
              <w:rPr>
                <w:rFonts w:ascii="楷体" w:hAnsi="楷体" w:eastAsia="楷体" w:cs="楷体"/>
                <w:color w:val="auto"/>
                <w:sz w:val="24"/>
              </w:rPr>
            </w:pPr>
          </w:p>
        </w:tc>
        <w:tc>
          <w:tcPr>
            <w:tcW w:w="705" w:type="pct"/>
            <w:gridSpan w:val="2"/>
          </w:tcPr>
          <w:p w14:paraId="70FAE6E5">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占地面积</w:t>
            </w:r>
          </w:p>
        </w:tc>
        <w:tc>
          <w:tcPr>
            <w:tcW w:w="2143" w:type="pct"/>
            <w:gridSpan w:val="4"/>
          </w:tcPr>
          <w:p w14:paraId="78C9C784">
            <w:pPr>
              <w:tabs>
                <w:tab w:val="left" w:pos="540"/>
              </w:tabs>
              <w:spacing w:line="440" w:lineRule="exact"/>
              <w:ind w:left="-132" w:leftChars="-63" w:right="-105" w:rightChars="-50" w:firstLine="3480" w:firstLineChars="1450"/>
              <w:jc w:val="center"/>
              <w:rPr>
                <w:rFonts w:ascii="楷体" w:hAnsi="楷体" w:eastAsia="楷体" w:cs="楷体"/>
                <w:color w:val="auto"/>
                <w:sz w:val="24"/>
              </w:rPr>
            </w:pPr>
          </w:p>
        </w:tc>
      </w:tr>
      <w:tr w14:paraId="60E6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7A61728E">
            <w:pPr>
              <w:tabs>
                <w:tab w:val="left" w:pos="540"/>
              </w:tabs>
              <w:spacing w:line="440" w:lineRule="exact"/>
              <w:ind w:left="-130" w:leftChars="-63" w:right="-105" w:rightChars="-50" w:hanging="2"/>
              <w:jc w:val="center"/>
              <w:rPr>
                <w:rFonts w:ascii="楷体" w:hAnsi="楷体" w:eastAsia="楷体" w:cs="楷体"/>
                <w:color w:val="auto"/>
                <w:sz w:val="24"/>
              </w:rPr>
            </w:pPr>
          </w:p>
        </w:tc>
        <w:tc>
          <w:tcPr>
            <w:tcW w:w="697" w:type="pct"/>
          </w:tcPr>
          <w:p w14:paraId="5F3E6CDD">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职工总数</w:t>
            </w:r>
          </w:p>
        </w:tc>
        <w:tc>
          <w:tcPr>
            <w:tcW w:w="824" w:type="pct"/>
            <w:gridSpan w:val="2"/>
          </w:tcPr>
          <w:p w14:paraId="1229B31C">
            <w:pPr>
              <w:tabs>
                <w:tab w:val="left" w:pos="540"/>
              </w:tabs>
              <w:spacing w:line="440" w:lineRule="exact"/>
              <w:ind w:left="-130" w:leftChars="-63" w:right="-105" w:rightChars="-50" w:hanging="2"/>
              <w:jc w:val="right"/>
              <w:rPr>
                <w:rFonts w:ascii="楷体" w:hAnsi="楷体" w:eastAsia="楷体" w:cs="楷体"/>
                <w:color w:val="auto"/>
                <w:sz w:val="24"/>
              </w:rPr>
            </w:pPr>
          </w:p>
        </w:tc>
        <w:tc>
          <w:tcPr>
            <w:tcW w:w="705" w:type="pct"/>
            <w:gridSpan w:val="2"/>
          </w:tcPr>
          <w:p w14:paraId="45002351">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建筑面积</w:t>
            </w:r>
          </w:p>
        </w:tc>
        <w:tc>
          <w:tcPr>
            <w:tcW w:w="2143" w:type="pct"/>
            <w:gridSpan w:val="4"/>
          </w:tcPr>
          <w:p w14:paraId="6A702BC1">
            <w:pPr>
              <w:tabs>
                <w:tab w:val="left" w:pos="540"/>
              </w:tabs>
              <w:spacing w:line="440" w:lineRule="exact"/>
              <w:ind w:left="-132" w:leftChars="-63" w:right="-105" w:rightChars="-50" w:firstLine="3480" w:firstLineChars="1450"/>
              <w:jc w:val="center"/>
              <w:rPr>
                <w:rFonts w:ascii="楷体" w:hAnsi="楷体" w:eastAsia="楷体" w:cs="楷体"/>
                <w:color w:val="auto"/>
                <w:sz w:val="24"/>
              </w:rPr>
            </w:pPr>
          </w:p>
        </w:tc>
      </w:tr>
      <w:tr w14:paraId="75BE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38892B4D">
            <w:pPr>
              <w:tabs>
                <w:tab w:val="left" w:pos="540"/>
              </w:tabs>
              <w:spacing w:line="440" w:lineRule="exact"/>
              <w:ind w:left="-130" w:leftChars="-63" w:right="-105" w:rightChars="-50" w:hanging="2"/>
              <w:jc w:val="center"/>
              <w:rPr>
                <w:rFonts w:ascii="楷体" w:hAnsi="楷体" w:eastAsia="楷体" w:cs="楷体"/>
                <w:color w:val="auto"/>
                <w:sz w:val="24"/>
              </w:rPr>
            </w:pPr>
          </w:p>
        </w:tc>
        <w:tc>
          <w:tcPr>
            <w:tcW w:w="697" w:type="pct"/>
            <w:vMerge w:val="restart"/>
            <w:vAlign w:val="center"/>
          </w:tcPr>
          <w:p w14:paraId="1DE8B1E9">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资产情况</w:t>
            </w:r>
          </w:p>
        </w:tc>
        <w:tc>
          <w:tcPr>
            <w:tcW w:w="824" w:type="pct"/>
            <w:gridSpan w:val="2"/>
            <w:vAlign w:val="center"/>
          </w:tcPr>
          <w:p w14:paraId="1D59DDAF">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净资产</w:t>
            </w:r>
          </w:p>
        </w:tc>
        <w:tc>
          <w:tcPr>
            <w:tcW w:w="705" w:type="pct"/>
            <w:gridSpan w:val="2"/>
            <w:vAlign w:val="center"/>
          </w:tcPr>
          <w:p w14:paraId="2C8DC666">
            <w:pPr>
              <w:tabs>
                <w:tab w:val="left" w:pos="540"/>
              </w:tabs>
              <w:spacing w:line="440" w:lineRule="exact"/>
              <w:ind w:left="-130" w:leftChars="-63" w:right="-105" w:rightChars="-50" w:hanging="2"/>
              <w:jc w:val="center"/>
              <w:rPr>
                <w:rFonts w:ascii="楷体" w:hAnsi="楷体" w:eastAsia="楷体" w:cs="楷体"/>
                <w:color w:val="auto"/>
                <w:sz w:val="24"/>
              </w:rPr>
            </w:pPr>
          </w:p>
        </w:tc>
        <w:tc>
          <w:tcPr>
            <w:tcW w:w="920" w:type="pct"/>
            <w:vAlign w:val="center"/>
          </w:tcPr>
          <w:p w14:paraId="18B29504">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固定资产原值</w:t>
            </w:r>
          </w:p>
        </w:tc>
        <w:tc>
          <w:tcPr>
            <w:tcW w:w="1222" w:type="pct"/>
            <w:gridSpan w:val="3"/>
            <w:vAlign w:val="center"/>
          </w:tcPr>
          <w:p w14:paraId="2345F6AD">
            <w:pPr>
              <w:tabs>
                <w:tab w:val="left" w:pos="540"/>
              </w:tabs>
              <w:spacing w:line="440" w:lineRule="exact"/>
              <w:ind w:left="-130" w:leftChars="-63" w:right="-105" w:rightChars="-50" w:hanging="2"/>
              <w:jc w:val="center"/>
              <w:rPr>
                <w:rFonts w:ascii="楷体" w:hAnsi="楷体" w:eastAsia="楷体" w:cs="楷体"/>
                <w:color w:val="auto"/>
                <w:sz w:val="24"/>
              </w:rPr>
            </w:pPr>
          </w:p>
        </w:tc>
      </w:tr>
      <w:tr w14:paraId="2E7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11D380D8">
            <w:pPr>
              <w:tabs>
                <w:tab w:val="left" w:pos="540"/>
              </w:tabs>
              <w:spacing w:line="440" w:lineRule="exact"/>
              <w:ind w:left="-130" w:leftChars="-63" w:right="-105" w:rightChars="-50" w:hanging="2"/>
              <w:jc w:val="center"/>
              <w:rPr>
                <w:rFonts w:ascii="楷体" w:hAnsi="楷体" w:eastAsia="楷体" w:cs="楷体"/>
                <w:color w:val="auto"/>
                <w:sz w:val="24"/>
              </w:rPr>
            </w:pPr>
          </w:p>
        </w:tc>
        <w:tc>
          <w:tcPr>
            <w:tcW w:w="697" w:type="pct"/>
            <w:vMerge w:val="continue"/>
            <w:vAlign w:val="center"/>
          </w:tcPr>
          <w:p w14:paraId="5424121B">
            <w:pPr>
              <w:tabs>
                <w:tab w:val="left" w:pos="540"/>
              </w:tabs>
              <w:spacing w:line="440" w:lineRule="exact"/>
              <w:ind w:left="-130" w:leftChars="-63" w:right="-105" w:rightChars="-50" w:hanging="2"/>
              <w:jc w:val="center"/>
              <w:rPr>
                <w:rFonts w:ascii="楷体" w:hAnsi="楷体" w:eastAsia="楷体" w:cs="楷体"/>
                <w:color w:val="auto"/>
                <w:sz w:val="24"/>
              </w:rPr>
            </w:pPr>
          </w:p>
        </w:tc>
        <w:tc>
          <w:tcPr>
            <w:tcW w:w="824" w:type="pct"/>
            <w:gridSpan w:val="2"/>
            <w:vAlign w:val="center"/>
          </w:tcPr>
          <w:p w14:paraId="1AAC9826">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负债</w:t>
            </w:r>
          </w:p>
        </w:tc>
        <w:tc>
          <w:tcPr>
            <w:tcW w:w="705" w:type="pct"/>
            <w:gridSpan w:val="2"/>
            <w:vAlign w:val="center"/>
          </w:tcPr>
          <w:p w14:paraId="2AF2C432">
            <w:pPr>
              <w:tabs>
                <w:tab w:val="left" w:pos="540"/>
              </w:tabs>
              <w:spacing w:line="440" w:lineRule="exact"/>
              <w:ind w:left="-130" w:leftChars="-63" w:right="-105" w:rightChars="-50" w:hanging="2"/>
              <w:jc w:val="center"/>
              <w:rPr>
                <w:rFonts w:ascii="楷体" w:hAnsi="楷体" w:eastAsia="楷体" w:cs="楷体"/>
                <w:color w:val="auto"/>
                <w:sz w:val="24"/>
              </w:rPr>
            </w:pPr>
          </w:p>
        </w:tc>
        <w:tc>
          <w:tcPr>
            <w:tcW w:w="920" w:type="pct"/>
            <w:vAlign w:val="center"/>
          </w:tcPr>
          <w:p w14:paraId="07C45778">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固定资产净值</w:t>
            </w:r>
          </w:p>
        </w:tc>
        <w:tc>
          <w:tcPr>
            <w:tcW w:w="1222" w:type="pct"/>
            <w:gridSpan w:val="3"/>
            <w:vAlign w:val="center"/>
          </w:tcPr>
          <w:p w14:paraId="0C5CCFA2">
            <w:pPr>
              <w:tabs>
                <w:tab w:val="left" w:pos="540"/>
              </w:tabs>
              <w:spacing w:line="440" w:lineRule="exact"/>
              <w:ind w:left="-130" w:leftChars="-63" w:right="-105" w:rightChars="-50" w:hanging="2"/>
              <w:jc w:val="center"/>
              <w:rPr>
                <w:rFonts w:ascii="楷体" w:hAnsi="楷体" w:eastAsia="楷体" w:cs="楷体"/>
                <w:color w:val="auto"/>
                <w:sz w:val="24"/>
              </w:rPr>
            </w:pPr>
          </w:p>
        </w:tc>
      </w:tr>
      <w:tr w14:paraId="2A93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pct"/>
            <w:vMerge w:val="restart"/>
            <w:vAlign w:val="center"/>
          </w:tcPr>
          <w:p w14:paraId="3B7536DE">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财务状况</w:t>
            </w:r>
          </w:p>
        </w:tc>
        <w:tc>
          <w:tcPr>
            <w:tcW w:w="697" w:type="pct"/>
            <w:vAlign w:val="center"/>
          </w:tcPr>
          <w:p w14:paraId="23F0D29E">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年度</w:t>
            </w:r>
          </w:p>
        </w:tc>
        <w:tc>
          <w:tcPr>
            <w:tcW w:w="824" w:type="pct"/>
            <w:gridSpan w:val="2"/>
            <w:vAlign w:val="center"/>
          </w:tcPr>
          <w:p w14:paraId="395936E7">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主营收入</w:t>
            </w:r>
          </w:p>
        </w:tc>
        <w:tc>
          <w:tcPr>
            <w:tcW w:w="705" w:type="pct"/>
            <w:gridSpan w:val="2"/>
            <w:vAlign w:val="center"/>
          </w:tcPr>
          <w:p w14:paraId="3B523B5E">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收入总额</w:t>
            </w:r>
          </w:p>
        </w:tc>
        <w:tc>
          <w:tcPr>
            <w:tcW w:w="920" w:type="pct"/>
            <w:vAlign w:val="center"/>
          </w:tcPr>
          <w:p w14:paraId="414586AD">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利润总额</w:t>
            </w:r>
          </w:p>
        </w:tc>
        <w:tc>
          <w:tcPr>
            <w:tcW w:w="533" w:type="pct"/>
            <w:gridSpan w:val="2"/>
            <w:vAlign w:val="center"/>
          </w:tcPr>
          <w:p w14:paraId="32CC920C">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净利润</w:t>
            </w:r>
          </w:p>
        </w:tc>
        <w:tc>
          <w:tcPr>
            <w:tcW w:w="689" w:type="pct"/>
            <w:vAlign w:val="center"/>
          </w:tcPr>
          <w:p w14:paraId="5E12FD7B">
            <w:pPr>
              <w:tabs>
                <w:tab w:val="left" w:pos="540"/>
              </w:tabs>
              <w:spacing w:line="440" w:lineRule="exact"/>
              <w:ind w:left="-130" w:leftChars="-63" w:right="-105" w:rightChars="-50" w:hanging="2"/>
              <w:jc w:val="center"/>
              <w:rPr>
                <w:rFonts w:ascii="楷体" w:hAnsi="楷体" w:eastAsia="楷体" w:cs="楷体"/>
                <w:color w:val="auto"/>
                <w:sz w:val="24"/>
              </w:rPr>
            </w:pPr>
            <w:r>
              <w:rPr>
                <w:rFonts w:hint="eastAsia" w:ascii="楷体" w:hAnsi="楷体" w:eastAsia="楷体" w:cs="楷体"/>
                <w:color w:val="auto"/>
                <w:sz w:val="24"/>
              </w:rPr>
              <w:t>资产负债率</w:t>
            </w:r>
          </w:p>
        </w:tc>
      </w:tr>
      <w:tr w14:paraId="2B74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7D750170">
            <w:pPr>
              <w:tabs>
                <w:tab w:val="left" w:pos="540"/>
              </w:tabs>
              <w:spacing w:line="440" w:lineRule="exact"/>
              <w:ind w:left="-130" w:leftChars="-63" w:right="-105" w:rightChars="-50" w:hanging="2"/>
              <w:jc w:val="center"/>
              <w:rPr>
                <w:rFonts w:ascii="楷体" w:hAnsi="楷体" w:eastAsia="楷体" w:cs="楷体"/>
                <w:color w:val="auto"/>
                <w:sz w:val="24"/>
              </w:rPr>
            </w:pPr>
          </w:p>
        </w:tc>
        <w:tc>
          <w:tcPr>
            <w:tcW w:w="697" w:type="pct"/>
          </w:tcPr>
          <w:p w14:paraId="2EFA6DD9">
            <w:pPr>
              <w:tabs>
                <w:tab w:val="left" w:pos="540"/>
              </w:tabs>
              <w:spacing w:line="440" w:lineRule="exact"/>
              <w:ind w:left="-130" w:leftChars="-63" w:right="-105" w:rightChars="-50" w:hanging="2"/>
              <w:jc w:val="center"/>
              <w:rPr>
                <w:rFonts w:ascii="楷体" w:hAnsi="楷体" w:eastAsia="楷体" w:cs="楷体"/>
                <w:color w:val="auto"/>
                <w:sz w:val="24"/>
              </w:rPr>
            </w:pPr>
          </w:p>
        </w:tc>
        <w:tc>
          <w:tcPr>
            <w:tcW w:w="824" w:type="pct"/>
            <w:gridSpan w:val="2"/>
          </w:tcPr>
          <w:p w14:paraId="340C324F">
            <w:pPr>
              <w:tabs>
                <w:tab w:val="left" w:pos="540"/>
              </w:tabs>
              <w:spacing w:line="440" w:lineRule="exact"/>
              <w:ind w:left="-130" w:leftChars="-63" w:right="-105" w:rightChars="-50" w:hanging="2"/>
              <w:jc w:val="center"/>
              <w:rPr>
                <w:rFonts w:ascii="楷体" w:hAnsi="楷体" w:eastAsia="楷体" w:cs="楷体"/>
                <w:color w:val="auto"/>
                <w:sz w:val="24"/>
              </w:rPr>
            </w:pPr>
          </w:p>
        </w:tc>
        <w:tc>
          <w:tcPr>
            <w:tcW w:w="705" w:type="pct"/>
            <w:gridSpan w:val="2"/>
          </w:tcPr>
          <w:p w14:paraId="38823A48">
            <w:pPr>
              <w:tabs>
                <w:tab w:val="left" w:pos="540"/>
              </w:tabs>
              <w:spacing w:line="440" w:lineRule="exact"/>
              <w:ind w:left="-130" w:leftChars="-63" w:right="-105" w:rightChars="-50" w:hanging="2"/>
              <w:jc w:val="center"/>
              <w:rPr>
                <w:rFonts w:ascii="楷体" w:hAnsi="楷体" w:eastAsia="楷体" w:cs="楷体"/>
                <w:color w:val="auto"/>
                <w:sz w:val="24"/>
              </w:rPr>
            </w:pPr>
          </w:p>
        </w:tc>
        <w:tc>
          <w:tcPr>
            <w:tcW w:w="920" w:type="pct"/>
          </w:tcPr>
          <w:p w14:paraId="60D88BBE">
            <w:pPr>
              <w:tabs>
                <w:tab w:val="left" w:pos="540"/>
              </w:tabs>
              <w:spacing w:line="440" w:lineRule="exact"/>
              <w:ind w:left="-130" w:leftChars="-63" w:right="-105" w:rightChars="-50" w:hanging="2"/>
              <w:jc w:val="center"/>
              <w:rPr>
                <w:rFonts w:ascii="楷体" w:hAnsi="楷体" w:eastAsia="楷体" w:cs="楷体"/>
                <w:color w:val="auto"/>
                <w:sz w:val="24"/>
              </w:rPr>
            </w:pPr>
          </w:p>
        </w:tc>
        <w:tc>
          <w:tcPr>
            <w:tcW w:w="533" w:type="pct"/>
            <w:gridSpan w:val="2"/>
          </w:tcPr>
          <w:p w14:paraId="6974708C">
            <w:pPr>
              <w:tabs>
                <w:tab w:val="left" w:pos="540"/>
              </w:tabs>
              <w:spacing w:line="440" w:lineRule="exact"/>
              <w:ind w:left="-130" w:leftChars="-63" w:right="-105" w:rightChars="-50" w:hanging="2"/>
              <w:jc w:val="center"/>
              <w:rPr>
                <w:rFonts w:ascii="楷体" w:hAnsi="楷体" w:eastAsia="楷体" w:cs="楷体"/>
                <w:color w:val="auto"/>
                <w:sz w:val="24"/>
              </w:rPr>
            </w:pPr>
          </w:p>
        </w:tc>
        <w:tc>
          <w:tcPr>
            <w:tcW w:w="689" w:type="pct"/>
          </w:tcPr>
          <w:p w14:paraId="23ED6C1A">
            <w:pPr>
              <w:tabs>
                <w:tab w:val="left" w:pos="540"/>
              </w:tabs>
              <w:spacing w:line="440" w:lineRule="exact"/>
              <w:ind w:left="-130" w:leftChars="-63" w:right="-105" w:rightChars="-50" w:hanging="2"/>
              <w:jc w:val="center"/>
              <w:rPr>
                <w:rFonts w:ascii="楷体" w:hAnsi="楷体" w:eastAsia="楷体" w:cs="楷体"/>
                <w:color w:val="auto"/>
                <w:sz w:val="24"/>
              </w:rPr>
            </w:pPr>
          </w:p>
        </w:tc>
      </w:tr>
      <w:tr w14:paraId="69DF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484C4B06">
            <w:pPr>
              <w:tabs>
                <w:tab w:val="left" w:pos="540"/>
              </w:tabs>
              <w:spacing w:line="440" w:lineRule="exact"/>
              <w:ind w:left="-130" w:leftChars="-63" w:right="-105" w:rightChars="-50" w:hanging="2"/>
              <w:jc w:val="center"/>
              <w:rPr>
                <w:rFonts w:ascii="楷体" w:hAnsi="楷体" w:eastAsia="楷体" w:cs="楷体"/>
                <w:color w:val="auto"/>
                <w:sz w:val="24"/>
              </w:rPr>
            </w:pPr>
          </w:p>
        </w:tc>
        <w:tc>
          <w:tcPr>
            <w:tcW w:w="697" w:type="pct"/>
          </w:tcPr>
          <w:p w14:paraId="2FEBB9B1">
            <w:pPr>
              <w:tabs>
                <w:tab w:val="left" w:pos="540"/>
              </w:tabs>
              <w:spacing w:line="440" w:lineRule="exact"/>
              <w:ind w:left="-130" w:leftChars="-63" w:right="-105" w:rightChars="-50" w:hanging="2"/>
              <w:jc w:val="center"/>
              <w:rPr>
                <w:rFonts w:ascii="楷体" w:hAnsi="楷体" w:eastAsia="楷体" w:cs="楷体"/>
                <w:color w:val="auto"/>
                <w:sz w:val="24"/>
              </w:rPr>
            </w:pPr>
          </w:p>
        </w:tc>
        <w:tc>
          <w:tcPr>
            <w:tcW w:w="824" w:type="pct"/>
            <w:gridSpan w:val="2"/>
          </w:tcPr>
          <w:p w14:paraId="2AF52C58">
            <w:pPr>
              <w:tabs>
                <w:tab w:val="left" w:pos="540"/>
              </w:tabs>
              <w:spacing w:line="440" w:lineRule="exact"/>
              <w:ind w:left="-130" w:leftChars="-63" w:right="-105" w:rightChars="-50" w:hanging="2"/>
              <w:jc w:val="center"/>
              <w:rPr>
                <w:rFonts w:ascii="楷体" w:hAnsi="楷体" w:eastAsia="楷体" w:cs="楷体"/>
                <w:color w:val="auto"/>
                <w:sz w:val="24"/>
              </w:rPr>
            </w:pPr>
          </w:p>
        </w:tc>
        <w:tc>
          <w:tcPr>
            <w:tcW w:w="705" w:type="pct"/>
            <w:gridSpan w:val="2"/>
          </w:tcPr>
          <w:p w14:paraId="0D4BC08A">
            <w:pPr>
              <w:tabs>
                <w:tab w:val="left" w:pos="540"/>
              </w:tabs>
              <w:spacing w:line="440" w:lineRule="exact"/>
              <w:ind w:left="-130" w:leftChars="-63" w:right="-105" w:rightChars="-50" w:hanging="2"/>
              <w:jc w:val="center"/>
              <w:rPr>
                <w:rFonts w:ascii="楷体" w:hAnsi="楷体" w:eastAsia="楷体" w:cs="楷体"/>
                <w:color w:val="auto"/>
                <w:sz w:val="24"/>
              </w:rPr>
            </w:pPr>
          </w:p>
        </w:tc>
        <w:tc>
          <w:tcPr>
            <w:tcW w:w="920" w:type="pct"/>
          </w:tcPr>
          <w:p w14:paraId="4D5E63E0">
            <w:pPr>
              <w:tabs>
                <w:tab w:val="left" w:pos="540"/>
              </w:tabs>
              <w:spacing w:line="440" w:lineRule="exact"/>
              <w:ind w:left="-130" w:leftChars="-63" w:right="-105" w:rightChars="-50" w:hanging="2"/>
              <w:jc w:val="center"/>
              <w:rPr>
                <w:rFonts w:ascii="楷体" w:hAnsi="楷体" w:eastAsia="楷体" w:cs="楷体"/>
                <w:color w:val="auto"/>
                <w:sz w:val="24"/>
              </w:rPr>
            </w:pPr>
          </w:p>
        </w:tc>
        <w:tc>
          <w:tcPr>
            <w:tcW w:w="533" w:type="pct"/>
            <w:gridSpan w:val="2"/>
          </w:tcPr>
          <w:p w14:paraId="7F26124A">
            <w:pPr>
              <w:tabs>
                <w:tab w:val="left" w:pos="540"/>
              </w:tabs>
              <w:spacing w:line="440" w:lineRule="exact"/>
              <w:ind w:left="-130" w:leftChars="-63" w:right="-105" w:rightChars="-50" w:hanging="2"/>
              <w:jc w:val="center"/>
              <w:rPr>
                <w:rFonts w:ascii="楷体" w:hAnsi="楷体" w:eastAsia="楷体" w:cs="楷体"/>
                <w:color w:val="auto"/>
                <w:sz w:val="24"/>
              </w:rPr>
            </w:pPr>
          </w:p>
        </w:tc>
        <w:tc>
          <w:tcPr>
            <w:tcW w:w="689" w:type="pct"/>
          </w:tcPr>
          <w:p w14:paraId="777864D7">
            <w:pPr>
              <w:tabs>
                <w:tab w:val="left" w:pos="540"/>
              </w:tabs>
              <w:spacing w:line="440" w:lineRule="exact"/>
              <w:ind w:left="-130" w:leftChars="-63" w:right="-105" w:rightChars="-50" w:hanging="2"/>
              <w:jc w:val="center"/>
              <w:rPr>
                <w:rFonts w:ascii="楷体" w:hAnsi="楷体" w:eastAsia="楷体" w:cs="楷体"/>
                <w:color w:val="auto"/>
                <w:sz w:val="24"/>
              </w:rPr>
            </w:pPr>
          </w:p>
        </w:tc>
      </w:tr>
    </w:tbl>
    <w:p w14:paraId="00225ECC">
      <w:pPr>
        <w:pStyle w:val="87"/>
        <w:spacing w:line="360" w:lineRule="auto"/>
        <w:ind w:left="960" w:hanging="960" w:hangingChars="400"/>
        <w:rPr>
          <w:rFonts w:ascii="楷体" w:hAnsi="楷体" w:eastAsia="楷体" w:cs="楷体"/>
          <w:bCs w:val="0"/>
          <w:color w:val="auto"/>
          <w:spacing w:val="0"/>
          <w:kern w:val="2"/>
          <w:szCs w:val="24"/>
          <w:lang w:val="en-GB"/>
        </w:rPr>
      </w:pPr>
      <w:r>
        <w:rPr>
          <w:rFonts w:hint="eastAsia" w:ascii="楷体" w:hAnsi="楷体" w:eastAsia="楷体" w:cs="楷体"/>
          <w:bCs w:val="0"/>
          <w:color w:val="auto"/>
          <w:spacing w:val="0"/>
          <w:kern w:val="2"/>
          <w:szCs w:val="24"/>
          <w:lang w:val="en-GB"/>
        </w:rPr>
        <w:t>注：</w:t>
      </w:r>
    </w:p>
    <w:p w14:paraId="27F9F291">
      <w:pPr>
        <w:pStyle w:val="87"/>
        <w:numPr>
          <w:ilvl w:val="0"/>
          <w:numId w:val="77"/>
        </w:numPr>
        <w:spacing w:line="360" w:lineRule="auto"/>
        <w:rPr>
          <w:rFonts w:ascii="楷体" w:hAnsi="楷体" w:eastAsia="楷体" w:cs="楷体"/>
          <w:bCs w:val="0"/>
          <w:color w:val="auto"/>
          <w:spacing w:val="0"/>
          <w:kern w:val="2"/>
          <w:szCs w:val="24"/>
          <w:lang w:val="en-GB"/>
        </w:rPr>
      </w:pPr>
      <w:r>
        <w:rPr>
          <w:rFonts w:hint="eastAsia" w:ascii="楷体" w:hAnsi="楷体" w:eastAsia="楷体" w:cs="楷体"/>
          <w:bCs w:val="0"/>
          <w:color w:val="auto"/>
          <w:spacing w:val="0"/>
          <w:kern w:val="2"/>
          <w:szCs w:val="24"/>
          <w:lang w:val="en-GB"/>
        </w:rPr>
        <w:t>上表内容可以采用文字描述（企业性质、发展历程、经营规模及服务理念、主营产品、技术力量等）或图片描述（经营场所、主要经营项目等）。</w:t>
      </w:r>
    </w:p>
    <w:p w14:paraId="728C342F">
      <w:pPr>
        <w:pStyle w:val="87"/>
        <w:numPr>
          <w:ilvl w:val="0"/>
          <w:numId w:val="77"/>
        </w:numPr>
        <w:spacing w:line="360" w:lineRule="auto"/>
        <w:rPr>
          <w:rFonts w:ascii="楷体" w:hAnsi="楷体" w:eastAsia="楷体" w:cs="楷体"/>
          <w:bCs w:val="0"/>
          <w:color w:val="auto"/>
          <w:spacing w:val="0"/>
          <w:kern w:val="2"/>
          <w:szCs w:val="24"/>
          <w:lang w:val="en-GB"/>
        </w:rPr>
      </w:pPr>
      <w:r>
        <w:rPr>
          <w:rFonts w:hint="eastAsia" w:ascii="楷体" w:hAnsi="楷体" w:eastAsia="楷体" w:cs="楷体"/>
          <w:bCs w:val="0"/>
          <w:color w:val="auto"/>
          <w:spacing w:val="0"/>
          <w:kern w:val="2"/>
          <w:szCs w:val="24"/>
          <w:lang w:val="en-GB"/>
        </w:rPr>
        <w:t>投标人须提供</w:t>
      </w:r>
      <w:r>
        <w:rPr>
          <w:rFonts w:hint="eastAsia" w:ascii="楷体" w:hAnsi="楷体" w:eastAsia="楷体" w:cs="楷体"/>
          <w:bCs w:val="0"/>
          <w:color w:val="auto"/>
          <w:spacing w:val="0"/>
          <w:kern w:val="2"/>
          <w:szCs w:val="24"/>
          <w:u w:val="single"/>
        </w:rPr>
        <w:t>近   年</w:t>
      </w:r>
      <w:r>
        <w:rPr>
          <w:rFonts w:hint="eastAsia" w:ascii="楷体" w:hAnsi="楷体" w:eastAsia="楷体" w:cs="楷体"/>
          <w:bCs w:val="0"/>
          <w:color w:val="auto"/>
          <w:spacing w:val="0"/>
          <w:kern w:val="2"/>
          <w:szCs w:val="24"/>
          <w:lang w:val="en-GB"/>
        </w:rPr>
        <w:t>的财务报告的复印件（加盖公章）。</w:t>
      </w:r>
    </w:p>
    <w:p w14:paraId="73159344">
      <w:pPr>
        <w:pStyle w:val="87"/>
        <w:numPr>
          <w:ilvl w:val="0"/>
          <w:numId w:val="77"/>
        </w:numPr>
        <w:rPr>
          <w:rFonts w:ascii="楷体" w:hAnsi="楷体" w:eastAsia="楷体" w:cs="楷体"/>
          <w:bCs w:val="0"/>
          <w:color w:val="auto"/>
          <w:spacing w:val="0"/>
          <w:kern w:val="2"/>
          <w:szCs w:val="24"/>
          <w:lang w:val="en-GB"/>
        </w:rPr>
      </w:pPr>
      <w:r>
        <w:rPr>
          <w:rFonts w:hint="eastAsia" w:ascii="楷体" w:hAnsi="楷体" w:eastAsia="楷体" w:cs="楷体"/>
          <w:bCs w:val="0"/>
          <w:color w:val="auto"/>
          <w:spacing w:val="0"/>
          <w:kern w:val="2"/>
          <w:szCs w:val="24"/>
          <w:lang w:val="en-GB"/>
        </w:rPr>
        <w:t>如投标人此表数据有虚假，一经查实，自行承担相关责任。</w:t>
      </w:r>
    </w:p>
    <w:p w14:paraId="1740067C">
      <w:pPr>
        <w:pStyle w:val="87"/>
        <w:ind w:firstLine="420" w:firstLineChars="200"/>
        <w:rPr>
          <w:rFonts w:ascii="楷体" w:hAnsi="楷体" w:eastAsia="楷体" w:cs="楷体"/>
          <w:bCs w:val="0"/>
          <w:color w:val="auto"/>
          <w:spacing w:val="0"/>
          <w:kern w:val="2"/>
          <w:sz w:val="21"/>
          <w:szCs w:val="21"/>
          <w:lang w:val="en-GB"/>
        </w:rPr>
      </w:pPr>
    </w:p>
    <w:p w14:paraId="79B37CD3">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6E2DE7D7">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7D3EFD77">
      <w:pPr>
        <w:spacing w:before="72" w:after="72" w:line="400" w:lineRule="exact"/>
        <w:ind w:firstLine="3578" w:firstLineChars="1491"/>
        <w:rPr>
          <w:rFonts w:ascii="楷体" w:hAnsi="楷体" w:eastAsia="楷体" w:cs="楷体"/>
          <w:color w:val="auto"/>
          <w:sz w:val="24"/>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rPr>
        <w:t>日期：   年   月   日</w:t>
      </w:r>
    </w:p>
    <w:p w14:paraId="5DC19489">
      <w:pPr>
        <w:numPr>
          <w:ilvl w:val="0"/>
          <w:numId w:val="76"/>
        </w:numPr>
        <w:spacing w:before="72" w:after="72" w:line="360" w:lineRule="auto"/>
        <w:jc w:val="center"/>
        <w:rPr>
          <w:rFonts w:ascii="楷体" w:hAnsi="楷体" w:eastAsia="楷体" w:cs="楷体"/>
          <w:b/>
          <w:color w:val="auto"/>
          <w:kern w:val="44"/>
          <w:sz w:val="30"/>
          <w:szCs w:val="30"/>
        </w:rPr>
      </w:pPr>
      <w:r>
        <w:rPr>
          <w:rFonts w:hint="eastAsia" w:ascii="楷体" w:hAnsi="楷体" w:eastAsia="楷体" w:cs="楷体"/>
          <w:b/>
          <w:color w:val="auto"/>
          <w:kern w:val="44"/>
          <w:sz w:val="30"/>
          <w:szCs w:val="30"/>
        </w:rPr>
        <w:t>同类项目业绩统计表</w:t>
      </w:r>
    </w:p>
    <w:tbl>
      <w:tblPr>
        <w:tblStyle w:val="4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872"/>
        <w:gridCol w:w="2819"/>
        <w:gridCol w:w="1236"/>
        <w:gridCol w:w="2237"/>
      </w:tblGrid>
      <w:tr w14:paraId="6F79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93" w:type="dxa"/>
            <w:shd w:val="clear" w:color="auto" w:fill="EAEAEA"/>
            <w:vAlign w:val="center"/>
          </w:tcPr>
          <w:p w14:paraId="347C8FAB">
            <w:pPr>
              <w:jc w:val="center"/>
              <w:rPr>
                <w:rFonts w:ascii="楷体" w:hAnsi="楷体" w:eastAsia="楷体" w:cs="楷体"/>
                <w:b/>
                <w:bCs/>
                <w:color w:val="auto"/>
                <w:sz w:val="24"/>
              </w:rPr>
            </w:pPr>
            <w:r>
              <w:rPr>
                <w:rFonts w:hint="eastAsia" w:ascii="楷体" w:hAnsi="楷体" w:eastAsia="楷体" w:cs="楷体"/>
                <w:b/>
                <w:bCs/>
                <w:color w:val="auto"/>
                <w:sz w:val="24"/>
              </w:rPr>
              <w:t>序号</w:t>
            </w:r>
          </w:p>
        </w:tc>
        <w:tc>
          <w:tcPr>
            <w:tcW w:w="1872" w:type="dxa"/>
            <w:shd w:val="clear" w:color="auto" w:fill="EAEAEA"/>
            <w:vAlign w:val="center"/>
          </w:tcPr>
          <w:p w14:paraId="2F4CFD0C">
            <w:pPr>
              <w:jc w:val="center"/>
              <w:rPr>
                <w:rFonts w:ascii="楷体" w:hAnsi="楷体" w:eastAsia="楷体" w:cs="楷体"/>
                <w:b/>
                <w:bCs/>
                <w:color w:val="auto"/>
                <w:sz w:val="24"/>
              </w:rPr>
            </w:pPr>
            <w:r>
              <w:rPr>
                <w:rFonts w:hint="eastAsia" w:ascii="楷体" w:hAnsi="楷体" w:eastAsia="楷体" w:cs="楷体"/>
                <w:b/>
                <w:bCs/>
                <w:color w:val="auto"/>
                <w:sz w:val="24"/>
              </w:rPr>
              <w:t>客户名称</w:t>
            </w:r>
          </w:p>
        </w:tc>
        <w:tc>
          <w:tcPr>
            <w:tcW w:w="2819" w:type="dxa"/>
            <w:shd w:val="clear" w:color="auto" w:fill="EAEAEA"/>
            <w:vAlign w:val="center"/>
          </w:tcPr>
          <w:p w14:paraId="1EC53D75">
            <w:pPr>
              <w:rPr>
                <w:rFonts w:ascii="楷体" w:hAnsi="楷体" w:eastAsia="楷体" w:cs="楷体"/>
                <w:b/>
                <w:bCs/>
                <w:color w:val="auto"/>
                <w:sz w:val="24"/>
              </w:rPr>
            </w:pPr>
            <w:r>
              <w:rPr>
                <w:rFonts w:hint="eastAsia" w:ascii="楷体" w:hAnsi="楷体" w:eastAsia="楷体" w:cs="楷体"/>
                <w:b/>
                <w:bCs/>
                <w:color w:val="auto"/>
                <w:sz w:val="24"/>
              </w:rPr>
              <w:t>项目名称及合同金额</w:t>
            </w:r>
          </w:p>
        </w:tc>
        <w:tc>
          <w:tcPr>
            <w:tcW w:w="1236" w:type="dxa"/>
            <w:shd w:val="clear" w:color="auto" w:fill="EAEAEA"/>
            <w:vAlign w:val="center"/>
          </w:tcPr>
          <w:p w14:paraId="2AA2527B">
            <w:pPr>
              <w:rPr>
                <w:rFonts w:ascii="楷体" w:hAnsi="楷体" w:eastAsia="楷体" w:cs="楷体"/>
                <w:b/>
                <w:bCs/>
                <w:color w:val="auto"/>
                <w:sz w:val="24"/>
              </w:rPr>
            </w:pPr>
            <w:r>
              <w:rPr>
                <w:rFonts w:hint="eastAsia" w:ascii="楷体" w:hAnsi="楷体" w:eastAsia="楷体" w:cs="楷体"/>
                <w:b/>
                <w:bCs/>
                <w:color w:val="auto"/>
                <w:sz w:val="24"/>
              </w:rPr>
              <w:t>完成时间</w:t>
            </w:r>
          </w:p>
        </w:tc>
        <w:tc>
          <w:tcPr>
            <w:tcW w:w="2237" w:type="dxa"/>
            <w:shd w:val="clear" w:color="auto" w:fill="EAEAEA"/>
            <w:vAlign w:val="center"/>
          </w:tcPr>
          <w:p w14:paraId="1CDE5DBE">
            <w:pPr>
              <w:jc w:val="center"/>
              <w:rPr>
                <w:rFonts w:ascii="楷体" w:hAnsi="楷体" w:eastAsia="楷体" w:cs="楷体"/>
                <w:b/>
                <w:bCs/>
                <w:color w:val="auto"/>
                <w:sz w:val="24"/>
              </w:rPr>
            </w:pPr>
            <w:r>
              <w:rPr>
                <w:rFonts w:hint="eastAsia" w:ascii="楷体" w:hAnsi="楷体" w:eastAsia="楷体" w:cs="楷体"/>
                <w:b/>
                <w:bCs/>
                <w:color w:val="auto"/>
                <w:sz w:val="24"/>
              </w:rPr>
              <w:t>联系人及电话</w:t>
            </w:r>
          </w:p>
        </w:tc>
      </w:tr>
      <w:tr w14:paraId="7D9D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55D67376">
            <w:pPr>
              <w:jc w:val="center"/>
              <w:rPr>
                <w:rFonts w:ascii="楷体" w:hAnsi="楷体" w:eastAsia="楷体" w:cs="楷体"/>
                <w:color w:val="auto"/>
                <w:sz w:val="24"/>
              </w:rPr>
            </w:pPr>
            <w:r>
              <w:rPr>
                <w:rFonts w:hint="eastAsia" w:ascii="楷体" w:hAnsi="楷体" w:eastAsia="楷体" w:cs="楷体"/>
                <w:color w:val="auto"/>
                <w:sz w:val="24"/>
              </w:rPr>
              <w:t>1</w:t>
            </w:r>
          </w:p>
        </w:tc>
        <w:tc>
          <w:tcPr>
            <w:tcW w:w="1872" w:type="dxa"/>
            <w:vAlign w:val="center"/>
          </w:tcPr>
          <w:p w14:paraId="6056E779">
            <w:pPr>
              <w:jc w:val="center"/>
              <w:rPr>
                <w:rFonts w:ascii="楷体" w:hAnsi="楷体" w:eastAsia="楷体" w:cs="楷体"/>
                <w:color w:val="auto"/>
                <w:sz w:val="24"/>
              </w:rPr>
            </w:pPr>
          </w:p>
        </w:tc>
        <w:tc>
          <w:tcPr>
            <w:tcW w:w="2819" w:type="dxa"/>
            <w:vAlign w:val="center"/>
          </w:tcPr>
          <w:p w14:paraId="01154AF2">
            <w:pPr>
              <w:jc w:val="center"/>
              <w:rPr>
                <w:rFonts w:ascii="楷体" w:hAnsi="楷体" w:eastAsia="楷体" w:cs="楷体"/>
                <w:color w:val="auto"/>
                <w:sz w:val="24"/>
              </w:rPr>
            </w:pPr>
          </w:p>
        </w:tc>
        <w:tc>
          <w:tcPr>
            <w:tcW w:w="1236" w:type="dxa"/>
            <w:vAlign w:val="center"/>
          </w:tcPr>
          <w:p w14:paraId="28EA4B88">
            <w:pPr>
              <w:jc w:val="center"/>
              <w:rPr>
                <w:rFonts w:ascii="楷体" w:hAnsi="楷体" w:eastAsia="楷体" w:cs="楷体"/>
                <w:color w:val="auto"/>
                <w:sz w:val="24"/>
              </w:rPr>
            </w:pPr>
          </w:p>
        </w:tc>
        <w:tc>
          <w:tcPr>
            <w:tcW w:w="2237" w:type="dxa"/>
            <w:vAlign w:val="center"/>
          </w:tcPr>
          <w:p w14:paraId="55C58D47">
            <w:pPr>
              <w:jc w:val="center"/>
              <w:rPr>
                <w:rFonts w:ascii="楷体" w:hAnsi="楷体" w:eastAsia="楷体" w:cs="楷体"/>
                <w:color w:val="auto"/>
                <w:sz w:val="24"/>
              </w:rPr>
            </w:pPr>
          </w:p>
        </w:tc>
      </w:tr>
      <w:tr w14:paraId="00A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7DC7DECD">
            <w:pPr>
              <w:jc w:val="center"/>
              <w:rPr>
                <w:rFonts w:ascii="楷体" w:hAnsi="楷体" w:eastAsia="楷体" w:cs="楷体"/>
                <w:color w:val="auto"/>
                <w:sz w:val="24"/>
              </w:rPr>
            </w:pPr>
            <w:r>
              <w:rPr>
                <w:rFonts w:hint="eastAsia" w:ascii="楷体" w:hAnsi="楷体" w:eastAsia="楷体" w:cs="楷体"/>
                <w:color w:val="auto"/>
                <w:sz w:val="24"/>
              </w:rPr>
              <w:t>2</w:t>
            </w:r>
          </w:p>
        </w:tc>
        <w:tc>
          <w:tcPr>
            <w:tcW w:w="1872" w:type="dxa"/>
            <w:vAlign w:val="center"/>
          </w:tcPr>
          <w:p w14:paraId="7CF07EA0">
            <w:pPr>
              <w:jc w:val="center"/>
              <w:rPr>
                <w:rFonts w:ascii="楷体" w:hAnsi="楷体" w:eastAsia="楷体" w:cs="楷体"/>
                <w:color w:val="auto"/>
                <w:sz w:val="24"/>
              </w:rPr>
            </w:pPr>
          </w:p>
        </w:tc>
        <w:tc>
          <w:tcPr>
            <w:tcW w:w="2819" w:type="dxa"/>
            <w:vAlign w:val="center"/>
          </w:tcPr>
          <w:p w14:paraId="23D407D2">
            <w:pPr>
              <w:jc w:val="center"/>
              <w:rPr>
                <w:rFonts w:ascii="楷体" w:hAnsi="楷体" w:eastAsia="楷体" w:cs="楷体"/>
                <w:color w:val="auto"/>
                <w:sz w:val="24"/>
              </w:rPr>
            </w:pPr>
          </w:p>
        </w:tc>
        <w:tc>
          <w:tcPr>
            <w:tcW w:w="1236" w:type="dxa"/>
            <w:vAlign w:val="center"/>
          </w:tcPr>
          <w:p w14:paraId="69B6EB3A">
            <w:pPr>
              <w:pStyle w:val="79"/>
              <w:rPr>
                <w:rFonts w:ascii="楷体" w:hAnsi="楷体" w:eastAsia="楷体" w:cs="楷体"/>
                <w:color w:val="auto"/>
                <w:sz w:val="24"/>
                <w:szCs w:val="24"/>
              </w:rPr>
            </w:pPr>
          </w:p>
        </w:tc>
        <w:tc>
          <w:tcPr>
            <w:tcW w:w="2237" w:type="dxa"/>
            <w:vAlign w:val="center"/>
          </w:tcPr>
          <w:p w14:paraId="18154AE8">
            <w:pPr>
              <w:jc w:val="center"/>
              <w:rPr>
                <w:rFonts w:ascii="楷体" w:hAnsi="楷体" w:eastAsia="楷体" w:cs="楷体"/>
                <w:color w:val="auto"/>
                <w:sz w:val="24"/>
              </w:rPr>
            </w:pPr>
          </w:p>
        </w:tc>
      </w:tr>
      <w:tr w14:paraId="6F0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32A40EEF">
            <w:pPr>
              <w:jc w:val="center"/>
              <w:rPr>
                <w:rFonts w:ascii="楷体" w:hAnsi="楷体" w:eastAsia="楷体" w:cs="楷体"/>
                <w:color w:val="auto"/>
                <w:sz w:val="24"/>
              </w:rPr>
            </w:pPr>
            <w:r>
              <w:rPr>
                <w:rFonts w:hint="eastAsia" w:ascii="楷体" w:hAnsi="楷体" w:eastAsia="楷体" w:cs="楷体"/>
                <w:color w:val="auto"/>
                <w:sz w:val="24"/>
              </w:rPr>
              <w:t>3</w:t>
            </w:r>
          </w:p>
        </w:tc>
        <w:tc>
          <w:tcPr>
            <w:tcW w:w="1872" w:type="dxa"/>
            <w:vAlign w:val="center"/>
          </w:tcPr>
          <w:p w14:paraId="7A300EE7">
            <w:pPr>
              <w:jc w:val="center"/>
              <w:rPr>
                <w:rFonts w:ascii="楷体" w:hAnsi="楷体" w:eastAsia="楷体" w:cs="楷体"/>
                <w:color w:val="auto"/>
                <w:sz w:val="24"/>
              </w:rPr>
            </w:pPr>
          </w:p>
        </w:tc>
        <w:tc>
          <w:tcPr>
            <w:tcW w:w="2819" w:type="dxa"/>
            <w:vAlign w:val="center"/>
          </w:tcPr>
          <w:p w14:paraId="454D7FE0">
            <w:pPr>
              <w:jc w:val="center"/>
              <w:rPr>
                <w:rFonts w:ascii="楷体" w:hAnsi="楷体" w:eastAsia="楷体" w:cs="楷体"/>
                <w:color w:val="auto"/>
                <w:sz w:val="24"/>
              </w:rPr>
            </w:pPr>
          </w:p>
        </w:tc>
        <w:tc>
          <w:tcPr>
            <w:tcW w:w="1236" w:type="dxa"/>
            <w:vAlign w:val="center"/>
          </w:tcPr>
          <w:p w14:paraId="5F21DC98">
            <w:pPr>
              <w:jc w:val="center"/>
              <w:rPr>
                <w:rFonts w:ascii="楷体" w:hAnsi="楷体" w:eastAsia="楷体" w:cs="楷体"/>
                <w:color w:val="auto"/>
                <w:sz w:val="24"/>
              </w:rPr>
            </w:pPr>
          </w:p>
        </w:tc>
        <w:tc>
          <w:tcPr>
            <w:tcW w:w="2237" w:type="dxa"/>
            <w:vAlign w:val="center"/>
          </w:tcPr>
          <w:p w14:paraId="24B7CCC3">
            <w:pPr>
              <w:jc w:val="center"/>
              <w:rPr>
                <w:rFonts w:ascii="楷体" w:hAnsi="楷体" w:eastAsia="楷体" w:cs="楷体"/>
                <w:color w:val="auto"/>
                <w:sz w:val="24"/>
              </w:rPr>
            </w:pPr>
          </w:p>
        </w:tc>
      </w:tr>
      <w:tr w14:paraId="6CB8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3" w:type="dxa"/>
            <w:vAlign w:val="center"/>
          </w:tcPr>
          <w:p w14:paraId="0FD9C927">
            <w:pPr>
              <w:jc w:val="center"/>
              <w:rPr>
                <w:rFonts w:ascii="楷体" w:hAnsi="楷体" w:eastAsia="楷体" w:cs="楷体"/>
                <w:color w:val="auto"/>
                <w:sz w:val="24"/>
              </w:rPr>
            </w:pPr>
            <w:r>
              <w:rPr>
                <w:rFonts w:hint="eastAsia" w:ascii="楷体" w:hAnsi="楷体" w:eastAsia="楷体" w:cs="楷体"/>
                <w:color w:val="auto"/>
                <w:sz w:val="24"/>
              </w:rPr>
              <w:t>…</w:t>
            </w:r>
          </w:p>
        </w:tc>
        <w:tc>
          <w:tcPr>
            <w:tcW w:w="1872" w:type="dxa"/>
            <w:vAlign w:val="center"/>
          </w:tcPr>
          <w:p w14:paraId="4CDEA4B4">
            <w:pPr>
              <w:jc w:val="center"/>
              <w:rPr>
                <w:rFonts w:ascii="楷体" w:hAnsi="楷体" w:eastAsia="楷体" w:cs="楷体"/>
                <w:color w:val="auto"/>
                <w:sz w:val="24"/>
              </w:rPr>
            </w:pPr>
          </w:p>
        </w:tc>
        <w:tc>
          <w:tcPr>
            <w:tcW w:w="2819" w:type="dxa"/>
            <w:vAlign w:val="center"/>
          </w:tcPr>
          <w:p w14:paraId="14B16D45">
            <w:pPr>
              <w:jc w:val="center"/>
              <w:rPr>
                <w:rFonts w:ascii="楷体" w:hAnsi="楷体" w:eastAsia="楷体" w:cs="楷体"/>
                <w:color w:val="auto"/>
                <w:sz w:val="24"/>
              </w:rPr>
            </w:pPr>
          </w:p>
        </w:tc>
        <w:tc>
          <w:tcPr>
            <w:tcW w:w="1236" w:type="dxa"/>
            <w:vAlign w:val="center"/>
          </w:tcPr>
          <w:p w14:paraId="7950CECF">
            <w:pPr>
              <w:jc w:val="center"/>
              <w:rPr>
                <w:rFonts w:ascii="楷体" w:hAnsi="楷体" w:eastAsia="楷体" w:cs="楷体"/>
                <w:color w:val="auto"/>
                <w:sz w:val="24"/>
              </w:rPr>
            </w:pPr>
          </w:p>
        </w:tc>
        <w:tc>
          <w:tcPr>
            <w:tcW w:w="2237" w:type="dxa"/>
            <w:vAlign w:val="center"/>
          </w:tcPr>
          <w:p w14:paraId="3DEF4E84">
            <w:pPr>
              <w:jc w:val="center"/>
              <w:rPr>
                <w:rFonts w:ascii="楷体" w:hAnsi="楷体" w:eastAsia="楷体" w:cs="楷体"/>
                <w:color w:val="auto"/>
                <w:sz w:val="24"/>
              </w:rPr>
            </w:pPr>
          </w:p>
        </w:tc>
      </w:tr>
    </w:tbl>
    <w:p w14:paraId="438C7792">
      <w:pPr>
        <w:adjustRightInd w:val="0"/>
        <w:snapToGrid w:val="0"/>
        <w:spacing w:line="360" w:lineRule="auto"/>
        <w:ind w:left="-420" w:leftChars="-200" w:firstLine="420" w:firstLineChars="175"/>
        <w:rPr>
          <w:rFonts w:ascii="楷体" w:hAnsi="楷体" w:eastAsia="楷体" w:cs="楷体"/>
          <w:color w:val="auto"/>
          <w:sz w:val="24"/>
        </w:rPr>
      </w:pPr>
      <w:r>
        <w:rPr>
          <w:rFonts w:hint="eastAsia" w:ascii="楷体" w:hAnsi="楷体" w:eastAsia="楷体" w:cs="楷体"/>
          <w:color w:val="auto"/>
          <w:sz w:val="24"/>
        </w:rPr>
        <w:t>注：</w:t>
      </w:r>
    </w:p>
    <w:p w14:paraId="26D59428">
      <w:pPr>
        <w:numPr>
          <w:ilvl w:val="0"/>
          <w:numId w:val="78"/>
        </w:numPr>
        <w:adjustRightInd w:val="0"/>
        <w:snapToGrid w:val="0"/>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业绩是必须以投标人名义承接的项目。</w:t>
      </w:r>
    </w:p>
    <w:p w14:paraId="01CA059B">
      <w:pPr>
        <w:numPr>
          <w:ilvl w:val="0"/>
          <w:numId w:val="78"/>
        </w:numPr>
        <w:adjustRightInd w:val="0"/>
        <w:snapToGrid w:val="0"/>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投标人按照《商务评审表》要求提供相关证明材料。</w:t>
      </w:r>
    </w:p>
    <w:p w14:paraId="4AE4BFDE">
      <w:pPr>
        <w:rPr>
          <w:rFonts w:ascii="楷体" w:hAnsi="楷体" w:eastAsia="楷体" w:cs="楷体"/>
          <w:color w:val="auto"/>
        </w:rPr>
      </w:pPr>
    </w:p>
    <w:p w14:paraId="68656A65">
      <w:pPr>
        <w:rPr>
          <w:rFonts w:ascii="楷体" w:hAnsi="楷体" w:eastAsia="楷体" w:cs="楷体"/>
          <w:color w:val="auto"/>
        </w:rPr>
      </w:pPr>
    </w:p>
    <w:p w14:paraId="20FE0953">
      <w:pPr>
        <w:rPr>
          <w:rFonts w:ascii="楷体" w:hAnsi="楷体" w:eastAsia="楷体" w:cs="楷体"/>
          <w:color w:val="auto"/>
        </w:rPr>
      </w:pPr>
    </w:p>
    <w:p w14:paraId="6D02C26F">
      <w:pPr>
        <w:pStyle w:val="87"/>
        <w:rPr>
          <w:rFonts w:ascii="楷体" w:hAnsi="楷体" w:eastAsia="楷体" w:cs="楷体"/>
          <w:color w:val="auto"/>
        </w:rPr>
      </w:pPr>
    </w:p>
    <w:p w14:paraId="010142F2">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1DD7C405">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420C0004">
      <w:pPr>
        <w:spacing w:before="72" w:after="72" w:line="400" w:lineRule="exact"/>
        <w:ind w:firstLine="3578" w:firstLineChars="1491"/>
        <w:rPr>
          <w:rFonts w:ascii="楷体" w:hAnsi="楷体" w:eastAsia="楷体" w:cs="楷体"/>
          <w:color w:val="auto"/>
          <w:sz w:val="24"/>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rPr>
        <w:t>日期：   年   月   日</w:t>
      </w:r>
    </w:p>
    <w:p w14:paraId="1CDEA928">
      <w:pPr>
        <w:numPr>
          <w:ilvl w:val="0"/>
          <w:numId w:val="76"/>
        </w:numPr>
        <w:spacing w:before="72" w:after="72" w:line="360" w:lineRule="auto"/>
        <w:jc w:val="center"/>
        <w:rPr>
          <w:rFonts w:ascii="楷体" w:hAnsi="楷体" w:eastAsia="楷体" w:cs="楷体"/>
          <w:b/>
          <w:color w:val="auto"/>
          <w:kern w:val="44"/>
          <w:sz w:val="30"/>
          <w:szCs w:val="30"/>
          <w:lang w:val="en-GB"/>
        </w:rPr>
      </w:pPr>
      <w:r>
        <w:rPr>
          <w:rFonts w:hint="eastAsia" w:ascii="楷体" w:hAnsi="楷体" w:eastAsia="楷体" w:cs="楷体"/>
          <w:b/>
          <w:color w:val="auto"/>
          <w:kern w:val="44"/>
          <w:sz w:val="30"/>
          <w:szCs w:val="30"/>
          <w:lang w:val="en-GB"/>
        </w:rPr>
        <w:t>其它重要事项说明及承诺</w:t>
      </w:r>
    </w:p>
    <w:p w14:paraId="0635D3B6">
      <w:pPr>
        <w:pStyle w:val="87"/>
        <w:adjustRightInd w:val="0"/>
        <w:snapToGrid w:val="0"/>
        <w:spacing w:before="0" w:after="0" w:line="360" w:lineRule="auto"/>
        <w:ind w:firstLine="520" w:firstLineChars="200"/>
        <w:rPr>
          <w:rFonts w:ascii="楷体" w:hAnsi="楷体" w:eastAsia="楷体" w:cs="楷体"/>
          <w:color w:val="auto"/>
          <w:szCs w:val="24"/>
        </w:rPr>
      </w:pPr>
    </w:p>
    <w:p w14:paraId="0E7E3739">
      <w:pPr>
        <w:pStyle w:val="87"/>
        <w:adjustRightInd w:val="0"/>
        <w:snapToGrid w:val="0"/>
        <w:spacing w:before="0" w:after="0" w:line="360" w:lineRule="auto"/>
        <w:ind w:firstLine="520" w:firstLineChars="200"/>
        <w:rPr>
          <w:rFonts w:ascii="楷体" w:hAnsi="楷体" w:eastAsia="楷体" w:cs="楷体"/>
          <w:color w:val="auto"/>
          <w:szCs w:val="24"/>
        </w:rPr>
      </w:pPr>
    </w:p>
    <w:p w14:paraId="02B4D499">
      <w:pPr>
        <w:pStyle w:val="87"/>
        <w:adjustRightInd w:val="0"/>
        <w:snapToGrid w:val="0"/>
        <w:spacing w:before="0" w:after="0" w:line="360" w:lineRule="auto"/>
        <w:ind w:firstLine="520" w:firstLineChars="200"/>
        <w:rPr>
          <w:rFonts w:ascii="楷体" w:hAnsi="楷体" w:eastAsia="楷体" w:cs="楷体"/>
          <w:color w:val="auto"/>
          <w:szCs w:val="24"/>
        </w:rPr>
      </w:pPr>
    </w:p>
    <w:p w14:paraId="32522579">
      <w:pPr>
        <w:pStyle w:val="87"/>
        <w:adjustRightInd w:val="0"/>
        <w:snapToGrid w:val="0"/>
        <w:spacing w:before="0" w:after="0" w:line="360" w:lineRule="auto"/>
        <w:ind w:firstLine="520" w:firstLineChars="200"/>
        <w:rPr>
          <w:rFonts w:ascii="楷体" w:hAnsi="楷体" w:eastAsia="楷体" w:cs="楷体"/>
          <w:color w:val="auto"/>
          <w:szCs w:val="24"/>
        </w:rPr>
      </w:pPr>
      <w:r>
        <w:rPr>
          <w:rFonts w:hint="eastAsia" w:ascii="楷体" w:hAnsi="楷体" w:eastAsia="楷体" w:cs="楷体"/>
          <w:color w:val="auto"/>
          <w:szCs w:val="24"/>
        </w:rPr>
        <w:t>格式自拟</w:t>
      </w:r>
    </w:p>
    <w:p w14:paraId="750EED73">
      <w:pPr>
        <w:pStyle w:val="87"/>
        <w:adjustRightInd w:val="0"/>
        <w:snapToGrid w:val="0"/>
        <w:spacing w:before="0" w:after="0" w:line="360" w:lineRule="auto"/>
        <w:ind w:firstLine="520" w:firstLineChars="200"/>
        <w:rPr>
          <w:rFonts w:ascii="楷体" w:hAnsi="楷体" w:eastAsia="楷体" w:cs="楷体"/>
          <w:color w:val="auto"/>
          <w:szCs w:val="24"/>
        </w:rPr>
      </w:pPr>
    </w:p>
    <w:p w14:paraId="351A0525">
      <w:pPr>
        <w:pStyle w:val="87"/>
        <w:adjustRightInd w:val="0"/>
        <w:snapToGrid w:val="0"/>
        <w:spacing w:before="0" w:after="0" w:line="360" w:lineRule="auto"/>
        <w:ind w:firstLine="520" w:firstLineChars="200"/>
        <w:rPr>
          <w:rFonts w:ascii="楷体" w:hAnsi="楷体" w:eastAsia="楷体" w:cs="楷体"/>
          <w:color w:val="auto"/>
          <w:szCs w:val="24"/>
        </w:rPr>
      </w:pPr>
    </w:p>
    <w:p w14:paraId="27385FDD">
      <w:pPr>
        <w:pStyle w:val="87"/>
        <w:adjustRightInd w:val="0"/>
        <w:snapToGrid w:val="0"/>
        <w:spacing w:before="0" w:after="0" w:line="360" w:lineRule="auto"/>
        <w:ind w:firstLine="520" w:firstLineChars="200"/>
        <w:rPr>
          <w:rFonts w:ascii="楷体" w:hAnsi="楷体" w:eastAsia="楷体" w:cs="楷体"/>
          <w:color w:val="auto"/>
          <w:szCs w:val="24"/>
        </w:rPr>
      </w:pPr>
    </w:p>
    <w:p w14:paraId="72B646A3">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03EBAC10">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0F4F34AB">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3999799E">
      <w:pPr>
        <w:widowControl/>
        <w:jc w:val="left"/>
        <w:rPr>
          <w:rFonts w:ascii="楷体" w:hAnsi="楷体" w:eastAsia="楷体" w:cs="楷体"/>
          <w:color w:val="auto"/>
          <w:sz w:val="24"/>
        </w:rPr>
      </w:pPr>
    </w:p>
    <w:p w14:paraId="26184A36">
      <w:pPr>
        <w:spacing w:line="400" w:lineRule="exact"/>
        <w:rPr>
          <w:rFonts w:ascii="楷体" w:hAnsi="楷体" w:eastAsia="楷体" w:cs="楷体"/>
          <w:color w:val="auto"/>
          <w:sz w:val="24"/>
        </w:rPr>
      </w:pPr>
    </w:p>
    <w:p w14:paraId="05227E48">
      <w:pPr>
        <w:pStyle w:val="4"/>
        <w:numPr>
          <w:ilvl w:val="0"/>
          <w:numId w:val="75"/>
        </w:numPr>
        <w:adjustRightInd w:val="0"/>
        <w:snapToGrid w:val="0"/>
        <w:spacing w:before="0" w:after="0" w:line="360" w:lineRule="auto"/>
        <w:jc w:val="center"/>
        <w:rPr>
          <w:rFonts w:ascii="楷体" w:hAnsi="楷体" w:eastAsia="楷体" w:cs="楷体"/>
          <w:color w:val="auto"/>
        </w:rPr>
      </w:pPr>
      <w:bookmarkStart w:id="447" w:name="_Toc22155"/>
      <w:bookmarkStart w:id="448" w:name="_Toc483642775"/>
      <w:bookmarkStart w:id="449" w:name="_Toc13511"/>
      <w:bookmarkStart w:id="450" w:name="_Toc15851"/>
      <w:r>
        <w:rPr>
          <w:rFonts w:hint="eastAsia" w:ascii="楷体" w:hAnsi="楷体" w:eastAsia="楷体" w:cs="楷体"/>
          <w:color w:val="auto"/>
        </w:rPr>
        <w:br w:type="page"/>
      </w:r>
      <w:bookmarkStart w:id="451" w:name="_Toc4616"/>
      <w:bookmarkStart w:id="452" w:name="_Toc23931"/>
      <w:r>
        <w:rPr>
          <w:rFonts w:hint="eastAsia" w:ascii="楷体" w:hAnsi="楷体" w:eastAsia="楷体" w:cs="楷体"/>
          <w:color w:val="auto"/>
        </w:rPr>
        <w:t>商务条款响应一览表</w:t>
      </w:r>
      <w:bookmarkEnd w:id="447"/>
      <w:bookmarkEnd w:id="448"/>
      <w:bookmarkEnd w:id="449"/>
      <w:bookmarkEnd w:id="450"/>
      <w:bookmarkEnd w:id="451"/>
      <w:bookmarkEnd w:id="452"/>
    </w:p>
    <w:tbl>
      <w:tblPr>
        <w:tblStyle w:val="43"/>
        <w:tblpPr w:leftFromText="180" w:rightFromText="180" w:vertAnchor="text" w:horzAnchor="page" w:tblpX="1672" w:tblpY="298"/>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378"/>
        <w:gridCol w:w="761"/>
        <w:gridCol w:w="927"/>
      </w:tblGrid>
      <w:tr w14:paraId="2ADB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18" w:type="dxa"/>
            <w:shd w:val="clear" w:color="auto" w:fill="EAEAEA"/>
            <w:vAlign w:val="center"/>
          </w:tcPr>
          <w:p w14:paraId="361A1EB6">
            <w:pPr>
              <w:adjustRightInd w:val="0"/>
              <w:snapToGrid w:val="0"/>
              <w:spacing w:before="72" w:after="72"/>
              <w:jc w:val="center"/>
              <w:rPr>
                <w:rFonts w:ascii="楷体" w:hAnsi="楷体" w:eastAsia="楷体" w:cs="楷体"/>
                <w:b/>
                <w:bCs/>
                <w:color w:val="auto"/>
                <w:sz w:val="24"/>
              </w:rPr>
            </w:pPr>
            <w:r>
              <w:rPr>
                <w:rFonts w:hint="eastAsia" w:ascii="楷体" w:hAnsi="楷体" w:eastAsia="楷体" w:cs="楷体"/>
                <w:b/>
                <w:bCs/>
                <w:color w:val="auto"/>
                <w:sz w:val="24"/>
              </w:rPr>
              <w:t>序号</w:t>
            </w:r>
          </w:p>
        </w:tc>
        <w:tc>
          <w:tcPr>
            <w:tcW w:w="6378" w:type="dxa"/>
            <w:shd w:val="clear" w:color="auto" w:fill="EAEAEA"/>
            <w:vAlign w:val="center"/>
          </w:tcPr>
          <w:p w14:paraId="23CBD3B0">
            <w:pPr>
              <w:adjustRightInd w:val="0"/>
              <w:snapToGrid w:val="0"/>
              <w:spacing w:before="72" w:after="72"/>
              <w:jc w:val="center"/>
              <w:rPr>
                <w:rFonts w:ascii="楷体" w:hAnsi="楷体" w:eastAsia="楷体" w:cs="楷体"/>
                <w:b/>
                <w:bCs/>
                <w:color w:val="auto"/>
                <w:sz w:val="24"/>
              </w:rPr>
            </w:pPr>
            <w:r>
              <w:rPr>
                <w:rFonts w:hint="eastAsia" w:ascii="楷体" w:hAnsi="楷体" w:eastAsia="楷体" w:cs="楷体"/>
                <w:b/>
                <w:bCs/>
                <w:color w:val="auto"/>
                <w:sz w:val="24"/>
              </w:rPr>
              <w:t>商务条款要求</w:t>
            </w:r>
          </w:p>
        </w:tc>
        <w:tc>
          <w:tcPr>
            <w:tcW w:w="761" w:type="dxa"/>
            <w:shd w:val="clear" w:color="auto" w:fill="EAEAEA"/>
            <w:vAlign w:val="center"/>
          </w:tcPr>
          <w:p w14:paraId="370AF662">
            <w:pPr>
              <w:adjustRightInd w:val="0"/>
              <w:snapToGrid w:val="0"/>
              <w:spacing w:before="72" w:after="72"/>
              <w:jc w:val="center"/>
              <w:rPr>
                <w:rFonts w:ascii="楷体" w:hAnsi="楷体" w:eastAsia="楷体" w:cs="楷体"/>
                <w:b/>
                <w:bCs/>
                <w:color w:val="auto"/>
                <w:sz w:val="24"/>
              </w:rPr>
            </w:pPr>
            <w:r>
              <w:rPr>
                <w:rFonts w:hint="eastAsia" w:ascii="楷体" w:hAnsi="楷体" w:eastAsia="楷体" w:cs="楷体"/>
                <w:b/>
                <w:bCs/>
                <w:color w:val="auto"/>
                <w:sz w:val="24"/>
              </w:rPr>
              <w:t>是否响应</w:t>
            </w:r>
          </w:p>
        </w:tc>
        <w:tc>
          <w:tcPr>
            <w:tcW w:w="927" w:type="dxa"/>
            <w:shd w:val="clear" w:color="auto" w:fill="EAEAEA"/>
            <w:vAlign w:val="center"/>
          </w:tcPr>
          <w:p w14:paraId="5567AA49">
            <w:pPr>
              <w:adjustRightInd w:val="0"/>
              <w:snapToGrid w:val="0"/>
              <w:spacing w:before="72" w:after="72"/>
              <w:jc w:val="center"/>
              <w:rPr>
                <w:rFonts w:ascii="楷体" w:hAnsi="楷体" w:eastAsia="楷体" w:cs="楷体"/>
                <w:b/>
                <w:bCs/>
                <w:color w:val="auto"/>
                <w:sz w:val="24"/>
              </w:rPr>
            </w:pPr>
            <w:r>
              <w:rPr>
                <w:rFonts w:hint="eastAsia" w:ascii="楷体" w:hAnsi="楷体" w:eastAsia="楷体" w:cs="楷体"/>
                <w:b/>
                <w:bCs/>
                <w:color w:val="auto"/>
                <w:sz w:val="24"/>
              </w:rPr>
              <w:t>偏离说明</w:t>
            </w:r>
          </w:p>
        </w:tc>
      </w:tr>
      <w:tr w14:paraId="3DAB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61AA5C7C">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1</w:t>
            </w:r>
          </w:p>
        </w:tc>
        <w:tc>
          <w:tcPr>
            <w:tcW w:w="6378" w:type="dxa"/>
            <w:vAlign w:val="center"/>
          </w:tcPr>
          <w:p w14:paraId="0E1EA4DD">
            <w:pPr>
              <w:rPr>
                <w:rFonts w:ascii="楷体" w:hAnsi="楷体" w:eastAsia="楷体" w:cs="楷体"/>
                <w:color w:val="auto"/>
                <w:sz w:val="24"/>
              </w:rPr>
            </w:pPr>
            <w:r>
              <w:rPr>
                <w:rFonts w:hint="eastAsia" w:ascii="楷体" w:hAnsi="楷体" w:eastAsia="楷体" w:cs="楷体"/>
                <w:color w:val="auto"/>
                <w:sz w:val="24"/>
              </w:rPr>
              <w:t>完全理解并接受合同条款要求</w:t>
            </w:r>
          </w:p>
        </w:tc>
        <w:tc>
          <w:tcPr>
            <w:tcW w:w="761" w:type="dxa"/>
            <w:vAlign w:val="center"/>
          </w:tcPr>
          <w:p w14:paraId="50EA698B">
            <w:pPr>
              <w:pStyle w:val="83"/>
              <w:keepNext w:val="0"/>
              <w:snapToGrid w:val="0"/>
              <w:spacing w:line="440" w:lineRule="exact"/>
              <w:textAlignment w:val="auto"/>
              <w:rPr>
                <w:rFonts w:ascii="楷体" w:hAnsi="楷体" w:eastAsia="楷体" w:cs="楷体"/>
                <w:snapToGrid/>
                <w:color w:val="auto"/>
                <w:spacing w:val="0"/>
                <w:kern w:val="2"/>
                <w:szCs w:val="24"/>
              </w:rPr>
            </w:pPr>
          </w:p>
        </w:tc>
        <w:tc>
          <w:tcPr>
            <w:tcW w:w="927" w:type="dxa"/>
            <w:vAlign w:val="center"/>
          </w:tcPr>
          <w:p w14:paraId="222F3DC0">
            <w:pPr>
              <w:adjustRightInd w:val="0"/>
              <w:snapToGrid w:val="0"/>
              <w:spacing w:line="440" w:lineRule="exact"/>
              <w:jc w:val="center"/>
              <w:rPr>
                <w:rFonts w:ascii="楷体" w:hAnsi="楷体" w:eastAsia="楷体" w:cs="楷体"/>
                <w:color w:val="auto"/>
                <w:sz w:val="24"/>
              </w:rPr>
            </w:pPr>
          </w:p>
        </w:tc>
      </w:tr>
      <w:tr w14:paraId="4B76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02AD3AD9">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2</w:t>
            </w:r>
          </w:p>
        </w:tc>
        <w:tc>
          <w:tcPr>
            <w:tcW w:w="6378" w:type="dxa"/>
            <w:vAlign w:val="center"/>
          </w:tcPr>
          <w:p w14:paraId="6B9708E4">
            <w:pPr>
              <w:rPr>
                <w:rFonts w:ascii="楷体" w:hAnsi="楷体" w:eastAsia="楷体" w:cs="楷体"/>
                <w:color w:val="auto"/>
                <w:sz w:val="24"/>
              </w:rPr>
            </w:pPr>
            <w:r>
              <w:rPr>
                <w:rFonts w:hint="eastAsia" w:ascii="楷体" w:hAnsi="楷体" w:eastAsia="楷体" w:cs="楷体"/>
                <w:color w:val="auto"/>
                <w:sz w:val="24"/>
              </w:rPr>
              <w:t>完全理解并接受对合格投标人、合格的服务要求</w:t>
            </w:r>
          </w:p>
        </w:tc>
        <w:tc>
          <w:tcPr>
            <w:tcW w:w="761" w:type="dxa"/>
            <w:vAlign w:val="center"/>
          </w:tcPr>
          <w:p w14:paraId="44E34A9D">
            <w:pPr>
              <w:adjustRightInd w:val="0"/>
              <w:snapToGrid w:val="0"/>
              <w:spacing w:line="440" w:lineRule="exact"/>
              <w:jc w:val="center"/>
              <w:rPr>
                <w:rFonts w:ascii="楷体" w:hAnsi="楷体" w:eastAsia="楷体" w:cs="楷体"/>
                <w:color w:val="auto"/>
                <w:sz w:val="24"/>
              </w:rPr>
            </w:pPr>
          </w:p>
        </w:tc>
        <w:tc>
          <w:tcPr>
            <w:tcW w:w="927" w:type="dxa"/>
            <w:vAlign w:val="center"/>
          </w:tcPr>
          <w:p w14:paraId="40878EB3">
            <w:pPr>
              <w:adjustRightInd w:val="0"/>
              <w:snapToGrid w:val="0"/>
              <w:spacing w:line="440" w:lineRule="exact"/>
              <w:ind w:right="-35"/>
              <w:jc w:val="center"/>
              <w:rPr>
                <w:rFonts w:ascii="楷体" w:hAnsi="楷体" w:eastAsia="楷体" w:cs="楷体"/>
                <w:color w:val="auto"/>
                <w:sz w:val="24"/>
              </w:rPr>
            </w:pPr>
          </w:p>
        </w:tc>
      </w:tr>
      <w:tr w14:paraId="606F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44282E3B">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3</w:t>
            </w:r>
          </w:p>
        </w:tc>
        <w:tc>
          <w:tcPr>
            <w:tcW w:w="6378" w:type="dxa"/>
            <w:vAlign w:val="center"/>
          </w:tcPr>
          <w:p w14:paraId="2ADA7688">
            <w:pPr>
              <w:rPr>
                <w:rFonts w:ascii="楷体" w:hAnsi="楷体" w:eastAsia="楷体" w:cs="楷体"/>
                <w:color w:val="auto"/>
                <w:sz w:val="24"/>
              </w:rPr>
            </w:pPr>
            <w:r>
              <w:rPr>
                <w:rFonts w:hint="eastAsia" w:ascii="楷体" w:hAnsi="楷体" w:eastAsia="楷体" w:cs="楷体"/>
                <w:color w:val="auto"/>
                <w:sz w:val="24"/>
              </w:rPr>
              <w:t>完全理解并接受对投标人的各项须知、规约要求和责任义务</w:t>
            </w:r>
          </w:p>
        </w:tc>
        <w:tc>
          <w:tcPr>
            <w:tcW w:w="761" w:type="dxa"/>
            <w:vAlign w:val="center"/>
          </w:tcPr>
          <w:p w14:paraId="1ECBF785">
            <w:pPr>
              <w:adjustRightInd w:val="0"/>
              <w:snapToGrid w:val="0"/>
              <w:spacing w:line="440" w:lineRule="exact"/>
              <w:jc w:val="center"/>
              <w:rPr>
                <w:rFonts w:ascii="楷体" w:hAnsi="楷体" w:eastAsia="楷体" w:cs="楷体"/>
                <w:color w:val="auto"/>
                <w:sz w:val="24"/>
              </w:rPr>
            </w:pPr>
          </w:p>
        </w:tc>
        <w:tc>
          <w:tcPr>
            <w:tcW w:w="927" w:type="dxa"/>
            <w:vAlign w:val="center"/>
          </w:tcPr>
          <w:p w14:paraId="04CE007C">
            <w:pPr>
              <w:adjustRightInd w:val="0"/>
              <w:snapToGrid w:val="0"/>
              <w:spacing w:line="440" w:lineRule="exact"/>
              <w:ind w:right="-35"/>
              <w:jc w:val="center"/>
              <w:rPr>
                <w:rFonts w:ascii="楷体" w:hAnsi="楷体" w:eastAsia="楷体" w:cs="楷体"/>
                <w:color w:val="auto"/>
                <w:sz w:val="24"/>
              </w:rPr>
            </w:pPr>
          </w:p>
        </w:tc>
      </w:tr>
      <w:tr w14:paraId="45E4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6BA066B9">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4</w:t>
            </w:r>
          </w:p>
        </w:tc>
        <w:tc>
          <w:tcPr>
            <w:tcW w:w="6378" w:type="dxa"/>
            <w:vAlign w:val="center"/>
          </w:tcPr>
          <w:p w14:paraId="0601CB49">
            <w:pPr>
              <w:rPr>
                <w:rFonts w:ascii="楷体" w:hAnsi="楷体" w:eastAsia="楷体" w:cs="楷体"/>
                <w:color w:val="auto"/>
                <w:sz w:val="24"/>
              </w:rPr>
            </w:pPr>
            <w:r>
              <w:rPr>
                <w:rFonts w:hint="eastAsia" w:ascii="楷体" w:hAnsi="楷体" w:eastAsia="楷体" w:cs="楷体"/>
                <w:color w:val="auto"/>
                <w:sz w:val="24"/>
              </w:rPr>
              <w:t>投标有效期：投标有效期为自递交投标文件起至确定正式中标人止不少于</w:t>
            </w:r>
            <w:r>
              <w:rPr>
                <w:rFonts w:hint="eastAsia" w:ascii="楷体" w:hAnsi="楷体" w:eastAsia="楷体" w:cs="楷体"/>
                <w:color w:val="auto"/>
                <w:sz w:val="24"/>
                <w:u w:val="single"/>
              </w:rPr>
              <w:t xml:space="preserve">90 </w:t>
            </w:r>
            <w:r>
              <w:rPr>
                <w:rFonts w:hint="eastAsia" w:ascii="楷体" w:hAnsi="楷体" w:eastAsia="楷体" w:cs="楷体"/>
                <w:color w:val="auto"/>
                <w:sz w:val="24"/>
              </w:rPr>
              <w:t>天，中标单位有效期至项目验收之日</w:t>
            </w:r>
          </w:p>
        </w:tc>
        <w:tc>
          <w:tcPr>
            <w:tcW w:w="761" w:type="dxa"/>
            <w:vAlign w:val="center"/>
          </w:tcPr>
          <w:p w14:paraId="5A9F0732">
            <w:pPr>
              <w:adjustRightInd w:val="0"/>
              <w:snapToGrid w:val="0"/>
              <w:spacing w:line="440" w:lineRule="exact"/>
              <w:jc w:val="center"/>
              <w:rPr>
                <w:rFonts w:ascii="楷体" w:hAnsi="楷体" w:eastAsia="楷体" w:cs="楷体"/>
                <w:color w:val="auto"/>
                <w:sz w:val="24"/>
              </w:rPr>
            </w:pPr>
          </w:p>
        </w:tc>
        <w:tc>
          <w:tcPr>
            <w:tcW w:w="927" w:type="dxa"/>
            <w:vAlign w:val="center"/>
          </w:tcPr>
          <w:p w14:paraId="3246E253">
            <w:pPr>
              <w:adjustRightInd w:val="0"/>
              <w:snapToGrid w:val="0"/>
              <w:spacing w:line="440" w:lineRule="exact"/>
              <w:ind w:right="-35"/>
              <w:jc w:val="center"/>
              <w:rPr>
                <w:rFonts w:ascii="楷体" w:hAnsi="楷体" w:eastAsia="楷体" w:cs="楷体"/>
                <w:color w:val="auto"/>
                <w:sz w:val="24"/>
              </w:rPr>
            </w:pPr>
          </w:p>
        </w:tc>
      </w:tr>
      <w:tr w14:paraId="4520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193A7D08">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5</w:t>
            </w:r>
          </w:p>
        </w:tc>
        <w:tc>
          <w:tcPr>
            <w:tcW w:w="6378" w:type="dxa"/>
            <w:vAlign w:val="center"/>
          </w:tcPr>
          <w:p w14:paraId="71C2FC62">
            <w:pPr>
              <w:rPr>
                <w:rFonts w:ascii="楷体" w:hAnsi="楷体" w:eastAsia="楷体" w:cs="楷体"/>
                <w:color w:val="auto"/>
                <w:sz w:val="24"/>
              </w:rPr>
            </w:pPr>
            <w:r>
              <w:rPr>
                <w:rFonts w:hint="eastAsia" w:ascii="楷体" w:hAnsi="楷体" w:eastAsia="楷体" w:cs="楷体"/>
                <w:color w:val="auto"/>
                <w:sz w:val="24"/>
              </w:rPr>
              <w:t>报价内容均涵盖报价要求之一切费用和伴随服务</w:t>
            </w:r>
          </w:p>
        </w:tc>
        <w:tc>
          <w:tcPr>
            <w:tcW w:w="761" w:type="dxa"/>
            <w:vAlign w:val="center"/>
          </w:tcPr>
          <w:p w14:paraId="4A8A1123">
            <w:pPr>
              <w:adjustRightInd w:val="0"/>
              <w:snapToGrid w:val="0"/>
              <w:spacing w:line="440" w:lineRule="exact"/>
              <w:jc w:val="center"/>
              <w:rPr>
                <w:rFonts w:ascii="楷体" w:hAnsi="楷体" w:eastAsia="楷体" w:cs="楷体"/>
                <w:color w:val="auto"/>
                <w:sz w:val="24"/>
              </w:rPr>
            </w:pPr>
          </w:p>
        </w:tc>
        <w:tc>
          <w:tcPr>
            <w:tcW w:w="927" w:type="dxa"/>
            <w:vAlign w:val="center"/>
          </w:tcPr>
          <w:p w14:paraId="15217BF1">
            <w:pPr>
              <w:adjustRightInd w:val="0"/>
              <w:snapToGrid w:val="0"/>
              <w:spacing w:line="440" w:lineRule="exact"/>
              <w:ind w:right="-35"/>
              <w:jc w:val="center"/>
              <w:rPr>
                <w:rFonts w:ascii="楷体" w:hAnsi="楷体" w:eastAsia="楷体" w:cs="楷体"/>
                <w:color w:val="auto"/>
                <w:sz w:val="24"/>
              </w:rPr>
            </w:pPr>
          </w:p>
        </w:tc>
      </w:tr>
      <w:tr w14:paraId="67BE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268799AA">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6</w:t>
            </w:r>
          </w:p>
        </w:tc>
        <w:tc>
          <w:tcPr>
            <w:tcW w:w="6378" w:type="dxa"/>
            <w:vAlign w:val="center"/>
          </w:tcPr>
          <w:p w14:paraId="565B850C">
            <w:pPr>
              <w:rPr>
                <w:rFonts w:ascii="楷体" w:hAnsi="楷体" w:eastAsia="楷体" w:cs="楷体"/>
                <w:color w:val="auto"/>
                <w:sz w:val="24"/>
              </w:rPr>
            </w:pPr>
            <w:r>
              <w:rPr>
                <w:rFonts w:hint="eastAsia" w:ascii="楷体" w:hAnsi="楷体" w:eastAsia="楷体" w:cs="楷体"/>
                <w:color w:val="auto"/>
                <w:sz w:val="24"/>
              </w:rPr>
              <w:t>所提供的报价不高于本公司目前的报价水平</w:t>
            </w:r>
          </w:p>
        </w:tc>
        <w:tc>
          <w:tcPr>
            <w:tcW w:w="761" w:type="dxa"/>
            <w:vAlign w:val="center"/>
          </w:tcPr>
          <w:p w14:paraId="001B2CF4">
            <w:pPr>
              <w:adjustRightInd w:val="0"/>
              <w:snapToGrid w:val="0"/>
              <w:spacing w:line="440" w:lineRule="exact"/>
              <w:jc w:val="center"/>
              <w:rPr>
                <w:rFonts w:ascii="楷体" w:hAnsi="楷体" w:eastAsia="楷体" w:cs="楷体"/>
                <w:color w:val="auto"/>
                <w:sz w:val="24"/>
              </w:rPr>
            </w:pPr>
          </w:p>
        </w:tc>
        <w:tc>
          <w:tcPr>
            <w:tcW w:w="927" w:type="dxa"/>
            <w:vAlign w:val="center"/>
          </w:tcPr>
          <w:p w14:paraId="506DC58C">
            <w:pPr>
              <w:adjustRightInd w:val="0"/>
              <w:snapToGrid w:val="0"/>
              <w:spacing w:line="440" w:lineRule="exact"/>
              <w:ind w:right="-35"/>
              <w:jc w:val="center"/>
              <w:rPr>
                <w:rFonts w:ascii="楷体" w:hAnsi="楷体" w:eastAsia="楷体" w:cs="楷体"/>
                <w:color w:val="auto"/>
                <w:sz w:val="24"/>
              </w:rPr>
            </w:pPr>
          </w:p>
        </w:tc>
      </w:tr>
      <w:tr w14:paraId="0CDE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632798F4">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7</w:t>
            </w:r>
          </w:p>
        </w:tc>
        <w:tc>
          <w:tcPr>
            <w:tcW w:w="6378" w:type="dxa"/>
            <w:vAlign w:val="center"/>
          </w:tcPr>
          <w:p w14:paraId="179307A6">
            <w:pPr>
              <w:rPr>
                <w:rFonts w:ascii="楷体" w:hAnsi="楷体" w:eastAsia="楷体" w:cs="楷体"/>
                <w:color w:val="auto"/>
                <w:sz w:val="24"/>
              </w:rPr>
            </w:pPr>
            <w:r>
              <w:rPr>
                <w:rFonts w:hint="eastAsia" w:ascii="楷体" w:hAnsi="楷体" w:eastAsia="楷体" w:cs="楷体"/>
                <w:color w:val="auto"/>
                <w:sz w:val="24"/>
              </w:rPr>
              <w:t>满足对售后服务的各项要求，在设有已注册（或合作代理）的售后服务营业性机构</w:t>
            </w:r>
          </w:p>
        </w:tc>
        <w:tc>
          <w:tcPr>
            <w:tcW w:w="761" w:type="dxa"/>
            <w:vAlign w:val="center"/>
          </w:tcPr>
          <w:p w14:paraId="6D19391F">
            <w:pPr>
              <w:adjustRightInd w:val="0"/>
              <w:snapToGrid w:val="0"/>
              <w:spacing w:line="440" w:lineRule="exact"/>
              <w:jc w:val="center"/>
              <w:rPr>
                <w:rFonts w:ascii="楷体" w:hAnsi="楷体" w:eastAsia="楷体" w:cs="楷体"/>
                <w:color w:val="auto"/>
                <w:sz w:val="24"/>
              </w:rPr>
            </w:pPr>
          </w:p>
        </w:tc>
        <w:tc>
          <w:tcPr>
            <w:tcW w:w="927" w:type="dxa"/>
            <w:vAlign w:val="center"/>
          </w:tcPr>
          <w:p w14:paraId="03206142">
            <w:pPr>
              <w:adjustRightInd w:val="0"/>
              <w:snapToGrid w:val="0"/>
              <w:spacing w:line="440" w:lineRule="exact"/>
              <w:jc w:val="center"/>
              <w:rPr>
                <w:rFonts w:ascii="楷体" w:hAnsi="楷体" w:eastAsia="楷体" w:cs="楷体"/>
                <w:color w:val="auto"/>
                <w:sz w:val="24"/>
              </w:rPr>
            </w:pPr>
          </w:p>
        </w:tc>
      </w:tr>
      <w:tr w14:paraId="1FC4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49CF414A">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8</w:t>
            </w:r>
          </w:p>
        </w:tc>
        <w:tc>
          <w:tcPr>
            <w:tcW w:w="6378" w:type="dxa"/>
            <w:vAlign w:val="center"/>
          </w:tcPr>
          <w:p w14:paraId="020CEF47">
            <w:pPr>
              <w:rPr>
                <w:rFonts w:ascii="楷体" w:hAnsi="楷体" w:eastAsia="楷体" w:cs="楷体"/>
                <w:color w:val="auto"/>
                <w:sz w:val="24"/>
              </w:rPr>
            </w:pPr>
            <w:r>
              <w:rPr>
                <w:rFonts w:hint="eastAsia" w:ascii="楷体" w:hAnsi="楷体" w:eastAsia="楷体" w:cs="楷体"/>
                <w:color w:val="auto"/>
                <w:sz w:val="24"/>
                <w:lang w:val="en-GB"/>
              </w:rPr>
              <w:t>同意接受合同范本所列述的各项条款</w:t>
            </w:r>
          </w:p>
        </w:tc>
        <w:tc>
          <w:tcPr>
            <w:tcW w:w="761" w:type="dxa"/>
            <w:vAlign w:val="center"/>
          </w:tcPr>
          <w:p w14:paraId="2E9A04D3">
            <w:pPr>
              <w:adjustRightInd w:val="0"/>
              <w:snapToGrid w:val="0"/>
              <w:spacing w:line="440" w:lineRule="exact"/>
              <w:jc w:val="center"/>
              <w:rPr>
                <w:rFonts w:ascii="楷体" w:hAnsi="楷体" w:eastAsia="楷体" w:cs="楷体"/>
                <w:color w:val="auto"/>
                <w:sz w:val="24"/>
              </w:rPr>
            </w:pPr>
          </w:p>
        </w:tc>
        <w:tc>
          <w:tcPr>
            <w:tcW w:w="927" w:type="dxa"/>
            <w:vAlign w:val="center"/>
          </w:tcPr>
          <w:p w14:paraId="384ECC62">
            <w:pPr>
              <w:adjustRightInd w:val="0"/>
              <w:snapToGrid w:val="0"/>
              <w:spacing w:line="440" w:lineRule="exact"/>
              <w:jc w:val="center"/>
              <w:rPr>
                <w:rFonts w:ascii="楷体" w:hAnsi="楷体" w:eastAsia="楷体" w:cs="楷体"/>
                <w:color w:val="auto"/>
                <w:sz w:val="24"/>
              </w:rPr>
            </w:pPr>
          </w:p>
        </w:tc>
      </w:tr>
      <w:tr w14:paraId="46D0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532FD075">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9</w:t>
            </w:r>
          </w:p>
        </w:tc>
        <w:tc>
          <w:tcPr>
            <w:tcW w:w="6378" w:type="dxa"/>
            <w:vAlign w:val="center"/>
          </w:tcPr>
          <w:p w14:paraId="19696E37">
            <w:pPr>
              <w:rPr>
                <w:rFonts w:ascii="楷体" w:hAnsi="楷体" w:eastAsia="楷体" w:cs="楷体"/>
                <w:color w:val="auto"/>
                <w:sz w:val="24"/>
              </w:rPr>
            </w:pPr>
            <w:r>
              <w:rPr>
                <w:rFonts w:hint="eastAsia" w:ascii="楷体" w:hAnsi="楷体" w:eastAsia="楷体" w:cs="楷体"/>
                <w:color w:val="auto"/>
                <w:sz w:val="24"/>
              </w:rPr>
              <w:t>同意按本项目要求缴付相关款项</w:t>
            </w:r>
          </w:p>
        </w:tc>
        <w:tc>
          <w:tcPr>
            <w:tcW w:w="761" w:type="dxa"/>
            <w:vAlign w:val="center"/>
          </w:tcPr>
          <w:p w14:paraId="2BD201BB">
            <w:pPr>
              <w:adjustRightInd w:val="0"/>
              <w:snapToGrid w:val="0"/>
              <w:spacing w:line="440" w:lineRule="exact"/>
              <w:jc w:val="center"/>
              <w:rPr>
                <w:rFonts w:ascii="楷体" w:hAnsi="楷体" w:eastAsia="楷体" w:cs="楷体"/>
                <w:color w:val="auto"/>
                <w:sz w:val="24"/>
                <w:lang w:val="en-GB"/>
              </w:rPr>
            </w:pPr>
          </w:p>
        </w:tc>
        <w:tc>
          <w:tcPr>
            <w:tcW w:w="927" w:type="dxa"/>
            <w:vAlign w:val="center"/>
          </w:tcPr>
          <w:p w14:paraId="41E40411">
            <w:pPr>
              <w:adjustRightInd w:val="0"/>
              <w:snapToGrid w:val="0"/>
              <w:spacing w:line="440" w:lineRule="exact"/>
              <w:jc w:val="center"/>
              <w:rPr>
                <w:rFonts w:ascii="楷体" w:hAnsi="楷体" w:eastAsia="楷体" w:cs="楷体"/>
                <w:color w:val="auto"/>
                <w:sz w:val="24"/>
              </w:rPr>
            </w:pPr>
          </w:p>
        </w:tc>
      </w:tr>
      <w:tr w14:paraId="743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0C654745">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10</w:t>
            </w:r>
          </w:p>
        </w:tc>
        <w:tc>
          <w:tcPr>
            <w:tcW w:w="6378" w:type="dxa"/>
            <w:vAlign w:val="center"/>
          </w:tcPr>
          <w:p w14:paraId="37152F0E">
            <w:pPr>
              <w:rPr>
                <w:rFonts w:ascii="楷体" w:hAnsi="楷体" w:eastAsia="楷体" w:cs="楷体"/>
                <w:color w:val="auto"/>
                <w:sz w:val="24"/>
              </w:rPr>
            </w:pPr>
            <w:r>
              <w:rPr>
                <w:rFonts w:hint="eastAsia" w:ascii="楷体" w:hAnsi="楷体" w:eastAsia="楷体" w:cs="楷体"/>
                <w:color w:val="auto"/>
                <w:sz w:val="24"/>
              </w:rPr>
              <w:t>同意招标人以任何形式对我方投标文件内容的真实性和有效性进行审查、验证</w:t>
            </w:r>
          </w:p>
        </w:tc>
        <w:tc>
          <w:tcPr>
            <w:tcW w:w="761" w:type="dxa"/>
            <w:vAlign w:val="center"/>
          </w:tcPr>
          <w:p w14:paraId="366F5FAF">
            <w:pPr>
              <w:adjustRightInd w:val="0"/>
              <w:snapToGrid w:val="0"/>
              <w:spacing w:line="440" w:lineRule="exact"/>
              <w:jc w:val="center"/>
              <w:rPr>
                <w:rFonts w:ascii="楷体" w:hAnsi="楷体" w:eastAsia="楷体" w:cs="楷体"/>
                <w:color w:val="auto"/>
                <w:sz w:val="24"/>
              </w:rPr>
            </w:pPr>
          </w:p>
        </w:tc>
        <w:tc>
          <w:tcPr>
            <w:tcW w:w="927" w:type="dxa"/>
            <w:vAlign w:val="center"/>
          </w:tcPr>
          <w:p w14:paraId="48E075E0">
            <w:pPr>
              <w:pStyle w:val="83"/>
              <w:keepNext w:val="0"/>
              <w:snapToGrid w:val="0"/>
              <w:spacing w:line="440" w:lineRule="exact"/>
              <w:textAlignment w:val="auto"/>
              <w:rPr>
                <w:rFonts w:ascii="楷体" w:hAnsi="楷体" w:eastAsia="楷体" w:cs="楷体"/>
                <w:snapToGrid/>
                <w:color w:val="auto"/>
                <w:spacing w:val="0"/>
                <w:kern w:val="2"/>
                <w:szCs w:val="24"/>
              </w:rPr>
            </w:pPr>
          </w:p>
        </w:tc>
      </w:tr>
      <w:tr w14:paraId="2603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8" w:type="dxa"/>
            <w:vAlign w:val="center"/>
          </w:tcPr>
          <w:p w14:paraId="72226FD8">
            <w:pPr>
              <w:adjustRightInd w:val="0"/>
              <w:snapToGrid w:val="0"/>
              <w:spacing w:line="440" w:lineRule="exact"/>
              <w:jc w:val="center"/>
              <w:rPr>
                <w:rFonts w:ascii="楷体" w:hAnsi="楷体" w:eastAsia="楷体" w:cs="楷体"/>
                <w:color w:val="auto"/>
                <w:sz w:val="24"/>
              </w:rPr>
            </w:pPr>
            <w:r>
              <w:rPr>
                <w:rFonts w:hint="eastAsia" w:ascii="楷体" w:hAnsi="楷体" w:eastAsia="楷体" w:cs="楷体"/>
                <w:color w:val="auto"/>
                <w:sz w:val="24"/>
              </w:rPr>
              <w:t>11</w:t>
            </w:r>
          </w:p>
        </w:tc>
        <w:tc>
          <w:tcPr>
            <w:tcW w:w="6378" w:type="dxa"/>
            <w:vAlign w:val="center"/>
          </w:tcPr>
          <w:p w14:paraId="1F71B241">
            <w:pPr>
              <w:rPr>
                <w:rFonts w:ascii="楷体" w:hAnsi="楷体" w:eastAsia="楷体" w:cs="楷体"/>
                <w:color w:val="auto"/>
                <w:sz w:val="24"/>
              </w:rPr>
            </w:pPr>
            <w:r>
              <w:rPr>
                <w:rFonts w:hint="eastAsia" w:ascii="楷体" w:hAnsi="楷体" w:eastAsia="楷体" w:cs="楷体"/>
                <w:color w:val="auto"/>
                <w:sz w:val="24"/>
              </w:rPr>
              <w:t>其它商务条款偏离说明：</w:t>
            </w:r>
          </w:p>
        </w:tc>
        <w:tc>
          <w:tcPr>
            <w:tcW w:w="761" w:type="dxa"/>
            <w:vAlign w:val="center"/>
          </w:tcPr>
          <w:p w14:paraId="79E801BE">
            <w:pPr>
              <w:adjustRightInd w:val="0"/>
              <w:snapToGrid w:val="0"/>
              <w:spacing w:line="440" w:lineRule="exact"/>
              <w:jc w:val="center"/>
              <w:rPr>
                <w:rFonts w:ascii="楷体" w:hAnsi="楷体" w:eastAsia="楷体" w:cs="楷体"/>
                <w:color w:val="auto"/>
                <w:sz w:val="24"/>
              </w:rPr>
            </w:pPr>
          </w:p>
        </w:tc>
        <w:tc>
          <w:tcPr>
            <w:tcW w:w="927" w:type="dxa"/>
            <w:vAlign w:val="center"/>
          </w:tcPr>
          <w:p w14:paraId="2AB6715E">
            <w:pPr>
              <w:pStyle w:val="83"/>
              <w:keepNext w:val="0"/>
              <w:snapToGrid w:val="0"/>
              <w:spacing w:line="440" w:lineRule="exact"/>
              <w:textAlignment w:val="auto"/>
              <w:rPr>
                <w:rFonts w:ascii="楷体" w:hAnsi="楷体" w:eastAsia="楷体" w:cs="楷体"/>
                <w:snapToGrid/>
                <w:color w:val="auto"/>
                <w:spacing w:val="0"/>
                <w:kern w:val="2"/>
                <w:szCs w:val="24"/>
              </w:rPr>
            </w:pPr>
          </w:p>
        </w:tc>
      </w:tr>
    </w:tbl>
    <w:p w14:paraId="60521EFA">
      <w:pPr>
        <w:spacing w:line="360" w:lineRule="auto"/>
        <w:ind w:left="840" w:hanging="840" w:hangingChars="350"/>
        <w:rPr>
          <w:rFonts w:ascii="楷体" w:hAnsi="楷体" w:eastAsia="楷体" w:cs="楷体"/>
          <w:color w:val="auto"/>
          <w:sz w:val="24"/>
          <w:lang w:val="en-GB"/>
        </w:rPr>
      </w:pPr>
      <w:r>
        <w:rPr>
          <w:rFonts w:hint="eastAsia" w:ascii="楷体" w:hAnsi="楷体" w:eastAsia="楷体" w:cs="楷体"/>
          <w:color w:val="auto"/>
          <w:sz w:val="24"/>
          <w:lang w:val="en-GB"/>
        </w:rPr>
        <w:t xml:space="preserve">注： </w:t>
      </w:r>
    </w:p>
    <w:p w14:paraId="7FA66A02">
      <w:pPr>
        <w:numPr>
          <w:ilvl w:val="0"/>
          <w:numId w:val="79"/>
        </w:numPr>
        <w:spacing w:line="360" w:lineRule="auto"/>
        <w:rPr>
          <w:rFonts w:ascii="楷体" w:hAnsi="楷体" w:eastAsia="楷体" w:cs="楷体"/>
          <w:color w:val="auto"/>
          <w:sz w:val="24"/>
          <w:lang w:val="en-GB"/>
        </w:rPr>
      </w:pPr>
      <w:r>
        <w:rPr>
          <w:rFonts w:hint="eastAsia" w:ascii="楷体" w:hAnsi="楷体" w:eastAsia="楷体" w:cs="楷体"/>
          <w:color w:val="auto"/>
          <w:sz w:val="24"/>
        </w:rPr>
        <w:t>对</w:t>
      </w:r>
      <w:r>
        <w:rPr>
          <w:rFonts w:hint="eastAsia" w:ascii="楷体" w:hAnsi="楷体" w:eastAsia="楷体" w:cs="楷体"/>
          <w:color w:val="auto"/>
          <w:sz w:val="24"/>
          <w:lang w:val="en-GB"/>
        </w:rPr>
        <w:t>于上述要求，如投标人完全响应，则在“是否响应”栏内打“√”；对空白或打“×”视为偏离，请在“偏离说明”栏内扼要说明偏离情况。</w:t>
      </w:r>
    </w:p>
    <w:p w14:paraId="7405215C">
      <w:pPr>
        <w:numPr>
          <w:ilvl w:val="0"/>
          <w:numId w:val="79"/>
        </w:numPr>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本表内容不得擅自修改。</w:t>
      </w:r>
    </w:p>
    <w:p w14:paraId="64BE6627">
      <w:pPr>
        <w:adjustRightInd w:val="0"/>
        <w:snapToGrid w:val="0"/>
        <w:spacing w:before="72" w:after="72" w:line="480" w:lineRule="auto"/>
        <w:ind w:firstLine="3578" w:firstLineChars="1491"/>
        <w:rPr>
          <w:rFonts w:ascii="楷体" w:hAnsi="楷体" w:eastAsia="楷体" w:cs="楷体"/>
          <w:color w:val="auto"/>
          <w:sz w:val="24"/>
        </w:rPr>
      </w:pPr>
    </w:p>
    <w:p w14:paraId="058FB7A4">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4D48D9CB">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2EF9ED0C">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66D6E577">
      <w:pPr>
        <w:adjustRightInd w:val="0"/>
        <w:snapToGrid w:val="0"/>
        <w:spacing w:before="72" w:after="72" w:line="480" w:lineRule="auto"/>
        <w:ind w:firstLine="3578" w:firstLineChars="1491"/>
        <w:rPr>
          <w:rFonts w:ascii="楷体" w:hAnsi="楷体" w:eastAsia="楷体" w:cs="楷体"/>
          <w:color w:val="auto"/>
          <w:sz w:val="24"/>
        </w:rPr>
      </w:pPr>
    </w:p>
    <w:p w14:paraId="7492B040">
      <w:pPr>
        <w:adjustRightInd w:val="0"/>
        <w:snapToGrid w:val="0"/>
        <w:spacing w:before="72" w:after="72" w:line="480" w:lineRule="auto"/>
        <w:ind w:firstLine="3578" w:firstLineChars="1491"/>
        <w:rPr>
          <w:rFonts w:ascii="楷体" w:hAnsi="楷体" w:eastAsia="楷体" w:cs="楷体"/>
          <w:color w:val="auto"/>
          <w:sz w:val="24"/>
        </w:rPr>
        <w:sectPr>
          <w:pgSz w:w="11906" w:h="16838"/>
          <w:pgMar w:top="1440" w:right="1800" w:bottom="1440" w:left="1800" w:header="851" w:footer="992" w:gutter="0"/>
          <w:cols w:space="720" w:num="1"/>
          <w:docGrid w:linePitch="312" w:charSpace="0"/>
        </w:sectPr>
      </w:pPr>
    </w:p>
    <w:p w14:paraId="72A7527E">
      <w:pPr>
        <w:pStyle w:val="4"/>
        <w:numPr>
          <w:ilvl w:val="0"/>
          <w:numId w:val="75"/>
        </w:numPr>
        <w:jc w:val="center"/>
        <w:rPr>
          <w:rFonts w:ascii="楷体" w:hAnsi="楷体" w:eastAsia="楷体" w:cs="楷体"/>
          <w:color w:val="auto"/>
        </w:rPr>
      </w:pPr>
      <w:bookmarkStart w:id="453" w:name="_Toc23765"/>
      <w:bookmarkStart w:id="454" w:name="_Toc15016"/>
      <w:r>
        <w:rPr>
          <w:rFonts w:hint="eastAsia" w:ascii="楷体" w:hAnsi="楷体" w:eastAsia="楷体" w:cs="楷体"/>
          <w:color w:val="auto"/>
        </w:rPr>
        <w:t>用户需求书响应</w:t>
      </w:r>
      <w:bookmarkEnd w:id="453"/>
      <w:bookmarkEnd w:id="454"/>
    </w:p>
    <w:p w14:paraId="5F56F7D5">
      <w:pPr>
        <w:numPr>
          <w:ilvl w:val="0"/>
          <w:numId w:val="80"/>
        </w:numPr>
        <w:spacing w:before="72" w:after="72"/>
        <w:jc w:val="center"/>
        <w:rPr>
          <w:rFonts w:ascii="楷体" w:hAnsi="楷体" w:eastAsia="楷体" w:cs="楷体"/>
          <w:b/>
          <w:color w:val="auto"/>
          <w:sz w:val="28"/>
          <w:szCs w:val="28"/>
        </w:rPr>
      </w:pPr>
      <w:r>
        <w:rPr>
          <w:rFonts w:hint="eastAsia" w:ascii="楷体" w:hAnsi="楷体" w:eastAsia="楷体" w:cs="楷体"/>
          <w:b/>
          <w:color w:val="auto"/>
          <w:sz w:val="28"/>
          <w:szCs w:val="28"/>
        </w:rPr>
        <w:t>实质性响应条款（“</w:t>
      </w:r>
      <w:r>
        <w:rPr>
          <w:rFonts w:hint="eastAsia" w:ascii="楷体" w:hAnsi="楷体" w:eastAsia="楷体" w:cs="楷体"/>
          <w:color w:val="auto"/>
          <w:sz w:val="28"/>
          <w:szCs w:val="28"/>
          <w:lang w:val="en-GB"/>
        </w:rPr>
        <w:t>★</w:t>
      </w:r>
      <w:r>
        <w:rPr>
          <w:rFonts w:hint="eastAsia" w:ascii="楷体" w:hAnsi="楷体" w:eastAsia="楷体" w:cs="楷体"/>
          <w:b/>
          <w:color w:val="auto"/>
          <w:sz w:val="28"/>
          <w:szCs w:val="28"/>
        </w:rPr>
        <w:t>”项）响应表</w:t>
      </w:r>
    </w:p>
    <w:tbl>
      <w:tblPr>
        <w:tblStyle w:val="4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169"/>
        <w:gridCol w:w="3484"/>
        <w:gridCol w:w="2484"/>
      </w:tblGrid>
      <w:tr w14:paraId="46F7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20" w:type="dxa"/>
            <w:shd w:val="clear" w:color="auto" w:fill="E6E6E6"/>
            <w:vAlign w:val="center"/>
          </w:tcPr>
          <w:p w14:paraId="7F8C3027">
            <w:pPr>
              <w:spacing w:before="72" w:after="72"/>
              <w:jc w:val="center"/>
              <w:rPr>
                <w:rFonts w:ascii="楷体" w:hAnsi="楷体" w:eastAsia="楷体" w:cs="楷体"/>
                <w:b/>
                <w:color w:val="auto"/>
                <w:sz w:val="24"/>
              </w:rPr>
            </w:pPr>
            <w:r>
              <w:rPr>
                <w:rFonts w:hint="eastAsia" w:ascii="楷体" w:hAnsi="楷体" w:eastAsia="楷体" w:cs="楷体"/>
                <w:b/>
                <w:color w:val="auto"/>
                <w:sz w:val="24"/>
              </w:rPr>
              <w:t>序号</w:t>
            </w:r>
          </w:p>
        </w:tc>
        <w:tc>
          <w:tcPr>
            <w:tcW w:w="2169" w:type="dxa"/>
            <w:shd w:val="clear" w:color="auto" w:fill="E6E6E6"/>
            <w:vAlign w:val="center"/>
          </w:tcPr>
          <w:p w14:paraId="7F511801">
            <w:pPr>
              <w:spacing w:before="72" w:after="72"/>
              <w:jc w:val="center"/>
              <w:rPr>
                <w:rFonts w:ascii="楷体" w:hAnsi="楷体" w:eastAsia="楷体" w:cs="楷体"/>
                <w:b/>
                <w:color w:val="auto"/>
                <w:sz w:val="24"/>
              </w:rPr>
            </w:pPr>
            <w:r>
              <w:rPr>
                <w:rFonts w:hint="eastAsia" w:ascii="楷体" w:hAnsi="楷体" w:eastAsia="楷体" w:cs="楷体"/>
                <w:b/>
                <w:color w:val="auto"/>
                <w:sz w:val="24"/>
              </w:rPr>
              <w:t>招标文件要求</w:t>
            </w:r>
          </w:p>
        </w:tc>
        <w:tc>
          <w:tcPr>
            <w:tcW w:w="3484" w:type="dxa"/>
            <w:shd w:val="clear" w:color="auto" w:fill="E6E6E6"/>
            <w:vAlign w:val="center"/>
          </w:tcPr>
          <w:p w14:paraId="7AE4B2F3">
            <w:pPr>
              <w:spacing w:before="72" w:after="72"/>
              <w:jc w:val="center"/>
              <w:rPr>
                <w:rFonts w:ascii="楷体" w:hAnsi="楷体" w:eastAsia="楷体" w:cs="楷体"/>
                <w:b/>
                <w:color w:val="auto"/>
                <w:sz w:val="24"/>
              </w:rPr>
            </w:pPr>
            <w:r>
              <w:rPr>
                <w:rFonts w:hint="eastAsia" w:ascii="楷体" w:hAnsi="楷体" w:eastAsia="楷体" w:cs="楷体"/>
                <w:b/>
                <w:color w:val="auto"/>
                <w:sz w:val="24"/>
              </w:rPr>
              <w:t>投标实际情况</w:t>
            </w:r>
          </w:p>
        </w:tc>
        <w:tc>
          <w:tcPr>
            <w:tcW w:w="2484" w:type="dxa"/>
            <w:shd w:val="clear" w:color="auto" w:fill="E6E6E6"/>
            <w:vAlign w:val="center"/>
          </w:tcPr>
          <w:p w14:paraId="2FD34F94">
            <w:pPr>
              <w:spacing w:before="72" w:after="72"/>
              <w:jc w:val="center"/>
              <w:rPr>
                <w:rFonts w:ascii="楷体" w:hAnsi="楷体" w:eastAsia="楷体" w:cs="楷体"/>
                <w:b/>
                <w:color w:val="auto"/>
                <w:sz w:val="24"/>
              </w:rPr>
            </w:pPr>
            <w:r>
              <w:rPr>
                <w:rFonts w:hint="eastAsia" w:ascii="楷体" w:hAnsi="楷体" w:eastAsia="楷体" w:cs="楷体"/>
                <w:b/>
                <w:color w:val="auto"/>
                <w:sz w:val="24"/>
              </w:rPr>
              <w:t>偏离情况说明（无偏离/正偏离/负偏离）</w:t>
            </w:r>
          </w:p>
        </w:tc>
      </w:tr>
      <w:tr w14:paraId="7EBC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0518E34A">
            <w:pPr>
              <w:spacing w:before="72" w:after="72"/>
              <w:jc w:val="center"/>
              <w:rPr>
                <w:rFonts w:ascii="楷体" w:hAnsi="楷体" w:eastAsia="楷体" w:cs="楷体"/>
                <w:color w:val="auto"/>
                <w:sz w:val="24"/>
              </w:rPr>
            </w:pPr>
            <w:r>
              <w:rPr>
                <w:rFonts w:hint="eastAsia" w:ascii="楷体" w:hAnsi="楷体" w:eastAsia="楷体" w:cs="楷体"/>
                <w:color w:val="auto"/>
                <w:sz w:val="24"/>
              </w:rPr>
              <w:t>1</w:t>
            </w:r>
          </w:p>
        </w:tc>
        <w:tc>
          <w:tcPr>
            <w:tcW w:w="2169" w:type="dxa"/>
          </w:tcPr>
          <w:p w14:paraId="096DBFF2">
            <w:pPr>
              <w:spacing w:before="72" w:after="72"/>
              <w:jc w:val="center"/>
              <w:rPr>
                <w:rFonts w:ascii="楷体" w:hAnsi="楷体" w:eastAsia="楷体" w:cs="楷体"/>
                <w:color w:val="auto"/>
                <w:sz w:val="24"/>
              </w:rPr>
            </w:pPr>
          </w:p>
        </w:tc>
        <w:tc>
          <w:tcPr>
            <w:tcW w:w="3484" w:type="dxa"/>
          </w:tcPr>
          <w:p w14:paraId="6E4C3389">
            <w:pPr>
              <w:spacing w:before="72" w:after="72"/>
              <w:rPr>
                <w:rFonts w:ascii="楷体" w:hAnsi="楷体" w:eastAsia="楷体" w:cs="楷体"/>
                <w:color w:val="auto"/>
                <w:sz w:val="24"/>
              </w:rPr>
            </w:pPr>
          </w:p>
        </w:tc>
        <w:tc>
          <w:tcPr>
            <w:tcW w:w="2484" w:type="dxa"/>
          </w:tcPr>
          <w:p w14:paraId="3555A09E">
            <w:pPr>
              <w:spacing w:before="72" w:after="72"/>
              <w:rPr>
                <w:rFonts w:ascii="楷体" w:hAnsi="楷体" w:eastAsia="楷体" w:cs="楷体"/>
                <w:color w:val="auto"/>
                <w:sz w:val="24"/>
              </w:rPr>
            </w:pPr>
          </w:p>
        </w:tc>
      </w:tr>
      <w:tr w14:paraId="440F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5722C65B">
            <w:pPr>
              <w:spacing w:before="72" w:after="72"/>
              <w:jc w:val="center"/>
              <w:rPr>
                <w:rFonts w:ascii="楷体" w:hAnsi="楷体" w:eastAsia="楷体" w:cs="楷体"/>
                <w:color w:val="auto"/>
                <w:sz w:val="24"/>
              </w:rPr>
            </w:pPr>
            <w:r>
              <w:rPr>
                <w:rFonts w:hint="eastAsia" w:ascii="楷体" w:hAnsi="楷体" w:eastAsia="楷体" w:cs="楷体"/>
                <w:color w:val="auto"/>
                <w:sz w:val="24"/>
              </w:rPr>
              <w:t>2</w:t>
            </w:r>
          </w:p>
        </w:tc>
        <w:tc>
          <w:tcPr>
            <w:tcW w:w="2169" w:type="dxa"/>
          </w:tcPr>
          <w:p w14:paraId="4C36F6C6">
            <w:pPr>
              <w:spacing w:before="72" w:after="72"/>
              <w:jc w:val="center"/>
              <w:rPr>
                <w:rFonts w:ascii="楷体" w:hAnsi="楷体" w:eastAsia="楷体" w:cs="楷体"/>
                <w:color w:val="auto"/>
                <w:sz w:val="24"/>
              </w:rPr>
            </w:pPr>
          </w:p>
        </w:tc>
        <w:tc>
          <w:tcPr>
            <w:tcW w:w="3484" w:type="dxa"/>
          </w:tcPr>
          <w:p w14:paraId="2FD8EAAE">
            <w:pPr>
              <w:spacing w:before="72" w:after="72"/>
              <w:rPr>
                <w:rFonts w:ascii="楷体" w:hAnsi="楷体" w:eastAsia="楷体" w:cs="楷体"/>
                <w:color w:val="auto"/>
                <w:sz w:val="24"/>
              </w:rPr>
            </w:pPr>
          </w:p>
        </w:tc>
        <w:tc>
          <w:tcPr>
            <w:tcW w:w="2484" w:type="dxa"/>
          </w:tcPr>
          <w:p w14:paraId="4CA9DA9B">
            <w:pPr>
              <w:spacing w:before="72" w:after="72"/>
              <w:rPr>
                <w:rFonts w:ascii="楷体" w:hAnsi="楷体" w:eastAsia="楷体" w:cs="楷体"/>
                <w:color w:val="auto"/>
                <w:sz w:val="24"/>
              </w:rPr>
            </w:pPr>
          </w:p>
        </w:tc>
      </w:tr>
      <w:tr w14:paraId="065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598DC946">
            <w:pPr>
              <w:spacing w:before="72" w:after="72"/>
              <w:jc w:val="center"/>
              <w:rPr>
                <w:rFonts w:ascii="楷体" w:hAnsi="楷体" w:eastAsia="楷体" w:cs="楷体"/>
                <w:color w:val="auto"/>
                <w:sz w:val="24"/>
              </w:rPr>
            </w:pPr>
            <w:r>
              <w:rPr>
                <w:rFonts w:hint="eastAsia" w:ascii="楷体" w:hAnsi="楷体" w:eastAsia="楷体" w:cs="楷体"/>
                <w:color w:val="auto"/>
                <w:sz w:val="24"/>
              </w:rPr>
              <w:t>3</w:t>
            </w:r>
          </w:p>
        </w:tc>
        <w:tc>
          <w:tcPr>
            <w:tcW w:w="2169" w:type="dxa"/>
          </w:tcPr>
          <w:p w14:paraId="4583A08F">
            <w:pPr>
              <w:spacing w:before="72" w:after="72"/>
              <w:jc w:val="center"/>
              <w:rPr>
                <w:rFonts w:ascii="楷体" w:hAnsi="楷体" w:eastAsia="楷体" w:cs="楷体"/>
                <w:color w:val="auto"/>
                <w:sz w:val="24"/>
              </w:rPr>
            </w:pPr>
          </w:p>
        </w:tc>
        <w:tc>
          <w:tcPr>
            <w:tcW w:w="3484" w:type="dxa"/>
          </w:tcPr>
          <w:p w14:paraId="0EB6131F">
            <w:pPr>
              <w:spacing w:before="72" w:after="72"/>
              <w:rPr>
                <w:rFonts w:ascii="楷体" w:hAnsi="楷体" w:eastAsia="楷体" w:cs="楷体"/>
                <w:color w:val="auto"/>
                <w:sz w:val="24"/>
              </w:rPr>
            </w:pPr>
          </w:p>
        </w:tc>
        <w:tc>
          <w:tcPr>
            <w:tcW w:w="2484" w:type="dxa"/>
          </w:tcPr>
          <w:p w14:paraId="4B7D9752">
            <w:pPr>
              <w:spacing w:before="72" w:after="72"/>
              <w:rPr>
                <w:rFonts w:ascii="楷体" w:hAnsi="楷体" w:eastAsia="楷体" w:cs="楷体"/>
                <w:color w:val="auto"/>
                <w:sz w:val="24"/>
              </w:rPr>
            </w:pPr>
          </w:p>
        </w:tc>
      </w:tr>
      <w:tr w14:paraId="082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5DA3419E">
            <w:pPr>
              <w:spacing w:before="72" w:after="72"/>
              <w:jc w:val="center"/>
              <w:rPr>
                <w:rFonts w:ascii="楷体" w:hAnsi="楷体" w:eastAsia="楷体" w:cs="楷体"/>
                <w:color w:val="auto"/>
                <w:sz w:val="24"/>
              </w:rPr>
            </w:pPr>
            <w:r>
              <w:rPr>
                <w:rFonts w:hint="eastAsia" w:ascii="楷体" w:hAnsi="楷体" w:eastAsia="楷体" w:cs="楷体"/>
                <w:color w:val="auto"/>
                <w:sz w:val="24"/>
              </w:rPr>
              <w:t>4</w:t>
            </w:r>
          </w:p>
        </w:tc>
        <w:tc>
          <w:tcPr>
            <w:tcW w:w="2169" w:type="dxa"/>
          </w:tcPr>
          <w:p w14:paraId="68139D77">
            <w:pPr>
              <w:spacing w:before="72" w:after="72"/>
              <w:jc w:val="center"/>
              <w:rPr>
                <w:rFonts w:ascii="楷体" w:hAnsi="楷体" w:eastAsia="楷体" w:cs="楷体"/>
                <w:color w:val="auto"/>
                <w:sz w:val="24"/>
              </w:rPr>
            </w:pPr>
          </w:p>
        </w:tc>
        <w:tc>
          <w:tcPr>
            <w:tcW w:w="3484" w:type="dxa"/>
          </w:tcPr>
          <w:p w14:paraId="2906BCCF">
            <w:pPr>
              <w:spacing w:before="72" w:after="72"/>
              <w:rPr>
                <w:rFonts w:ascii="楷体" w:hAnsi="楷体" w:eastAsia="楷体" w:cs="楷体"/>
                <w:color w:val="auto"/>
                <w:sz w:val="24"/>
              </w:rPr>
            </w:pPr>
          </w:p>
        </w:tc>
        <w:tc>
          <w:tcPr>
            <w:tcW w:w="2484" w:type="dxa"/>
          </w:tcPr>
          <w:p w14:paraId="59A6CB69">
            <w:pPr>
              <w:spacing w:before="72" w:after="72"/>
              <w:rPr>
                <w:rFonts w:ascii="楷体" w:hAnsi="楷体" w:eastAsia="楷体" w:cs="楷体"/>
                <w:color w:val="auto"/>
                <w:sz w:val="24"/>
              </w:rPr>
            </w:pPr>
          </w:p>
        </w:tc>
      </w:tr>
      <w:tr w14:paraId="3126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0F606AC5">
            <w:pPr>
              <w:spacing w:before="72" w:after="72"/>
              <w:jc w:val="center"/>
              <w:rPr>
                <w:rFonts w:ascii="楷体" w:hAnsi="楷体" w:eastAsia="楷体" w:cs="楷体"/>
                <w:color w:val="auto"/>
                <w:sz w:val="24"/>
              </w:rPr>
            </w:pPr>
            <w:r>
              <w:rPr>
                <w:rFonts w:hint="eastAsia" w:ascii="楷体" w:hAnsi="楷体" w:eastAsia="楷体" w:cs="楷体"/>
                <w:color w:val="auto"/>
                <w:sz w:val="24"/>
              </w:rPr>
              <w:t>5</w:t>
            </w:r>
          </w:p>
        </w:tc>
        <w:tc>
          <w:tcPr>
            <w:tcW w:w="2169" w:type="dxa"/>
          </w:tcPr>
          <w:p w14:paraId="7BFCC496">
            <w:pPr>
              <w:spacing w:before="72" w:after="72"/>
              <w:jc w:val="center"/>
              <w:rPr>
                <w:rFonts w:ascii="楷体" w:hAnsi="楷体" w:eastAsia="楷体" w:cs="楷体"/>
                <w:color w:val="auto"/>
                <w:sz w:val="24"/>
              </w:rPr>
            </w:pPr>
          </w:p>
        </w:tc>
        <w:tc>
          <w:tcPr>
            <w:tcW w:w="3484" w:type="dxa"/>
          </w:tcPr>
          <w:p w14:paraId="38AE90A2">
            <w:pPr>
              <w:spacing w:before="72" w:after="72"/>
              <w:rPr>
                <w:rFonts w:ascii="楷体" w:hAnsi="楷体" w:eastAsia="楷体" w:cs="楷体"/>
                <w:color w:val="auto"/>
                <w:sz w:val="24"/>
              </w:rPr>
            </w:pPr>
          </w:p>
        </w:tc>
        <w:tc>
          <w:tcPr>
            <w:tcW w:w="2484" w:type="dxa"/>
          </w:tcPr>
          <w:p w14:paraId="7F597BEC">
            <w:pPr>
              <w:spacing w:before="72" w:after="72"/>
              <w:rPr>
                <w:rFonts w:ascii="楷体" w:hAnsi="楷体" w:eastAsia="楷体" w:cs="楷体"/>
                <w:color w:val="auto"/>
                <w:sz w:val="24"/>
              </w:rPr>
            </w:pPr>
          </w:p>
        </w:tc>
      </w:tr>
      <w:tr w14:paraId="2263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0186DCAA">
            <w:pPr>
              <w:spacing w:before="72" w:after="72"/>
              <w:jc w:val="center"/>
              <w:rPr>
                <w:rFonts w:ascii="楷体" w:hAnsi="楷体" w:eastAsia="楷体" w:cs="楷体"/>
                <w:color w:val="auto"/>
                <w:sz w:val="24"/>
              </w:rPr>
            </w:pPr>
            <w:r>
              <w:rPr>
                <w:rFonts w:hint="eastAsia" w:ascii="楷体" w:hAnsi="楷体" w:eastAsia="楷体" w:cs="楷体"/>
                <w:color w:val="auto"/>
                <w:sz w:val="24"/>
              </w:rPr>
              <w:t>6</w:t>
            </w:r>
          </w:p>
        </w:tc>
        <w:tc>
          <w:tcPr>
            <w:tcW w:w="2169" w:type="dxa"/>
          </w:tcPr>
          <w:p w14:paraId="5441E44B">
            <w:pPr>
              <w:spacing w:before="72" w:after="72"/>
              <w:jc w:val="center"/>
              <w:rPr>
                <w:rFonts w:ascii="楷体" w:hAnsi="楷体" w:eastAsia="楷体" w:cs="楷体"/>
                <w:color w:val="auto"/>
                <w:sz w:val="24"/>
              </w:rPr>
            </w:pPr>
          </w:p>
        </w:tc>
        <w:tc>
          <w:tcPr>
            <w:tcW w:w="3484" w:type="dxa"/>
          </w:tcPr>
          <w:p w14:paraId="0AB4559C">
            <w:pPr>
              <w:spacing w:before="72" w:after="72"/>
              <w:rPr>
                <w:rFonts w:ascii="楷体" w:hAnsi="楷体" w:eastAsia="楷体" w:cs="楷体"/>
                <w:color w:val="auto"/>
                <w:sz w:val="24"/>
              </w:rPr>
            </w:pPr>
          </w:p>
        </w:tc>
        <w:tc>
          <w:tcPr>
            <w:tcW w:w="2484" w:type="dxa"/>
          </w:tcPr>
          <w:p w14:paraId="4972E8C6">
            <w:pPr>
              <w:spacing w:before="72" w:after="72"/>
              <w:rPr>
                <w:rFonts w:ascii="楷体" w:hAnsi="楷体" w:eastAsia="楷体" w:cs="楷体"/>
                <w:color w:val="auto"/>
                <w:sz w:val="24"/>
              </w:rPr>
            </w:pPr>
          </w:p>
        </w:tc>
      </w:tr>
      <w:tr w14:paraId="005A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12C257F4">
            <w:pPr>
              <w:spacing w:before="72" w:after="72"/>
              <w:jc w:val="center"/>
              <w:rPr>
                <w:rFonts w:ascii="楷体" w:hAnsi="楷体" w:eastAsia="楷体" w:cs="楷体"/>
                <w:color w:val="auto"/>
                <w:sz w:val="24"/>
              </w:rPr>
            </w:pPr>
            <w:r>
              <w:rPr>
                <w:rFonts w:hint="eastAsia" w:ascii="楷体" w:hAnsi="楷体" w:eastAsia="楷体" w:cs="楷体"/>
                <w:color w:val="auto"/>
                <w:sz w:val="24"/>
              </w:rPr>
              <w:t>7</w:t>
            </w:r>
          </w:p>
        </w:tc>
        <w:tc>
          <w:tcPr>
            <w:tcW w:w="2169" w:type="dxa"/>
          </w:tcPr>
          <w:p w14:paraId="3430B352">
            <w:pPr>
              <w:spacing w:before="72" w:after="72"/>
              <w:jc w:val="center"/>
              <w:rPr>
                <w:rFonts w:ascii="楷体" w:hAnsi="楷体" w:eastAsia="楷体" w:cs="楷体"/>
                <w:color w:val="auto"/>
                <w:sz w:val="24"/>
              </w:rPr>
            </w:pPr>
          </w:p>
        </w:tc>
        <w:tc>
          <w:tcPr>
            <w:tcW w:w="3484" w:type="dxa"/>
          </w:tcPr>
          <w:p w14:paraId="7B86C101">
            <w:pPr>
              <w:spacing w:before="72" w:after="72"/>
              <w:rPr>
                <w:rFonts w:ascii="楷体" w:hAnsi="楷体" w:eastAsia="楷体" w:cs="楷体"/>
                <w:color w:val="auto"/>
                <w:sz w:val="24"/>
              </w:rPr>
            </w:pPr>
          </w:p>
        </w:tc>
        <w:tc>
          <w:tcPr>
            <w:tcW w:w="2484" w:type="dxa"/>
          </w:tcPr>
          <w:p w14:paraId="324448D3">
            <w:pPr>
              <w:spacing w:before="72" w:after="72"/>
              <w:rPr>
                <w:rFonts w:ascii="楷体" w:hAnsi="楷体" w:eastAsia="楷体" w:cs="楷体"/>
                <w:color w:val="auto"/>
                <w:sz w:val="24"/>
              </w:rPr>
            </w:pPr>
          </w:p>
        </w:tc>
      </w:tr>
      <w:tr w14:paraId="300F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04897236">
            <w:pPr>
              <w:spacing w:before="72" w:after="72"/>
              <w:jc w:val="center"/>
              <w:rPr>
                <w:rFonts w:ascii="楷体" w:hAnsi="楷体" w:eastAsia="楷体" w:cs="楷体"/>
                <w:color w:val="auto"/>
                <w:sz w:val="24"/>
              </w:rPr>
            </w:pPr>
            <w:r>
              <w:rPr>
                <w:rFonts w:hint="eastAsia" w:ascii="楷体" w:hAnsi="楷体" w:eastAsia="楷体" w:cs="楷体"/>
                <w:color w:val="auto"/>
                <w:sz w:val="24"/>
              </w:rPr>
              <w:t>8</w:t>
            </w:r>
          </w:p>
        </w:tc>
        <w:tc>
          <w:tcPr>
            <w:tcW w:w="2169" w:type="dxa"/>
          </w:tcPr>
          <w:p w14:paraId="4CBB0F4F">
            <w:pPr>
              <w:spacing w:before="72" w:after="72"/>
              <w:jc w:val="center"/>
              <w:rPr>
                <w:rFonts w:ascii="楷体" w:hAnsi="楷体" w:eastAsia="楷体" w:cs="楷体"/>
                <w:color w:val="auto"/>
                <w:sz w:val="24"/>
              </w:rPr>
            </w:pPr>
          </w:p>
        </w:tc>
        <w:tc>
          <w:tcPr>
            <w:tcW w:w="3484" w:type="dxa"/>
          </w:tcPr>
          <w:p w14:paraId="27D2848C">
            <w:pPr>
              <w:spacing w:before="72" w:after="72"/>
              <w:rPr>
                <w:rFonts w:ascii="楷体" w:hAnsi="楷体" w:eastAsia="楷体" w:cs="楷体"/>
                <w:color w:val="auto"/>
                <w:sz w:val="24"/>
              </w:rPr>
            </w:pPr>
          </w:p>
        </w:tc>
        <w:tc>
          <w:tcPr>
            <w:tcW w:w="2484" w:type="dxa"/>
          </w:tcPr>
          <w:p w14:paraId="66BA0A3E">
            <w:pPr>
              <w:spacing w:before="72" w:after="72"/>
              <w:rPr>
                <w:rFonts w:ascii="楷体" w:hAnsi="楷体" w:eastAsia="楷体" w:cs="楷体"/>
                <w:color w:val="auto"/>
                <w:sz w:val="24"/>
              </w:rPr>
            </w:pPr>
          </w:p>
        </w:tc>
      </w:tr>
      <w:tr w14:paraId="7E4C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16D1A628">
            <w:pPr>
              <w:spacing w:before="72" w:after="72"/>
              <w:jc w:val="center"/>
              <w:rPr>
                <w:rFonts w:ascii="楷体" w:hAnsi="楷体" w:eastAsia="楷体" w:cs="楷体"/>
                <w:color w:val="auto"/>
                <w:sz w:val="24"/>
              </w:rPr>
            </w:pPr>
            <w:r>
              <w:rPr>
                <w:rFonts w:hint="eastAsia" w:ascii="楷体" w:hAnsi="楷体" w:eastAsia="楷体" w:cs="楷体"/>
                <w:color w:val="auto"/>
                <w:sz w:val="24"/>
              </w:rPr>
              <w:t>…</w:t>
            </w:r>
          </w:p>
        </w:tc>
        <w:tc>
          <w:tcPr>
            <w:tcW w:w="2169" w:type="dxa"/>
          </w:tcPr>
          <w:p w14:paraId="484CA7D5">
            <w:pPr>
              <w:spacing w:before="72" w:after="72"/>
              <w:jc w:val="center"/>
              <w:rPr>
                <w:rFonts w:ascii="楷体" w:hAnsi="楷体" w:eastAsia="楷体" w:cs="楷体"/>
                <w:color w:val="auto"/>
                <w:sz w:val="24"/>
              </w:rPr>
            </w:pPr>
          </w:p>
        </w:tc>
        <w:tc>
          <w:tcPr>
            <w:tcW w:w="3484" w:type="dxa"/>
          </w:tcPr>
          <w:p w14:paraId="55C97506">
            <w:pPr>
              <w:spacing w:before="72" w:after="72"/>
              <w:rPr>
                <w:rFonts w:ascii="楷体" w:hAnsi="楷体" w:eastAsia="楷体" w:cs="楷体"/>
                <w:color w:val="auto"/>
                <w:sz w:val="24"/>
              </w:rPr>
            </w:pPr>
          </w:p>
        </w:tc>
        <w:tc>
          <w:tcPr>
            <w:tcW w:w="2484" w:type="dxa"/>
          </w:tcPr>
          <w:p w14:paraId="0A8DEA02">
            <w:pPr>
              <w:spacing w:before="72" w:after="72"/>
              <w:rPr>
                <w:rFonts w:ascii="楷体" w:hAnsi="楷体" w:eastAsia="楷体" w:cs="楷体"/>
                <w:color w:val="auto"/>
                <w:sz w:val="24"/>
              </w:rPr>
            </w:pPr>
          </w:p>
        </w:tc>
      </w:tr>
    </w:tbl>
    <w:p w14:paraId="54A78B93">
      <w:pPr>
        <w:spacing w:line="400" w:lineRule="exact"/>
        <w:rPr>
          <w:rFonts w:ascii="楷体" w:hAnsi="楷体" w:eastAsia="楷体" w:cs="楷体"/>
          <w:color w:val="auto"/>
          <w:sz w:val="24"/>
        </w:rPr>
      </w:pPr>
      <w:r>
        <w:rPr>
          <w:rFonts w:hint="eastAsia" w:ascii="楷体" w:hAnsi="楷体" w:eastAsia="楷体" w:cs="楷体"/>
          <w:color w:val="auto"/>
          <w:sz w:val="24"/>
        </w:rPr>
        <w:t>注：</w:t>
      </w:r>
    </w:p>
    <w:p w14:paraId="61A2C7A2">
      <w:pPr>
        <w:numPr>
          <w:ilvl w:val="0"/>
          <w:numId w:val="81"/>
        </w:numPr>
        <w:adjustRightInd w:val="0"/>
        <w:snapToGrid w:val="0"/>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投标人必须对应招标文件“用户需求书”中带“★” 项内容逐条响应。如有缺漏，缺漏项视同不符合招标要求。 带“★”项为不可负偏离(劣于)的重要项。</w:t>
      </w:r>
    </w:p>
    <w:p w14:paraId="4185CB81">
      <w:pPr>
        <w:numPr>
          <w:ilvl w:val="0"/>
          <w:numId w:val="81"/>
        </w:numPr>
        <w:adjustRightInd w:val="0"/>
        <w:snapToGrid w:val="0"/>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投标人响应采购需求应具体、明确，含糊不清、不确切或伪造、变造证明材料的，按照不完全响应或者完全不响应处理。构成提供虚假材料的，移送监管部门查处。</w:t>
      </w:r>
    </w:p>
    <w:p w14:paraId="1711E161">
      <w:pPr>
        <w:numPr>
          <w:ilvl w:val="0"/>
          <w:numId w:val="81"/>
        </w:numPr>
        <w:adjustRightInd w:val="0"/>
        <w:snapToGrid w:val="0"/>
        <w:spacing w:line="360" w:lineRule="auto"/>
        <w:rPr>
          <w:rFonts w:ascii="楷体" w:hAnsi="楷体" w:eastAsia="楷体" w:cs="楷体"/>
          <w:color w:val="auto"/>
          <w:sz w:val="24"/>
          <w:lang w:val="en-GB"/>
        </w:rPr>
      </w:pPr>
      <w:r>
        <w:rPr>
          <w:rFonts w:hint="eastAsia" w:ascii="楷体" w:hAnsi="楷体" w:eastAsia="楷体" w:cs="楷体"/>
          <w:color w:val="auto"/>
          <w:sz w:val="24"/>
          <w:lang w:val="en-GB"/>
        </w:rPr>
        <w:t>本表内容不得擅自修改。</w:t>
      </w:r>
    </w:p>
    <w:p w14:paraId="1802D905">
      <w:pPr>
        <w:adjustRightInd w:val="0"/>
        <w:snapToGrid w:val="0"/>
        <w:spacing w:before="72" w:after="72" w:line="300" w:lineRule="auto"/>
        <w:rPr>
          <w:rFonts w:ascii="楷体" w:hAnsi="楷体" w:eastAsia="楷体" w:cs="楷体"/>
          <w:color w:val="auto"/>
          <w:sz w:val="24"/>
        </w:rPr>
      </w:pPr>
    </w:p>
    <w:p w14:paraId="00BC0D1A">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61BEF95B">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7575AAE8">
      <w:pPr>
        <w:spacing w:before="72" w:after="72" w:line="400" w:lineRule="exact"/>
        <w:ind w:firstLine="3578" w:firstLineChars="1491"/>
        <w:rPr>
          <w:rFonts w:ascii="楷体" w:hAnsi="楷体" w:eastAsia="楷体" w:cs="楷体"/>
          <w:color w:val="auto"/>
          <w:sz w:val="24"/>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rPr>
        <w:t>日期：   年   月   日</w:t>
      </w:r>
    </w:p>
    <w:p w14:paraId="756B4DB2">
      <w:pPr>
        <w:numPr>
          <w:ilvl w:val="0"/>
          <w:numId w:val="80"/>
        </w:numPr>
        <w:spacing w:before="72" w:after="72"/>
        <w:jc w:val="center"/>
        <w:rPr>
          <w:rFonts w:ascii="楷体" w:hAnsi="楷体" w:eastAsia="楷体" w:cs="楷体"/>
          <w:b/>
          <w:color w:val="auto"/>
          <w:sz w:val="28"/>
          <w:szCs w:val="28"/>
        </w:rPr>
      </w:pPr>
      <w:r>
        <w:rPr>
          <w:rFonts w:hint="eastAsia" w:ascii="楷体" w:hAnsi="楷体" w:eastAsia="楷体" w:cs="楷体"/>
          <w:b/>
          <w:color w:val="auto"/>
          <w:sz w:val="28"/>
          <w:szCs w:val="28"/>
        </w:rPr>
        <w:t>重要技术条款（“</w:t>
      </w:r>
      <w:r>
        <w:rPr>
          <w:rFonts w:hint="eastAsia" w:ascii="楷体" w:hAnsi="楷体" w:eastAsia="楷体" w:cs="楷体"/>
          <w:color w:val="auto"/>
          <w:kern w:val="0"/>
          <w:sz w:val="24"/>
        </w:rPr>
        <w:t>▲</w:t>
      </w:r>
      <w:r>
        <w:rPr>
          <w:rFonts w:hint="eastAsia" w:ascii="楷体" w:hAnsi="楷体" w:eastAsia="楷体" w:cs="楷体"/>
          <w:b/>
          <w:color w:val="auto"/>
          <w:sz w:val="28"/>
          <w:szCs w:val="28"/>
        </w:rPr>
        <w:t>”项）响应表（如有）</w:t>
      </w:r>
    </w:p>
    <w:tbl>
      <w:tblPr>
        <w:tblStyle w:val="4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169"/>
        <w:gridCol w:w="3484"/>
        <w:gridCol w:w="2484"/>
      </w:tblGrid>
      <w:tr w14:paraId="7310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20" w:type="dxa"/>
            <w:shd w:val="clear" w:color="auto" w:fill="E6E6E6"/>
            <w:vAlign w:val="center"/>
          </w:tcPr>
          <w:p w14:paraId="72DB4FF3">
            <w:pPr>
              <w:spacing w:before="72" w:after="72"/>
              <w:jc w:val="center"/>
              <w:rPr>
                <w:rFonts w:ascii="楷体" w:hAnsi="楷体" w:eastAsia="楷体" w:cs="楷体"/>
                <w:b/>
                <w:color w:val="auto"/>
                <w:sz w:val="24"/>
              </w:rPr>
            </w:pPr>
            <w:r>
              <w:rPr>
                <w:rFonts w:hint="eastAsia" w:ascii="楷体" w:hAnsi="楷体" w:eastAsia="楷体" w:cs="楷体"/>
                <w:b/>
                <w:color w:val="auto"/>
                <w:sz w:val="24"/>
              </w:rPr>
              <w:t>序号</w:t>
            </w:r>
          </w:p>
        </w:tc>
        <w:tc>
          <w:tcPr>
            <w:tcW w:w="2169" w:type="dxa"/>
            <w:shd w:val="clear" w:color="auto" w:fill="E6E6E6"/>
            <w:vAlign w:val="center"/>
          </w:tcPr>
          <w:p w14:paraId="4EDEC120">
            <w:pPr>
              <w:spacing w:before="72" w:after="72"/>
              <w:jc w:val="center"/>
              <w:rPr>
                <w:rFonts w:ascii="楷体" w:hAnsi="楷体" w:eastAsia="楷体" w:cs="楷体"/>
                <w:b/>
                <w:color w:val="auto"/>
                <w:sz w:val="24"/>
              </w:rPr>
            </w:pPr>
            <w:r>
              <w:rPr>
                <w:rFonts w:hint="eastAsia" w:ascii="楷体" w:hAnsi="楷体" w:eastAsia="楷体" w:cs="楷体"/>
                <w:b/>
                <w:color w:val="auto"/>
                <w:sz w:val="24"/>
              </w:rPr>
              <w:t>招标文件要求</w:t>
            </w:r>
          </w:p>
        </w:tc>
        <w:tc>
          <w:tcPr>
            <w:tcW w:w="3484" w:type="dxa"/>
            <w:shd w:val="clear" w:color="auto" w:fill="E6E6E6"/>
            <w:vAlign w:val="center"/>
          </w:tcPr>
          <w:p w14:paraId="3BB4BE10">
            <w:pPr>
              <w:spacing w:before="72" w:after="72"/>
              <w:jc w:val="center"/>
              <w:rPr>
                <w:rFonts w:ascii="楷体" w:hAnsi="楷体" w:eastAsia="楷体" w:cs="楷体"/>
                <w:b/>
                <w:color w:val="auto"/>
                <w:sz w:val="24"/>
              </w:rPr>
            </w:pPr>
            <w:r>
              <w:rPr>
                <w:rFonts w:hint="eastAsia" w:ascii="楷体" w:hAnsi="楷体" w:eastAsia="楷体" w:cs="楷体"/>
                <w:b/>
                <w:color w:val="auto"/>
                <w:sz w:val="24"/>
              </w:rPr>
              <w:t>投标实际情况</w:t>
            </w:r>
          </w:p>
        </w:tc>
        <w:tc>
          <w:tcPr>
            <w:tcW w:w="2484" w:type="dxa"/>
            <w:shd w:val="clear" w:color="auto" w:fill="E6E6E6"/>
            <w:vAlign w:val="center"/>
          </w:tcPr>
          <w:p w14:paraId="6EC3682B">
            <w:pPr>
              <w:spacing w:before="72" w:after="72"/>
              <w:jc w:val="center"/>
              <w:rPr>
                <w:rFonts w:ascii="楷体" w:hAnsi="楷体" w:eastAsia="楷体" w:cs="楷体"/>
                <w:b/>
                <w:color w:val="auto"/>
                <w:sz w:val="24"/>
              </w:rPr>
            </w:pPr>
            <w:r>
              <w:rPr>
                <w:rFonts w:hint="eastAsia" w:ascii="楷体" w:hAnsi="楷体" w:eastAsia="楷体" w:cs="楷体"/>
                <w:b/>
                <w:color w:val="auto"/>
                <w:sz w:val="24"/>
              </w:rPr>
              <w:t>偏离情况说明（无偏离/正偏离/负偏离）</w:t>
            </w:r>
          </w:p>
        </w:tc>
      </w:tr>
      <w:tr w14:paraId="5F75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1054E247">
            <w:pPr>
              <w:spacing w:before="72" w:after="72"/>
              <w:jc w:val="center"/>
              <w:rPr>
                <w:rFonts w:ascii="楷体" w:hAnsi="楷体" w:eastAsia="楷体" w:cs="楷体"/>
                <w:color w:val="auto"/>
                <w:sz w:val="24"/>
              </w:rPr>
            </w:pPr>
            <w:r>
              <w:rPr>
                <w:rFonts w:hint="eastAsia" w:ascii="楷体" w:hAnsi="楷体" w:eastAsia="楷体" w:cs="楷体"/>
                <w:color w:val="auto"/>
                <w:sz w:val="24"/>
              </w:rPr>
              <w:t>1</w:t>
            </w:r>
          </w:p>
        </w:tc>
        <w:tc>
          <w:tcPr>
            <w:tcW w:w="2169" w:type="dxa"/>
          </w:tcPr>
          <w:p w14:paraId="6AFC418F">
            <w:pPr>
              <w:spacing w:before="72" w:after="72"/>
              <w:jc w:val="center"/>
              <w:rPr>
                <w:rFonts w:ascii="楷体" w:hAnsi="楷体" w:eastAsia="楷体" w:cs="楷体"/>
                <w:color w:val="auto"/>
                <w:sz w:val="24"/>
              </w:rPr>
            </w:pPr>
          </w:p>
        </w:tc>
        <w:tc>
          <w:tcPr>
            <w:tcW w:w="3484" w:type="dxa"/>
          </w:tcPr>
          <w:p w14:paraId="734B9144">
            <w:pPr>
              <w:spacing w:before="72" w:after="72"/>
              <w:rPr>
                <w:rFonts w:ascii="楷体" w:hAnsi="楷体" w:eastAsia="楷体" w:cs="楷体"/>
                <w:color w:val="auto"/>
                <w:sz w:val="24"/>
              </w:rPr>
            </w:pPr>
          </w:p>
        </w:tc>
        <w:tc>
          <w:tcPr>
            <w:tcW w:w="2484" w:type="dxa"/>
          </w:tcPr>
          <w:p w14:paraId="471C14C7">
            <w:pPr>
              <w:spacing w:before="72" w:after="72"/>
              <w:rPr>
                <w:rFonts w:ascii="楷体" w:hAnsi="楷体" w:eastAsia="楷体" w:cs="楷体"/>
                <w:color w:val="auto"/>
                <w:sz w:val="24"/>
              </w:rPr>
            </w:pPr>
          </w:p>
        </w:tc>
      </w:tr>
      <w:tr w14:paraId="210E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033EF57E">
            <w:pPr>
              <w:spacing w:before="72" w:after="72"/>
              <w:jc w:val="center"/>
              <w:rPr>
                <w:rFonts w:ascii="楷体" w:hAnsi="楷体" w:eastAsia="楷体" w:cs="楷体"/>
                <w:color w:val="auto"/>
                <w:sz w:val="24"/>
              </w:rPr>
            </w:pPr>
            <w:r>
              <w:rPr>
                <w:rFonts w:hint="eastAsia" w:ascii="楷体" w:hAnsi="楷体" w:eastAsia="楷体" w:cs="楷体"/>
                <w:color w:val="auto"/>
                <w:sz w:val="24"/>
              </w:rPr>
              <w:t>2</w:t>
            </w:r>
          </w:p>
        </w:tc>
        <w:tc>
          <w:tcPr>
            <w:tcW w:w="2169" w:type="dxa"/>
          </w:tcPr>
          <w:p w14:paraId="6A21255B">
            <w:pPr>
              <w:spacing w:before="72" w:after="72"/>
              <w:jc w:val="center"/>
              <w:rPr>
                <w:rFonts w:ascii="楷体" w:hAnsi="楷体" w:eastAsia="楷体" w:cs="楷体"/>
                <w:color w:val="auto"/>
                <w:sz w:val="24"/>
              </w:rPr>
            </w:pPr>
          </w:p>
        </w:tc>
        <w:tc>
          <w:tcPr>
            <w:tcW w:w="3484" w:type="dxa"/>
          </w:tcPr>
          <w:p w14:paraId="0708F066">
            <w:pPr>
              <w:spacing w:before="72" w:after="72"/>
              <w:rPr>
                <w:rFonts w:ascii="楷体" w:hAnsi="楷体" w:eastAsia="楷体" w:cs="楷体"/>
                <w:color w:val="auto"/>
                <w:sz w:val="24"/>
              </w:rPr>
            </w:pPr>
          </w:p>
        </w:tc>
        <w:tc>
          <w:tcPr>
            <w:tcW w:w="2484" w:type="dxa"/>
          </w:tcPr>
          <w:p w14:paraId="3B83EB26">
            <w:pPr>
              <w:spacing w:before="72" w:after="72"/>
              <w:rPr>
                <w:rFonts w:ascii="楷体" w:hAnsi="楷体" w:eastAsia="楷体" w:cs="楷体"/>
                <w:color w:val="auto"/>
                <w:sz w:val="24"/>
              </w:rPr>
            </w:pPr>
          </w:p>
        </w:tc>
      </w:tr>
      <w:tr w14:paraId="1ADE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60B55F96">
            <w:pPr>
              <w:spacing w:before="72" w:after="72"/>
              <w:jc w:val="center"/>
              <w:rPr>
                <w:rFonts w:ascii="楷体" w:hAnsi="楷体" w:eastAsia="楷体" w:cs="楷体"/>
                <w:color w:val="auto"/>
                <w:sz w:val="24"/>
              </w:rPr>
            </w:pPr>
            <w:r>
              <w:rPr>
                <w:rFonts w:hint="eastAsia" w:ascii="楷体" w:hAnsi="楷体" w:eastAsia="楷体" w:cs="楷体"/>
                <w:color w:val="auto"/>
                <w:sz w:val="24"/>
              </w:rPr>
              <w:t>3</w:t>
            </w:r>
          </w:p>
        </w:tc>
        <w:tc>
          <w:tcPr>
            <w:tcW w:w="2169" w:type="dxa"/>
          </w:tcPr>
          <w:p w14:paraId="3DE58766">
            <w:pPr>
              <w:spacing w:before="72" w:after="72"/>
              <w:jc w:val="center"/>
              <w:rPr>
                <w:rFonts w:ascii="楷体" w:hAnsi="楷体" w:eastAsia="楷体" w:cs="楷体"/>
                <w:color w:val="auto"/>
                <w:sz w:val="24"/>
              </w:rPr>
            </w:pPr>
          </w:p>
        </w:tc>
        <w:tc>
          <w:tcPr>
            <w:tcW w:w="3484" w:type="dxa"/>
          </w:tcPr>
          <w:p w14:paraId="00811337">
            <w:pPr>
              <w:spacing w:before="72" w:after="72"/>
              <w:rPr>
                <w:rFonts w:ascii="楷体" w:hAnsi="楷体" w:eastAsia="楷体" w:cs="楷体"/>
                <w:color w:val="auto"/>
                <w:sz w:val="24"/>
              </w:rPr>
            </w:pPr>
          </w:p>
        </w:tc>
        <w:tc>
          <w:tcPr>
            <w:tcW w:w="2484" w:type="dxa"/>
          </w:tcPr>
          <w:p w14:paraId="366AC88B">
            <w:pPr>
              <w:spacing w:before="72" w:after="72"/>
              <w:rPr>
                <w:rFonts w:ascii="楷体" w:hAnsi="楷体" w:eastAsia="楷体" w:cs="楷体"/>
                <w:color w:val="auto"/>
                <w:sz w:val="24"/>
              </w:rPr>
            </w:pPr>
          </w:p>
        </w:tc>
      </w:tr>
      <w:tr w14:paraId="2BE8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761DC59D">
            <w:pPr>
              <w:spacing w:before="72" w:after="72"/>
              <w:jc w:val="center"/>
              <w:rPr>
                <w:rFonts w:ascii="楷体" w:hAnsi="楷体" w:eastAsia="楷体" w:cs="楷体"/>
                <w:color w:val="auto"/>
                <w:sz w:val="24"/>
              </w:rPr>
            </w:pPr>
            <w:r>
              <w:rPr>
                <w:rFonts w:hint="eastAsia" w:ascii="楷体" w:hAnsi="楷体" w:eastAsia="楷体" w:cs="楷体"/>
                <w:color w:val="auto"/>
                <w:sz w:val="24"/>
              </w:rPr>
              <w:t>4</w:t>
            </w:r>
          </w:p>
        </w:tc>
        <w:tc>
          <w:tcPr>
            <w:tcW w:w="2169" w:type="dxa"/>
          </w:tcPr>
          <w:p w14:paraId="7663FE44">
            <w:pPr>
              <w:spacing w:before="72" w:after="72"/>
              <w:jc w:val="center"/>
              <w:rPr>
                <w:rFonts w:ascii="楷体" w:hAnsi="楷体" w:eastAsia="楷体" w:cs="楷体"/>
                <w:color w:val="auto"/>
                <w:sz w:val="24"/>
              </w:rPr>
            </w:pPr>
          </w:p>
        </w:tc>
        <w:tc>
          <w:tcPr>
            <w:tcW w:w="3484" w:type="dxa"/>
          </w:tcPr>
          <w:p w14:paraId="6FDB1303">
            <w:pPr>
              <w:spacing w:before="72" w:after="72"/>
              <w:rPr>
                <w:rFonts w:ascii="楷体" w:hAnsi="楷体" w:eastAsia="楷体" w:cs="楷体"/>
                <w:color w:val="auto"/>
                <w:sz w:val="24"/>
              </w:rPr>
            </w:pPr>
          </w:p>
        </w:tc>
        <w:tc>
          <w:tcPr>
            <w:tcW w:w="2484" w:type="dxa"/>
          </w:tcPr>
          <w:p w14:paraId="50076DA3">
            <w:pPr>
              <w:spacing w:before="72" w:after="72"/>
              <w:rPr>
                <w:rFonts w:ascii="楷体" w:hAnsi="楷体" w:eastAsia="楷体" w:cs="楷体"/>
                <w:color w:val="auto"/>
                <w:sz w:val="24"/>
              </w:rPr>
            </w:pPr>
          </w:p>
        </w:tc>
      </w:tr>
      <w:tr w14:paraId="44E2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78CF47B4">
            <w:pPr>
              <w:spacing w:before="72" w:after="72"/>
              <w:jc w:val="center"/>
              <w:rPr>
                <w:rFonts w:ascii="楷体" w:hAnsi="楷体" w:eastAsia="楷体" w:cs="楷体"/>
                <w:color w:val="auto"/>
                <w:sz w:val="24"/>
              </w:rPr>
            </w:pPr>
            <w:r>
              <w:rPr>
                <w:rFonts w:hint="eastAsia" w:ascii="楷体" w:hAnsi="楷体" w:eastAsia="楷体" w:cs="楷体"/>
                <w:color w:val="auto"/>
                <w:sz w:val="24"/>
              </w:rPr>
              <w:t>5</w:t>
            </w:r>
          </w:p>
        </w:tc>
        <w:tc>
          <w:tcPr>
            <w:tcW w:w="2169" w:type="dxa"/>
          </w:tcPr>
          <w:p w14:paraId="7ED0769D">
            <w:pPr>
              <w:spacing w:before="72" w:after="72"/>
              <w:jc w:val="center"/>
              <w:rPr>
                <w:rFonts w:ascii="楷体" w:hAnsi="楷体" w:eastAsia="楷体" w:cs="楷体"/>
                <w:color w:val="auto"/>
                <w:sz w:val="24"/>
              </w:rPr>
            </w:pPr>
          </w:p>
        </w:tc>
        <w:tc>
          <w:tcPr>
            <w:tcW w:w="3484" w:type="dxa"/>
          </w:tcPr>
          <w:p w14:paraId="64D2CBEB">
            <w:pPr>
              <w:spacing w:before="72" w:after="72"/>
              <w:rPr>
                <w:rFonts w:ascii="楷体" w:hAnsi="楷体" w:eastAsia="楷体" w:cs="楷体"/>
                <w:color w:val="auto"/>
                <w:sz w:val="24"/>
              </w:rPr>
            </w:pPr>
          </w:p>
        </w:tc>
        <w:tc>
          <w:tcPr>
            <w:tcW w:w="2484" w:type="dxa"/>
          </w:tcPr>
          <w:p w14:paraId="3EB0FDE2">
            <w:pPr>
              <w:spacing w:before="72" w:after="72"/>
              <w:rPr>
                <w:rFonts w:ascii="楷体" w:hAnsi="楷体" w:eastAsia="楷体" w:cs="楷体"/>
                <w:color w:val="auto"/>
                <w:sz w:val="24"/>
              </w:rPr>
            </w:pPr>
          </w:p>
        </w:tc>
      </w:tr>
      <w:tr w14:paraId="555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10777FB6">
            <w:pPr>
              <w:spacing w:before="72" w:after="72"/>
              <w:jc w:val="center"/>
              <w:rPr>
                <w:rFonts w:ascii="楷体" w:hAnsi="楷体" w:eastAsia="楷体" w:cs="楷体"/>
                <w:color w:val="auto"/>
                <w:sz w:val="24"/>
              </w:rPr>
            </w:pPr>
            <w:r>
              <w:rPr>
                <w:rFonts w:hint="eastAsia" w:ascii="楷体" w:hAnsi="楷体" w:eastAsia="楷体" w:cs="楷体"/>
                <w:color w:val="auto"/>
                <w:sz w:val="24"/>
              </w:rPr>
              <w:t>6</w:t>
            </w:r>
          </w:p>
        </w:tc>
        <w:tc>
          <w:tcPr>
            <w:tcW w:w="2169" w:type="dxa"/>
          </w:tcPr>
          <w:p w14:paraId="4E29D413">
            <w:pPr>
              <w:spacing w:before="72" w:after="72"/>
              <w:jc w:val="center"/>
              <w:rPr>
                <w:rFonts w:ascii="楷体" w:hAnsi="楷体" w:eastAsia="楷体" w:cs="楷体"/>
                <w:color w:val="auto"/>
                <w:sz w:val="24"/>
              </w:rPr>
            </w:pPr>
          </w:p>
        </w:tc>
        <w:tc>
          <w:tcPr>
            <w:tcW w:w="3484" w:type="dxa"/>
          </w:tcPr>
          <w:p w14:paraId="3E87B20E">
            <w:pPr>
              <w:spacing w:before="72" w:after="72"/>
              <w:rPr>
                <w:rFonts w:ascii="楷体" w:hAnsi="楷体" w:eastAsia="楷体" w:cs="楷体"/>
                <w:color w:val="auto"/>
                <w:sz w:val="24"/>
              </w:rPr>
            </w:pPr>
          </w:p>
        </w:tc>
        <w:tc>
          <w:tcPr>
            <w:tcW w:w="2484" w:type="dxa"/>
          </w:tcPr>
          <w:p w14:paraId="6D190327">
            <w:pPr>
              <w:spacing w:before="72" w:after="72"/>
              <w:rPr>
                <w:rFonts w:ascii="楷体" w:hAnsi="楷体" w:eastAsia="楷体" w:cs="楷体"/>
                <w:color w:val="auto"/>
                <w:sz w:val="24"/>
              </w:rPr>
            </w:pPr>
          </w:p>
        </w:tc>
      </w:tr>
      <w:tr w14:paraId="733D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7EA434D7">
            <w:pPr>
              <w:spacing w:before="72" w:after="72"/>
              <w:jc w:val="center"/>
              <w:rPr>
                <w:rFonts w:ascii="楷体" w:hAnsi="楷体" w:eastAsia="楷体" w:cs="楷体"/>
                <w:color w:val="auto"/>
                <w:sz w:val="24"/>
              </w:rPr>
            </w:pPr>
            <w:r>
              <w:rPr>
                <w:rFonts w:hint="eastAsia" w:ascii="楷体" w:hAnsi="楷体" w:eastAsia="楷体" w:cs="楷体"/>
                <w:color w:val="auto"/>
                <w:sz w:val="24"/>
              </w:rPr>
              <w:t>7</w:t>
            </w:r>
          </w:p>
        </w:tc>
        <w:tc>
          <w:tcPr>
            <w:tcW w:w="2169" w:type="dxa"/>
          </w:tcPr>
          <w:p w14:paraId="697F927C">
            <w:pPr>
              <w:spacing w:before="72" w:after="72"/>
              <w:jc w:val="center"/>
              <w:rPr>
                <w:rFonts w:ascii="楷体" w:hAnsi="楷体" w:eastAsia="楷体" w:cs="楷体"/>
                <w:color w:val="auto"/>
                <w:sz w:val="24"/>
              </w:rPr>
            </w:pPr>
          </w:p>
        </w:tc>
        <w:tc>
          <w:tcPr>
            <w:tcW w:w="3484" w:type="dxa"/>
          </w:tcPr>
          <w:p w14:paraId="02FC8219">
            <w:pPr>
              <w:spacing w:before="72" w:after="72"/>
              <w:rPr>
                <w:rFonts w:ascii="楷体" w:hAnsi="楷体" w:eastAsia="楷体" w:cs="楷体"/>
                <w:color w:val="auto"/>
                <w:sz w:val="24"/>
              </w:rPr>
            </w:pPr>
          </w:p>
        </w:tc>
        <w:tc>
          <w:tcPr>
            <w:tcW w:w="2484" w:type="dxa"/>
          </w:tcPr>
          <w:p w14:paraId="6079F28C">
            <w:pPr>
              <w:spacing w:before="72" w:after="72"/>
              <w:rPr>
                <w:rFonts w:ascii="楷体" w:hAnsi="楷体" w:eastAsia="楷体" w:cs="楷体"/>
                <w:color w:val="auto"/>
                <w:sz w:val="24"/>
              </w:rPr>
            </w:pPr>
          </w:p>
        </w:tc>
      </w:tr>
      <w:tr w14:paraId="1111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1E79D0A1">
            <w:pPr>
              <w:spacing w:before="72" w:after="72"/>
              <w:jc w:val="center"/>
              <w:rPr>
                <w:rFonts w:ascii="楷体" w:hAnsi="楷体" w:eastAsia="楷体" w:cs="楷体"/>
                <w:color w:val="auto"/>
                <w:sz w:val="24"/>
              </w:rPr>
            </w:pPr>
            <w:r>
              <w:rPr>
                <w:rFonts w:hint="eastAsia" w:ascii="楷体" w:hAnsi="楷体" w:eastAsia="楷体" w:cs="楷体"/>
                <w:color w:val="auto"/>
                <w:sz w:val="24"/>
              </w:rPr>
              <w:t>8</w:t>
            </w:r>
          </w:p>
        </w:tc>
        <w:tc>
          <w:tcPr>
            <w:tcW w:w="2169" w:type="dxa"/>
          </w:tcPr>
          <w:p w14:paraId="0B9E0F10">
            <w:pPr>
              <w:spacing w:before="72" w:after="72"/>
              <w:jc w:val="center"/>
              <w:rPr>
                <w:rFonts w:ascii="楷体" w:hAnsi="楷体" w:eastAsia="楷体" w:cs="楷体"/>
                <w:color w:val="auto"/>
                <w:sz w:val="24"/>
              </w:rPr>
            </w:pPr>
          </w:p>
        </w:tc>
        <w:tc>
          <w:tcPr>
            <w:tcW w:w="3484" w:type="dxa"/>
          </w:tcPr>
          <w:p w14:paraId="48B924DF">
            <w:pPr>
              <w:spacing w:before="72" w:after="72"/>
              <w:rPr>
                <w:rFonts w:ascii="楷体" w:hAnsi="楷体" w:eastAsia="楷体" w:cs="楷体"/>
                <w:color w:val="auto"/>
                <w:sz w:val="24"/>
              </w:rPr>
            </w:pPr>
          </w:p>
        </w:tc>
        <w:tc>
          <w:tcPr>
            <w:tcW w:w="2484" w:type="dxa"/>
          </w:tcPr>
          <w:p w14:paraId="2DE954DE">
            <w:pPr>
              <w:spacing w:before="72" w:after="72"/>
              <w:rPr>
                <w:rFonts w:ascii="楷体" w:hAnsi="楷体" w:eastAsia="楷体" w:cs="楷体"/>
                <w:color w:val="auto"/>
                <w:sz w:val="24"/>
              </w:rPr>
            </w:pPr>
          </w:p>
        </w:tc>
      </w:tr>
      <w:tr w14:paraId="53A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 w:type="dxa"/>
          </w:tcPr>
          <w:p w14:paraId="69152CB4">
            <w:pPr>
              <w:spacing w:before="72" w:after="72"/>
              <w:jc w:val="center"/>
              <w:rPr>
                <w:rFonts w:ascii="楷体" w:hAnsi="楷体" w:eastAsia="楷体" w:cs="楷体"/>
                <w:color w:val="auto"/>
                <w:sz w:val="24"/>
              </w:rPr>
            </w:pPr>
            <w:r>
              <w:rPr>
                <w:rFonts w:hint="eastAsia" w:ascii="楷体" w:hAnsi="楷体" w:eastAsia="楷体" w:cs="楷体"/>
                <w:color w:val="auto"/>
                <w:sz w:val="24"/>
              </w:rPr>
              <w:t>…</w:t>
            </w:r>
          </w:p>
        </w:tc>
        <w:tc>
          <w:tcPr>
            <w:tcW w:w="2169" w:type="dxa"/>
          </w:tcPr>
          <w:p w14:paraId="12CB5BC5">
            <w:pPr>
              <w:spacing w:before="72" w:after="72"/>
              <w:jc w:val="center"/>
              <w:rPr>
                <w:rFonts w:ascii="楷体" w:hAnsi="楷体" w:eastAsia="楷体" w:cs="楷体"/>
                <w:color w:val="auto"/>
                <w:sz w:val="24"/>
              </w:rPr>
            </w:pPr>
          </w:p>
        </w:tc>
        <w:tc>
          <w:tcPr>
            <w:tcW w:w="3484" w:type="dxa"/>
          </w:tcPr>
          <w:p w14:paraId="54AB8D83">
            <w:pPr>
              <w:spacing w:before="72" w:after="72"/>
              <w:rPr>
                <w:rFonts w:ascii="楷体" w:hAnsi="楷体" w:eastAsia="楷体" w:cs="楷体"/>
                <w:color w:val="auto"/>
                <w:sz w:val="24"/>
              </w:rPr>
            </w:pPr>
          </w:p>
        </w:tc>
        <w:tc>
          <w:tcPr>
            <w:tcW w:w="2484" w:type="dxa"/>
          </w:tcPr>
          <w:p w14:paraId="7464DCCA">
            <w:pPr>
              <w:spacing w:before="72" w:after="72"/>
              <w:rPr>
                <w:rFonts w:ascii="楷体" w:hAnsi="楷体" w:eastAsia="楷体" w:cs="楷体"/>
                <w:color w:val="auto"/>
                <w:sz w:val="24"/>
              </w:rPr>
            </w:pPr>
          </w:p>
        </w:tc>
      </w:tr>
    </w:tbl>
    <w:p w14:paraId="46EC6BDC">
      <w:pPr>
        <w:spacing w:line="400" w:lineRule="exact"/>
        <w:rPr>
          <w:rFonts w:ascii="楷体" w:hAnsi="楷体" w:eastAsia="楷体" w:cs="楷体"/>
          <w:color w:val="auto"/>
          <w:sz w:val="24"/>
        </w:rPr>
      </w:pPr>
      <w:r>
        <w:rPr>
          <w:rFonts w:hint="eastAsia" w:ascii="楷体" w:hAnsi="楷体" w:eastAsia="楷体" w:cs="楷体"/>
          <w:color w:val="auto"/>
          <w:sz w:val="24"/>
        </w:rPr>
        <w:t>注：</w:t>
      </w:r>
    </w:p>
    <w:p w14:paraId="1B0C6B60">
      <w:pPr>
        <w:adjustRightInd w:val="0"/>
        <w:snapToGrid w:val="0"/>
        <w:spacing w:line="360" w:lineRule="auto"/>
        <w:ind w:firstLine="420"/>
        <w:rPr>
          <w:rFonts w:ascii="楷体" w:hAnsi="楷体" w:eastAsia="楷体" w:cs="楷体"/>
          <w:color w:val="auto"/>
          <w:sz w:val="24"/>
          <w:lang w:val="en-GB"/>
        </w:rPr>
      </w:pPr>
      <w:r>
        <w:rPr>
          <w:rFonts w:hint="eastAsia" w:ascii="楷体" w:hAnsi="楷体" w:eastAsia="楷体" w:cs="楷体"/>
          <w:color w:val="auto"/>
          <w:sz w:val="24"/>
          <w:lang w:val="en-GB"/>
        </w:rPr>
        <w:t>1、投标人必须对应招标文件“用户需求书”中带“</w:t>
      </w:r>
      <w:r>
        <w:rPr>
          <w:rFonts w:hint="eastAsia" w:ascii="楷体" w:hAnsi="楷体" w:eastAsia="楷体" w:cs="楷体"/>
          <w:color w:val="auto"/>
          <w:kern w:val="0"/>
          <w:sz w:val="24"/>
        </w:rPr>
        <w:t>▲</w:t>
      </w:r>
      <w:r>
        <w:rPr>
          <w:rFonts w:hint="eastAsia" w:ascii="楷体" w:hAnsi="楷体" w:eastAsia="楷体" w:cs="楷体"/>
          <w:color w:val="auto"/>
          <w:sz w:val="24"/>
          <w:lang w:val="en-GB"/>
        </w:rPr>
        <w:t>” 项内容逐条响应。如有缺漏，缺漏项视</w:t>
      </w:r>
      <w:r>
        <w:rPr>
          <w:rFonts w:hint="eastAsia" w:ascii="楷体" w:hAnsi="楷体" w:eastAsia="楷体" w:cs="楷体"/>
          <w:color w:val="auto"/>
          <w:sz w:val="24"/>
        </w:rPr>
        <w:t>为负偏离，负偏离将导致响应评审严重扣分</w:t>
      </w:r>
      <w:r>
        <w:rPr>
          <w:rFonts w:hint="eastAsia" w:ascii="楷体" w:hAnsi="楷体" w:eastAsia="楷体" w:cs="楷体"/>
          <w:color w:val="auto"/>
          <w:sz w:val="24"/>
          <w:lang w:val="en-GB"/>
        </w:rPr>
        <w:t>。</w:t>
      </w:r>
    </w:p>
    <w:p w14:paraId="4FAA9F1A">
      <w:pPr>
        <w:adjustRightInd w:val="0"/>
        <w:snapToGrid w:val="0"/>
        <w:spacing w:line="360" w:lineRule="auto"/>
        <w:ind w:firstLine="420"/>
        <w:rPr>
          <w:rFonts w:ascii="楷体" w:hAnsi="楷体" w:eastAsia="楷体" w:cs="楷体"/>
          <w:color w:val="auto"/>
          <w:sz w:val="24"/>
          <w:lang w:val="en-GB"/>
        </w:rPr>
      </w:pPr>
      <w:r>
        <w:rPr>
          <w:rFonts w:hint="eastAsia" w:ascii="楷体" w:hAnsi="楷体" w:eastAsia="楷体" w:cs="楷体"/>
          <w:color w:val="auto"/>
          <w:sz w:val="24"/>
          <w:lang w:val="en-GB"/>
        </w:rPr>
        <w:t>2、投标人响应采购需求应具体、明确，含糊不清、不确切或伪造、变造证明材料的，按照不完全响应或者完全不响应处理。构成提供虚假材料的，移送监管部门查处。</w:t>
      </w:r>
    </w:p>
    <w:p w14:paraId="58C1BD51">
      <w:pPr>
        <w:adjustRightInd w:val="0"/>
        <w:snapToGrid w:val="0"/>
        <w:spacing w:line="360" w:lineRule="auto"/>
        <w:ind w:firstLine="420"/>
        <w:rPr>
          <w:rFonts w:ascii="楷体" w:hAnsi="楷体" w:eastAsia="楷体" w:cs="楷体"/>
          <w:color w:val="auto"/>
          <w:sz w:val="24"/>
          <w:lang w:val="en-GB"/>
        </w:rPr>
      </w:pPr>
      <w:r>
        <w:rPr>
          <w:rFonts w:hint="eastAsia" w:ascii="楷体" w:hAnsi="楷体" w:eastAsia="楷体" w:cs="楷体"/>
          <w:color w:val="auto"/>
          <w:sz w:val="24"/>
          <w:lang w:val="en-GB"/>
        </w:rPr>
        <w:t>3、本表内容不得擅自修改。</w:t>
      </w:r>
    </w:p>
    <w:p w14:paraId="692CD7C9">
      <w:pPr>
        <w:adjustRightInd w:val="0"/>
        <w:snapToGrid w:val="0"/>
        <w:spacing w:before="72" w:after="72" w:line="300" w:lineRule="auto"/>
        <w:rPr>
          <w:rFonts w:ascii="楷体" w:hAnsi="楷体" w:eastAsia="楷体" w:cs="楷体"/>
          <w:color w:val="auto"/>
          <w:sz w:val="24"/>
        </w:rPr>
      </w:pPr>
    </w:p>
    <w:p w14:paraId="1E8DDC91">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4D6CA329">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64ABF8BD">
      <w:pPr>
        <w:spacing w:before="72" w:after="72" w:line="400" w:lineRule="exact"/>
        <w:ind w:firstLine="3578" w:firstLineChars="1491"/>
        <w:rPr>
          <w:rFonts w:ascii="楷体" w:hAnsi="楷体" w:eastAsia="楷体" w:cs="楷体"/>
          <w:color w:val="auto"/>
          <w:sz w:val="24"/>
        </w:rPr>
        <w:sectPr>
          <w:pgSz w:w="11906" w:h="16838"/>
          <w:pgMar w:top="1440" w:right="1800" w:bottom="1440" w:left="1800" w:header="851" w:footer="992" w:gutter="0"/>
          <w:cols w:space="720" w:num="1"/>
          <w:docGrid w:linePitch="312" w:charSpace="0"/>
        </w:sectPr>
      </w:pPr>
      <w:r>
        <w:rPr>
          <w:rFonts w:hint="eastAsia" w:ascii="楷体" w:hAnsi="楷体" w:eastAsia="楷体" w:cs="楷体"/>
          <w:color w:val="auto"/>
          <w:sz w:val="24"/>
        </w:rPr>
        <w:t>日期：   年   月   日</w:t>
      </w:r>
    </w:p>
    <w:p w14:paraId="06BA86DA">
      <w:pPr>
        <w:numPr>
          <w:ilvl w:val="0"/>
          <w:numId w:val="80"/>
        </w:numPr>
        <w:spacing w:before="72" w:after="72"/>
        <w:jc w:val="center"/>
        <w:rPr>
          <w:rFonts w:ascii="楷体" w:hAnsi="楷体" w:eastAsia="楷体" w:cs="楷体"/>
          <w:b/>
          <w:color w:val="auto"/>
          <w:sz w:val="28"/>
          <w:szCs w:val="28"/>
        </w:rPr>
      </w:pPr>
      <w:r>
        <w:rPr>
          <w:rFonts w:hint="eastAsia" w:ascii="楷体" w:hAnsi="楷体" w:eastAsia="楷体" w:cs="楷体"/>
          <w:b/>
          <w:color w:val="auto"/>
          <w:sz w:val="28"/>
          <w:szCs w:val="28"/>
        </w:rPr>
        <w:t>一般条款响应表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391"/>
        <w:gridCol w:w="3093"/>
        <w:gridCol w:w="2353"/>
      </w:tblGrid>
      <w:tr w14:paraId="04EB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00" w:type="pct"/>
            <w:shd w:val="clear" w:color="auto" w:fill="E6E6E6"/>
            <w:vAlign w:val="center"/>
          </w:tcPr>
          <w:p w14:paraId="23FDE27E">
            <w:pPr>
              <w:spacing w:before="72" w:after="72"/>
              <w:jc w:val="center"/>
              <w:rPr>
                <w:rFonts w:ascii="楷体" w:hAnsi="楷体" w:eastAsia="楷体" w:cs="楷体"/>
                <w:b/>
                <w:color w:val="auto"/>
                <w:sz w:val="24"/>
              </w:rPr>
            </w:pPr>
            <w:r>
              <w:rPr>
                <w:rFonts w:hint="eastAsia" w:ascii="楷体" w:hAnsi="楷体" w:eastAsia="楷体" w:cs="楷体"/>
                <w:b/>
                <w:color w:val="auto"/>
                <w:sz w:val="24"/>
              </w:rPr>
              <w:t>序号</w:t>
            </w:r>
          </w:p>
        </w:tc>
        <w:tc>
          <w:tcPr>
            <w:tcW w:w="1403" w:type="pct"/>
            <w:shd w:val="clear" w:color="auto" w:fill="E6E6E6"/>
            <w:vAlign w:val="center"/>
          </w:tcPr>
          <w:p w14:paraId="1C22F26F">
            <w:pPr>
              <w:spacing w:before="72" w:after="72"/>
              <w:jc w:val="center"/>
              <w:rPr>
                <w:rFonts w:ascii="楷体" w:hAnsi="楷体" w:eastAsia="楷体" w:cs="楷体"/>
                <w:b/>
                <w:color w:val="auto"/>
                <w:sz w:val="24"/>
              </w:rPr>
            </w:pPr>
            <w:r>
              <w:rPr>
                <w:rFonts w:hint="eastAsia" w:ascii="楷体" w:hAnsi="楷体" w:eastAsia="楷体" w:cs="楷体"/>
                <w:b/>
                <w:color w:val="auto"/>
                <w:sz w:val="24"/>
              </w:rPr>
              <w:t>招标文件要求</w:t>
            </w:r>
          </w:p>
        </w:tc>
        <w:tc>
          <w:tcPr>
            <w:tcW w:w="1815" w:type="pct"/>
            <w:shd w:val="clear" w:color="auto" w:fill="E6E6E6"/>
            <w:vAlign w:val="center"/>
          </w:tcPr>
          <w:p w14:paraId="430C0CC7">
            <w:pPr>
              <w:spacing w:before="72" w:after="72"/>
              <w:jc w:val="center"/>
              <w:rPr>
                <w:rFonts w:ascii="楷体" w:hAnsi="楷体" w:eastAsia="楷体" w:cs="楷体"/>
                <w:b/>
                <w:color w:val="auto"/>
                <w:sz w:val="24"/>
              </w:rPr>
            </w:pPr>
            <w:r>
              <w:rPr>
                <w:rFonts w:hint="eastAsia" w:ascii="楷体" w:hAnsi="楷体" w:eastAsia="楷体" w:cs="楷体"/>
                <w:b/>
                <w:color w:val="auto"/>
                <w:sz w:val="24"/>
              </w:rPr>
              <w:t>投标实际情况</w:t>
            </w:r>
          </w:p>
        </w:tc>
        <w:tc>
          <w:tcPr>
            <w:tcW w:w="1380" w:type="pct"/>
            <w:shd w:val="clear" w:color="auto" w:fill="E6E6E6"/>
            <w:vAlign w:val="center"/>
          </w:tcPr>
          <w:p w14:paraId="740CBDE2">
            <w:pPr>
              <w:spacing w:before="72" w:after="72"/>
              <w:jc w:val="center"/>
              <w:rPr>
                <w:rFonts w:ascii="楷体" w:hAnsi="楷体" w:eastAsia="楷体" w:cs="楷体"/>
                <w:b/>
                <w:color w:val="auto"/>
                <w:sz w:val="24"/>
              </w:rPr>
            </w:pPr>
            <w:r>
              <w:rPr>
                <w:rFonts w:hint="eastAsia" w:ascii="楷体" w:hAnsi="楷体" w:eastAsia="楷体" w:cs="楷体"/>
                <w:b/>
                <w:color w:val="auto"/>
                <w:sz w:val="24"/>
              </w:rPr>
              <w:t>偏离情况说明（无偏离/正偏离/负偏离）</w:t>
            </w:r>
          </w:p>
        </w:tc>
      </w:tr>
      <w:tr w14:paraId="7514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7955B811">
            <w:pPr>
              <w:spacing w:before="72" w:after="72"/>
              <w:jc w:val="center"/>
              <w:rPr>
                <w:rFonts w:ascii="楷体" w:hAnsi="楷体" w:eastAsia="楷体" w:cs="楷体"/>
                <w:color w:val="auto"/>
                <w:sz w:val="24"/>
              </w:rPr>
            </w:pPr>
            <w:r>
              <w:rPr>
                <w:rFonts w:hint="eastAsia" w:ascii="楷体" w:hAnsi="楷体" w:eastAsia="楷体" w:cs="楷体"/>
                <w:color w:val="auto"/>
                <w:sz w:val="24"/>
              </w:rPr>
              <w:t>1</w:t>
            </w:r>
          </w:p>
        </w:tc>
        <w:tc>
          <w:tcPr>
            <w:tcW w:w="1403" w:type="pct"/>
          </w:tcPr>
          <w:p w14:paraId="45E90454">
            <w:pPr>
              <w:spacing w:before="72" w:after="72"/>
              <w:rPr>
                <w:rFonts w:ascii="楷体" w:hAnsi="楷体" w:eastAsia="楷体" w:cs="楷体"/>
                <w:color w:val="auto"/>
                <w:sz w:val="24"/>
              </w:rPr>
            </w:pPr>
          </w:p>
        </w:tc>
        <w:tc>
          <w:tcPr>
            <w:tcW w:w="1815" w:type="pct"/>
          </w:tcPr>
          <w:p w14:paraId="35C7D70C">
            <w:pPr>
              <w:spacing w:before="72" w:after="72"/>
              <w:rPr>
                <w:rFonts w:ascii="楷体" w:hAnsi="楷体" w:eastAsia="楷体" w:cs="楷体"/>
                <w:color w:val="auto"/>
                <w:sz w:val="24"/>
              </w:rPr>
            </w:pPr>
          </w:p>
        </w:tc>
        <w:tc>
          <w:tcPr>
            <w:tcW w:w="1380" w:type="pct"/>
          </w:tcPr>
          <w:p w14:paraId="6D39234C">
            <w:pPr>
              <w:spacing w:before="72" w:after="72"/>
              <w:rPr>
                <w:rFonts w:ascii="楷体" w:hAnsi="楷体" w:eastAsia="楷体" w:cs="楷体"/>
                <w:color w:val="auto"/>
                <w:sz w:val="24"/>
              </w:rPr>
            </w:pPr>
          </w:p>
        </w:tc>
      </w:tr>
      <w:tr w14:paraId="333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48A90EC9">
            <w:pPr>
              <w:spacing w:before="72" w:after="72"/>
              <w:jc w:val="center"/>
              <w:rPr>
                <w:rFonts w:ascii="楷体" w:hAnsi="楷体" w:eastAsia="楷体" w:cs="楷体"/>
                <w:color w:val="auto"/>
                <w:sz w:val="24"/>
              </w:rPr>
            </w:pPr>
            <w:r>
              <w:rPr>
                <w:rFonts w:hint="eastAsia" w:ascii="楷体" w:hAnsi="楷体" w:eastAsia="楷体" w:cs="楷体"/>
                <w:color w:val="auto"/>
                <w:sz w:val="24"/>
              </w:rPr>
              <w:t>2</w:t>
            </w:r>
          </w:p>
        </w:tc>
        <w:tc>
          <w:tcPr>
            <w:tcW w:w="1403" w:type="pct"/>
          </w:tcPr>
          <w:p w14:paraId="636B72C6">
            <w:pPr>
              <w:spacing w:before="72" w:after="72"/>
              <w:rPr>
                <w:rFonts w:ascii="楷体" w:hAnsi="楷体" w:eastAsia="楷体" w:cs="楷体"/>
                <w:color w:val="auto"/>
                <w:sz w:val="24"/>
              </w:rPr>
            </w:pPr>
          </w:p>
        </w:tc>
        <w:tc>
          <w:tcPr>
            <w:tcW w:w="1815" w:type="pct"/>
          </w:tcPr>
          <w:p w14:paraId="74E8D767">
            <w:pPr>
              <w:spacing w:before="72" w:after="72"/>
              <w:rPr>
                <w:rFonts w:ascii="楷体" w:hAnsi="楷体" w:eastAsia="楷体" w:cs="楷体"/>
                <w:color w:val="auto"/>
                <w:sz w:val="24"/>
              </w:rPr>
            </w:pPr>
          </w:p>
        </w:tc>
        <w:tc>
          <w:tcPr>
            <w:tcW w:w="1380" w:type="pct"/>
          </w:tcPr>
          <w:p w14:paraId="75D46B76">
            <w:pPr>
              <w:spacing w:before="72" w:after="72"/>
              <w:rPr>
                <w:rFonts w:ascii="楷体" w:hAnsi="楷体" w:eastAsia="楷体" w:cs="楷体"/>
                <w:color w:val="auto"/>
                <w:sz w:val="24"/>
              </w:rPr>
            </w:pPr>
          </w:p>
        </w:tc>
      </w:tr>
      <w:tr w14:paraId="522D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74EA71A3">
            <w:pPr>
              <w:spacing w:before="72" w:after="72"/>
              <w:jc w:val="center"/>
              <w:rPr>
                <w:rFonts w:ascii="楷体" w:hAnsi="楷体" w:eastAsia="楷体" w:cs="楷体"/>
                <w:color w:val="auto"/>
                <w:sz w:val="24"/>
              </w:rPr>
            </w:pPr>
            <w:r>
              <w:rPr>
                <w:rFonts w:hint="eastAsia" w:ascii="楷体" w:hAnsi="楷体" w:eastAsia="楷体" w:cs="楷体"/>
                <w:color w:val="auto"/>
                <w:sz w:val="24"/>
              </w:rPr>
              <w:t>3</w:t>
            </w:r>
          </w:p>
        </w:tc>
        <w:tc>
          <w:tcPr>
            <w:tcW w:w="1403" w:type="pct"/>
          </w:tcPr>
          <w:p w14:paraId="158CEAD6">
            <w:pPr>
              <w:spacing w:before="72" w:after="72"/>
              <w:rPr>
                <w:rFonts w:ascii="楷体" w:hAnsi="楷体" w:eastAsia="楷体" w:cs="楷体"/>
                <w:color w:val="auto"/>
                <w:sz w:val="24"/>
              </w:rPr>
            </w:pPr>
          </w:p>
        </w:tc>
        <w:tc>
          <w:tcPr>
            <w:tcW w:w="1815" w:type="pct"/>
          </w:tcPr>
          <w:p w14:paraId="16F1973A">
            <w:pPr>
              <w:spacing w:before="72" w:after="72"/>
              <w:rPr>
                <w:rFonts w:ascii="楷体" w:hAnsi="楷体" w:eastAsia="楷体" w:cs="楷体"/>
                <w:color w:val="auto"/>
                <w:sz w:val="24"/>
              </w:rPr>
            </w:pPr>
          </w:p>
        </w:tc>
        <w:tc>
          <w:tcPr>
            <w:tcW w:w="1380" w:type="pct"/>
          </w:tcPr>
          <w:p w14:paraId="327FB030">
            <w:pPr>
              <w:spacing w:before="72" w:after="72"/>
              <w:rPr>
                <w:rFonts w:ascii="楷体" w:hAnsi="楷体" w:eastAsia="楷体" w:cs="楷体"/>
                <w:color w:val="auto"/>
                <w:sz w:val="24"/>
              </w:rPr>
            </w:pPr>
          </w:p>
        </w:tc>
      </w:tr>
      <w:tr w14:paraId="3DD1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1A192BD9">
            <w:pPr>
              <w:spacing w:before="72" w:after="72"/>
              <w:jc w:val="center"/>
              <w:rPr>
                <w:rFonts w:ascii="楷体" w:hAnsi="楷体" w:eastAsia="楷体" w:cs="楷体"/>
                <w:color w:val="auto"/>
                <w:sz w:val="24"/>
              </w:rPr>
            </w:pPr>
            <w:r>
              <w:rPr>
                <w:rFonts w:hint="eastAsia" w:ascii="楷体" w:hAnsi="楷体" w:eastAsia="楷体" w:cs="楷体"/>
                <w:color w:val="auto"/>
                <w:sz w:val="24"/>
              </w:rPr>
              <w:t>4</w:t>
            </w:r>
          </w:p>
        </w:tc>
        <w:tc>
          <w:tcPr>
            <w:tcW w:w="1403" w:type="pct"/>
          </w:tcPr>
          <w:p w14:paraId="1F7B93B4">
            <w:pPr>
              <w:spacing w:before="72" w:after="72"/>
              <w:rPr>
                <w:rFonts w:ascii="楷体" w:hAnsi="楷体" w:eastAsia="楷体" w:cs="楷体"/>
                <w:color w:val="auto"/>
                <w:sz w:val="24"/>
              </w:rPr>
            </w:pPr>
          </w:p>
        </w:tc>
        <w:tc>
          <w:tcPr>
            <w:tcW w:w="1815" w:type="pct"/>
          </w:tcPr>
          <w:p w14:paraId="1CEFC922">
            <w:pPr>
              <w:spacing w:before="72" w:after="72"/>
              <w:rPr>
                <w:rFonts w:ascii="楷体" w:hAnsi="楷体" w:eastAsia="楷体" w:cs="楷体"/>
                <w:color w:val="auto"/>
                <w:sz w:val="24"/>
              </w:rPr>
            </w:pPr>
          </w:p>
        </w:tc>
        <w:tc>
          <w:tcPr>
            <w:tcW w:w="1380" w:type="pct"/>
          </w:tcPr>
          <w:p w14:paraId="4CEDA996">
            <w:pPr>
              <w:spacing w:before="72" w:after="72"/>
              <w:rPr>
                <w:rFonts w:ascii="楷体" w:hAnsi="楷体" w:eastAsia="楷体" w:cs="楷体"/>
                <w:color w:val="auto"/>
                <w:sz w:val="24"/>
              </w:rPr>
            </w:pPr>
          </w:p>
        </w:tc>
      </w:tr>
      <w:tr w14:paraId="798E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568A5B42">
            <w:pPr>
              <w:spacing w:before="72" w:after="72"/>
              <w:jc w:val="center"/>
              <w:rPr>
                <w:rFonts w:ascii="楷体" w:hAnsi="楷体" w:eastAsia="楷体" w:cs="楷体"/>
                <w:color w:val="auto"/>
                <w:sz w:val="24"/>
              </w:rPr>
            </w:pPr>
            <w:r>
              <w:rPr>
                <w:rFonts w:hint="eastAsia" w:ascii="楷体" w:hAnsi="楷体" w:eastAsia="楷体" w:cs="楷体"/>
                <w:color w:val="auto"/>
                <w:sz w:val="24"/>
              </w:rPr>
              <w:t>5</w:t>
            </w:r>
          </w:p>
        </w:tc>
        <w:tc>
          <w:tcPr>
            <w:tcW w:w="1403" w:type="pct"/>
          </w:tcPr>
          <w:p w14:paraId="76A709F4">
            <w:pPr>
              <w:spacing w:before="72" w:after="72"/>
              <w:rPr>
                <w:rFonts w:ascii="楷体" w:hAnsi="楷体" w:eastAsia="楷体" w:cs="楷体"/>
                <w:color w:val="auto"/>
                <w:sz w:val="24"/>
              </w:rPr>
            </w:pPr>
          </w:p>
        </w:tc>
        <w:tc>
          <w:tcPr>
            <w:tcW w:w="1815" w:type="pct"/>
          </w:tcPr>
          <w:p w14:paraId="21297A75">
            <w:pPr>
              <w:spacing w:before="72" w:after="72"/>
              <w:rPr>
                <w:rFonts w:ascii="楷体" w:hAnsi="楷体" w:eastAsia="楷体" w:cs="楷体"/>
                <w:color w:val="auto"/>
                <w:sz w:val="24"/>
              </w:rPr>
            </w:pPr>
          </w:p>
        </w:tc>
        <w:tc>
          <w:tcPr>
            <w:tcW w:w="1380" w:type="pct"/>
          </w:tcPr>
          <w:p w14:paraId="75973A75">
            <w:pPr>
              <w:spacing w:before="72" w:after="72"/>
              <w:rPr>
                <w:rFonts w:ascii="楷体" w:hAnsi="楷体" w:eastAsia="楷体" w:cs="楷体"/>
                <w:color w:val="auto"/>
                <w:sz w:val="24"/>
              </w:rPr>
            </w:pPr>
          </w:p>
        </w:tc>
      </w:tr>
      <w:tr w14:paraId="3BF3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72526C81">
            <w:pPr>
              <w:spacing w:before="72" w:after="72"/>
              <w:jc w:val="center"/>
              <w:rPr>
                <w:rFonts w:ascii="楷体" w:hAnsi="楷体" w:eastAsia="楷体" w:cs="楷体"/>
                <w:color w:val="auto"/>
                <w:sz w:val="24"/>
              </w:rPr>
            </w:pPr>
            <w:r>
              <w:rPr>
                <w:rFonts w:hint="eastAsia" w:ascii="楷体" w:hAnsi="楷体" w:eastAsia="楷体" w:cs="楷体"/>
                <w:color w:val="auto"/>
                <w:sz w:val="24"/>
              </w:rPr>
              <w:t>6</w:t>
            </w:r>
          </w:p>
        </w:tc>
        <w:tc>
          <w:tcPr>
            <w:tcW w:w="1403" w:type="pct"/>
          </w:tcPr>
          <w:p w14:paraId="2FD8F8E9">
            <w:pPr>
              <w:spacing w:before="72" w:after="72"/>
              <w:rPr>
                <w:rFonts w:ascii="楷体" w:hAnsi="楷体" w:eastAsia="楷体" w:cs="楷体"/>
                <w:color w:val="auto"/>
                <w:sz w:val="24"/>
              </w:rPr>
            </w:pPr>
          </w:p>
        </w:tc>
        <w:tc>
          <w:tcPr>
            <w:tcW w:w="1815" w:type="pct"/>
          </w:tcPr>
          <w:p w14:paraId="062181C5">
            <w:pPr>
              <w:spacing w:before="72" w:after="72"/>
              <w:rPr>
                <w:rFonts w:ascii="楷体" w:hAnsi="楷体" w:eastAsia="楷体" w:cs="楷体"/>
                <w:color w:val="auto"/>
                <w:sz w:val="24"/>
              </w:rPr>
            </w:pPr>
          </w:p>
        </w:tc>
        <w:tc>
          <w:tcPr>
            <w:tcW w:w="1380" w:type="pct"/>
          </w:tcPr>
          <w:p w14:paraId="5036FB1B">
            <w:pPr>
              <w:spacing w:before="72" w:after="72"/>
              <w:rPr>
                <w:rFonts w:ascii="楷体" w:hAnsi="楷体" w:eastAsia="楷体" w:cs="楷体"/>
                <w:color w:val="auto"/>
                <w:sz w:val="24"/>
              </w:rPr>
            </w:pPr>
          </w:p>
        </w:tc>
      </w:tr>
      <w:tr w14:paraId="3695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2B81DFB8">
            <w:pPr>
              <w:spacing w:before="72" w:after="72"/>
              <w:jc w:val="center"/>
              <w:rPr>
                <w:rFonts w:ascii="楷体" w:hAnsi="楷体" w:eastAsia="楷体" w:cs="楷体"/>
                <w:color w:val="auto"/>
                <w:sz w:val="24"/>
              </w:rPr>
            </w:pPr>
            <w:r>
              <w:rPr>
                <w:rFonts w:hint="eastAsia" w:ascii="楷体" w:hAnsi="楷体" w:eastAsia="楷体" w:cs="楷体"/>
                <w:color w:val="auto"/>
                <w:sz w:val="24"/>
              </w:rPr>
              <w:t>7</w:t>
            </w:r>
          </w:p>
        </w:tc>
        <w:tc>
          <w:tcPr>
            <w:tcW w:w="1403" w:type="pct"/>
          </w:tcPr>
          <w:p w14:paraId="186C4AA7">
            <w:pPr>
              <w:spacing w:before="72" w:after="72"/>
              <w:rPr>
                <w:rFonts w:ascii="楷体" w:hAnsi="楷体" w:eastAsia="楷体" w:cs="楷体"/>
                <w:color w:val="auto"/>
                <w:sz w:val="24"/>
              </w:rPr>
            </w:pPr>
          </w:p>
        </w:tc>
        <w:tc>
          <w:tcPr>
            <w:tcW w:w="1815" w:type="pct"/>
          </w:tcPr>
          <w:p w14:paraId="18BABC45">
            <w:pPr>
              <w:spacing w:before="72" w:after="72"/>
              <w:rPr>
                <w:rFonts w:ascii="楷体" w:hAnsi="楷体" w:eastAsia="楷体" w:cs="楷体"/>
                <w:color w:val="auto"/>
                <w:sz w:val="24"/>
              </w:rPr>
            </w:pPr>
          </w:p>
        </w:tc>
        <w:tc>
          <w:tcPr>
            <w:tcW w:w="1380" w:type="pct"/>
          </w:tcPr>
          <w:p w14:paraId="68ADE0D0">
            <w:pPr>
              <w:spacing w:before="72" w:after="72"/>
              <w:rPr>
                <w:rFonts w:ascii="楷体" w:hAnsi="楷体" w:eastAsia="楷体" w:cs="楷体"/>
                <w:color w:val="auto"/>
                <w:sz w:val="24"/>
              </w:rPr>
            </w:pPr>
          </w:p>
        </w:tc>
      </w:tr>
      <w:tr w14:paraId="0AA7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13DFF8A9">
            <w:pPr>
              <w:spacing w:before="72" w:after="72"/>
              <w:jc w:val="center"/>
              <w:rPr>
                <w:rFonts w:ascii="楷体" w:hAnsi="楷体" w:eastAsia="楷体" w:cs="楷体"/>
                <w:color w:val="auto"/>
                <w:sz w:val="24"/>
              </w:rPr>
            </w:pPr>
            <w:r>
              <w:rPr>
                <w:rFonts w:hint="eastAsia" w:ascii="楷体" w:hAnsi="楷体" w:eastAsia="楷体" w:cs="楷体"/>
                <w:color w:val="auto"/>
                <w:sz w:val="24"/>
              </w:rPr>
              <w:t>8</w:t>
            </w:r>
          </w:p>
        </w:tc>
        <w:tc>
          <w:tcPr>
            <w:tcW w:w="1403" w:type="pct"/>
          </w:tcPr>
          <w:p w14:paraId="0053EBCF">
            <w:pPr>
              <w:spacing w:before="72" w:after="72"/>
              <w:rPr>
                <w:rFonts w:ascii="楷体" w:hAnsi="楷体" w:eastAsia="楷体" w:cs="楷体"/>
                <w:color w:val="auto"/>
                <w:sz w:val="24"/>
              </w:rPr>
            </w:pPr>
          </w:p>
        </w:tc>
        <w:tc>
          <w:tcPr>
            <w:tcW w:w="1815" w:type="pct"/>
          </w:tcPr>
          <w:p w14:paraId="434D815B">
            <w:pPr>
              <w:spacing w:before="72" w:after="72"/>
              <w:rPr>
                <w:rFonts w:ascii="楷体" w:hAnsi="楷体" w:eastAsia="楷体" w:cs="楷体"/>
                <w:color w:val="auto"/>
                <w:sz w:val="24"/>
              </w:rPr>
            </w:pPr>
          </w:p>
        </w:tc>
        <w:tc>
          <w:tcPr>
            <w:tcW w:w="1380" w:type="pct"/>
          </w:tcPr>
          <w:p w14:paraId="7C7D616C">
            <w:pPr>
              <w:spacing w:before="72" w:after="72"/>
              <w:rPr>
                <w:rFonts w:ascii="楷体" w:hAnsi="楷体" w:eastAsia="楷体" w:cs="楷体"/>
                <w:color w:val="auto"/>
                <w:sz w:val="24"/>
              </w:rPr>
            </w:pPr>
          </w:p>
        </w:tc>
      </w:tr>
      <w:tr w14:paraId="6756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0" w:type="pct"/>
          </w:tcPr>
          <w:p w14:paraId="38DFD2C0">
            <w:pPr>
              <w:spacing w:before="72" w:after="72"/>
              <w:jc w:val="center"/>
              <w:rPr>
                <w:rFonts w:ascii="楷体" w:hAnsi="楷体" w:eastAsia="楷体" w:cs="楷体"/>
                <w:color w:val="auto"/>
                <w:sz w:val="24"/>
              </w:rPr>
            </w:pPr>
            <w:r>
              <w:rPr>
                <w:rFonts w:hint="eastAsia" w:ascii="楷体" w:hAnsi="楷体" w:eastAsia="楷体" w:cs="楷体"/>
                <w:color w:val="auto"/>
                <w:sz w:val="24"/>
              </w:rPr>
              <w:t>…</w:t>
            </w:r>
          </w:p>
        </w:tc>
        <w:tc>
          <w:tcPr>
            <w:tcW w:w="1403" w:type="pct"/>
          </w:tcPr>
          <w:p w14:paraId="5EBB23BD">
            <w:pPr>
              <w:spacing w:before="72" w:after="72"/>
              <w:rPr>
                <w:rFonts w:ascii="楷体" w:hAnsi="楷体" w:eastAsia="楷体" w:cs="楷体"/>
                <w:color w:val="auto"/>
                <w:sz w:val="24"/>
              </w:rPr>
            </w:pPr>
          </w:p>
        </w:tc>
        <w:tc>
          <w:tcPr>
            <w:tcW w:w="1815" w:type="pct"/>
          </w:tcPr>
          <w:p w14:paraId="02955CF9">
            <w:pPr>
              <w:spacing w:before="72" w:after="72"/>
              <w:rPr>
                <w:rFonts w:ascii="楷体" w:hAnsi="楷体" w:eastAsia="楷体" w:cs="楷体"/>
                <w:color w:val="auto"/>
                <w:sz w:val="24"/>
              </w:rPr>
            </w:pPr>
          </w:p>
        </w:tc>
        <w:tc>
          <w:tcPr>
            <w:tcW w:w="1380" w:type="pct"/>
          </w:tcPr>
          <w:p w14:paraId="170FE33A">
            <w:pPr>
              <w:spacing w:before="72" w:after="72"/>
              <w:rPr>
                <w:rFonts w:ascii="楷体" w:hAnsi="楷体" w:eastAsia="楷体" w:cs="楷体"/>
                <w:color w:val="auto"/>
                <w:sz w:val="24"/>
              </w:rPr>
            </w:pPr>
          </w:p>
        </w:tc>
      </w:tr>
    </w:tbl>
    <w:p w14:paraId="5FDAE3DD">
      <w:pPr>
        <w:spacing w:line="400" w:lineRule="exact"/>
        <w:rPr>
          <w:rFonts w:ascii="楷体" w:hAnsi="楷体" w:eastAsia="楷体" w:cs="楷体"/>
          <w:color w:val="auto"/>
          <w:sz w:val="24"/>
        </w:rPr>
      </w:pPr>
      <w:r>
        <w:rPr>
          <w:rFonts w:hint="eastAsia" w:ascii="楷体" w:hAnsi="楷体" w:eastAsia="楷体" w:cs="楷体"/>
          <w:color w:val="auto"/>
          <w:sz w:val="24"/>
        </w:rPr>
        <w:t>注：</w:t>
      </w:r>
    </w:p>
    <w:p w14:paraId="133A3D2B">
      <w:pPr>
        <w:adjustRightInd w:val="0"/>
        <w:snapToGrid w:val="0"/>
        <w:spacing w:line="360" w:lineRule="auto"/>
        <w:ind w:firstLine="420"/>
        <w:rPr>
          <w:rFonts w:ascii="楷体" w:hAnsi="楷体" w:eastAsia="楷体" w:cs="楷体"/>
          <w:color w:val="auto"/>
          <w:sz w:val="24"/>
          <w:lang w:val="en-GB"/>
        </w:rPr>
      </w:pPr>
      <w:r>
        <w:rPr>
          <w:rFonts w:hint="eastAsia" w:ascii="楷体" w:hAnsi="楷体" w:eastAsia="楷体" w:cs="楷体"/>
          <w:color w:val="auto"/>
          <w:sz w:val="24"/>
          <w:lang w:val="en-GB"/>
        </w:rPr>
        <w:t>1、</w:t>
      </w:r>
      <w:r>
        <w:rPr>
          <w:rFonts w:hint="eastAsia" w:ascii="楷体" w:hAnsi="楷体" w:eastAsia="楷体" w:cs="楷体"/>
          <w:color w:val="auto"/>
          <w:sz w:val="24"/>
        </w:rPr>
        <w:t>投标人必须对应招标文件“用户需求书”中服务条款</w:t>
      </w:r>
      <w:r>
        <w:rPr>
          <w:rFonts w:hint="eastAsia" w:ascii="楷体" w:hAnsi="楷体" w:eastAsia="楷体" w:cs="楷体"/>
          <w:b/>
          <w:color w:val="auto"/>
          <w:sz w:val="24"/>
        </w:rPr>
        <w:t>带</w:t>
      </w:r>
      <w:r>
        <w:rPr>
          <w:rFonts w:hint="eastAsia" w:ascii="楷体" w:hAnsi="楷体" w:eastAsia="楷体" w:cs="楷体"/>
          <w:b/>
          <w:color w:val="auto"/>
          <w:sz w:val="24"/>
          <w:lang w:val="en-GB"/>
        </w:rPr>
        <w:t>“★”</w:t>
      </w:r>
      <w:r>
        <w:rPr>
          <w:rFonts w:hint="eastAsia" w:ascii="楷体" w:hAnsi="楷体" w:eastAsia="楷体" w:cs="楷体"/>
          <w:b/>
          <w:color w:val="auto"/>
          <w:sz w:val="24"/>
        </w:rPr>
        <w:t>及</w:t>
      </w:r>
      <w:r>
        <w:rPr>
          <w:rFonts w:hint="eastAsia" w:ascii="楷体" w:hAnsi="楷体" w:eastAsia="楷体" w:cs="楷体"/>
          <w:b/>
          <w:color w:val="auto"/>
          <w:sz w:val="24"/>
          <w:lang w:val="en-GB"/>
        </w:rPr>
        <w:t>“▲” 项以外</w:t>
      </w:r>
      <w:r>
        <w:rPr>
          <w:rFonts w:hint="eastAsia" w:ascii="楷体" w:hAnsi="楷体" w:eastAsia="楷体" w:cs="楷体"/>
          <w:color w:val="auto"/>
          <w:sz w:val="24"/>
        </w:rPr>
        <w:t>的各条目号内容逐条响应。</w:t>
      </w:r>
    </w:p>
    <w:p w14:paraId="58C7BB40">
      <w:pPr>
        <w:adjustRightInd w:val="0"/>
        <w:snapToGrid w:val="0"/>
        <w:spacing w:line="360" w:lineRule="auto"/>
        <w:ind w:firstLine="420"/>
        <w:rPr>
          <w:rFonts w:ascii="楷体" w:hAnsi="楷体" w:eastAsia="楷体" w:cs="楷体"/>
          <w:color w:val="auto"/>
          <w:sz w:val="24"/>
        </w:rPr>
      </w:pPr>
      <w:r>
        <w:rPr>
          <w:rFonts w:hint="eastAsia" w:ascii="楷体" w:hAnsi="楷体" w:eastAsia="楷体" w:cs="楷体"/>
          <w:color w:val="auto"/>
          <w:sz w:val="24"/>
        </w:rPr>
        <w:t>2、投标人响应采购需求应具体、明确，含糊不清、不确切或伪造、变造证明材料的，按照不完全响应或者完全不响应处理。构成提供虚假材料的，移送监管部门查处。</w:t>
      </w:r>
    </w:p>
    <w:p w14:paraId="69A9BAB6">
      <w:pPr>
        <w:adjustRightInd w:val="0"/>
        <w:snapToGrid w:val="0"/>
        <w:spacing w:line="360" w:lineRule="auto"/>
        <w:ind w:firstLine="420"/>
        <w:rPr>
          <w:rFonts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GB"/>
        </w:rPr>
        <w:t>本表内容不得擅自修改。</w:t>
      </w:r>
    </w:p>
    <w:p w14:paraId="20763EA7">
      <w:pPr>
        <w:adjustRightInd w:val="0"/>
        <w:snapToGrid w:val="0"/>
        <w:spacing w:before="72" w:after="72" w:line="300" w:lineRule="auto"/>
        <w:rPr>
          <w:rFonts w:ascii="楷体" w:hAnsi="楷体" w:eastAsia="楷体" w:cs="楷体"/>
          <w:color w:val="auto"/>
          <w:sz w:val="24"/>
        </w:rPr>
      </w:pPr>
    </w:p>
    <w:p w14:paraId="4B981504">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68195185">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48F27115">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5554DFA3">
      <w:pPr>
        <w:pStyle w:val="52"/>
        <w:rPr>
          <w:rFonts w:ascii="楷体" w:hAnsi="楷体" w:eastAsia="楷体" w:cs="楷体"/>
          <w:color w:val="auto"/>
          <w:sz w:val="24"/>
        </w:rPr>
      </w:pPr>
    </w:p>
    <w:p w14:paraId="70291889">
      <w:pPr>
        <w:pStyle w:val="34"/>
        <w:rPr>
          <w:rFonts w:ascii="楷体" w:hAnsi="楷体" w:eastAsia="楷体" w:cs="楷体"/>
          <w:color w:val="auto"/>
          <w:sz w:val="24"/>
        </w:rPr>
      </w:pPr>
    </w:p>
    <w:p w14:paraId="65F0C2B9">
      <w:pPr>
        <w:pStyle w:val="34"/>
        <w:rPr>
          <w:rFonts w:ascii="楷体" w:hAnsi="楷体" w:eastAsia="楷体" w:cs="楷体"/>
          <w:color w:val="auto"/>
          <w:sz w:val="24"/>
        </w:rPr>
      </w:pPr>
    </w:p>
    <w:p w14:paraId="6F9B14DC">
      <w:pPr>
        <w:spacing w:before="72" w:after="72" w:line="400" w:lineRule="exact"/>
        <w:ind w:firstLine="3578" w:firstLineChars="1491"/>
        <w:rPr>
          <w:rFonts w:ascii="楷体" w:hAnsi="楷体" w:eastAsia="楷体" w:cs="楷体"/>
          <w:color w:val="auto"/>
          <w:sz w:val="24"/>
        </w:rPr>
      </w:pPr>
      <w:bookmarkStart w:id="455" w:name="_Toc423021973"/>
      <w:bookmarkStart w:id="456" w:name="_Toc30925"/>
      <w:bookmarkStart w:id="457" w:name="_Toc15393"/>
      <w:bookmarkStart w:id="458" w:name="_Toc381489443"/>
      <w:bookmarkStart w:id="459" w:name="_Toc2235"/>
      <w:bookmarkStart w:id="460" w:name="_Toc29584"/>
      <w:bookmarkStart w:id="461" w:name="_Toc7616"/>
    </w:p>
    <w:p w14:paraId="5C2E583F">
      <w:pPr>
        <w:pStyle w:val="4"/>
        <w:numPr>
          <w:ilvl w:val="0"/>
          <w:numId w:val="75"/>
        </w:numPr>
        <w:jc w:val="left"/>
        <w:rPr>
          <w:rFonts w:ascii="楷体" w:hAnsi="楷体" w:eastAsia="楷体" w:cs="楷体"/>
          <w:color w:val="auto"/>
          <w:sz w:val="28"/>
          <w:szCs w:val="28"/>
        </w:rPr>
      </w:pPr>
      <w:r>
        <w:rPr>
          <w:rFonts w:hint="eastAsia" w:ascii="楷体" w:hAnsi="楷体" w:eastAsia="楷体" w:cs="楷体"/>
          <w:color w:val="auto"/>
          <w:sz w:val="28"/>
          <w:szCs w:val="28"/>
        </w:rPr>
        <w:t>拟投入技术人员资质</w:t>
      </w:r>
    </w:p>
    <w:p w14:paraId="71AF0C64">
      <w:pPr>
        <w:adjustRightInd w:val="0"/>
        <w:snapToGrid w:val="0"/>
        <w:spacing w:before="72" w:after="72" w:line="480" w:lineRule="auto"/>
        <w:jc w:val="center"/>
        <w:rPr>
          <w:rFonts w:ascii="楷体" w:hAnsi="楷体" w:eastAsia="楷体" w:cs="楷体"/>
          <w:color w:val="auto"/>
          <w:sz w:val="24"/>
        </w:rPr>
      </w:pPr>
      <w:r>
        <w:rPr>
          <w:rFonts w:hint="eastAsia" w:ascii="楷体" w:hAnsi="楷体" w:eastAsia="楷体" w:cs="楷体"/>
          <w:color w:val="auto"/>
          <w:sz w:val="24"/>
        </w:rPr>
        <w:t>根据《商务评审表》要求提供相关证明材料。</w:t>
      </w:r>
    </w:p>
    <w:p w14:paraId="5789E874">
      <w:pPr>
        <w:adjustRightInd w:val="0"/>
        <w:snapToGrid w:val="0"/>
        <w:spacing w:before="72" w:after="72" w:line="480" w:lineRule="auto"/>
        <w:ind w:firstLine="3578" w:firstLineChars="1491"/>
        <w:rPr>
          <w:rFonts w:ascii="楷体" w:hAnsi="楷体" w:eastAsia="楷体" w:cs="楷体"/>
          <w:color w:val="auto"/>
          <w:sz w:val="24"/>
        </w:rPr>
      </w:pPr>
    </w:p>
    <w:p w14:paraId="253E3B3C">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60D5BC53">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251EE627">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440DDEFF">
      <w:pPr>
        <w:rPr>
          <w:rFonts w:ascii="楷体" w:hAnsi="楷体" w:eastAsia="楷体" w:cs="楷体"/>
          <w:color w:val="auto"/>
        </w:rPr>
      </w:pPr>
    </w:p>
    <w:p w14:paraId="30AA94DD">
      <w:pPr>
        <w:pStyle w:val="17"/>
        <w:rPr>
          <w:color w:val="auto"/>
        </w:rPr>
      </w:pPr>
    </w:p>
    <w:p w14:paraId="78488F8A">
      <w:pPr>
        <w:pStyle w:val="4"/>
        <w:numPr>
          <w:ilvl w:val="0"/>
          <w:numId w:val="75"/>
        </w:numPr>
        <w:jc w:val="left"/>
        <w:rPr>
          <w:rFonts w:ascii="楷体" w:hAnsi="楷体" w:eastAsia="楷体" w:cs="楷体"/>
          <w:color w:val="auto"/>
          <w:sz w:val="28"/>
          <w:szCs w:val="28"/>
        </w:rPr>
      </w:pPr>
      <w:r>
        <w:rPr>
          <w:rFonts w:hint="eastAsia" w:ascii="楷体" w:hAnsi="楷体" w:eastAsia="楷体" w:cs="楷体"/>
          <w:color w:val="auto"/>
          <w:sz w:val="28"/>
          <w:szCs w:val="28"/>
        </w:rPr>
        <w:t>响应时间</w:t>
      </w:r>
    </w:p>
    <w:p w14:paraId="7663B12F">
      <w:pPr>
        <w:adjustRightInd w:val="0"/>
        <w:snapToGrid w:val="0"/>
        <w:spacing w:before="72" w:after="72" w:line="480" w:lineRule="auto"/>
        <w:jc w:val="center"/>
        <w:rPr>
          <w:rFonts w:ascii="楷体" w:hAnsi="楷体" w:eastAsia="楷体" w:cs="楷体"/>
          <w:color w:val="auto"/>
          <w:sz w:val="24"/>
        </w:rPr>
      </w:pPr>
      <w:r>
        <w:rPr>
          <w:rFonts w:hint="eastAsia" w:ascii="楷体" w:hAnsi="楷体" w:eastAsia="楷体" w:cs="楷体"/>
          <w:color w:val="auto"/>
          <w:sz w:val="24"/>
        </w:rPr>
        <w:t>根据《商务评审表》要求提供相关证明材料。</w:t>
      </w:r>
    </w:p>
    <w:p w14:paraId="5449E0B4">
      <w:pPr>
        <w:adjustRightInd w:val="0"/>
        <w:snapToGrid w:val="0"/>
        <w:spacing w:before="72" w:after="72" w:line="480" w:lineRule="auto"/>
        <w:ind w:firstLine="3578" w:firstLineChars="1491"/>
        <w:rPr>
          <w:rFonts w:ascii="楷体" w:hAnsi="楷体" w:eastAsia="楷体" w:cs="楷体"/>
          <w:color w:val="auto"/>
          <w:sz w:val="24"/>
        </w:rPr>
      </w:pPr>
    </w:p>
    <w:p w14:paraId="3FFC6210">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521B0BD7">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74C7F262">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21BBE7A9">
      <w:pPr>
        <w:rPr>
          <w:rFonts w:ascii="楷体" w:hAnsi="楷体" w:eastAsia="楷体" w:cs="楷体"/>
          <w:color w:val="auto"/>
          <w:sz w:val="44"/>
          <w:szCs w:val="44"/>
        </w:rPr>
      </w:pPr>
    </w:p>
    <w:p w14:paraId="2F49D491">
      <w:pPr>
        <w:rPr>
          <w:rFonts w:ascii="楷体" w:hAnsi="楷体" w:eastAsia="楷体" w:cs="楷体"/>
          <w:color w:val="auto"/>
          <w:sz w:val="44"/>
          <w:szCs w:val="44"/>
        </w:rPr>
      </w:pPr>
    </w:p>
    <w:p w14:paraId="3588BAFD">
      <w:pPr>
        <w:rPr>
          <w:rFonts w:ascii="楷体" w:hAnsi="楷体" w:eastAsia="楷体" w:cs="楷体"/>
          <w:color w:val="auto"/>
        </w:rPr>
      </w:pPr>
    </w:p>
    <w:p w14:paraId="605FDA9D">
      <w:pPr>
        <w:rPr>
          <w:rFonts w:ascii="楷体" w:hAnsi="楷体" w:eastAsia="楷体" w:cs="楷体"/>
          <w:color w:val="auto"/>
        </w:rPr>
      </w:pPr>
    </w:p>
    <w:p w14:paraId="65D6757B">
      <w:pPr>
        <w:rPr>
          <w:rFonts w:ascii="楷体" w:hAnsi="楷体" w:eastAsia="楷体" w:cs="楷体"/>
          <w:color w:val="auto"/>
        </w:rPr>
      </w:pPr>
    </w:p>
    <w:p w14:paraId="709A8224">
      <w:pPr>
        <w:rPr>
          <w:rFonts w:ascii="楷体" w:hAnsi="楷体" w:eastAsia="楷体" w:cs="楷体"/>
          <w:color w:val="auto"/>
        </w:rPr>
      </w:pPr>
    </w:p>
    <w:p w14:paraId="64547F91">
      <w:pPr>
        <w:rPr>
          <w:rFonts w:ascii="楷体" w:hAnsi="楷体" w:eastAsia="楷体" w:cs="楷体"/>
          <w:color w:val="auto"/>
        </w:rPr>
      </w:pPr>
    </w:p>
    <w:p w14:paraId="138D364B">
      <w:pPr>
        <w:rPr>
          <w:rFonts w:ascii="楷体" w:hAnsi="楷体" w:eastAsia="楷体" w:cs="楷体"/>
          <w:color w:val="auto"/>
        </w:rPr>
      </w:pPr>
    </w:p>
    <w:p w14:paraId="3CBF6743">
      <w:pPr>
        <w:rPr>
          <w:rFonts w:ascii="楷体" w:hAnsi="楷体" w:eastAsia="楷体" w:cs="楷体"/>
          <w:color w:val="auto"/>
        </w:rPr>
      </w:pPr>
    </w:p>
    <w:p w14:paraId="736F6B27">
      <w:pPr>
        <w:rPr>
          <w:rFonts w:ascii="楷体" w:hAnsi="楷体" w:eastAsia="楷体" w:cs="楷体"/>
          <w:color w:val="auto"/>
        </w:rPr>
      </w:pPr>
    </w:p>
    <w:p w14:paraId="356E9E6E">
      <w:pPr>
        <w:rPr>
          <w:rFonts w:ascii="楷体" w:hAnsi="楷体" w:eastAsia="楷体" w:cs="楷体"/>
          <w:color w:val="auto"/>
        </w:rPr>
      </w:pPr>
    </w:p>
    <w:p w14:paraId="4682F346">
      <w:pPr>
        <w:rPr>
          <w:rFonts w:ascii="楷体" w:hAnsi="楷体" w:eastAsia="楷体" w:cs="楷体"/>
          <w:color w:val="auto"/>
        </w:rPr>
      </w:pPr>
    </w:p>
    <w:p w14:paraId="3B15A925">
      <w:pPr>
        <w:rPr>
          <w:rFonts w:ascii="楷体" w:hAnsi="楷体" w:eastAsia="楷体" w:cs="楷体"/>
          <w:color w:val="auto"/>
        </w:rPr>
      </w:pPr>
    </w:p>
    <w:p w14:paraId="17ED5955">
      <w:pPr>
        <w:rPr>
          <w:rFonts w:ascii="楷体" w:hAnsi="楷体" w:eastAsia="楷体" w:cs="楷体"/>
          <w:color w:val="auto"/>
        </w:rPr>
      </w:pPr>
    </w:p>
    <w:p w14:paraId="59818F57">
      <w:pPr>
        <w:pStyle w:val="4"/>
        <w:numPr>
          <w:ilvl w:val="0"/>
          <w:numId w:val="75"/>
        </w:numPr>
        <w:jc w:val="left"/>
        <w:rPr>
          <w:rFonts w:ascii="楷体" w:hAnsi="楷体" w:eastAsia="楷体" w:cs="楷体"/>
          <w:color w:val="auto"/>
          <w:sz w:val="28"/>
          <w:szCs w:val="28"/>
        </w:rPr>
      </w:pPr>
      <w:r>
        <w:rPr>
          <w:rFonts w:hint="eastAsia" w:ascii="楷体" w:hAnsi="楷体" w:eastAsia="楷体" w:cs="楷体"/>
          <w:color w:val="auto"/>
          <w:sz w:val="28"/>
          <w:szCs w:val="28"/>
        </w:rPr>
        <w:t>维修车辆能力</w:t>
      </w:r>
    </w:p>
    <w:p w14:paraId="5A8846B8">
      <w:pPr>
        <w:adjustRightInd w:val="0"/>
        <w:snapToGrid w:val="0"/>
        <w:spacing w:before="72" w:after="72" w:line="480" w:lineRule="auto"/>
        <w:jc w:val="center"/>
        <w:rPr>
          <w:rFonts w:ascii="楷体" w:hAnsi="楷体" w:eastAsia="楷体" w:cs="楷体"/>
          <w:color w:val="auto"/>
          <w:sz w:val="24"/>
        </w:rPr>
      </w:pPr>
      <w:r>
        <w:rPr>
          <w:rFonts w:hint="eastAsia" w:ascii="楷体" w:hAnsi="楷体" w:eastAsia="楷体" w:cs="楷体"/>
          <w:color w:val="auto"/>
          <w:sz w:val="24"/>
        </w:rPr>
        <w:t>根据《商务评审表》要求提供相关证明材料。</w:t>
      </w:r>
    </w:p>
    <w:p w14:paraId="4E246485">
      <w:pPr>
        <w:adjustRightInd w:val="0"/>
        <w:snapToGrid w:val="0"/>
        <w:spacing w:before="72" w:after="72" w:line="480" w:lineRule="auto"/>
        <w:ind w:firstLine="3578" w:firstLineChars="1491"/>
        <w:rPr>
          <w:rFonts w:ascii="楷体" w:hAnsi="楷体" w:eastAsia="楷体" w:cs="楷体"/>
          <w:color w:val="auto"/>
          <w:sz w:val="24"/>
        </w:rPr>
      </w:pPr>
    </w:p>
    <w:p w14:paraId="5866DA3E">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3C6B8B44">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1E1B380B">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1E58228E">
      <w:pPr>
        <w:rPr>
          <w:color w:val="auto"/>
        </w:rPr>
      </w:pPr>
    </w:p>
    <w:p w14:paraId="3A814C8D">
      <w:pPr>
        <w:pStyle w:val="37"/>
        <w:rPr>
          <w:color w:val="auto"/>
        </w:rPr>
      </w:pPr>
    </w:p>
    <w:p w14:paraId="4A24EB9A">
      <w:pPr>
        <w:pStyle w:val="17"/>
        <w:rPr>
          <w:color w:val="auto"/>
        </w:rPr>
      </w:pPr>
    </w:p>
    <w:p w14:paraId="6A57C750">
      <w:pPr>
        <w:pStyle w:val="4"/>
        <w:numPr>
          <w:ilvl w:val="0"/>
          <w:numId w:val="75"/>
        </w:numPr>
        <w:jc w:val="left"/>
        <w:rPr>
          <w:rFonts w:ascii="楷体" w:hAnsi="楷体" w:eastAsia="楷体" w:cs="楷体"/>
          <w:color w:val="auto"/>
          <w:sz w:val="28"/>
          <w:szCs w:val="28"/>
        </w:rPr>
      </w:pPr>
      <w:r>
        <w:rPr>
          <w:rFonts w:hint="eastAsia" w:ascii="楷体" w:hAnsi="楷体" w:eastAsia="楷体" w:cs="楷体"/>
          <w:color w:val="auto"/>
          <w:sz w:val="28"/>
          <w:szCs w:val="28"/>
        </w:rPr>
        <w:t>投标人认为有必要的其他事项</w:t>
      </w:r>
    </w:p>
    <w:p w14:paraId="039DFD81">
      <w:pPr>
        <w:tabs>
          <w:tab w:val="left" w:pos="720"/>
        </w:tabs>
        <w:jc w:val="center"/>
        <w:rPr>
          <w:rFonts w:ascii="楷体" w:hAnsi="楷体" w:eastAsia="楷体" w:cs="楷体"/>
          <w:color w:val="auto"/>
          <w:sz w:val="24"/>
        </w:rPr>
      </w:pPr>
    </w:p>
    <w:p w14:paraId="022E9044">
      <w:pPr>
        <w:tabs>
          <w:tab w:val="left" w:pos="720"/>
        </w:tabs>
        <w:jc w:val="center"/>
        <w:rPr>
          <w:rFonts w:ascii="楷体" w:hAnsi="楷体" w:eastAsia="楷体" w:cs="楷体"/>
          <w:color w:val="auto"/>
          <w:sz w:val="24"/>
        </w:rPr>
      </w:pPr>
    </w:p>
    <w:p w14:paraId="4B397496">
      <w:pPr>
        <w:tabs>
          <w:tab w:val="left" w:pos="720"/>
        </w:tabs>
        <w:jc w:val="center"/>
        <w:rPr>
          <w:rFonts w:ascii="楷体" w:hAnsi="楷体" w:eastAsia="楷体" w:cs="楷体"/>
          <w:color w:val="auto"/>
          <w:sz w:val="24"/>
        </w:rPr>
      </w:pPr>
    </w:p>
    <w:p w14:paraId="652D78EC">
      <w:pPr>
        <w:adjustRightInd w:val="0"/>
        <w:snapToGrid w:val="0"/>
        <w:spacing w:before="72" w:after="72" w:line="480" w:lineRule="auto"/>
        <w:jc w:val="center"/>
        <w:rPr>
          <w:rFonts w:ascii="楷体" w:hAnsi="楷体" w:eastAsia="楷体" w:cs="楷体"/>
          <w:color w:val="auto"/>
          <w:sz w:val="24"/>
        </w:rPr>
      </w:pPr>
      <w:r>
        <w:rPr>
          <w:rFonts w:hint="eastAsia" w:ascii="楷体" w:hAnsi="楷体" w:eastAsia="楷体" w:cs="楷体"/>
          <w:color w:val="auto"/>
          <w:sz w:val="24"/>
        </w:rPr>
        <w:t>格式自拟。</w:t>
      </w:r>
    </w:p>
    <w:p w14:paraId="52314502">
      <w:pPr>
        <w:adjustRightInd w:val="0"/>
        <w:snapToGrid w:val="0"/>
        <w:spacing w:before="72" w:after="72" w:line="480" w:lineRule="auto"/>
        <w:ind w:firstLine="3578" w:firstLineChars="1491"/>
        <w:rPr>
          <w:rFonts w:ascii="楷体" w:hAnsi="楷体" w:eastAsia="楷体" w:cs="楷体"/>
          <w:color w:val="auto"/>
          <w:sz w:val="24"/>
        </w:rPr>
      </w:pPr>
    </w:p>
    <w:p w14:paraId="6994C873">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330A9666">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7661377A">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79FEDFBA">
      <w:pPr>
        <w:pStyle w:val="54"/>
        <w:ind w:firstLine="480"/>
        <w:rPr>
          <w:rFonts w:ascii="楷体" w:hAnsi="楷体" w:eastAsia="楷体" w:cs="楷体"/>
          <w:color w:val="auto"/>
          <w:sz w:val="24"/>
        </w:rPr>
      </w:pPr>
    </w:p>
    <w:p w14:paraId="3931EBDE">
      <w:pPr>
        <w:rPr>
          <w:rFonts w:ascii="楷体" w:hAnsi="楷体" w:eastAsia="楷体" w:cs="楷体"/>
          <w:color w:val="auto"/>
          <w:sz w:val="44"/>
          <w:szCs w:val="44"/>
        </w:rPr>
      </w:pPr>
    </w:p>
    <w:p w14:paraId="7A110991">
      <w:pPr>
        <w:rPr>
          <w:rFonts w:ascii="楷体" w:hAnsi="楷体" w:eastAsia="楷体" w:cs="楷体"/>
          <w:color w:val="auto"/>
          <w:sz w:val="44"/>
          <w:szCs w:val="44"/>
        </w:rPr>
      </w:pPr>
    </w:p>
    <w:p w14:paraId="52C55EB0">
      <w:pPr>
        <w:rPr>
          <w:rFonts w:ascii="楷体" w:hAnsi="楷体" w:eastAsia="楷体" w:cs="楷体"/>
          <w:color w:val="auto"/>
          <w:sz w:val="44"/>
          <w:szCs w:val="44"/>
        </w:rPr>
      </w:pPr>
    </w:p>
    <w:p w14:paraId="4B76687C">
      <w:pPr>
        <w:rPr>
          <w:rFonts w:ascii="楷体" w:hAnsi="楷体" w:eastAsia="楷体" w:cs="楷体"/>
          <w:color w:val="auto"/>
          <w:sz w:val="44"/>
          <w:szCs w:val="44"/>
        </w:rPr>
      </w:pPr>
    </w:p>
    <w:p w14:paraId="61560CDD">
      <w:pPr>
        <w:keepNext/>
        <w:keepLines/>
        <w:tabs>
          <w:tab w:val="left" w:pos="720"/>
        </w:tabs>
        <w:spacing w:line="413" w:lineRule="auto"/>
        <w:jc w:val="center"/>
        <w:rPr>
          <w:rFonts w:ascii="楷体" w:hAnsi="楷体" w:eastAsia="楷体" w:cs="楷体"/>
          <w:color w:val="auto"/>
          <w:sz w:val="44"/>
          <w:szCs w:val="44"/>
        </w:rPr>
      </w:pPr>
      <w:bookmarkStart w:id="462" w:name="_Toc7856"/>
      <w:bookmarkStart w:id="463" w:name="_Toc3265"/>
    </w:p>
    <w:p w14:paraId="65CC7086">
      <w:pPr>
        <w:keepNext/>
        <w:keepLines/>
        <w:tabs>
          <w:tab w:val="left" w:pos="720"/>
        </w:tabs>
        <w:spacing w:line="413" w:lineRule="auto"/>
        <w:jc w:val="center"/>
        <w:rPr>
          <w:rFonts w:ascii="楷体" w:hAnsi="楷体" w:eastAsia="楷体" w:cs="楷体"/>
          <w:color w:val="auto"/>
          <w:sz w:val="44"/>
          <w:szCs w:val="44"/>
        </w:rPr>
      </w:pPr>
    </w:p>
    <w:p w14:paraId="71795DFC">
      <w:pPr>
        <w:keepNext/>
        <w:keepLines/>
        <w:tabs>
          <w:tab w:val="left" w:pos="720"/>
        </w:tabs>
        <w:spacing w:line="413" w:lineRule="auto"/>
        <w:jc w:val="center"/>
        <w:rPr>
          <w:rFonts w:ascii="楷体" w:hAnsi="楷体" w:eastAsia="楷体" w:cs="楷体"/>
          <w:color w:val="auto"/>
          <w:sz w:val="44"/>
          <w:szCs w:val="44"/>
        </w:rPr>
      </w:pPr>
    </w:p>
    <w:p w14:paraId="4E48E863">
      <w:pPr>
        <w:keepNext/>
        <w:keepLines/>
        <w:tabs>
          <w:tab w:val="left" w:pos="720"/>
        </w:tabs>
        <w:spacing w:line="413" w:lineRule="auto"/>
        <w:jc w:val="center"/>
        <w:rPr>
          <w:rFonts w:ascii="楷体" w:hAnsi="楷体" w:eastAsia="楷体" w:cs="楷体"/>
          <w:color w:val="auto"/>
          <w:sz w:val="44"/>
          <w:szCs w:val="44"/>
        </w:rPr>
      </w:pPr>
    </w:p>
    <w:p w14:paraId="3F2624F1">
      <w:pPr>
        <w:keepNext/>
        <w:keepLines/>
        <w:tabs>
          <w:tab w:val="left" w:pos="720"/>
        </w:tabs>
        <w:spacing w:line="413" w:lineRule="auto"/>
        <w:jc w:val="center"/>
        <w:rPr>
          <w:rFonts w:ascii="楷体" w:hAnsi="楷体" w:eastAsia="楷体" w:cs="楷体"/>
          <w:color w:val="auto"/>
          <w:sz w:val="44"/>
          <w:szCs w:val="44"/>
        </w:rPr>
      </w:pPr>
    </w:p>
    <w:p w14:paraId="2E9A8A2F">
      <w:pPr>
        <w:pStyle w:val="3"/>
        <w:jc w:val="center"/>
        <w:rPr>
          <w:rFonts w:ascii="楷体" w:hAnsi="楷体" w:eastAsia="楷体" w:cs="楷体"/>
          <w:color w:val="auto"/>
          <w:sz w:val="44"/>
          <w:szCs w:val="44"/>
        </w:rPr>
      </w:pPr>
      <w:r>
        <w:rPr>
          <w:rFonts w:hint="eastAsia" w:ascii="楷体" w:hAnsi="楷体" w:eastAsia="楷体" w:cs="楷体"/>
          <w:color w:val="auto"/>
          <w:sz w:val="44"/>
          <w:szCs w:val="44"/>
        </w:rPr>
        <w:t>第四部分技术文件</w:t>
      </w:r>
      <w:bookmarkEnd w:id="455"/>
      <w:bookmarkEnd w:id="456"/>
      <w:bookmarkEnd w:id="457"/>
      <w:bookmarkEnd w:id="458"/>
      <w:bookmarkEnd w:id="459"/>
      <w:bookmarkEnd w:id="460"/>
      <w:bookmarkEnd w:id="461"/>
      <w:bookmarkEnd w:id="462"/>
      <w:bookmarkEnd w:id="463"/>
    </w:p>
    <w:p w14:paraId="0CE6AC3D">
      <w:pPr>
        <w:rPr>
          <w:rFonts w:ascii="楷体" w:hAnsi="楷体" w:eastAsia="楷体" w:cs="楷体"/>
          <w:color w:val="auto"/>
        </w:rPr>
      </w:pPr>
    </w:p>
    <w:p w14:paraId="46421A12">
      <w:pPr>
        <w:pStyle w:val="4"/>
        <w:jc w:val="center"/>
        <w:rPr>
          <w:rFonts w:ascii="楷体" w:hAnsi="楷体" w:eastAsia="楷体" w:cs="楷体"/>
          <w:color w:val="auto"/>
        </w:rPr>
        <w:sectPr>
          <w:pgSz w:w="11906" w:h="16838"/>
          <w:pgMar w:top="1440" w:right="1800" w:bottom="1440" w:left="1800" w:header="851" w:footer="822" w:gutter="0"/>
          <w:cols w:space="720" w:num="1"/>
          <w:docGrid w:linePitch="312" w:charSpace="0"/>
        </w:sectPr>
      </w:pPr>
      <w:bookmarkStart w:id="464" w:name="_Toc381489444"/>
      <w:bookmarkStart w:id="465" w:name="_Toc423021974"/>
    </w:p>
    <w:bookmarkEnd w:id="464"/>
    <w:bookmarkEnd w:id="465"/>
    <w:p w14:paraId="44974852">
      <w:pPr>
        <w:pStyle w:val="4"/>
        <w:numPr>
          <w:ilvl w:val="0"/>
          <w:numId w:val="82"/>
        </w:numPr>
        <w:jc w:val="center"/>
        <w:rPr>
          <w:rFonts w:ascii="楷体" w:hAnsi="楷体" w:eastAsia="楷体" w:cs="楷体"/>
          <w:color w:val="auto"/>
        </w:rPr>
      </w:pPr>
      <w:bookmarkStart w:id="466" w:name="_Toc31645"/>
      <w:bookmarkStart w:id="467" w:name="_Toc6686"/>
      <w:bookmarkStart w:id="468" w:name="_Toc12264"/>
      <w:bookmarkStart w:id="469" w:name="_Toc16310"/>
      <w:bookmarkStart w:id="470" w:name="_Toc21917"/>
      <w:bookmarkStart w:id="471" w:name="_Toc499"/>
      <w:r>
        <w:rPr>
          <w:rFonts w:hint="eastAsia" w:ascii="楷体" w:hAnsi="楷体" w:eastAsia="楷体" w:cs="楷体"/>
          <w:color w:val="auto"/>
        </w:rPr>
        <w:t>组织实施方案</w:t>
      </w:r>
      <w:bookmarkEnd w:id="466"/>
      <w:bookmarkEnd w:id="467"/>
      <w:bookmarkEnd w:id="468"/>
      <w:bookmarkEnd w:id="469"/>
      <w:bookmarkEnd w:id="470"/>
      <w:bookmarkEnd w:id="471"/>
    </w:p>
    <w:p w14:paraId="076ACA37">
      <w:pPr>
        <w:adjustRightInd w:val="0"/>
        <w:snapToGrid w:val="0"/>
        <w:spacing w:line="360" w:lineRule="auto"/>
        <w:ind w:firstLine="480" w:firstLineChars="200"/>
        <w:rPr>
          <w:rFonts w:ascii="楷体" w:hAnsi="楷体" w:eastAsia="楷体" w:cs="楷体"/>
          <w:color w:val="auto"/>
          <w:sz w:val="24"/>
        </w:rPr>
      </w:pPr>
      <w:r>
        <w:rPr>
          <w:rFonts w:hint="eastAsia" w:ascii="楷体" w:hAnsi="楷体" w:eastAsia="楷体" w:cs="楷体"/>
          <w:color w:val="auto"/>
          <w:sz w:val="24"/>
        </w:rPr>
        <w:t>投标人应按招标文件要求的内容和顺序，对完成整个项目提出相应的实施方案。对含糊不清或欠具体明确之处，评标委员会可视为投标人履约能力不足或响应不全处理。组织实施方案的内容应包括：</w:t>
      </w:r>
    </w:p>
    <w:p w14:paraId="26371403">
      <w:pPr>
        <w:numPr>
          <w:ilvl w:val="0"/>
          <w:numId w:val="83"/>
        </w:numPr>
        <w:tabs>
          <w:tab w:val="left" w:pos="840"/>
        </w:tabs>
        <w:spacing w:line="360" w:lineRule="auto"/>
        <w:rPr>
          <w:rFonts w:ascii="楷体" w:hAnsi="楷体" w:eastAsia="楷体" w:cs="楷体"/>
          <w:color w:val="auto"/>
          <w:kern w:val="0"/>
          <w:sz w:val="24"/>
        </w:rPr>
      </w:pPr>
      <w:r>
        <w:rPr>
          <w:rFonts w:hint="eastAsia" w:ascii="楷体" w:hAnsi="楷体" w:eastAsia="楷体" w:cs="楷体"/>
          <w:color w:val="auto"/>
          <w:sz w:val="24"/>
        </w:rPr>
        <w:t>服务工作方案</w:t>
      </w:r>
      <w:r>
        <w:rPr>
          <w:rFonts w:ascii="楷体" w:hAnsi="楷体" w:eastAsia="楷体" w:cs="楷体"/>
          <w:color w:val="auto"/>
          <w:sz w:val="24"/>
        </w:rPr>
        <w:t>及整体运作流程</w:t>
      </w:r>
      <w:r>
        <w:rPr>
          <w:rFonts w:hint="eastAsia" w:ascii="楷体" w:hAnsi="楷体" w:eastAsia="楷体" w:cs="楷体"/>
          <w:color w:val="auto"/>
          <w:kern w:val="0"/>
          <w:sz w:val="24"/>
        </w:rPr>
        <w:t>；</w:t>
      </w:r>
    </w:p>
    <w:p w14:paraId="34FF93F8">
      <w:pPr>
        <w:numPr>
          <w:ilvl w:val="0"/>
          <w:numId w:val="83"/>
        </w:numPr>
        <w:tabs>
          <w:tab w:val="left" w:pos="840"/>
        </w:tabs>
        <w:spacing w:line="360" w:lineRule="auto"/>
        <w:rPr>
          <w:rFonts w:ascii="楷体" w:hAnsi="楷体" w:eastAsia="楷体" w:cs="楷体"/>
          <w:color w:val="auto"/>
          <w:kern w:val="0"/>
          <w:sz w:val="24"/>
        </w:rPr>
      </w:pPr>
      <w:r>
        <w:rPr>
          <w:rFonts w:ascii="楷体" w:hAnsi="楷体" w:eastAsia="楷体" w:cs="楷体"/>
          <w:color w:val="auto"/>
          <w:sz w:val="24"/>
        </w:rPr>
        <w:t>维修管理制度</w:t>
      </w:r>
      <w:r>
        <w:rPr>
          <w:rFonts w:hint="eastAsia" w:ascii="楷体" w:hAnsi="楷体" w:eastAsia="楷体" w:cs="楷体"/>
          <w:color w:val="auto"/>
          <w:kern w:val="0"/>
          <w:sz w:val="24"/>
        </w:rPr>
        <w:t>；</w:t>
      </w:r>
    </w:p>
    <w:p w14:paraId="464972DA">
      <w:pPr>
        <w:numPr>
          <w:ilvl w:val="0"/>
          <w:numId w:val="83"/>
        </w:numPr>
        <w:tabs>
          <w:tab w:val="left" w:pos="840"/>
        </w:tabs>
        <w:spacing w:line="360" w:lineRule="auto"/>
        <w:rPr>
          <w:rFonts w:eastAsia="楷体"/>
          <w:color w:val="auto"/>
        </w:rPr>
      </w:pPr>
      <w:r>
        <w:rPr>
          <w:rFonts w:hint="eastAsia" w:ascii="楷体" w:hAnsi="楷体" w:eastAsia="楷体" w:cs="楷体"/>
          <w:color w:val="auto"/>
          <w:kern w:val="0"/>
          <w:sz w:val="24"/>
        </w:rPr>
        <w:t>增值服务；</w:t>
      </w:r>
    </w:p>
    <w:p w14:paraId="33308EB9">
      <w:pPr>
        <w:numPr>
          <w:ilvl w:val="0"/>
          <w:numId w:val="83"/>
        </w:numPr>
        <w:tabs>
          <w:tab w:val="left" w:pos="840"/>
        </w:tabs>
        <w:spacing w:line="360" w:lineRule="auto"/>
        <w:rPr>
          <w:rFonts w:ascii="楷体" w:hAnsi="楷体" w:eastAsia="楷体" w:cs="楷体"/>
          <w:color w:val="auto"/>
          <w:kern w:val="0"/>
          <w:sz w:val="24"/>
        </w:rPr>
      </w:pPr>
      <w:r>
        <w:rPr>
          <w:rFonts w:hint="eastAsia" w:ascii="楷体" w:hAnsi="楷体" w:eastAsia="楷体" w:cs="楷体"/>
          <w:color w:val="auto"/>
          <w:sz w:val="24"/>
        </w:rPr>
        <w:t>应急处理方案；</w:t>
      </w:r>
    </w:p>
    <w:p w14:paraId="00E19B94">
      <w:pPr>
        <w:numPr>
          <w:ilvl w:val="0"/>
          <w:numId w:val="83"/>
        </w:numPr>
        <w:tabs>
          <w:tab w:val="left" w:pos="840"/>
        </w:tabs>
        <w:spacing w:line="360" w:lineRule="auto"/>
        <w:rPr>
          <w:rFonts w:ascii="楷体" w:hAnsi="楷体" w:eastAsia="楷体" w:cs="楷体"/>
          <w:color w:val="auto"/>
          <w:kern w:val="0"/>
          <w:sz w:val="24"/>
        </w:rPr>
      </w:pPr>
      <w:r>
        <w:rPr>
          <w:rFonts w:hint="eastAsia" w:ascii="楷体" w:hAnsi="楷体" w:eastAsia="楷体" w:cs="楷体"/>
          <w:color w:val="auto"/>
          <w:kern w:val="0"/>
          <w:sz w:val="24"/>
        </w:rPr>
        <w:t>投标人认为有必要的其他事项。</w:t>
      </w:r>
    </w:p>
    <w:p w14:paraId="398BA14C">
      <w:pPr>
        <w:tabs>
          <w:tab w:val="left" w:pos="840"/>
        </w:tabs>
        <w:spacing w:line="360" w:lineRule="auto"/>
        <w:ind w:left="400"/>
        <w:rPr>
          <w:rFonts w:ascii="楷体" w:hAnsi="楷体" w:eastAsia="楷体" w:cs="楷体"/>
          <w:color w:val="auto"/>
          <w:sz w:val="24"/>
          <w:lang w:val="en-GB"/>
        </w:rPr>
      </w:pPr>
    </w:p>
    <w:p w14:paraId="49AFC9EB">
      <w:pPr>
        <w:adjustRightInd w:val="0"/>
        <w:snapToGrid w:val="0"/>
        <w:spacing w:line="300" w:lineRule="auto"/>
        <w:rPr>
          <w:rFonts w:ascii="楷体" w:hAnsi="楷体" w:eastAsia="楷体" w:cs="楷体"/>
          <w:color w:val="auto"/>
          <w:szCs w:val="21"/>
        </w:rPr>
      </w:pPr>
    </w:p>
    <w:p w14:paraId="7780ADCD">
      <w:pPr>
        <w:adjustRightInd w:val="0"/>
        <w:snapToGrid w:val="0"/>
        <w:spacing w:line="300" w:lineRule="auto"/>
        <w:rPr>
          <w:rFonts w:ascii="楷体" w:hAnsi="楷体" w:eastAsia="楷体" w:cs="楷体"/>
          <w:color w:val="auto"/>
          <w:szCs w:val="21"/>
        </w:rPr>
      </w:pPr>
      <w:r>
        <w:rPr>
          <w:rFonts w:hint="eastAsia" w:ascii="楷体" w:hAnsi="楷体" w:eastAsia="楷体" w:cs="楷体"/>
          <w:color w:val="auto"/>
          <w:kern w:val="0"/>
          <w:sz w:val="24"/>
        </w:rPr>
        <w:t>按《技术评审表》要求提供。</w:t>
      </w:r>
    </w:p>
    <w:p w14:paraId="159C9529">
      <w:pPr>
        <w:adjustRightInd w:val="0"/>
        <w:snapToGrid w:val="0"/>
        <w:spacing w:line="300" w:lineRule="auto"/>
        <w:rPr>
          <w:rFonts w:ascii="楷体" w:hAnsi="楷体" w:eastAsia="楷体" w:cs="楷体"/>
          <w:color w:val="auto"/>
          <w:szCs w:val="21"/>
        </w:rPr>
      </w:pPr>
    </w:p>
    <w:p w14:paraId="530BB7C6">
      <w:pPr>
        <w:pStyle w:val="73"/>
        <w:rPr>
          <w:rFonts w:ascii="楷体" w:hAnsi="楷体" w:eastAsia="楷体" w:cs="楷体"/>
          <w:color w:val="auto"/>
        </w:rPr>
      </w:pPr>
    </w:p>
    <w:p w14:paraId="5D65271A">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6EF15BE8">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40297624">
      <w:pPr>
        <w:spacing w:before="72" w:after="72" w:line="400" w:lineRule="exact"/>
        <w:ind w:firstLine="3578" w:firstLineChars="1491"/>
        <w:rPr>
          <w:rFonts w:ascii="楷体" w:hAnsi="楷体" w:eastAsia="楷体" w:cs="楷体"/>
          <w:color w:val="auto"/>
          <w:sz w:val="24"/>
        </w:rPr>
      </w:pPr>
      <w:r>
        <w:rPr>
          <w:rFonts w:hint="eastAsia" w:ascii="楷体" w:hAnsi="楷体" w:eastAsia="楷体" w:cs="楷体"/>
          <w:color w:val="auto"/>
          <w:sz w:val="24"/>
        </w:rPr>
        <w:t>日期：   年   月   日</w:t>
      </w:r>
    </w:p>
    <w:p w14:paraId="147BED1B">
      <w:pPr>
        <w:widowControl/>
        <w:jc w:val="left"/>
        <w:rPr>
          <w:rFonts w:ascii="楷体" w:hAnsi="楷体" w:eastAsia="楷体" w:cs="楷体"/>
          <w:color w:val="auto"/>
          <w:sz w:val="24"/>
        </w:rPr>
      </w:pPr>
      <w:r>
        <w:rPr>
          <w:rFonts w:hint="eastAsia" w:ascii="楷体" w:hAnsi="楷体" w:eastAsia="楷体" w:cs="楷体"/>
          <w:color w:val="auto"/>
          <w:sz w:val="24"/>
        </w:rPr>
        <w:br w:type="page"/>
      </w:r>
    </w:p>
    <w:p w14:paraId="292ABCA9">
      <w:pPr>
        <w:spacing w:before="72" w:after="72" w:line="400" w:lineRule="exact"/>
        <w:rPr>
          <w:rFonts w:ascii="楷体" w:hAnsi="楷体" w:eastAsia="楷体" w:cs="楷体"/>
          <w:color w:val="auto"/>
        </w:rPr>
      </w:pPr>
    </w:p>
    <w:p w14:paraId="4BC14B4E">
      <w:pPr>
        <w:spacing w:before="72" w:after="72" w:line="400" w:lineRule="exact"/>
        <w:rPr>
          <w:rFonts w:ascii="楷体" w:hAnsi="楷体" w:eastAsia="楷体" w:cs="楷体"/>
          <w:color w:val="auto"/>
        </w:rPr>
      </w:pPr>
    </w:p>
    <w:p w14:paraId="24504079">
      <w:pPr>
        <w:spacing w:before="72" w:after="72" w:line="400" w:lineRule="exact"/>
        <w:rPr>
          <w:rFonts w:ascii="楷体" w:hAnsi="楷体" w:eastAsia="楷体" w:cs="楷体"/>
          <w:color w:val="auto"/>
        </w:rPr>
      </w:pPr>
    </w:p>
    <w:p w14:paraId="1FBEAFCD">
      <w:pPr>
        <w:spacing w:before="72" w:after="72" w:line="400" w:lineRule="exact"/>
        <w:rPr>
          <w:rFonts w:ascii="楷体" w:hAnsi="楷体" w:eastAsia="楷体" w:cs="楷体"/>
          <w:color w:val="auto"/>
        </w:rPr>
      </w:pPr>
    </w:p>
    <w:p w14:paraId="197C22A9">
      <w:pPr>
        <w:pStyle w:val="3"/>
        <w:adjustRightInd w:val="0"/>
        <w:snapToGrid w:val="0"/>
        <w:spacing w:before="3600" w:beforeLines="1500" w:after="3600" w:afterLines="1500" w:line="240" w:lineRule="auto"/>
        <w:jc w:val="center"/>
        <w:rPr>
          <w:rFonts w:ascii="楷体" w:hAnsi="楷体" w:eastAsia="楷体" w:cs="楷体"/>
          <w:color w:val="auto"/>
          <w:sz w:val="44"/>
          <w:szCs w:val="44"/>
        </w:rPr>
      </w:pPr>
      <w:bookmarkStart w:id="472" w:name="_Toc11275"/>
      <w:bookmarkStart w:id="473" w:name="_Toc22463"/>
      <w:bookmarkStart w:id="474" w:name="_Toc31491"/>
      <w:bookmarkStart w:id="475" w:name="_Toc13665"/>
      <w:bookmarkStart w:id="476" w:name="_Toc423021980"/>
      <w:bookmarkStart w:id="477" w:name="_Toc24669"/>
      <w:bookmarkStart w:id="478" w:name="_Toc31044"/>
      <w:bookmarkStart w:id="479" w:name="_Toc483642784"/>
      <w:bookmarkStart w:id="480" w:name="_Toc381489454"/>
      <w:r>
        <w:rPr>
          <w:rFonts w:hint="eastAsia" w:ascii="楷体" w:hAnsi="楷体" w:eastAsia="楷体" w:cs="楷体"/>
          <w:color w:val="auto"/>
          <w:sz w:val="44"/>
          <w:szCs w:val="44"/>
        </w:rPr>
        <w:t>第五部分报价文件</w:t>
      </w:r>
      <w:bookmarkEnd w:id="472"/>
      <w:bookmarkEnd w:id="473"/>
      <w:bookmarkEnd w:id="474"/>
      <w:bookmarkEnd w:id="475"/>
      <w:bookmarkEnd w:id="476"/>
      <w:bookmarkEnd w:id="477"/>
      <w:bookmarkEnd w:id="478"/>
      <w:bookmarkEnd w:id="479"/>
      <w:bookmarkEnd w:id="480"/>
    </w:p>
    <w:p w14:paraId="2744F279">
      <w:pPr>
        <w:pStyle w:val="81"/>
        <w:snapToGrid w:val="0"/>
        <w:spacing w:before="3600" w:beforeLines="1500" w:after="3600" w:afterLines="1500" w:line="240" w:lineRule="auto"/>
        <w:rPr>
          <w:rFonts w:ascii="楷体" w:hAnsi="楷体" w:eastAsia="楷体" w:cs="楷体"/>
          <w:b/>
          <w:color w:val="auto"/>
          <w:kern w:val="2"/>
          <w:szCs w:val="32"/>
        </w:rPr>
        <w:sectPr>
          <w:pgSz w:w="11906" w:h="16838"/>
          <w:pgMar w:top="1440" w:right="1800" w:bottom="1440" w:left="1800" w:header="851" w:footer="822" w:gutter="0"/>
          <w:cols w:space="720" w:num="1"/>
          <w:docGrid w:linePitch="312" w:charSpace="0"/>
        </w:sectPr>
      </w:pPr>
      <w:bookmarkStart w:id="481" w:name="_Toc196294652"/>
      <w:bookmarkStart w:id="482" w:name="_Toc196109463"/>
      <w:bookmarkStart w:id="483" w:name="_Toc423021981"/>
      <w:bookmarkStart w:id="484" w:name="_Toc381489455"/>
      <w:bookmarkStart w:id="485" w:name="_Toc196109464"/>
      <w:bookmarkStart w:id="486" w:name="_Toc196294653"/>
    </w:p>
    <w:bookmarkEnd w:id="481"/>
    <w:bookmarkEnd w:id="482"/>
    <w:bookmarkEnd w:id="483"/>
    <w:bookmarkEnd w:id="484"/>
    <w:p w14:paraId="0CE1F3FC">
      <w:pPr>
        <w:pStyle w:val="4"/>
        <w:numPr>
          <w:ilvl w:val="0"/>
          <w:numId w:val="84"/>
        </w:numPr>
        <w:jc w:val="center"/>
        <w:rPr>
          <w:rFonts w:ascii="楷体" w:hAnsi="楷体" w:eastAsia="楷体" w:cs="楷体"/>
          <w:color w:val="auto"/>
        </w:rPr>
      </w:pPr>
      <w:bookmarkStart w:id="487" w:name="_Toc11257"/>
      <w:bookmarkStart w:id="488" w:name="_Toc15464"/>
      <w:bookmarkStart w:id="489" w:name="_Toc24691"/>
      <w:bookmarkStart w:id="490" w:name="_Toc483642785"/>
      <w:bookmarkStart w:id="491" w:name="_Toc24849"/>
      <w:bookmarkStart w:id="492" w:name="_Toc2165"/>
      <w:r>
        <w:rPr>
          <w:rFonts w:hint="eastAsia" w:ascii="楷体" w:hAnsi="楷体" w:eastAsia="楷体" w:cs="楷体"/>
          <w:color w:val="auto"/>
        </w:rPr>
        <w:t>开标一览表</w:t>
      </w:r>
      <w:bookmarkEnd w:id="487"/>
      <w:bookmarkEnd w:id="488"/>
      <w:bookmarkEnd w:id="489"/>
      <w:bookmarkEnd w:id="490"/>
      <w:bookmarkEnd w:id="491"/>
      <w:bookmarkEnd w:id="492"/>
    </w:p>
    <w:p w14:paraId="3CA6AF88">
      <w:pPr>
        <w:spacing w:before="72" w:after="72" w:line="360" w:lineRule="auto"/>
        <w:rPr>
          <w:rFonts w:ascii="楷体" w:hAnsi="楷体" w:eastAsia="楷体" w:cs="楷体"/>
          <w:color w:val="auto"/>
          <w:sz w:val="24"/>
        </w:rPr>
      </w:pPr>
      <w:r>
        <w:rPr>
          <w:rFonts w:hint="eastAsia" w:ascii="楷体" w:hAnsi="楷体" w:eastAsia="楷体" w:cs="楷体"/>
          <w:color w:val="auto"/>
          <w:sz w:val="24"/>
        </w:rPr>
        <w:t>项目名称：广东烟草梅州市有限公司平远分公司车辆维修定点服务项目</w:t>
      </w:r>
    </w:p>
    <w:p w14:paraId="6C2D0450">
      <w:pPr>
        <w:spacing w:before="72" w:after="72" w:line="360" w:lineRule="auto"/>
        <w:rPr>
          <w:rFonts w:ascii="楷体" w:hAnsi="楷体" w:eastAsia="楷体" w:cs="楷体"/>
          <w:color w:val="auto"/>
          <w:sz w:val="24"/>
        </w:rPr>
      </w:pPr>
      <w:r>
        <w:rPr>
          <w:rFonts w:hint="eastAsia" w:ascii="楷体" w:hAnsi="楷体" w:eastAsia="楷体" w:cs="楷体"/>
          <w:color w:val="auto"/>
          <w:sz w:val="24"/>
        </w:rPr>
        <w:t>项目编号：DXZB-2025GPA0302</w:t>
      </w:r>
    </w:p>
    <w:p w14:paraId="6CFB36F7">
      <w:pPr>
        <w:pStyle w:val="17"/>
        <w:rPr>
          <w:rFonts w:ascii="楷体" w:hAnsi="楷体" w:eastAsia="楷体" w:cs="楷体"/>
          <w:color w:val="auto"/>
        </w:rPr>
      </w:pPr>
    </w:p>
    <w:tbl>
      <w:tblPr>
        <w:tblStyle w:val="43"/>
        <w:tblW w:w="4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4096"/>
      </w:tblGrid>
      <w:tr w14:paraId="375A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2257" w:type="pct"/>
            <w:shd w:val="clear" w:color="auto" w:fill="EEECE1"/>
            <w:vAlign w:val="center"/>
          </w:tcPr>
          <w:p w14:paraId="754BD2CC">
            <w:pPr>
              <w:adjustRightInd w:val="0"/>
              <w:snapToGrid w:val="0"/>
              <w:spacing w:line="320" w:lineRule="exact"/>
              <w:jc w:val="center"/>
              <w:rPr>
                <w:rFonts w:ascii="楷体" w:hAnsi="楷体" w:eastAsia="楷体" w:cs="楷体"/>
                <w:b/>
                <w:color w:val="auto"/>
                <w:sz w:val="24"/>
              </w:rPr>
            </w:pPr>
            <w:r>
              <w:rPr>
                <w:rFonts w:hint="eastAsia" w:ascii="楷体" w:hAnsi="楷体" w:eastAsia="楷体" w:cs="楷体"/>
                <w:b/>
                <w:color w:val="auto"/>
                <w:sz w:val="24"/>
              </w:rPr>
              <w:t>投标总报价（元）</w:t>
            </w:r>
          </w:p>
        </w:tc>
        <w:tc>
          <w:tcPr>
            <w:tcW w:w="2742" w:type="pct"/>
            <w:shd w:val="clear" w:color="auto" w:fill="EEECE1"/>
            <w:vAlign w:val="center"/>
          </w:tcPr>
          <w:p w14:paraId="4B8FEB7F">
            <w:pPr>
              <w:adjustRightInd w:val="0"/>
              <w:snapToGrid w:val="0"/>
              <w:spacing w:line="320" w:lineRule="exact"/>
              <w:jc w:val="center"/>
              <w:rPr>
                <w:rFonts w:ascii="楷体" w:hAnsi="楷体" w:eastAsia="楷体" w:cs="楷体"/>
                <w:b/>
                <w:color w:val="auto"/>
                <w:sz w:val="24"/>
              </w:rPr>
            </w:pPr>
            <w:r>
              <w:rPr>
                <w:rFonts w:hint="eastAsia" w:ascii="楷体" w:hAnsi="楷体" w:eastAsia="楷体" w:cs="楷体"/>
                <w:b/>
                <w:color w:val="auto"/>
                <w:sz w:val="24"/>
              </w:rPr>
              <w:t>服务期</w:t>
            </w:r>
          </w:p>
        </w:tc>
      </w:tr>
      <w:tr w14:paraId="4FD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257" w:type="pct"/>
            <w:vAlign w:val="center"/>
          </w:tcPr>
          <w:p w14:paraId="7F7B826B">
            <w:pPr>
              <w:adjustRightInd w:val="0"/>
              <w:snapToGrid w:val="0"/>
              <w:spacing w:line="320" w:lineRule="exact"/>
              <w:ind w:right="149" w:rightChars="71"/>
              <w:jc w:val="left"/>
              <w:rPr>
                <w:rFonts w:ascii="楷体" w:hAnsi="楷体" w:eastAsia="楷体" w:cs="楷体"/>
                <w:color w:val="auto"/>
                <w:sz w:val="24"/>
              </w:rPr>
            </w:pPr>
            <w:r>
              <w:rPr>
                <w:rFonts w:hint="eastAsia" w:ascii="楷体" w:hAnsi="楷体" w:eastAsia="楷体" w:cs="楷体"/>
                <w:color w:val="auto"/>
                <w:sz w:val="24"/>
              </w:rPr>
              <w:t>（小写）</w:t>
            </w:r>
          </w:p>
          <w:p w14:paraId="39C72C7C">
            <w:pPr>
              <w:adjustRightInd w:val="0"/>
              <w:snapToGrid w:val="0"/>
              <w:spacing w:line="320" w:lineRule="exact"/>
              <w:ind w:right="149" w:rightChars="71"/>
              <w:jc w:val="left"/>
              <w:rPr>
                <w:rFonts w:ascii="楷体" w:hAnsi="楷体" w:eastAsia="楷体" w:cs="楷体"/>
                <w:color w:val="auto"/>
                <w:sz w:val="24"/>
              </w:rPr>
            </w:pPr>
            <w:r>
              <w:rPr>
                <w:rFonts w:hint="eastAsia" w:ascii="楷体" w:hAnsi="楷体" w:eastAsia="楷体" w:cs="楷体"/>
                <w:color w:val="auto"/>
                <w:sz w:val="24"/>
              </w:rPr>
              <w:t>（大写）</w:t>
            </w:r>
          </w:p>
        </w:tc>
        <w:tc>
          <w:tcPr>
            <w:tcW w:w="2742" w:type="pct"/>
            <w:vAlign w:val="center"/>
          </w:tcPr>
          <w:p w14:paraId="501E4CF4">
            <w:pPr>
              <w:adjustRightInd w:val="0"/>
              <w:snapToGrid w:val="0"/>
              <w:spacing w:line="320" w:lineRule="exact"/>
              <w:jc w:val="center"/>
              <w:rPr>
                <w:rFonts w:ascii="楷体" w:hAnsi="楷体" w:eastAsia="楷体" w:cs="楷体"/>
                <w:color w:val="auto"/>
                <w:sz w:val="24"/>
              </w:rPr>
            </w:pPr>
            <w:r>
              <w:rPr>
                <w:rFonts w:hint="eastAsia" w:ascii="楷体" w:hAnsi="楷体" w:eastAsia="楷体" w:cs="楷体"/>
                <w:color w:val="auto"/>
                <w:sz w:val="24"/>
              </w:rPr>
              <w:t>2026年1月1日-2028年12月31日</w:t>
            </w:r>
          </w:p>
        </w:tc>
      </w:tr>
    </w:tbl>
    <w:p w14:paraId="30B72048">
      <w:pPr>
        <w:spacing w:line="360" w:lineRule="auto"/>
        <w:rPr>
          <w:rFonts w:ascii="楷体" w:hAnsi="楷体" w:eastAsia="楷体" w:cs="楷体"/>
          <w:color w:val="auto"/>
          <w:sz w:val="24"/>
        </w:rPr>
      </w:pPr>
    </w:p>
    <w:p w14:paraId="7B4BD4CC">
      <w:pPr>
        <w:spacing w:line="360" w:lineRule="auto"/>
        <w:rPr>
          <w:rFonts w:ascii="楷体" w:hAnsi="楷体" w:eastAsia="楷体" w:cs="楷体"/>
          <w:color w:val="auto"/>
          <w:sz w:val="24"/>
        </w:rPr>
      </w:pPr>
      <w:r>
        <w:rPr>
          <w:rFonts w:hint="eastAsia" w:ascii="楷体" w:hAnsi="楷体" w:eastAsia="楷体" w:cs="楷体"/>
          <w:color w:val="auto"/>
          <w:sz w:val="24"/>
        </w:rPr>
        <w:t>注：</w:t>
      </w:r>
    </w:p>
    <w:p w14:paraId="0FEA0373">
      <w:pPr>
        <w:numPr>
          <w:ilvl w:val="0"/>
          <w:numId w:val="85"/>
        </w:num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投标人须按要求填写所有信息（留有空白处默认为响应招标文件要求），不得随意更改本表格式。</w:t>
      </w:r>
    </w:p>
    <w:p w14:paraId="42EB81DD">
      <w:pPr>
        <w:numPr>
          <w:ilvl w:val="0"/>
          <w:numId w:val="85"/>
        </w:num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投标总报价=工时费报价之和+汽车维修零配件报价之和。投标总报价仅作为价格评审得分，非为最终结算价格。</w:t>
      </w:r>
    </w:p>
    <w:p w14:paraId="1976E158">
      <w:pPr>
        <w:numPr>
          <w:ilvl w:val="0"/>
          <w:numId w:val="85"/>
        </w:numPr>
        <w:adjustRightInd w:val="0"/>
        <w:snapToGrid w:val="0"/>
        <w:spacing w:line="360" w:lineRule="auto"/>
        <w:rPr>
          <w:rFonts w:ascii="楷体" w:hAnsi="楷体" w:eastAsia="楷体" w:cs="楷体"/>
          <w:color w:val="auto"/>
          <w:sz w:val="24"/>
        </w:rPr>
      </w:pPr>
      <w:r>
        <w:rPr>
          <w:rFonts w:hint="eastAsia" w:ascii="楷体" w:hAnsi="楷体" w:eastAsia="楷体" w:cs="楷体"/>
          <w:color w:val="auto"/>
          <w:sz w:val="24"/>
        </w:rPr>
        <w:t>此表是投标文件的必要文件，是投标文件的组成部分。</w:t>
      </w:r>
    </w:p>
    <w:p w14:paraId="1BAF67A7">
      <w:pPr>
        <w:spacing w:before="72" w:after="72" w:line="360" w:lineRule="auto"/>
        <w:rPr>
          <w:rFonts w:ascii="楷体" w:hAnsi="楷体" w:eastAsia="楷体" w:cs="楷体"/>
          <w:color w:val="auto"/>
          <w:sz w:val="24"/>
        </w:rPr>
      </w:pPr>
    </w:p>
    <w:p w14:paraId="5B718170">
      <w:pPr>
        <w:pStyle w:val="16"/>
        <w:rPr>
          <w:rFonts w:ascii="楷体" w:hAnsi="楷体" w:eastAsia="楷体" w:cs="楷体"/>
          <w:color w:val="auto"/>
        </w:rPr>
      </w:pPr>
    </w:p>
    <w:p w14:paraId="2A9A24CA">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投标人名称（加盖公章）：</w:t>
      </w:r>
    </w:p>
    <w:p w14:paraId="54F060BB">
      <w:pPr>
        <w:adjustRightInd w:val="0"/>
        <w:snapToGrid w:val="0"/>
        <w:spacing w:before="72" w:after="72" w:line="480" w:lineRule="auto"/>
        <w:ind w:firstLine="3578" w:firstLineChars="1491"/>
        <w:rPr>
          <w:rFonts w:ascii="楷体" w:hAnsi="楷体" w:eastAsia="楷体" w:cs="楷体"/>
          <w:color w:val="auto"/>
          <w:sz w:val="24"/>
          <w:u w:val="single"/>
        </w:rPr>
      </w:pPr>
      <w:r>
        <w:rPr>
          <w:rFonts w:hint="eastAsia" w:ascii="楷体" w:hAnsi="楷体" w:eastAsia="楷体" w:cs="楷体"/>
          <w:color w:val="auto"/>
          <w:sz w:val="24"/>
        </w:rPr>
        <w:t>投标人法定代表人或其授权代表（签字）：</w:t>
      </w:r>
    </w:p>
    <w:p w14:paraId="0DAF7A5B">
      <w:pPr>
        <w:spacing w:before="72" w:after="72" w:line="400" w:lineRule="exact"/>
        <w:ind w:firstLine="3578" w:firstLineChars="1491"/>
        <w:rPr>
          <w:rFonts w:ascii="楷体" w:hAnsi="楷体" w:eastAsia="楷体" w:cs="楷体"/>
          <w:color w:val="auto"/>
          <w:sz w:val="24"/>
        </w:rPr>
        <w:sectPr>
          <w:pgSz w:w="11906" w:h="16838"/>
          <w:pgMar w:top="1440" w:right="1800" w:bottom="1440" w:left="1800" w:header="851" w:footer="822" w:gutter="0"/>
          <w:cols w:space="720" w:num="1"/>
          <w:docGrid w:linePitch="312" w:charSpace="0"/>
        </w:sectPr>
      </w:pPr>
      <w:r>
        <w:rPr>
          <w:rFonts w:hint="eastAsia" w:ascii="楷体" w:hAnsi="楷体" w:eastAsia="楷体" w:cs="楷体"/>
          <w:color w:val="auto"/>
          <w:sz w:val="24"/>
        </w:rPr>
        <w:t>日期：   年   月   日</w:t>
      </w:r>
    </w:p>
    <w:p w14:paraId="1E7A94DC">
      <w:pPr>
        <w:pStyle w:val="4"/>
        <w:numPr>
          <w:ilvl w:val="0"/>
          <w:numId w:val="84"/>
        </w:numPr>
        <w:jc w:val="center"/>
        <w:rPr>
          <w:rFonts w:ascii="楷体" w:hAnsi="楷体" w:eastAsia="楷体" w:cs="楷体"/>
          <w:color w:val="auto"/>
        </w:rPr>
      </w:pPr>
      <w:r>
        <w:rPr>
          <w:rFonts w:hint="eastAsia" w:ascii="楷体" w:hAnsi="楷体" w:eastAsia="楷体" w:cs="楷体"/>
          <w:color w:val="auto"/>
        </w:rPr>
        <w:t>报价一览表</w:t>
      </w:r>
    </w:p>
    <w:p w14:paraId="574B3398">
      <w:pPr>
        <w:spacing w:before="72" w:after="72" w:line="360" w:lineRule="auto"/>
        <w:rPr>
          <w:rFonts w:ascii="楷体" w:hAnsi="楷体" w:eastAsia="楷体" w:cs="楷体"/>
          <w:color w:val="auto"/>
          <w:sz w:val="24"/>
        </w:rPr>
      </w:pPr>
      <w:r>
        <w:rPr>
          <w:rFonts w:hint="eastAsia" w:ascii="楷体" w:hAnsi="楷体" w:eastAsia="楷体" w:cs="楷体"/>
          <w:color w:val="auto"/>
          <w:sz w:val="24"/>
        </w:rPr>
        <w:t>项目名称：广东烟草梅州市有限公司平远分公司车辆维修定点服务项目</w:t>
      </w:r>
    </w:p>
    <w:p w14:paraId="1164F693">
      <w:pPr>
        <w:spacing w:before="72" w:after="72" w:line="360" w:lineRule="auto"/>
        <w:rPr>
          <w:rFonts w:ascii="楷体" w:hAnsi="楷体" w:eastAsia="楷体" w:cs="楷体"/>
          <w:color w:val="auto"/>
          <w:sz w:val="24"/>
        </w:rPr>
      </w:pPr>
      <w:r>
        <w:rPr>
          <w:rFonts w:hint="eastAsia" w:ascii="楷体" w:hAnsi="楷体" w:eastAsia="楷体" w:cs="楷体"/>
          <w:color w:val="auto"/>
          <w:sz w:val="24"/>
        </w:rPr>
        <w:t>项目编号：DXZB-2025GPA0302</w:t>
      </w:r>
    </w:p>
    <w:p w14:paraId="14A39BD2">
      <w:pPr>
        <w:rPr>
          <w:color w:val="auto"/>
        </w:rPr>
      </w:pPr>
    </w:p>
    <w:p w14:paraId="718FCFB6">
      <w:pPr>
        <w:spacing w:line="360" w:lineRule="auto"/>
        <w:rPr>
          <w:rFonts w:ascii="楷体" w:hAnsi="楷体" w:eastAsia="楷体" w:cs="楷体"/>
          <w:b/>
          <w:color w:val="auto"/>
          <w:sz w:val="24"/>
        </w:rPr>
      </w:pPr>
      <w:r>
        <w:rPr>
          <w:rFonts w:hint="eastAsia" w:ascii="楷体" w:hAnsi="楷体" w:eastAsia="楷体" w:cs="楷体"/>
          <w:b/>
          <w:color w:val="auto"/>
          <w:sz w:val="24"/>
        </w:rPr>
        <w:t>1、工时费投标报价</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4663"/>
      </w:tblGrid>
      <w:tr w14:paraId="3F41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74C4F2FF">
            <w:pPr>
              <w:jc w:val="center"/>
              <w:rPr>
                <w:rFonts w:ascii="楷体" w:hAnsi="楷体" w:eastAsia="楷体" w:cs="楷体"/>
                <w:b/>
                <w:color w:val="auto"/>
                <w:sz w:val="24"/>
              </w:rPr>
            </w:pPr>
            <w:r>
              <w:rPr>
                <w:rFonts w:hint="eastAsia" w:ascii="楷体" w:hAnsi="楷体" w:eastAsia="楷体" w:cs="楷体"/>
                <w:b/>
                <w:color w:val="auto"/>
                <w:sz w:val="24"/>
              </w:rPr>
              <w:t>保养类型</w:t>
            </w:r>
          </w:p>
        </w:tc>
        <w:tc>
          <w:tcPr>
            <w:tcW w:w="2736" w:type="pct"/>
            <w:shd w:val="clear" w:color="auto" w:fill="auto"/>
            <w:vAlign w:val="center"/>
          </w:tcPr>
          <w:p w14:paraId="0EFEDA8D">
            <w:pPr>
              <w:jc w:val="center"/>
              <w:rPr>
                <w:rFonts w:ascii="楷体" w:hAnsi="楷体" w:eastAsia="楷体" w:cs="楷体"/>
                <w:b/>
                <w:color w:val="auto"/>
                <w:sz w:val="24"/>
              </w:rPr>
            </w:pPr>
            <w:r>
              <w:rPr>
                <w:rFonts w:hint="eastAsia" w:ascii="楷体" w:hAnsi="楷体" w:eastAsia="楷体" w:cs="楷体"/>
                <w:b/>
                <w:color w:val="auto"/>
                <w:sz w:val="24"/>
              </w:rPr>
              <w:t>工时费投标报价（人民币）</w:t>
            </w:r>
          </w:p>
        </w:tc>
      </w:tr>
      <w:tr w14:paraId="7EE4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5DD496F2">
            <w:pPr>
              <w:jc w:val="center"/>
              <w:rPr>
                <w:rFonts w:ascii="楷体" w:hAnsi="楷体" w:eastAsia="楷体" w:cs="楷体"/>
                <w:color w:val="auto"/>
                <w:sz w:val="24"/>
              </w:rPr>
            </w:pPr>
            <w:r>
              <w:rPr>
                <w:rFonts w:hint="eastAsia" w:ascii="楷体" w:hAnsi="楷体" w:eastAsia="楷体" w:cs="楷体"/>
                <w:color w:val="auto"/>
                <w:sz w:val="24"/>
              </w:rPr>
              <w:t>车辆清洗服务</w:t>
            </w:r>
          </w:p>
        </w:tc>
        <w:tc>
          <w:tcPr>
            <w:tcW w:w="2736" w:type="pct"/>
            <w:shd w:val="clear" w:color="auto" w:fill="auto"/>
            <w:vAlign w:val="center"/>
          </w:tcPr>
          <w:p w14:paraId="60708B88">
            <w:pPr>
              <w:jc w:val="center"/>
              <w:rPr>
                <w:rFonts w:ascii="楷体" w:hAnsi="楷体" w:eastAsia="楷体" w:cs="楷体"/>
                <w:color w:val="auto"/>
                <w:sz w:val="24"/>
              </w:rPr>
            </w:pPr>
            <w:r>
              <w:rPr>
                <w:rFonts w:hint="eastAsia" w:ascii="楷体" w:hAnsi="楷体" w:eastAsia="楷体" w:cs="楷体"/>
                <w:color w:val="auto"/>
                <w:sz w:val="24"/>
              </w:rPr>
              <w:t>每辆人民币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元/包月</w:t>
            </w:r>
          </w:p>
        </w:tc>
      </w:tr>
      <w:tr w14:paraId="2D91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64" w:type="pct"/>
            <w:shd w:val="clear" w:color="auto" w:fill="auto"/>
            <w:vAlign w:val="center"/>
          </w:tcPr>
          <w:p w14:paraId="4CBA21D2">
            <w:pPr>
              <w:jc w:val="center"/>
              <w:rPr>
                <w:rFonts w:ascii="楷体" w:hAnsi="楷体" w:eastAsia="楷体" w:cs="楷体"/>
                <w:color w:val="auto"/>
                <w:sz w:val="24"/>
              </w:rPr>
            </w:pPr>
            <w:r>
              <w:rPr>
                <w:rFonts w:hint="eastAsia" w:ascii="楷体" w:hAnsi="楷体" w:eastAsia="楷体" w:cs="楷体"/>
                <w:color w:val="auto"/>
                <w:sz w:val="24"/>
              </w:rPr>
              <w:t>日常保养</w:t>
            </w:r>
          </w:p>
        </w:tc>
        <w:tc>
          <w:tcPr>
            <w:tcW w:w="2736" w:type="pct"/>
            <w:shd w:val="clear" w:color="auto" w:fill="auto"/>
            <w:vAlign w:val="center"/>
          </w:tcPr>
          <w:p w14:paraId="08143167">
            <w:pPr>
              <w:jc w:val="center"/>
              <w:rPr>
                <w:rFonts w:ascii="楷体" w:hAnsi="楷体" w:eastAsia="楷体" w:cs="楷体"/>
                <w:color w:val="auto"/>
                <w:sz w:val="24"/>
              </w:rPr>
            </w:pPr>
            <w:r>
              <w:rPr>
                <w:rFonts w:hint="eastAsia" w:ascii="楷体" w:hAnsi="楷体" w:eastAsia="楷体" w:cs="楷体"/>
                <w:color w:val="auto"/>
                <w:sz w:val="24"/>
              </w:rPr>
              <w:t>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元/项</w:t>
            </w:r>
          </w:p>
        </w:tc>
      </w:tr>
      <w:tr w14:paraId="2E0F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0F0FF1A4">
            <w:pPr>
              <w:jc w:val="center"/>
              <w:rPr>
                <w:rFonts w:ascii="楷体" w:hAnsi="楷体" w:eastAsia="楷体" w:cs="楷体"/>
                <w:color w:val="auto"/>
                <w:sz w:val="24"/>
              </w:rPr>
            </w:pPr>
            <w:r>
              <w:rPr>
                <w:rFonts w:hint="eastAsia" w:ascii="楷体" w:hAnsi="楷体" w:eastAsia="楷体" w:cs="楷体"/>
                <w:color w:val="auto"/>
                <w:sz w:val="24"/>
              </w:rPr>
              <w:t>一级保养</w:t>
            </w:r>
          </w:p>
        </w:tc>
        <w:tc>
          <w:tcPr>
            <w:tcW w:w="2736" w:type="pct"/>
            <w:shd w:val="clear" w:color="auto" w:fill="auto"/>
            <w:vAlign w:val="center"/>
          </w:tcPr>
          <w:p w14:paraId="387774B5">
            <w:pPr>
              <w:jc w:val="center"/>
              <w:rPr>
                <w:rFonts w:ascii="楷体" w:hAnsi="楷体" w:eastAsia="楷体" w:cs="楷体"/>
                <w:color w:val="auto"/>
                <w:sz w:val="24"/>
              </w:rPr>
            </w:pPr>
            <w:r>
              <w:rPr>
                <w:rFonts w:hint="eastAsia" w:ascii="楷体" w:hAnsi="楷体" w:eastAsia="楷体" w:cs="楷体"/>
                <w:color w:val="auto"/>
                <w:sz w:val="24"/>
              </w:rPr>
              <w:t>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元/项</w:t>
            </w:r>
          </w:p>
        </w:tc>
      </w:tr>
      <w:tr w14:paraId="572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14AF0126">
            <w:pPr>
              <w:jc w:val="center"/>
              <w:rPr>
                <w:rFonts w:ascii="楷体" w:hAnsi="楷体" w:eastAsia="楷体" w:cs="楷体"/>
                <w:color w:val="auto"/>
                <w:sz w:val="24"/>
              </w:rPr>
            </w:pPr>
            <w:r>
              <w:rPr>
                <w:rFonts w:hint="eastAsia" w:ascii="楷体" w:hAnsi="楷体" w:eastAsia="楷体" w:cs="楷体"/>
                <w:color w:val="auto"/>
                <w:sz w:val="24"/>
              </w:rPr>
              <w:t>二级保养</w:t>
            </w:r>
          </w:p>
        </w:tc>
        <w:tc>
          <w:tcPr>
            <w:tcW w:w="2736" w:type="pct"/>
            <w:shd w:val="clear" w:color="auto" w:fill="auto"/>
            <w:vAlign w:val="center"/>
          </w:tcPr>
          <w:p w14:paraId="10F9758E">
            <w:pPr>
              <w:jc w:val="center"/>
              <w:rPr>
                <w:rFonts w:ascii="楷体" w:hAnsi="楷体" w:eastAsia="楷体" w:cs="楷体"/>
                <w:color w:val="auto"/>
                <w:sz w:val="24"/>
              </w:rPr>
            </w:pPr>
            <w:r>
              <w:rPr>
                <w:rFonts w:hint="eastAsia" w:ascii="楷体" w:hAnsi="楷体" w:eastAsia="楷体" w:cs="楷体"/>
                <w:color w:val="auto"/>
                <w:sz w:val="24"/>
              </w:rPr>
              <w:t>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元/项</w:t>
            </w:r>
          </w:p>
        </w:tc>
      </w:tr>
      <w:tr w14:paraId="5AB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33E7049F">
            <w:pPr>
              <w:jc w:val="center"/>
              <w:rPr>
                <w:rFonts w:ascii="楷体" w:hAnsi="楷体" w:eastAsia="楷体" w:cs="楷体"/>
                <w:color w:val="auto"/>
                <w:sz w:val="24"/>
              </w:rPr>
            </w:pPr>
            <w:r>
              <w:rPr>
                <w:rFonts w:hint="eastAsia" w:ascii="楷体" w:hAnsi="楷体" w:eastAsia="楷体" w:cs="楷体"/>
                <w:color w:val="auto"/>
                <w:sz w:val="24"/>
              </w:rPr>
              <w:t>发动机总成大修</w:t>
            </w:r>
          </w:p>
        </w:tc>
        <w:tc>
          <w:tcPr>
            <w:tcW w:w="2736" w:type="pct"/>
            <w:shd w:val="clear" w:color="auto" w:fill="auto"/>
            <w:vAlign w:val="center"/>
          </w:tcPr>
          <w:p w14:paraId="0E4A1A10">
            <w:pPr>
              <w:jc w:val="center"/>
              <w:rPr>
                <w:rFonts w:ascii="楷体" w:hAnsi="楷体" w:eastAsia="楷体" w:cs="楷体"/>
                <w:color w:val="auto"/>
                <w:sz w:val="24"/>
              </w:rPr>
            </w:pPr>
            <w:r>
              <w:rPr>
                <w:rFonts w:hint="eastAsia" w:ascii="楷体" w:hAnsi="楷体" w:eastAsia="楷体" w:cs="楷体"/>
                <w:color w:val="auto"/>
                <w:sz w:val="24"/>
              </w:rPr>
              <w:t>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元/项</w:t>
            </w:r>
          </w:p>
        </w:tc>
      </w:tr>
      <w:tr w14:paraId="7B68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4" w:type="pct"/>
            <w:shd w:val="clear" w:color="auto" w:fill="auto"/>
            <w:vAlign w:val="center"/>
          </w:tcPr>
          <w:p w14:paraId="3F6D27CC">
            <w:pPr>
              <w:jc w:val="center"/>
              <w:rPr>
                <w:rFonts w:ascii="楷体" w:hAnsi="楷体" w:eastAsia="楷体" w:cs="楷体"/>
                <w:color w:val="auto"/>
                <w:sz w:val="24"/>
              </w:rPr>
            </w:pPr>
            <w:r>
              <w:rPr>
                <w:rFonts w:hint="eastAsia" w:ascii="楷体" w:hAnsi="楷体" w:eastAsia="楷体" w:cs="楷体"/>
                <w:color w:val="auto"/>
                <w:sz w:val="24"/>
              </w:rPr>
              <w:t>全车大修</w:t>
            </w:r>
          </w:p>
        </w:tc>
        <w:tc>
          <w:tcPr>
            <w:tcW w:w="2736" w:type="pct"/>
            <w:shd w:val="clear" w:color="auto" w:fill="auto"/>
            <w:vAlign w:val="center"/>
          </w:tcPr>
          <w:p w14:paraId="19D0E43B">
            <w:pPr>
              <w:jc w:val="center"/>
              <w:rPr>
                <w:rFonts w:ascii="楷体" w:hAnsi="楷体" w:eastAsia="楷体" w:cs="楷体"/>
                <w:color w:val="auto"/>
                <w:sz w:val="24"/>
              </w:rPr>
            </w:pPr>
            <w:r>
              <w:rPr>
                <w:rFonts w:hint="eastAsia" w:ascii="楷体" w:hAnsi="楷体" w:eastAsia="楷体" w:cs="楷体"/>
                <w:color w:val="auto"/>
                <w:sz w:val="24"/>
              </w:rPr>
              <w:t>人民币</w:t>
            </w:r>
            <w:r>
              <w:rPr>
                <w:rFonts w:hint="eastAsia" w:ascii="楷体" w:hAnsi="楷体" w:eastAsia="楷体" w:cs="楷体"/>
                <w:color w:val="auto"/>
                <w:sz w:val="24"/>
                <w:u w:val="single"/>
              </w:rPr>
              <w:t xml:space="preserve">    </w:t>
            </w:r>
            <w:r>
              <w:rPr>
                <w:rFonts w:hint="eastAsia" w:ascii="楷体" w:hAnsi="楷体" w:eastAsia="楷体" w:cs="楷体"/>
                <w:color w:val="auto"/>
                <w:sz w:val="24"/>
              </w:rPr>
              <w:t>元/项</w:t>
            </w:r>
          </w:p>
        </w:tc>
      </w:tr>
    </w:tbl>
    <w:p w14:paraId="2326FCFC">
      <w:pPr>
        <w:spacing w:line="360" w:lineRule="auto"/>
        <w:rPr>
          <w:rFonts w:ascii="楷体" w:hAnsi="楷体" w:eastAsia="楷体" w:cs="楷体"/>
          <w:b/>
          <w:color w:val="auto"/>
          <w:sz w:val="24"/>
        </w:rPr>
      </w:pPr>
      <w:r>
        <w:rPr>
          <w:rFonts w:hint="eastAsia" w:ascii="楷体" w:hAnsi="楷体" w:eastAsia="楷体" w:cs="楷体"/>
          <w:b/>
          <w:color w:val="auto"/>
          <w:sz w:val="24"/>
        </w:rPr>
        <w:t>2、汽车维修零配件投标报价</w:t>
      </w:r>
    </w:p>
    <w:tbl>
      <w:tblPr>
        <w:tblStyle w:val="43"/>
        <w:tblW w:w="7890" w:type="dxa"/>
        <w:tblInd w:w="93" w:type="dxa"/>
        <w:tblLayout w:type="autofit"/>
        <w:tblCellMar>
          <w:top w:w="0" w:type="dxa"/>
          <w:left w:w="108" w:type="dxa"/>
          <w:bottom w:w="0" w:type="dxa"/>
          <w:right w:w="108" w:type="dxa"/>
        </w:tblCellMar>
      </w:tblPr>
      <w:tblGrid>
        <w:gridCol w:w="1494"/>
        <w:gridCol w:w="735"/>
        <w:gridCol w:w="1178"/>
        <w:gridCol w:w="1558"/>
        <w:gridCol w:w="1241"/>
        <w:gridCol w:w="1684"/>
      </w:tblGrid>
      <w:tr w14:paraId="4D718C1F">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7635B1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材料名称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8F3841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单位</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447759D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零配件投标报价（单位：元）</w:t>
            </w:r>
          </w:p>
        </w:tc>
      </w:tr>
      <w:tr w14:paraId="411CF84E">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CA61A2">
            <w:pPr>
              <w:jc w:val="center"/>
              <w:rPr>
                <w:rFonts w:ascii="楷体" w:hAnsi="楷体" w:eastAsia="楷体" w:cs="楷体"/>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69C5A8">
            <w:pPr>
              <w:jc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0C40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别克GL8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C871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广汽传祺M8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C118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上汽大众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9B2F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广汽传祺GS8</w:t>
            </w:r>
          </w:p>
        </w:tc>
      </w:tr>
      <w:tr w14:paraId="02AA04A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71FD5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机油滤清器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2ED6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C6C4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22580">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ACA1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F01C7">
            <w:pPr>
              <w:widowControl/>
              <w:jc w:val="center"/>
              <w:textAlignment w:val="center"/>
              <w:rPr>
                <w:rFonts w:ascii="楷体" w:hAnsi="楷体" w:eastAsia="楷体" w:cs="楷体"/>
                <w:color w:val="auto"/>
                <w:sz w:val="24"/>
              </w:rPr>
            </w:pPr>
          </w:p>
        </w:tc>
      </w:tr>
      <w:tr w14:paraId="4F751B0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7EEBA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空气滤清器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C466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9637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2125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C292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787B5">
            <w:pPr>
              <w:widowControl/>
              <w:jc w:val="center"/>
              <w:textAlignment w:val="center"/>
              <w:rPr>
                <w:rFonts w:ascii="楷体" w:hAnsi="楷体" w:eastAsia="楷体" w:cs="楷体"/>
                <w:color w:val="auto"/>
                <w:sz w:val="24"/>
              </w:rPr>
            </w:pPr>
          </w:p>
        </w:tc>
      </w:tr>
      <w:tr w14:paraId="0D78877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2393C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汽油滤清器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CE04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3678B">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F496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DFD8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21C5C">
            <w:pPr>
              <w:widowControl/>
              <w:jc w:val="center"/>
              <w:textAlignment w:val="center"/>
              <w:rPr>
                <w:rFonts w:ascii="楷体" w:hAnsi="楷体" w:eastAsia="楷体" w:cs="楷体"/>
                <w:color w:val="auto"/>
                <w:sz w:val="24"/>
              </w:rPr>
            </w:pPr>
          </w:p>
        </w:tc>
      </w:tr>
      <w:tr w14:paraId="3E3D4E1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F5D59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空调滤清器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5172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91B0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8770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43A3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12908">
            <w:pPr>
              <w:widowControl/>
              <w:jc w:val="center"/>
              <w:textAlignment w:val="center"/>
              <w:rPr>
                <w:rFonts w:ascii="楷体" w:hAnsi="楷体" w:eastAsia="楷体" w:cs="楷体"/>
                <w:color w:val="auto"/>
                <w:sz w:val="24"/>
              </w:rPr>
            </w:pPr>
          </w:p>
        </w:tc>
      </w:tr>
      <w:tr w14:paraId="3C4EF7E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7066B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2DFB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01F8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EEC2A">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F6D3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4AEDE">
            <w:pPr>
              <w:widowControl/>
              <w:jc w:val="center"/>
              <w:textAlignment w:val="center"/>
              <w:rPr>
                <w:rFonts w:ascii="楷体" w:hAnsi="楷体" w:eastAsia="楷体" w:cs="楷体"/>
                <w:color w:val="auto"/>
                <w:sz w:val="24"/>
              </w:rPr>
            </w:pPr>
          </w:p>
        </w:tc>
      </w:tr>
      <w:tr w14:paraId="5929305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CC33D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CE02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6C037">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B3A1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B718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105BA">
            <w:pPr>
              <w:widowControl/>
              <w:jc w:val="center"/>
              <w:textAlignment w:val="center"/>
              <w:rPr>
                <w:rFonts w:ascii="楷体" w:hAnsi="楷体" w:eastAsia="楷体" w:cs="楷体"/>
                <w:color w:val="auto"/>
                <w:sz w:val="24"/>
              </w:rPr>
            </w:pPr>
          </w:p>
        </w:tc>
      </w:tr>
      <w:tr w14:paraId="1E7F70F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22321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8EC9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38CC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2092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382E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03E0D">
            <w:pPr>
              <w:widowControl/>
              <w:jc w:val="center"/>
              <w:textAlignment w:val="center"/>
              <w:rPr>
                <w:rFonts w:ascii="楷体" w:hAnsi="楷体" w:eastAsia="楷体" w:cs="楷体"/>
                <w:color w:val="auto"/>
                <w:sz w:val="24"/>
              </w:rPr>
            </w:pPr>
          </w:p>
        </w:tc>
      </w:tr>
      <w:tr w14:paraId="3CC1212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6305A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50AC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BAD4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5014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4414C">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480C5">
            <w:pPr>
              <w:widowControl/>
              <w:jc w:val="center"/>
              <w:textAlignment w:val="center"/>
              <w:rPr>
                <w:rFonts w:ascii="楷体" w:hAnsi="楷体" w:eastAsia="楷体" w:cs="楷体"/>
                <w:color w:val="auto"/>
                <w:sz w:val="24"/>
              </w:rPr>
            </w:pPr>
          </w:p>
        </w:tc>
      </w:tr>
      <w:tr w14:paraId="68A1345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7F2B3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ECFF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72C8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34370">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C017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B6E44">
            <w:pPr>
              <w:widowControl/>
              <w:jc w:val="center"/>
              <w:textAlignment w:val="center"/>
              <w:rPr>
                <w:rFonts w:ascii="楷体" w:hAnsi="楷体" w:eastAsia="楷体" w:cs="楷体"/>
                <w:color w:val="auto"/>
                <w:sz w:val="24"/>
              </w:rPr>
            </w:pPr>
          </w:p>
        </w:tc>
      </w:tr>
      <w:tr w14:paraId="7347646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5240B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C5E4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D13DC">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1290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A006E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48B92">
            <w:pPr>
              <w:widowControl/>
              <w:jc w:val="center"/>
              <w:textAlignment w:val="center"/>
              <w:rPr>
                <w:rFonts w:ascii="楷体" w:hAnsi="楷体" w:eastAsia="楷体" w:cs="楷体"/>
                <w:color w:val="auto"/>
                <w:sz w:val="24"/>
              </w:rPr>
            </w:pPr>
          </w:p>
        </w:tc>
      </w:tr>
      <w:tr w14:paraId="430EDEDF">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C93AE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空调皮带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9B83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CFE1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34B2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0DF2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ED2A3">
            <w:pPr>
              <w:widowControl/>
              <w:jc w:val="center"/>
              <w:textAlignment w:val="center"/>
              <w:rPr>
                <w:rFonts w:ascii="楷体" w:hAnsi="楷体" w:eastAsia="楷体" w:cs="楷体"/>
                <w:color w:val="auto"/>
                <w:sz w:val="24"/>
              </w:rPr>
            </w:pPr>
          </w:p>
        </w:tc>
      </w:tr>
      <w:tr w14:paraId="4B230F3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388F1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AC9E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7A4A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F6F62">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AB21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EE9AE">
            <w:pPr>
              <w:widowControl/>
              <w:jc w:val="center"/>
              <w:textAlignment w:val="center"/>
              <w:rPr>
                <w:rFonts w:ascii="楷体" w:hAnsi="楷体" w:eastAsia="楷体" w:cs="楷体"/>
                <w:color w:val="auto"/>
                <w:sz w:val="24"/>
              </w:rPr>
            </w:pPr>
          </w:p>
        </w:tc>
      </w:tr>
      <w:tr w14:paraId="09D35D9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553B1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起动机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751C4">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EBB82">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708B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43EEC">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CFDC9">
            <w:pPr>
              <w:widowControl/>
              <w:jc w:val="center"/>
              <w:textAlignment w:val="center"/>
              <w:rPr>
                <w:rFonts w:ascii="楷体" w:hAnsi="楷体" w:eastAsia="楷体" w:cs="楷体"/>
                <w:color w:val="auto"/>
                <w:sz w:val="24"/>
              </w:rPr>
            </w:pPr>
          </w:p>
        </w:tc>
      </w:tr>
      <w:tr w14:paraId="30E2939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72930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四轮定位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E7DB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05D8B">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7D1F7">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2E00A">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4814A">
            <w:pPr>
              <w:widowControl/>
              <w:jc w:val="center"/>
              <w:textAlignment w:val="center"/>
              <w:rPr>
                <w:rFonts w:ascii="楷体" w:hAnsi="楷体" w:eastAsia="楷体" w:cs="楷体"/>
                <w:color w:val="auto"/>
                <w:sz w:val="24"/>
              </w:rPr>
            </w:pPr>
          </w:p>
        </w:tc>
      </w:tr>
      <w:tr w14:paraId="4437EA0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9B366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雪种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458F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33F0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0FC9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2B08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FB5C6">
            <w:pPr>
              <w:widowControl/>
              <w:jc w:val="center"/>
              <w:textAlignment w:val="center"/>
              <w:rPr>
                <w:rFonts w:ascii="楷体" w:hAnsi="楷体" w:eastAsia="楷体" w:cs="楷体"/>
                <w:color w:val="auto"/>
                <w:sz w:val="24"/>
              </w:rPr>
            </w:pPr>
          </w:p>
        </w:tc>
      </w:tr>
      <w:tr w14:paraId="7D26CB1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C9FF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冷却液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988C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C976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F087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47ED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1DAEC">
            <w:pPr>
              <w:widowControl/>
              <w:jc w:val="center"/>
              <w:textAlignment w:val="center"/>
              <w:rPr>
                <w:rFonts w:ascii="楷体" w:hAnsi="楷体" w:eastAsia="楷体" w:cs="楷体"/>
                <w:color w:val="auto"/>
                <w:sz w:val="24"/>
              </w:rPr>
            </w:pPr>
          </w:p>
        </w:tc>
      </w:tr>
      <w:tr w14:paraId="13038A1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2E43F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CC0A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5A13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7D3A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57950">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AB7A9">
            <w:pPr>
              <w:widowControl/>
              <w:jc w:val="center"/>
              <w:textAlignment w:val="center"/>
              <w:rPr>
                <w:rFonts w:ascii="楷体" w:hAnsi="楷体" w:eastAsia="楷体" w:cs="楷体"/>
                <w:color w:val="auto"/>
                <w:sz w:val="24"/>
              </w:rPr>
            </w:pPr>
          </w:p>
        </w:tc>
      </w:tr>
      <w:tr w14:paraId="7DECFD2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01912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87B8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5A07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A29A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AC87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7B8C1">
            <w:pPr>
              <w:widowControl/>
              <w:jc w:val="center"/>
              <w:textAlignment w:val="center"/>
              <w:rPr>
                <w:rFonts w:ascii="楷体" w:hAnsi="楷体" w:eastAsia="楷体" w:cs="楷体"/>
                <w:color w:val="auto"/>
                <w:sz w:val="24"/>
              </w:rPr>
            </w:pPr>
          </w:p>
        </w:tc>
      </w:tr>
      <w:tr w14:paraId="15177B9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1A9B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698B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99C1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F188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DF390">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63292">
            <w:pPr>
              <w:widowControl/>
              <w:jc w:val="center"/>
              <w:textAlignment w:val="center"/>
              <w:rPr>
                <w:rFonts w:ascii="楷体" w:hAnsi="楷体" w:eastAsia="楷体" w:cs="楷体"/>
                <w:color w:val="auto"/>
                <w:sz w:val="24"/>
              </w:rPr>
            </w:pPr>
          </w:p>
        </w:tc>
      </w:tr>
      <w:tr w14:paraId="0DEEEAA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B6EC9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上水管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1B8EC">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04B97">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41B5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6B3E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6A3BB">
            <w:pPr>
              <w:widowControl/>
              <w:jc w:val="center"/>
              <w:textAlignment w:val="center"/>
              <w:rPr>
                <w:rFonts w:ascii="楷体" w:hAnsi="楷体" w:eastAsia="楷体" w:cs="楷体"/>
                <w:color w:val="auto"/>
                <w:sz w:val="24"/>
              </w:rPr>
            </w:pPr>
          </w:p>
        </w:tc>
      </w:tr>
      <w:tr w14:paraId="52E1FD0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33B82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下水管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C17F9">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4829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8E9D0">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E974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AE198">
            <w:pPr>
              <w:widowControl/>
              <w:jc w:val="center"/>
              <w:textAlignment w:val="center"/>
              <w:rPr>
                <w:rFonts w:ascii="楷体" w:hAnsi="楷体" w:eastAsia="楷体" w:cs="楷体"/>
                <w:color w:val="auto"/>
                <w:sz w:val="24"/>
              </w:rPr>
            </w:pPr>
          </w:p>
        </w:tc>
      </w:tr>
      <w:tr w14:paraId="5DA8873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378C4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大修包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FD2C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30E2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CC27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E679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EC1A6">
            <w:pPr>
              <w:widowControl/>
              <w:jc w:val="center"/>
              <w:textAlignment w:val="center"/>
              <w:rPr>
                <w:rFonts w:ascii="楷体" w:hAnsi="楷体" w:eastAsia="楷体" w:cs="楷体"/>
                <w:color w:val="auto"/>
                <w:sz w:val="24"/>
              </w:rPr>
            </w:pPr>
          </w:p>
        </w:tc>
      </w:tr>
      <w:tr w14:paraId="67DA22E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9E2402">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排气管垫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4A07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D4E4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6D49B">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1570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4E3D7">
            <w:pPr>
              <w:widowControl/>
              <w:jc w:val="center"/>
              <w:textAlignment w:val="center"/>
              <w:rPr>
                <w:rFonts w:ascii="楷体" w:hAnsi="楷体" w:eastAsia="楷体" w:cs="楷体"/>
                <w:color w:val="auto"/>
                <w:sz w:val="24"/>
              </w:rPr>
            </w:pPr>
          </w:p>
        </w:tc>
      </w:tr>
      <w:tr w14:paraId="758FB86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5DD4B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倒车镜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5566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FC82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CD3F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1C3D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3CAA3">
            <w:pPr>
              <w:widowControl/>
              <w:jc w:val="center"/>
              <w:textAlignment w:val="center"/>
              <w:rPr>
                <w:rFonts w:ascii="楷体" w:hAnsi="楷体" w:eastAsia="楷体" w:cs="楷体"/>
                <w:color w:val="auto"/>
                <w:sz w:val="24"/>
              </w:rPr>
            </w:pPr>
          </w:p>
        </w:tc>
      </w:tr>
      <w:tr w14:paraId="2BCC220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D9F7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曲轴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9FE5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A4B7B">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0275A">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EAFF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0B4FF">
            <w:pPr>
              <w:widowControl/>
              <w:jc w:val="center"/>
              <w:textAlignment w:val="center"/>
              <w:rPr>
                <w:rFonts w:ascii="楷体" w:hAnsi="楷体" w:eastAsia="楷体" w:cs="楷体"/>
                <w:color w:val="auto"/>
                <w:sz w:val="24"/>
              </w:rPr>
            </w:pPr>
          </w:p>
        </w:tc>
      </w:tr>
      <w:tr w14:paraId="14CAC29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923B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连杆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4004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2FA6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EB8A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11A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A9E0F">
            <w:pPr>
              <w:widowControl/>
              <w:jc w:val="center"/>
              <w:textAlignment w:val="center"/>
              <w:rPr>
                <w:rFonts w:ascii="楷体" w:hAnsi="楷体" w:eastAsia="楷体" w:cs="楷体"/>
                <w:color w:val="auto"/>
                <w:sz w:val="24"/>
              </w:rPr>
            </w:pPr>
          </w:p>
        </w:tc>
      </w:tr>
      <w:tr w14:paraId="121F216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F75CD5">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活塞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17E2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1BB3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C2AF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58DE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D928D">
            <w:pPr>
              <w:widowControl/>
              <w:jc w:val="center"/>
              <w:textAlignment w:val="center"/>
              <w:rPr>
                <w:rFonts w:ascii="楷体" w:hAnsi="楷体" w:eastAsia="楷体" w:cs="楷体"/>
                <w:color w:val="auto"/>
                <w:sz w:val="24"/>
              </w:rPr>
            </w:pPr>
          </w:p>
        </w:tc>
      </w:tr>
      <w:tr w14:paraId="202BDEB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09680">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活塞环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3B12D">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1BF4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701B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668E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FD882">
            <w:pPr>
              <w:widowControl/>
              <w:jc w:val="center"/>
              <w:textAlignment w:val="center"/>
              <w:rPr>
                <w:rFonts w:ascii="楷体" w:hAnsi="楷体" w:eastAsia="楷体" w:cs="楷体"/>
                <w:color w:val="auto"/>
                <w:sz w:val="24"/>
              </w:rPr>
            </w:pPr>
          </w:p>
        </w:tc>
      </w:tr>
      <w:tr w14:paraId="3CE04F0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A3A81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缸套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F20A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4253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800C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464B2">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86F61">
            <w:pPr>
              <w:widowControl/>
              <w:jc w:val="center"/>
              <w:textAlignment w:val="center"/>
              <w:rPr>
                <w:rFonts w:ascii="楷体" w:hAnsi="楷体" w:eastAsia="楷体" w:cs="楷体"/>
                <w:color w:val="auto"/>
                <w:sz w:val="24"/>
              </w:rPr>
            </w:pPr>
          </w:p>
        </w:tc>
      </w:tr>
      <w:tr w14:paraId="79009E0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30389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进气门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DF21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95E97">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3C1BA">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87791">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9298F">
            <w:pPr>
              <w:widowControl/>
              <w:jc w:val="center"/>
              <w:textAlignment w:val="center"/>
              <w:rPr>
                <w:rFonts w:ascii="楷体" w:hAnsi="楷体" w:eastAsia="楷体" w:cs="楷体"/>
                <w:color w:val="auto"/>
                <w:sz w:val="24"/>
              </w:rPr>
            </w:pPr>
          </w:p>
        </w:tc>
      </w:tr>
      <w:tr w14:paraId="495273B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3060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排气门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223FA">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3D0F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8725B">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CA5A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41B7D">
            <w:pPr>
              <w:widowControl/>
              <w:jc w:val="center"/>
              <w:textAlignment w:val="center"/>
              <w:rPr>
                <w:rFonts w:ascii="楷体" w:hAnsi="楷体" w:eastAsia="楷体" w:cs="楷体"/>
                <w:color w:val="auto"/>
                <w:sz w:val="24"/>
              </w:rPr>
            </w:pPr>
          </w:p>
        </w:tc>
      </w:tr>
      <w:tr w14:paraId="7D5A0A6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7387C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汽缸垫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E7E86">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409A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BC046">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EB1F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14A4E">
            <w:pPr>
              <w:widowControl/>
              <w:jc w:val="center"/>
              <w:textAlignment w:val="center"/>
              <w:rPr>
                <w:rFonts w:ascii="楷体" w:hAnsi="楷体" w:eastAsia="楷体" w:cs="楷体"/>
                <w:color w:val="auto"/>
                <w:sz w:val="24"/>
              </w:rPr>
            </w:pPr>
          </w:p>
        </w:tc>
      </w:tr>
      <w:tr w14:paraId="2E8F5A4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F97DB3">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曲轴瓦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FF31E">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8966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5FAC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9C2C4">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E0646">
            <w:pPr>
              <w:widowControl/>
              <w:jc w:val="center"/>
              <w:textAlignment w:val="center"/>
              <w:rPr>
                <w:rFonts w:ascii="楷体" w:hAnsi="楷体" w:eastAsia="楷体" w:cs="楷体"/>
                <w:color w:val="auto"/>
                <w:sz w:val="24"/>
              </w:rPr>
            </w:pPr>
          </w:p>
        </w:tc>
      </w:tr>
      <w:tr w14:paraId="159CD624">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959F17">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三元催化器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D4E1B">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A0A4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26A75">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660E">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84263">
            <w:pPr>
              <w:widowControl/>
              <w:jc w:val="center"/>
              <w:textAlignment w:val="center"/>
              <w:rPr>
                <w:rFonts w:ascii="楷体" w:hAnsi="楷体" w:eastAsia="楷体" w:cs="楷体"/>
                <w:color w:val="auto"/>
                <w:sz w:val="24"/>
              </w:rPr>
            </w:pPr>
          </w:p>
        </w:tc>
      </w:tr>
      <w:tr w14:paraId="04206AE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52095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水泵总成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E6F3F">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0D0719">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4334F">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58F0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790ED">
            <w:pPr>
              <w:widowControl/>
              <w:jc w:val="center"/>
              <w:textAlignment w:val="center"/>
              <w:rPr>
                <w:rFonts w:ascii="楷体" w:hAnsi="楷体" w:eastAsia="楷体" w:cs="楷体"/>
                <w:color w:val="auto"/>
                <w:sz w:val="24"/>
              </w:rPr>
            </w:pPr>
          </w:p>
        </w:tc>
      </w:tr>
      <w:tr w14:paraId="652202D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4FF48">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水箱总成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453C1">
            <w:pPr>
              <w:widowControl/>
              <w:jc w:val="center"/>
              <w:textAlignment w:val="center"/>
              <w:rPr>
                <w:rFonts w:ascii="楷体" w:hAnsi="楷体" w:eastAsia="楷体" w:cs="楷体"/>
                <w:color w:val="auto"/>
                <w:sz w:val="24"/>
              </w:rPr>
            </w:pPr>
            <w:r>
              <w:rPr>
                <w:rFonts w:hint="eastAsia" w:ascii="楷体" w:hAnsi="楷体" w:eastAsia="楷体" w:cs="楷体"/>
                <w:color w:val="auto"/>
                <w:kern w:val="0"/>
                <w:sz w:val="24"/>
                <w:lang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51953">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79E2D">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E62C8">
            <w:pPr>
              <w:widowControl/>
              <w:jc w:val="center"/>
              <w:textAlignment w:val="center"/>
              <w:rPr>
                <w:rFonts w:ascii="楷体" w:hAnsi="楷体" w:eastAsia="楷体" w:cs="楷体"/>
                <w:color w:val="auto"/>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9038C">
            <w:pPr>
              <w:widowControl/>
              <w:jc w:val="center"/>
              <w:textAlignment w:val="center"/>
              <w:rPr>
                <w:rFonts w:ascii="楷体" w:hAnsi="楷体" w:eastAsia="楷体" w:cs="楷体"/>
                <w:color w:val="auto"/>
                <w:sz w:val="24"/>
              </w:rPr>
            </w:pPr>
          </w:p>
        </w:tc>
      </w:tr>
    </w:tbl>
    <w:p w14:paraId="5C3A8869">
      <w:pPr>
        <w:widowControl/>
        <w:jc w:val="left"/>
        <w:textAlignment w:val="center"/>
        <w:rPr>
          <w:rFonts w:ascii="楷体" w:hAnsi="楷体" w:eastAsia="楷体" w:cs="楷体"/>
          <w:color w:val="auto"/>
          <w:kern w:val="0"/>
          <w:sz w:val="24"/>
          <w:lang w:bidi="ar"/>
        </w:rPr>
      </w:pPr>
    </w:p>
    <w:p w14:paraId="68511500">
      <w:pPr>
        <w:spacing w:before="72" w:after="72" w:line="400" w:lineRule="exact"/>
        <w:rPr>
          <w:rFonts w:ascii="楷体" w:hAnsi="楷体" w:eastAsia="楷体" w:cs="楷体"/>
          <w:color w:val="auto"/>
          <w:sz w:val="24"/>
        </w:rPr>
      </w:pPr>
      <w:r>
        <w:rPr>
          <w:rFonts w:hint="eastAsia" w:ascii="楷体" w:hAnsi="楷体" w:eastAsia="楷体" w:cs="楷体"/>
          <w:color w:val="auto"/>
          <w:kern w:val="0"/>
          <w:sz w:val="24"/>
          <w:lang w:bidi="ar"/>
        </w:rPr>
        <w:t>注：请填写报价明细表，且不可超出最高限价的，否则视为无效报价。</w:t>
      </w:r>
      <w:bookmarkEnd w:id="485"/>
      <w:bookmarkEnd w:id="486"/>
    </w:p>
    <w:sectPr>
      <w:pgSz w:w="11906" w:h="16838"/>
      <w:pgMar w:top="1440" w:right="1800" w:bottom="1440" w:left="1800" w:header="851" w:footer="82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B72A">
    <w:pPr>
      <w:ind w:right="420"/>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00AD">
    <w:pPr>
      <w:pBdr>
        <w:top w:val="single" w:color="auto" w:sz="4" w:space="0"/>
      </w:pBdr>
      <w:ind w:right="-58"/>
      <w:rPr>
        <w:rFonts w:ascii="楷体" w:hAnsi="楷体" w:eastAsia="楷体" w:cs="楷体"/>
        <w:sz w:val="20"/>
        <w:szCs w:val="20"/>
      </w:rPr>
    </w:pPr>
    <w:r>
      <w:rPr>
        <w:rFonts w:hint="eastAsia" w:ascii="楷体" w:hAnsi="楷体" w:eastAsia="楷体" w:cs="楷体"/>
        <w:sz w:val="20"/>
        <w:szCs w:val="20"/>
      </w:rPr>
      <w:t>采购方式：公开招标</w:t>
    </w:r>
    <w:r>
      <w:rPr>
        <w:rFonts w:ascii="楷体" w:hAnsi="楷体" w:eastAsia="楷体" w:cs="楷体"/>
        <w:sz w:val="20"/>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32F71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60</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rJ2aJ2wEAAMIDAAAOAAAAAAAAAAEA&#10;IAAAAB4BAABkcnMvZTJvRG9jLnhtbFBLBQYAAAAABgAGAFkBAABrBQAAAAA=&#10;">
              <v:fill on="f" focussize="0,0"/>
              <v:stroke on="f"/>
              <v:imagedata o:title=""/>
              <o:lock v:ext="edit" aspectratio="f"/>
              <v:textbox inset="0mm,0mm,0mm,0mm" style="mso-fit-shape-to-text:t;">
                <w:txbxContent>
                  <w:p w14:paraId="1232F712">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60</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0"/>
      </w:rPr>
      <w:t xml:space="preserve">                                    广东鼎信招标采购有限公司编制</w:t>
    </w:r>
  </w:p>
  <w:p w14:paraId="7F397E3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0C63">
    <w:pPr>
      <w:pBdr>
        <w:top w:val="single" w:color="auto" w:sz="4" w:space="0"/>
      </w:pBdr>
      <w:ind w:right="-58"/>
      <w:rPr>
        <w:rFonts w:ascii="楷体" w:hAnsi="楷体" w:eastAsia="楷体" w:cs="楷体"/>
        <w:sz w:val="20"/>
        <w:szCs w:val="20"/>
      </w:rPr>
    </w:pPr>
    <w:r>
      <w:rPr>
        <w:rFonts w:hint="eastAsia" w:ascii="楷体" w:hAnsi="楷体" w:eastAsia="楷体" w:cs="楷体"/>
        <w:sz w:val="20"/>
        <w:szCs w:val="20"/>
      </w:rPr>
      <w:t>采购方式：公开招标</w:t>
    </w:r>
    <w:r>
      <w:rPr>
        <w:rFonts w:ascii="楷体" w:hAnsi="楷体" w:eastAsia="楷体" w:cs="楷体"/>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528C97">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59</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wps:txbx>
                    <wps:bodyPr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TTj2NkBAADCAwAADgAAAAAAAAABACAA&#10;AAAeAQAAZHJzL2Uyb0RvYy54bWxQSwUGAAAAAAYABgBZAQAAaQUAAAAA&#10;">
              <v:fill on="f" focussize="0,0"/>
              <v:stroke on="f"/>
              <v:imagedata o:title=""/>
              <o:lock v:ext="edit" aspectratio="f"/>
              <v:textbox inset="0mm,0mm,0mm,0mm" style="mso-fit-shape-to-text:t;">
                <w:txbxContent>
                  <w:p w14:paraId="5A528C97">
                    <w:pPr>
                      <w:pStyle w:val="27"/>
                      <w:rPr>
                        <w:rFonts w:ascii="楷体" w:hAnsi="楷体" w:eastAsia="楷体" w:cs="楷体"/>
                        <w:sz w:val="20"/>
                        <w:szCs w:val="20"/>
                      </w:rPr>
                    </w:pPr>
                    <w:r>
                      <w:rPr>
                        <w:rFonts w:hint="eastAsia" w:ascii="楷体" w:hAnsi="楷体" w:eastAsia="楷体" w:cs="楷体"/>
                        <w:sz w:val="20"/>
                        <w:szCs w:val="20"/>
                      </w:rPr>
                      <w:t xml:space="preserve">第 </w:t>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  \* MERGEFORMAT </w:instrText>
                    </w:r>
                    <w:r>
                      <w:rPr>
                        <w:rFonts w:hint="eastAsia" w:ascii="楷体" w:hAnsi="楷体" w:eastAsia="楷体" w:cs="楷体"/>
                        <w:sz w:val="20"/>
                        <w:szCs w:val="20"/>
                      </w:rPr>
                      <w:fldChar w:fldCharType="separate"/>
                    </w:r>
                    <w:r>
                      <w:rPr>
                        <w:rFonts w:ascii="楷体" w:hAnsi="楷体" w:eastAsia="楷体" w:cs="楷体"/>
                        <w:sz w:val="20"/>
                        <w:szCs w:val="20"/>
                      </w:rPr>
                      <w:t>59</w:t>
                    </w:r>
                    <w:r>
                      <w:rPr>
                        <w:rFonts w:hint="eastAsia" w:ascii="楷体" w:hAnsi="楷体" w:eastAsia="楷体" w:cs="楷体"/>
                        <w:sz w:val="20"/>
                        <w:szCs w:val="20"/>
                      </w:rPr>
                      <w:fldChar w:fldCharType="end"/>
                    </w:r>
                    <w:r>
                      <w:rPr>
                        <w:rFonts w:hint="eastAsia" w:ascii="楷体" w:hAnsi="楷体" w:eastAsia="楷体" w:cs="楷体"/>
                        <w:sz w:val="20"/>
                        <w:szCs w:val="20"/>
                      </w:rPr>
                      <w:t xml:space="preserve"> 页</w:t>
                    </w:r>
                  </w:p>
                </w:txbxContent>
              </v:textbox>
            </v:shape>
          </w:pict>
        </mc:Fallback>
      </mc:AlternateContent>
    </w:r>
    <w:r>
      <w:rPr>
        <w:rFonts w:hint="eastAsia" w:ascii="楷体" w:hAnsi="楷体" w:eastAsia="楷体" w:cs="楷体"/>
        <w:sz w:val="20"/>
        <w:szCs w:val="20"/>
      </w:rPr>
      <w:t xml:space="preserve">                                    广东鼎信招标采购有限公司编制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BB03">
    <w:pPr>
      <w:pStyle w:val="28"/>
      <w:jc w:val="right"/>
      <w:rPr>
        <w:rFonts w:eastAsia="楷体"/>
      </w:rPr>
    </w:pPr>
    <w:r>
      <w:rPr>
        <w:rFonts w:hint="eastAsia" w:ascii="楷体" w:hAnsi="楷体" w:eastAsia="楷体" w:cs="楷体"/>
        <w:sz w:val="20"/>
        <w:szCs w:val="15"/>
      </w:rPr>
      <w:t>项目名称：广东烟草梅州市有限公司平远分公司车辆维修定点服务项目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8961">
    <w:pPr>
      <w:pStyle w:val="28"/>
      <w:jc w:val="right"/>
      <w:rPr>
        <w:rFonts w:ascii="楷体" w:hAnsi="楷体" w:eastAsia="楷体" w:cs="楷体"/>
        <w:sz w:val="20"/>
        <w:szCs w:val="20"/>
      </w:rPr>
    </w:pPr>
    <w:r>
      <w:rPr>
        <w:rFonts w:hint="eastAsia" w:ascii="楷体" w:hAnsi="楷体" w:eastAsia="楷体" w:cs="楷体"/>
        <w:sz w:val="20"/>
        <w:szCs w:val="15"/>
      </w:rPr>
      <w:t>项目名称：广东烟草梅州市有限公司平远分公司车辆维修定点服务项目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5784">
    <w:pPr>
      <w:pStyle w:val="28"/>
      <w:jc w:val="right"/>
      <w:rPr>
        <w:rFonts w:ascii="楷体" w:hAnsi="楷体" w:eastAsia="楷体" w:cs="楷体"/>
        <w:sz w:val="20"/>
        <w:szCs w:val="20"/>
      </w:rPr>
    </w:pPr>
    <w:r>
      <w:rPr>
        <w:rFonts w:hint="eastAsia" w:ascii="楷体" w:hAnsi="楷体" w:eastAsia="楷体" w:cs="楷体"/>
        <w:sz w:val="20"/>
        <w:szCs w:val="20"/>
      </w:rPr>
      <w:t>项目名称：广东烟草梅州市有限公司平远分公司车辆维修定点服务项目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6B83D"/>
    <w:multiLevelType w:val="multilevel"/>
    <w:tmpl w:val="82F6B83D"/>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suff w:val="nothing"/>
      <w:lvlText w:val="%2."/>
      <w:lvlJc w:val="left"/>
      <w:pPr>
        <w:ind w:left="840" w:hanging="420"/>
      </w:pPr>
      <w:rPr>
        <w:rFonts w:hint="default" w:ascii="宋体" w:hAnsi="宋体" w:eastAsia="宋体" w:cs="Times New Roman"/>
        <w:b w:val="0"/>
        <w:bCs w:val="0"/>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C3A74DE4"/>
    <w:multiLevelType w:val="singleLevel"/>
    <w:tmpl w:val="C3A74DE4"/>
    <w:lvl w:ilvl="0" w:tentative="0">
      <w:start w:val="1"/>
      <w:numFmt w:val="decimal"/>
      <w:suff w:val="nothing"/>
      <w:lvlText w:val="%1、"/>
      <w:lvlJc w:val="left"/>
      <w:pPr>
        <w:ind w:left="0" w:firstLine="420"/>
      </w:pPr>
      <w:rPr>
        <w:rFonts w:hint="default"/>
      </w:rPr>
    </w:lvl>
  </w:abstractNum>
  <w:abstractNum w:abstractNumId="2">
    <w:nsid w:val="CDC2F3C9"/>
    <w:multiLevelType w:val="multilevel"/>
    <w:tmpl w:val="CDC2F3C9"/>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suff w:val="nothing"/>
      <w:lvlText w:val="%2."/>
      <w:lvlJc w:val="left"/>
      <w:pPr>
        <w:ind w:left="1260" w:hanging="420"/>
      </w:pPr>
      <w:rPr>
        <w:rFonts w:hint="default" w:ascii="宋体" w:hAnsi="宋体" w:eastAsia="宋体" w:cs="Times New Roman"/>
        <w:b w:val="0"/>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3">
    <w:nsid w:val="CE5F9AD9"/>
    <w:multiLevelType w:val="multilevel"/>
    <w:tmpl w:val="CE5F9AD9"/>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lvlText w:val="%2."/>
      <w:lvlJc w:val="left"/>
      <w:pPr>
        <w:ind w:left="1260" w:hanging="420"/>
      </w:pPr>
      <w:rPr>
        <w:rFonts w:hint="default" w:ascii="宋体" w:hAnsi="宋体" w:eastAsia="宋体"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4">
    <w:nsid w:val="D2D457E4"/>
    <w:multiLevelType w:val="multilevel"/>
    <w:tmpl w:val="D2D457E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suff w:val="nothing"/>
      <w:lvlText w:val="%2."/>
      <w:lvlJc w:val="left"/>
      <w:pPr>
        <w:ind w:left="1260" w:hanging="420"/>
      </w:pPr>
      <w:rPr>
        <w:rFonts w:hint="default" w:ascii="宋体" w:hAnsi="宋体" w:eastAsia="宋体" w:cs="Times New Roman"/>
        <w:b w:val="0"/>
        <w:bCs w:val="0"/>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5">
    <w:nsid w:val="D44D2DFC"/>
    <w:multiLevelType w:val="singleLevel"/>
    <w:tmpl w:val="D44D2DFC"/>
    <w:lvl w:ilvl="0" w:tentative="0">
      <w:start w:val="1"/>
      <w:numFmt w:val="decimal"/>
      <w:suff w:val="nothing"/>
      <w:lvlText w:val="%1、"/>
      <w:lvlJc w:val="left"/>
    </w:lvl>
  </w:abstractNum>
  <w:abstractNum w:abstractNumId="6">
    <w:nsid w:val="D9AC0385"/>
    <w:multiLevelType w:val="multilevel"/>
    <w:tmpl w:val="D9AC0385"/>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suff w:val="nothing"/>
      <w:lvlText w:val="%2."/>
      <w:lvlJc w:val="left"/>
      <w:pPr>
        <w:ind w:left="1260" w:hanging="420"/>
      </w:pPr>
      <w:rPr>
        <w:rFonts w:hint="default" w:ascii="宋体" w:hAnsi="宋体" w:eastAsia="宋体" w:cs="Times New Roman"/>
        <w:b w:val="0"/>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7">
    <w:nsid w:val="E9A9D4CD"/>
    <w:multiLevelType w:val="singleLevel"/>
    <w:tmpl w:val="E9A9D4CD"/>
    <w:lvl w:ilvl="0" w:tentative="0">
      <w:start w:val="1"/>
      <w:numFmt w:val="decimal"/>
      <w:suff w:val="nothing"/>
      <w:lvlText w:val="%1、"/>
      <w:lvlJc w:val="left"/>
    </w:lvl>
  </w:abstractNum>
  <w:abstractNum w:abstractNumId="8">
    <w:nsid w:val="FC382837"/>
    <w:multiLevelType w:val="singleLevel"/>
    <w:tmpl w:val="FC382837"/>
    <w:lvl w:ilvl="0" w:tentative="0">
      <w:start w:val="1"/>
      <w:numFmt w:val="chineseCounting"/>
      <w:suff w:val="nothing"/>
      <w:lvlText w:val="%1、"/>
      <w:lvlJc w:val="left"/>
      <w:rPr>
        <w:rFonts w:hint="eastAsia"/>
      </w:rPr>
    </w:lvl>
  </w:abstractNum>
  <w:abstractNum w:abstractNumId="9">
    <w:nsid w:val="00000003"/>
    <w:multiLevelType w:val="multilevel"/>
    <w:tmpl w:val="00000003"/>
    <w:lvl w:ilvl="0" w:tentative="0">
      <w:start w:val="1"/>
      <w:numFmt w:val="decimal"/>
      <w:lvlText w:val="（%1）"/>
      <w:lvlJc w:val="left"/>
      <w:pPr>
        <w:ind w:left="817" w:hanging="420"/>
      </w:pPr>
      <w:rPr>
        <w:rFonts w:hint="eastAsia"/>
      </w:rPr>
    </w:lvl>
    <w:lvl w:ilvl="1" w:tentative="0">
      <w:start w:val="1"/>
      <w:numFmt w:val="lowerLetter"/>
      <w:lvlText w:val="%2)"/>
      <w:lvlJc w:val="left"/>
      <w:pPr>
        <w:ind w:left="1237" w:hanging="420"/>
      </w:pPr>
    </w:lvl>
    <w:lvl w:ilvl="2" w:tentative="0">
      <w:start w:val="1"/>
      <w:numFmt w:val="lowerRoman"/>
      <w:lvlText w:val="%3."/>
      <w:lvlJc w:val="right"/>
      <w:pPr>
        <w:ind w:left="1657" w:hanging="420"/>
      </w:pPr>
    </w:lvl>
    <w:lvl w:ilvl="3" w:tentative="0">
      <w:start w:val="1"/>
      <w:numFmt w:val="decimal"/>
      <w:lvlText w:val="%4."/>
      <w:lvlJc w:val="left"/>
      <w:pPr>
        <w:ind w:left="2077" w:hanging="420"/>
      </w:pPr>
    </w:lvl>
    <w:lvl w:ilvl="4" w:tentative="0">
      <w:start w:val="1"/>
      <w:numFmt w:val="lowerLetter"/>
      <w:lvlText w:val="%5)"/>
      <w:lvlJc w:val="left"/>
      <w:pPr>
        <w:ind w:left="2497" w:hanging="420"/>
      </w:pPr>
    </w:lvl>
    <w:lvl w:ilvl="5" w:tentative="0">
      <w:start w:val="1"/>
      <w:numFmt w:val="lowerRoman"/>
      <w:lvlText w:val="%6."/>
      <w:lvlJc w:val="right"/>
      <w:pPr>
        <w:ind w:left="2917" w:hanging="420"/>
      </w:pPr>
    </w:lvl>
    <w:lvl w:ilvl="6" w:tentative="0">
      <w:start w:val="1"/>
      <w:numFmt w:val="decimal"/>
      <w:lvlText w:val="%7."/>
      <w:lvlJc w:val="left"/>
      <w:pPr>
        <w:ind w:left="3337" w:hanging="420"/>
      </w:pPr>
    </w:lvl>
    <w:lvl w:ilvl="7" w:tentative="0">
      <w:start w:val="1"/>
      <w:numFmt w:val="lowerLetter"/>
      <w:lvlText w:val="%8)"/>
      <w:lvlJc w:val="left"/>
      <w:pPr>
        <w:ind w:left="3757" w:hanging="420"/>
      </w:pPr>
    </w:lvl>
    <w:lvl w:ilvl="8" w:tentative="0">
      <w:start w:val="1"/>
      <w:numFmt w:val="lowerRoman"/>
      <w:lvlText w:val="%9."/>
      <w:lvlJc w:val="right"/>
      <w:pPr>
        <w:ind w:left="4177" w:hanging="420"/>
      </w:pPr>
    </w:lvl>
  </w:abstractNum>
  <w:abstractNum w:abstractNumId="10">
    <w:nsid w:val="00000004"/>
    <w:multiLevelType w:val="multilevel"/>
    <w:tmpl w:val="0000000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0000008"/>
    <w:multiLevelType w:val="singleLevel"/>
    <w:tmpl w:val="00000008"/>
    <w:lvl w:ilvl="0" w:tentative="0">
      <w:start w:val="1"/>
      <w:numFmt w:val="chineseCounting"/>
      <w:suff w:val="nothing"/>
      <w:lvlText w:val="（%1）"/>
      <w:lvlJc w:val="left"/>
      <w:pPr>
        <w:ind w:left="0" w:firstLine="420"/>
      </w:pPr>
      <w:rPr>
        <w:rFonts w:hint="eastAsia"/>
      </w:rPr>
    </w:lvl>
  </w:abstractNum>
  <w:abstractNum w:abstractNumId="12">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13">
    <w:nsid w:val="0000000A"/>
    <w:multiLevelType w:val="multilevel"/>
    <w:tmpl w:val="0000000A"/>
    <w:lvl w:ilvl="0" w:tentative="0">
      <w:start w:val="1"/>
      <w:numFmt w:val="decimal"/>
      <w:suff w:val="nothing"/>
      <w:lvlText w:val="（%1）"/>
      <w:lvlJc w:val="left"/>
      <w:pPr>
        <w:ind w:left="431" w:firstLine="420"/>
      </w:pPr>
      <w:rPr>
        <w:rFonts w:hint="default"/>
      </w:rPr>
    </w:lvl>
    <w:lvl w:ilvl="1" w:tentative="0">
      <w:start w:val="1"/>
      <w:numFmt w:val="decimal"/>
      <w:lvlText w:val="%1.%2."/>
      <w:lvlJc w:val="left"/>
      <w:pPr>
        <w:tabs>
          <w:tab w:val="left" w:pos="907"/>
        </w:tabs>
        <w:ind w:left="907" w:hanging="907"/>
      </w:pPr>
      <w:rPr>
        <w:rFonts w:hint="eastAsia"/>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0B"/>
    <w:multiLevelType w:val="multilevel"/>
    <w:tmpl w:val="0000000B"/>
    <w:lvl w:ilvl="0" w:tentative="0">
      <w:start w:val="1"/>
      <w:numFmt w:val="decimal"/>
      <w:lvlText w:val="4.4.%1"/>
      <w:lvlJc w:val="left"/>
      <w:pPr>
        <w:tabs>
          <w:tab w:val="left" w:pos="1077"/>
        </w:tabs>
        <w:ind w:left="1077" w:hanging="680"/>
      </w:pPr>
      <w:rPr>
        <w:rFonts w:hint="default" w:ascii="楷体" w:hAnsi="楷体" w:eastAsia="楷体" w:cs="楷体"/>
      </w:rPr>
    </w:lvl>
    <w:lvl w:ilvl="1" w:tentative="0">
      <w:start w:val="1"/>
      <w:numFmt w:val="decimal"/>
      <w:lvlText w:val="2.%2"/>
      <w:lvlJc w:val="left"/>
      <w:pPr>
        <w:tabs>
          <w:tab w:val="left" w:pos="629"/>
        </w:tabs>
        <w:ind w:left="629" w:hanging="419"/>
      </w:pPr>
      <w:rPr>
        <w:rFonts w:hint="default"/>
      </w:rPr>
    </w:lvl>
    <w:lvl w:ilvl="2" w:tentative="0">
      <w:start w:val="1"/>
      <w:numFmt w:val="decimal"/>
      <w:lvlText w:val="1.%3"/>
      <w:lvlJc w:val="left"/>
      <w:pPr>
        <w:tabs>
          <w:tab w:val="left" w:pos="629"/>
        </w:tabs>
        <w:ind w:left="629" w:hanging="419"/>
      </w:pPr>
      <w:rPr>
        <w:rFonts w:hint="eastAsia"/>
      </w:rPr>
    </w:lvl>
    <w:lvl w:ilvl="3" w:tentative="0">
      <w:start w:val="1"/>
      <w:numFmt w:val="decimal"/>
      <w:lvlText w:val="%4."/>
      <w:lvlJc w:val="left"/>
      <w:pPr>
        <w:tabs>
          <w:tab w:val="left" w:pos="420"/>
        </w:tabs>
        <w:ind w:left="420" w:hanging="42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0000000C"/>
    <w:multiLevelType w:val="multilevel"/>
    <w:tmpl w:val="0000000C"/>
    <w:lvl w:ilvl="0" w:tentative="0">
      <w:start w:val="1"/>
      <w:numFmt w:val="decimal"/>
      <w:lvlText w:val="4.5.%1"/>
      <w:lvlJc w:val="left"/>
      <w:pPr>
        <w:tabs>
          <w:tab w:val="left" w:pos="1077"/>
        </w:tabs>
        <w:ind w:left="1077" w:hanging="680"/>
      </w:pPr>
      <w:rPr>
        <w:rFonts w:hint="default" w:ascii="宋体" w:hAnsi="宋体" w:eastAsia="宋体" w:cs="宋体"/>
      </w:rPr>
    </w:lvl>
    <w:lvl w:ilvl="1" w:tentative="0">
      <w:start w:val="1"/>
      <w:numFmt w:val="decimal"/>
      <w:lvlText w:val="2.%2"/>
      <w:lvlJc w:val="left"/>
      <w:pPr>
        <w:tabs>
          <w:tab w:val="left" w:pos="629"/>
        </w:tabs>
        <w:ind w:left="629" w:hanging="419"/>
      </w:pPr>
      <w:rPr>
        <w:rFonts w:hint="default"/>
      </w:rPr>
    </w:lvl>
    <w:lvl w:ilvl="2" w:tentative="0">
      <w:start w:val="1"/>
      <w:numFmt w:val="decimal"/>
      <w:lvlText w:val="1.%3"/>
      <w:lvlJc w:val="left"/>
      <w:pPr>
        <w:tabs>
          <w:tab w:val="left" w:pos="629"/>
        </w:tabs>
        <w:ind w:left="629" w:hanging="419"/>
      </w:pPr>
      <w:rPr>
        <w:rFonts w:hint="eastAsia"/>
      </w:rPr>
    </w:lvl>
    <w:lvl w:ilvl="3" w:tentative="0">
      <w:start w:val="1"/>
      <w:numFmt w:val="decimal"/>
      <w:lvlText w:val="%4."/>
      <w:lvlJc w:val="left"/>
      <w:pPr>
        <w:tabs>
          <w:tab w:val="left" w:pos="846"/>
        </w:tabs>
        <w:ind w:left="846" w:hanging="42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0D"/>
    <w:multiLevelType w:val="singleLevel"/>
    <w:tmpl w:val="0000000D"/>
    <w:lvl w:ilvl="0" w:tentative="0">
      <w:start w:val="1"/>
      <w:numFmt w:val="decimal"/>
      <w:suff w:val="nothing"/>
      <w:lvlText w:val="%1、"/>
      <w:lvlJc w:val="left"/>
      <w:pPr>
        <w:ind w:left="0" w:firstLine="420"/>
      </w:pPr>
      <w:rPr>
        <w:rFonts w:hint="default"/>
      </w:rPr>
    </w:lvl>
  </w:abstractNum>
  <w:abstractNum w:abstractNumId="17">
    <w:nsid w:val="00000016"/>
    <w:multiLevelType w:val="multilevel"/>
    <w:tmpl w:val="00000016"/>
    <w:lvl w:ilvl="0" w:tentative="0">
      <w:start w:val="1"/>
      <w:numFmt w:val="decimal"/>
      <w:suff w:val="nothing"/>
      <w:lvlText w:val="%1、"/>
      <w:lvlJc w:val="left"/>
      <w:pPr>
        <w:ind w:left="0" w:firstLine="420"/>
      </w:pPr>
      <w:rPr>
        <w:rFonts w:hint="default"/>
      </w:rPr>
    </w:lvl>
    <w:lvl w:ilvl="1" w:tentative="0">
      <w:start w:val="1"/>
      <w:numFmt w:val="decimal"/>
      <w:lvlText w:val="%1.%2"/>
      <w:lvlJc w:val="left"/>
      <w:pPr>
        <w:tabs>
          <w:tab w:val="left" w:pos="907"/>
        </w:tabs>
        <w:ind w:left="907" w:hanging="907"/>
      </w:pPr>
      <w:rPr>
        <w:rFonts w:hint="default" w:ascii="宋体" w:hAnsi="宋体" w:eastAsia="宋体" w:cs="宋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7"/>
    <w:multiLevelType w:val="singleLevel"/>
    <w:tmpl w:val="00000017"/>
    <w:lvl w:ilvl="0" w:tentative="0">
      <w:start w:val="1"/>
      <w:numFmt w:val="decimal"/>
      <w:suff w:val="nothing"/>
      <w:lvlText w:val="%1、"/>
      <w:lvlJc w:val="left"/>
      <w:pPr>
        <w:ind w:left="0" w:firstLine="420"/>
      </w:pPr>
      <w:rPr>
        <w:rFonts w:hint="default" w:ascii="楷体" w:hAnsi="楷体" w:eastAsia="楷体" w:cs="楷体"/>
        <w:sz w:val="32"/>
        <w:szCs w:val="32"/>
      </w:rPr>
    </w:lvl>
  </w:abstractNum>
  <w:abstractNum w:abstractNumId="19">
    <w:nsid w:val="00000018"/>
    <w:multiLevelType w:val="singleLevel"/>
    <w:tmpl w:val="00000018"/>
    <w:lvl w:ilvl="0" w:tentative="0">
      <w:start w:val="1"/>
      <w:numFmt w:val="decimal"/>
      <w:suff w:val="nothing"/>
      <w:lvlText w:val="（%1）"/>
      <w:lvlJc w:val="left"/>
      <w:pPr>
        <w:tabs>
          <w:tab w:val="left" w:pos="0"/>
        </w:tabs>
        <w:ind w:left="0" w:firstLine="420"/>
      </w:pPr>
      <w:rPr>
        <w:rFonts w:hint="default"/>
        <w:b/>
      </w:rPr>
    </w:lvl>
  </w:abstractNum>
  <w:abstractNum w:abstractNumId="20">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21">
    <w:nsid w:val="0000001A"/>
    <w:multiLevelType w:val="singleLevel"/>
    <w:tmpl w:val="0000001A"/>
    <w:lvl w:ilvl="0" w:tentative="0">
      <w:start w:val="1"/>
      <w:numFmt w:val="decimal"/>
      <w:suff w:val="nothing"/>
      <w:lvlText w:val="%1、"/>
      <w:lvlJc w:val="left"/>
      <w:pPr>
        <w:ind w:left="0" w:firstLine="420"/>
      </w:pPr>
      <w:rPr>
        <w:rFonts w:hint="default"/>
      </w:rPr>
    </w:lvl>
  </w:abstractNum>
  <w:abstractNum w:abstractNumId="22">
    <w:nsid w:val="0000001B"/>
    <w:multiLevelType w:val="singleLevel"/>
    <w:tmpl w:val="0000001B"/>
    <w:lvl w:ilvl="0" w:tentative="0">
      <w:start w:val="1"/>
      <w:numFmt w:val="decimal"/>
      <w:suff w:val="nothing"/>
      <w:lvlText w:val="%1、"/>
      <w:lvlJc w:val="left"/>
      <w:pPr>
        <w:ind w:left="0" w:firstLine="420"/>
      </w:pPr>
      <w:rPr>
        <w:rFonts w:hint="default"/>
      </w:rPr>
    </w:lvl>
  </w:abstractNum>
  <w:abstractNum w:abstractNumId="23">
    <w:nsid w:val="0000001C"/>
    <w:multiLevelType w:val="multilevel"/>
    <w:tmpl w:val="0000001C"/>
    <w:lvl w:ilvl="0" w:tentative="0">
      <w:start w:val="1"/>
      <w:numFmt w:val="decimal"/>
      <w:suff w:val="nothing"/>
      <w:lvlText w:val="（%1）"/>
      <w:lvlJc w:val="left"/>
      <w:pPr>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D"/>
    <w:multiLevelType w:val="multilevel"/>
    <w:tmpl w:val="0000001D"/>
    <w:lvl w:ilvl="0" w:tentative="0">
      <w:start w:val="1"/>
      <w:numFmt w:val="decimal"/>
      <w:lvlText w:val="%1."/>
      <w:lvlJc w:val="left"/>
      <w:pPr>
        <w:tabs>
          <w:tab w:val="left" w:pos="907"/>
        </w:tabs>
        <w:ind w:left="907" w:hanging="907"/>
      </w:pPr>
      <w:rPr>
        <w:rFonts w:hint="eastAsia"/>
        <w:b/>
      </w:rPr>
    </w:lvl>
    <w:lvl w:ilvl="1" w:tentative="0">
      <w:start w:val="1"/>
      <w:numFmt w:val="decimal"/>
      <w:lvlText w:val="%1.%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0000001E"/>
    <w:multiLevelType w:val="singleLevel"/>
    <w:tmpl w:val="0000001E"/>
    <w:lvl w:ilvl="0" w:tentative="0">
      <w:start w:val="1"/>
      <w:numFmt w:val="decimal"/>
      <w:lvlText w:val="%1."/>
      <w:lvlJc w:val="left"/>
      <w:pPr>
        <w:ind w:left="425" w:hanging="425"/>
      </w:pPr>
      <w:rPr>
        <w:rFonts w:hint="default"/>
      </w:rPr>
    </w:lvl>
  </w:abstractNum>
  <w:abstractNum w:abstractNumId="26">
    <w:nsid w:val="0000001F"/>
    <w:multiLevelType w:val="multilevel"/>
    <w:tmpl w:val="0000001F"/>
    <w:lvl w:ilvl="0" w:tentative="0">
      <w:start w:val="1"/>
      <w:numFmt w:val="decimal"/>
      <w:lvlText w:val="%1."/>
      <w:lvlJc w:val="left"/>
      <w:pPr>
        <w:tabs>
          <w:tab w:val="left" w:pos="907"/>
        </w:tabs>
        <w:ind w:left="907" w:hanging="907"/>
      </w:pPr>
      <w:rPr>
        <w:rFonts w:hint="eastAsia"/>
        <w:b/>
      </w:rPr>
    </w:lvl>
    <w:lvl w:ilvl="1" w:tentative="0">
      <w:start w:val="1"/>
      <w:numFmt w:val="decimal"/>
      <w:lvlText w:val="2.%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00000021"/>
    <w:multiLevelType w:val="multilevel"/>
    <w:tmpl w:val="00000021"/>
    <w:lvl w:ilvl="0" w:tentative="0">
      <w:start w:val="1"/>
      <w:numFmt w:val="decimal"/>
      <w:lvlText w:val="%1."/>
      <w:lvlJc w:val="left"/>
      <w:pPr>
        <w:tabs>
          <w:tab w:val="left" w:pos="907"/>
        </w:tabs>
        <w:ind w:left="907" w:hanging="907"/>
      </w:pPr>
      <w:rPr>
        <w:rFonts w:hint="eastAsia"/>
        <w:b/>
      </w:rPr>
    </w:lvl>
    <w:lvl w:ilvl="1" w:tentative="0">
      <w:start w:val="1"/>
      <w:numFmt w:val="decimal"/>
      <w:lvlText w:val="4.%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2"/>
    <w:multiLevelType w:val="multilevel"/>
    <w:tmpl w:val="00000022"/>
    <w:lvl w:ilvl="0" w:tentative="0">
      <w:start w:val="1"/>
      <w:numFmt w:val="decimal"/>
      <w:lvlText w:val="%1."/>
      <w:lvlJc w:val="left"/>
      <w:pPr>
        <w:tabs>
          <w:tab w:val="left" w:pos="907"/>
        </w:tabs>
        <w:ind w:left="907" w:hanging="907"/>
      </w:pPr>
      <w:rPr>
        <w:rFonts w:hint="eastAsia"/>
        <w:b/>
      </w:rPr>
    </w:lvl>
    <w:lvl w:ilvl="1" w:tentative="0">
      <w:start w:val="1"/>
      <w:numFmt w:val="decimal"/>
      <w:lvlText w:val="5.%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3"/>
    <w:multiLevelType w:val="multilevel"/>
    <w:tmpl w:val="00000023"/>
    <w:lvl w:ilvl="0" w:tentative="0">
      <w:start w:val="1"/>
      <w:numFmt w:val="decimal"/>
      <w:lvlText w:val="%1."/>
      <w:lvlJc w:val="left"/>
      <w:pPr>
        <w:tabs>
          <w:tab w:val="left" w:pos="907"/>
        </w:tabs>
        <w:ind w:left="907" w:hanging="907"/>
      </w:pPr>
      <w:rPr>
        <w:rFonts w:hint="eastAsia"/>
        <w:b/>
      </w:rPr>
    </w:lvl>
    <w:lvl w:ilvl="1" w:tentative="0">
      <w:start w:val="1"/>
      <w:numFmt w:val="decimal"/>
      <w:lvlText w:val="6.%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1."/>
      <w:lvlJc w:val="left"/>
      <w:pPr>
        <w:tabs>
          <w:tab w:val="left" w:pos="907"/>
        </w:tabs>
        <w:ind w:left="907" w:hanging="907"/>
      </w:pPr>
      <w:rPr>
        <w:rFonts w:hint="eastAsia"/>
        <w:b/>
      </w:rPr>
    </w:lvl>
    <w:lvl w:ilvl="1" w:tentative="0">
      <w:start w:val="1"/>
      <w:numFmt w:val="decimal"/>
      <w:lvlText w:val="7.%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907"/>
        </w:tabs>
        <w:ind w:left="907" w:hanging="907"/>
      </w:pPr>
      <w:rPr>
        <w:rFonts w:hint="eastAsia"/>
        <w:b/>
      </w:rPr>
    </w:lvl>
    <w:lvl w:ilvl="1" w:tentative="0">
      <w:start w:val="1"/>
      <w:numFmt w:val="decimal"/>
      <w:lvlText w:val="8.%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907"/>
        </w:tabs>
        <w:ind w:left="907" w:hanging="907"/>
      </w:pPr>
      <w:rPr>
        <w:rFonts w:hint="eastAsia"/>
        <w:b/>
      </w:rPr>
    </w:lvl>
    <w:lvl w:ilvl="1" w:tentative="0">
      <w:start w:val="1"/>
      <w:numFmt w:val="decimal"/>
      <w:lvlText w:val="9.%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1."/>
      <w:lvlJc w:val="left"/>
      <w:pPr>
        <w:tabs>
          <w:tab w:val="left" w:pos="907"/>
        </w:tabs>
        <w:ind w:left="907" w:hanging="907"/>
      </w:pPr>
      <w:rPr>
        <w:rFonts w:hint="eastAsia"/>
        <w:b/>
      </w:rPr>
    </w:lvl>
    <w:lvl w:ilvl="1" w:tentative="0">
      <w:start w:val="1"/>
      <w:numFmt w:val="decimal"/>
      <w:lvlText w:val="10.%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0000002B"/>
    <w:multiLevelType w:val="multilevel"/>
    <w:tmpl w:val="0000002B"/>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C"/>
    <w:multiLevelType w:val="multilevel"/>
    <w:tmpl w:val="0000002C"/>
    <w:lvl w:ilvl="0" w:tentative="0">
      <w:start w:val="1"/>
      <w:numFmt w:val="decimal"/>
      <w:lvlText w:val="%1."/>
      <w:lvlJc w:val="left"/>
      <w:pPr>
        <w:tabs>
          <w:tab w:val="left" w:pos="907"/>
        </w:tabs>
        <w:ind w:left="907" w:hanging="907"/>
      </w:pPr>
      <w:rPr>
        <w:rFonts w:hint="eastAsia"/>
        <w:b/>
      </w:rPr>
    </w:lvl>
    <w:lvl w:ilvl="1" w:tentative="0">
      <w:start w:val="1"/>
      <w:numFmt w:val="decimal"/>
      <w:isLgl/>
      <w:lvlText w:val="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D"/>
    <w:multiLevelType w:val="singleLevel"/>
    <w:tmpl w:val="0000002D"/>
    <w:lvl w:ilvl="0" w:tentative="0">
      <w:start w:val="1"/>
      <w:numFmt w:val="decimal"/>
      <w:suff w:val="nothing"/>
      <w:lvlText w:val="（%1）"/>
      <w:lvlJc w:val="left"/>
      <w:pPr>
        <w:ind w:left="0" w:firstLine="420"/>
      </w:pPr>
      <w:rPr>
        <w:rFonts w:hint="default"/>
      </w:rPr>
    </w:lvl>
  </w:abstractNum>
  <w:abstractNum w:abstractNumId="37">
    <w:nsid w:val="0000002E"/>
    <w:multiLevelType w:val="singleLevel"/>
    <w:tmpl w:val="0000002E"/>
    <w:lvl w:ilvl="0" w:tentative="0">
      <w:start w:val="1"/>
      <w:numFmt w:val="decimal"/>
      <w:suff w:val="nothing"/>
      <w:lvlText w:val="（%1）"/>
      <w:lvlJc w:val="left"/>
      <w:pPr>
        <w:ind w:left="0" w:firstLine="420"/>
      </w:pPr>
      <w:rPr>
        <w:rFonts w:hint="default"/>
      </w:rPr>
    </w:lvl>
  </w:abstractNum>
  <w:abstractNum w:abstractNumId="38">
    <w:nsid w:val="0000002F"/>
    <w:multiLevelType w:val="multilevel"/>
    <w:tmpl w:val="0000002F"/>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00000032"/>
    <w:multiLevelType w:val="singleLevel"/>
    <w:tmpl w:val="00000032"/>
    <w:lvl w:ilvl="0" w:tentative="0">
      <w:start w:val="1"/>
      <w:numFmt w:val="decimal"/>
      <w:suff w:val="nothing"/>
      <w:lvlText w:val="%1、"/>
      <w:lvlJc w:val="left"/>
      <w:pPr>
        <w:ind w:left="0" w:firstLine="420"/>
      </w:pPr>
      <w:rPr>
        <w:rFonts w:hint="default"/>
      </w:rPr>
    </w:lvl>
  </w:abstractNum>
  <w:abstractNum w:abstractNumId="40">
    <w:nsid w:val="00000033"/>
    <w:multiLevelType w:val="singleLevel"/>
    <w:tmpl w:val="00000033"/>
    <w:lvl w:ilvl="0" w:tentative="0">
      <w:start w:val="1"/>
      <w:numFmt w:val="decimal"/>
      <w:suff w:val="nothing"/>
      <w:lvlText w:val="%1、"/>
      <w:lvlJc w:val="left"/>
      <w:pPr>
        <w:ind w:left="0" w:firstLine="420"/>
      </w:pPr>
      <w:rPr>
        <w:rFonts w:hint="default"/>
      </w:rPr>
    </w:lvl>
  </w:abstractNum>
  <w:abstractNum w:abstractNumId="41">
    <w:nsid w:val="00000035"/>
    <w:multiLevelType w:val="singleLevel"/>
    <w:tmpl w:val="00000035"/>
    <w:lvl w:ilvl="0" w:tentative="0">
      <w:start w:val="1"/>
      <w:numFmt w:val="decimal"/>
      <w:suff w:val="nothing"/>
      <w:lvlText w:val="（%1）"/>
      <w:lvlJc w:val="left"/>
      <w:pPr>
        <w:tabs>
          <w:tab w:val="left" w:pos="0"/>
        </w:tabs>
        <w:ind w:left="0" w:firstLine="420"/>
      </w:pPr>
      <w:rPr>
        <w:rFonts w:hint="default"/>
        <w:b/>
      </w:rPr>
    </w:lvl>
  </w:abstractNum>
  <w:abstractNum w:abstractNumId="42">
    <w:nsid w:val="00000036"/>
    <w:multiLevelType w:val="singleLevel"/>
    <w:tmpl w:val="00000036"/>
    <w:lvl w:ilvl="0" w:tentative="0">
      <w:start w:val="1"/>
      <w:numFmt w:val="decimal"/>
      <w:suff w:val="nothing"/>
      <w:lvlText w:val="%1、"/>
      <w:lvlJc w:val="left"/>
      <w:pPr>
        <w:ind w:left="0" w:firstLine="420"/>
      </w:pPr>
      <w:rPr>
        <w:rFonts w:hint="default"/>
      </w:rPr>
    </w:lvl>
  </w:abstractNum>
  <w:abstractNum w:abstractNumId="43">
    <w:nsid w:val="00000037"/>
    <w:multiLevelType w:val="singleLevel"/>
    <w:tmpl w:val="00000037"/>
    <w:lvl w:ilvl="0" w:tentative="0">
      <w:start w:val="1"/>
      <w:numFmt w:val="decimal"/>
      <w:suff w:val="nothing"/>
      <w:lvlText w:val="%1、"/>
      <w:lvlJc w:val="left"/>
      <w:pPr>
        <w:ind w:left="0" w:firstLine="420"/>
      </w:pPr>
      <w:rPr>
        <w:rFonts w:hint="default"/>
      </w:rPr>
    </w:lvl>
  </w:abstractNum>
  <w:abstractNum w:abstractNumId="44">
    <w:nsid w:val="0000003A"/>
    <w:multiLevelType w:val="singleLevel"/>
    <w:tmpl w:val="0000003A"/>
    <w:lvl w:ilvl="0" w:tentative="0">
      <w:start w:val="1"/>
      <w:numFmt w:val="decimal"/>
      <w:suff w:val="nothing"/>
      <w:lvlText w:val="%1、"/>
      <w:lvlJc w:val="left"/>
      <w:pPr>
        <w:ind w:left="0" w:firstLine="420"/>
      </w:pPr>
      <w:rPr>
        <w:rFonts w:hint="default"/>
      </w:rPr>
    </w:lvl>
  </w:abstractNum>
  <w:abstractNum w:abstractNumId="45">
    <w:nsid w:val="0000003F"/>
    <w:multiLevelType w:val="singleLevel"/>
    <w:tmpl w:val="0000003F"/>
    <w:lvl w:ilvl="0" w:tentative="0">
      <w:start w:val="1"/>
      <w:numFmt w:val="decimalEnclosedCircleChinese"/>
      <w:suff w:val="nothing"/>
      <w:lvlText w:val="%1　"/>
      <w:lvlJc w:val="left"/>
      <w:pPr>
        <w:ind w:left="230" w:firstLine="400"/>
      </w:pPr>
      <w:rPr>
        <w:rFonts w:hint="eastAsia"/>
      </w:rPr>
    </w:lvl>
  </w:abstractNum>
  <w:abstractNum w:abstractNumId="46">
    <w:nsid w:val="00000040"/>
    <w:multiLevelType w:val="multilevel"/>
    <w:tmpl w:val="00000040"/>
    <w:lvl w:ilvl="0" w:tentative="0">
      <w:start w:val="1"/>
      <w:numFmt w:val="decimal"/>
      <w:lvlText w:val="%1."/>
      <w:lvlJc w:val="left"/>
      <w:pPr>
        <w:tabs>
          <w:tab w:val="left" w:pos="907"/>
        </w:tabs>
        <w:ind w:left="907" w:hanging="907"/>
      </w:pPr>
      <w:rPr>
        <w:rFonts w:hint="eastAsia"/>
        <w:b/>
      </w:rPr>
    </w:lvl>
    <w:lvl w:ilvl="1" w:tentative="0">
      <w:start w:val="1"/>
      <w:numFmt w:val="decimal"/>
      <w:lvlText w:val="11.%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00000041"/>
    <w:multiLevelType w:val="multilevel"/>
    <w:tmpl w:val="00000041"/>
    <w:lvl w:ilvl="0" w:tentative="0">
      <w:start w:val="1"/>
      <w:numFmt w:val="decimal"/>
      <w:lvlText w:val="%1."/>
      <w:lvlJc w:val="left"/>
      <w:pPr>
        <w:tabs>
          <w:tab w:val="left" w:pos="907"/>
        </w:tabs>
        <w:ind w:left="907" w:hanging="907"/>
      </w:pPr>
      <w:rPr>
        <w:rFonts w:hint="eastAsia"/>
        <w:b/>
      </w:rPr>
    </w:lvl>
    <w:lvl w:ilvl="1" w:tentative="0">
      <w:start w:val="1"/>
      <w:numFmt w:val="decimal"/>
      <w:lvlText w:val="13.%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00000042"/>
    <w:multiLevelType w:val="multilevel"/>
    <w:tmpl w:val="00000042"/>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3.2.%3 "/>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00000043"/>
    <w:multiLevelType w:val="multilevel"/>
    <w:tmpl w:val="00000043"/>
    <w:lvl w:ilvl="0" w:tentative="0">
      <w:start w:val="1"/>
      <w:numFmt w:val="decimal"/>
      <w:lvlText w:val="%1."/>
      <w:lvlJc w:val="left"/>
      <w:pPr>
        <w:tabs>
          <w:tab w:val="left" w:pos="907"/>
        </w:tabs>
        <w:ind w:left="907" w:hanging="907"/>
      </w:pPr>
      <w:rPr>
        <w:rFonts w:hint="eastAsia"/>
        <w:b/>
      </w:rPr>
    </w:lvl>
    <w:lvl w:ilvl="1" w:tentative="0">
      <w:start w:val="1"/>
      <w:numFmt w:val="decimal"/>
      <w:lvlText w:val="14.%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00000044"/>
    <w:multiLevelType w:val="multilevel"/>
    <w:tmpl w:val="00000044"/>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4.2.%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00000047"/>
    <w:multiLevelType w:val="multilevel"/>
    <w:tmpl w:val="00000047"/>
    <w:lvl w:ilvl="0" w:tentative="0">
      <w:start w:val="1"/>
      <w:numFmt w:val="decimal"/>
      <w:lvlText w:val="%1."/>
      <w:lvlJc w:val="left"/>
      <w:pPr>
        <w:tabs>
          <w:tab w:val="left" w:pos="907"/>
        </w:tabs>
        <w:ind w:left="907" w:hanging="907"/>
      </w:pPr>
      <w:rPr>
        <w:rFonts w:hint="eastAsia"/>
        <w:b/>
      </w:rPr>
    </w:lvl>
    <w:lvl w:ilvl="1" w:tentative="0">
      <w:start w:val="1"/>
      <w:numFmt w:val="decimal"/>
      <w:lvlText w:val="16.%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00000048"/>
    <w:multiLevelType w:val="multilevel"/>
    <w:tmpl w:val="00000048"/>
    <w:lvl w:ilvl="0" w:tentative="0">
      <w:start w:val="1"/>
      <w:numFmt w:val="decimal"/>
      <w:lvlText w:val="%1."/>
      <w:lvlJc w:val="left"/>
      <w:pPr>
        <w:tabs>
          <w:tab w:val="left" w:pos="907"/>
        </w:tabs>
        <w:ind w:left="907" w:hanging="907"/>
      </w:pPr>
      <w:rPr>
        <w:rFonts w:hint="eastAsia"/>
        <w:b/>
      </w:rPr>
    </w:lvl>
    <w:lvl w:ilvl="1" w:tentative="0">
      <w:start w:val="1"/>
      <w:numFmt w:val="decimal"/>
      <w:lvlText w:val="17.%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0000004A"/>
    <w:multiLevelType w:val="multilevel"/>
    <w:tmpl w:val="0000004A"/>
    <w:lvl w:ilvl="0" w:tentative="0">
      <w:start w:val="1"/>
      <w:numFmt w:val="decimal"/>
      <w:lvlText w:val="%1."/>
      <w:lvlJc w:val="left"/>
      <w:pPr>
        <w:tabs>
          <w:tab w:val="left" w:pos="907"/>
        </w:tabs>
        <w:ind w:left="907" w:hanging="907"/>
      </w:pPr>
      <w:rPr>
        <w:rFonts w:hint="eastAsia"/>
        <w:b/>
      </w:rPr>
    </w:lvl>
    <w:lvl w:ilvl="1" w:tentative="0">
      <w:start w:val="1"/>
      <w:numFmt w:val="decimal"/>
      <w:lvlText w:val="18.%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0000004B"/>
    <w:multiLevelType w:val="multilevel"/>
    <w:tmpl w:val="0000004B"/>
    <w:lvl w:ilvl="0" w:tentative="0">
      <w:start w:val="1"/>
      <w:numFmt w:val="decimal"/>
      <w:lvlText w:val="%1."/>
      <w:lvlJc w:val="left"/>
      <w:pPr>
        <w:tabs>
          <w:tab w:val="left" w:pos="907"/>
        </w:tabs>
        <w:ind w:left="907" w:hanging="907"/>
      </w:pPr>
      <w:rPr>
        <w:rFonts w:hint="eastAsia"/>
        <w:b/>
      </w:rPr>
    </w:lvl>
    <w:lvl w:ilvl="1" w:tentative="0">
      <w:start w:val="1"/>
      <w:numFmt w:val="decimal"/>
      <w:lvlText w:val="19.%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0000004C"/>
    <w:multiLevelType w:val="multilevel"/>
    <w:tmpl w:val="0000004C"/>
    <w:lvl w:ilvl="0" w:tentative="0">
      <w:start w:val="1"/>
      <w:numFmt w:val="decimal"/>
      <w:lvlText w:val="%1."/>
      <w:lvlJc w:val="left"/>
      <w:pPr>
        <w:tabs>
          <w:tab w:val="left" w:pos="907"/>
        </w:tabs>
        <w:ind w:left="907" w:hanging="907"/>
      </w:pPr>
      <w:rPr>
        <w:rFonts w:hint="eastAsia"/>
        <w:b/>
      </w:rPr>
    </w:lvl>
    <w:lvl w:ilvl="1" w:tentative="0">
      <w:start w:val="1"/>
      <w:numFmt w:val="decimal"/>
      <w:lvlText w:val="20.%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0000004D"/>
    <w:multiLevelType w:val="multilevel"/>
    <w:tmpl w:val="0000004D"/>
    <w:lvl w:ilvl="0" w:tentative="0">
      <w:start w:val="1"/>
      <w:numFmt w:val="decimal"/>
      <w:lvlText w:val="%1."/>
      <w:lvlJc w:val="left"/>
      <w:pPr>
        <w:tabs>
          <w:tab w:val="left" w:pos="907"/>
        </w:tabs>
        <w:ind w:left="907" w:hanging="907"/>
      </w:pPr>
      <w:rPr>
        <w:rFonts w:hint="eastAsia"/>
        <w:b/>
      </w:rPr>
    </w:lvl>
    <w:lvl w:ilvl="1" w:tentative="0">
      <w:start w:val="1"/>
      <w:numFmt w:val="decimal"/>
      <w:lvlText w:val="21.%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0000004E"/>
    <w:multiLevelType w:val="multilevel"/>
    <w:tmpl w:val="0000004E"/>
    <w:lvl w:ilvl="0" w:tentative="0">
      <w:start w:val="1"/>
      <w:numFmt w:val="decimal"/>
      <w:lvlText w:val="%1."/>
      <w:lvlJc w:val="left"/>
      <w:pPr>
        <w:tabs>
          <w:tab w:val="left" w:pos="907"/>
        </w:tabs>
        <w:ind w:left="907" w:hanging="907"/>
      </w:pPr>
      <w:rPr>
        <w:rFonts w:hint="eastAsia"/>
        <w:b/>
      </w:rPr>
    </w:lvl>
    <w:lvl w:ilvl="1" w:tentative="0">
      <w:start w:val="1"/>
      <w:numFmt w:val="decimal"/>
      <w:lvlText w:val="22.%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lvlText w:val="23.%2"/>
      <w:lvlJc w:val="left"/>
      <w:pPr>
        <w:tabs>
          <w:tab w:val="left" w:pos="907"/>
        </w:tabs>
        <w:ind w:left="907" w:hanging="907"/>
      </w:pPr>
      <w:rPr>
        <w:rFonts w:hint="default" w:ascii="楷体" w:hAnsi="楷体" w:eastAsia="楷体" w:cs="楷体"/>
        <w:b/>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00000050"/>
    <w:multiLevelType w:val="multilevel"/>
    <w:tmpl w:val="00000050"/>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23.1.%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00000051"/>
    <w:multiLevelType w:val="multilevel"/>
    <w:tmpl w:val="00000051"/>
    <w:lvl w:ilvl="0" w:tentative="0">
      <w:start w:val="1"/>
      <w:numFmt w:val="decimal"/>
      <w:lvlText w:val="%1."/>
      <w:lvlJc w:val="left"/>
      <w:pPr>
        <w:tabs>
          <w:tab w:val="left" w:pos="907"/>
        </w:tabs>
        <w:ind w:left="907" w:hanging="907"/>
      </w:pPr>
      <w:rPr>
        <w:rFonts w:hint="eastAsia"/>
        <w:b/>
      </w:rPr>
    </w:lvl>
    <w:lvl w:ilvl="1" w:tentative="0">
      <w:start w:val="1"/>
      <w:numFmt w:val="decimal"/>
      <w:lvlText w:val="24.%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1">
    <w:nsid w:val="00000052"/>
    <w:multiLevelType w:val="multilevel"/>
    <w:tmpl w:val="00000052"/>
    <w:lvl w:ilvl="0" w:tentative="0">
      <w:start w:val="1"/>
      <w:numFmt w:val="decimal"/>
      <w:lvlText w:val="%1."/>
      <w:lvlJc w:val="left"/>
      <w:pPr>
        <w:tabs>
          <w:tab w:val="left" w:pos="907"/>
        </w:tabs>
        <w:ind w:left="907" w:hanging="907"/>
      </w:pPr>
      <w:rPr>
        <w:rFonts w:hint="eastAsia"/>
        <w:b/>
      </w:rPr>
    </w:lvl>
    <w:lvl w:ilvl="1" w:tentative="0">
      <w:start w:val="1"/>
      <w:numFmt w:val="decimal"/>
      <w:lvlText w:val="25.%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2">
    <w:nsid w:val="00000053"/>
    <w:multiLevelType w:val="multilevel"/>
    <w:tmpl w:val="00000053"/>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00000054"/>
    <w:multiLevelType w:val="multilevel"/>
    <w:tmpl w:val="00000054"/>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4">
    <w:nsid w:val="00000055"/>
    <w:multiLevelType w:val="multilevel"/>
    <w:tmpl w:val="00000055"/>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5">
    <w:nsid w:val="00000056"/>
    <w:multiLevelType w:val="multilevel"/>
    <w:tmpl w:val="00000056"/>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6">
    <w:nsid w:val="00000057"/>
    <w:multiLevelType w:val="multilevel"/>
    <w:tmpl w:val="00000057"/>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7">
    <w:nsid w:val="00000058"/>
    <w:multiLevelType w:val="multilevel"/>
    <w:tmpl w:val="00000058"/>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楷体" w:hAnsi="楷体" w:eastAsia="楷体" w:cs="楷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0000005B"/>
    <w:multiLevelType w:val="multilevel"/>
    <w:tmpl w:val="0000005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064E08C9"/>
    <w:multiLevelType w:val="singleLevel"/>
    <w:tmpl w:val="064E08C9"/>
    <w:lvl w:ilvl="0" w:tentative="0">
      <w:start w:val="1"/>
      <w:numFmt w:val="decimal"/>
      <w:suff w:val="nothing"/>
      <w:lvlText w:val="%1、"/>
      <w:lvlJc w:val="left"/>
    </w:lvl>
  </w:abstractNum>
  <w:abstractNum w:abstractNumId="70">
    <w:nsid w:val="06FFA6E9"/>
    <w:multiLevelType w:val="singleLevel"/>
    <w:tmpl w:val="06FFA6E9"/>
    <w:lvl w:ilvl="0" w:tentative="0">
      <w:start w:val="1"/>
      <w:numFmt w:val="decimal"/>
      <w:suff w:val="nothing"/>
      <w:lvlText w:val="%1、"/>
      <w:lvlJc w:val="left"/>
    </w:lvl>
  </w:abstractNum>
  <w:abstractNum w:abstractNumId="71">
    <w:nsid w:val="1B944001"/>
    <w:multiLevelType w:val="singleLevel"/>
    <w:tmpl w:val="1B944001"/>
    <w:lvl w:ilvl="0" w:tentative="0">
      <w:start w:val="1"/>
      <w:numFmt w:val="decimal"/>
      <w:suff w:val="nothing"/>
      <w:lvlText w:val="%1、"/>
      <w:lvlJc w:val="left"/>
    </w:lvl>
  </w:abstractNum>
  <w:abstractNum w:abstractNumId="72">
    <w:nsid w:val="2886600B"/>
    <w:multiLevelType w:val="multilevel"/>
    <w:tmpl w:val="288660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38EE4F4A"/>
    <w:multiLevelType w:val="multilevel"/>
    <w:tmpl w:val="38EE4F4A"/>
    <w:lvl w:ilvl="0" w:tentative="0">
      <w:start w:val="1"/>
      <w:numFmt w:val="japaneseCounting"/>
      <w:lvlText w:val="（%1）"/>
      <w:lvlJc w:val="left"/>
      <w:pPr>
        <w:ind w:left="720" w:hanging="720"/>
      </w:pPr>
      <w:rPr>
        <w:rFonts w:hint="default" w:ascii="Times New Roman" w:hAnsi="Times New Roman" w:cs="Times New Roman"/>
        <w:b/>
        <w:bC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4">
    <w:nsid w:val="4177F7F9"/>
    <w:multiLevelType w:val="multilevel"/>
    <w:tmpl w:val="4177F7F9"/>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suff w:val="nothing"/>
      <w:lvlText w:val="%2."/>
      <w:lvlJc w:val="left"/>
      <w:pPr>
        <w:ind w:left="1260" w:hanging="420"/>
      </w:pPr>
      <w:rPr>
        <w:rFonts w:hint="default" w:ascii="宋体" w:hAnsi="宋体" w:eastAsia="宋体" w:cs="Times New Roman"/>
        <w:b w:val="0"/>
        <w:bCs w:val="0"/>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75">
    <w:nsid w:val="472632A0"/>
    <w:multiLevelType w:val="multilevel"/>
    <w:tmpl w:val="472632A0"/>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lvlText w:val="%2."/>
      <w:lvlJc w:val="left"/>
      <w:pPr>
        <w:ind w:left="1260" w:hanging="420"/>
      </w:pPr>
      <w:rPr>
        <w:rFonts w:hint="default" w:ascii="宋体" w:hAnsi="宋体" w:eastAsia="宋体"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76">
    <w:nsid w:val="58BAC34E"/>
    <w:multiLevelType w:val="singleLevel"/>
    <w:tmpl w:val="58BAC34E"/>
    <w:lvl w:ilvl="0" w:tentative="0">
      <w:start w:val="1"/>
      <w:numFmt w:val="decimal"/>
      <w:lvlText w:val="（%1）"/>
      <w:lvlJc w:val="left"/>
      <w:pPr>
        <w:tabs>
          <w:tab w:val="left" w:pos="420"/>
        </w:tabs>
        <w:ind w:left="425" w:hanging="425"/>
      </w:pPr>
      <w:rPr>
        <w:rFonts w:hint="default"/>
      </w:rPr>
    </w:lvl>
  </w:abstractNum>
  <w:abstractNum w:abstractNumId="77">
    <w:nsid w:val="58BACF60"/>
    <w:multiLevelType w:val="singleLevel"/>
    <w:tmpl w:val="58BACF60"/>
    <w:lvl w:ilvl="0" w:tentative="0">
      <w:start w:val="1"/>
      <w:numFmt w:val="chineseCounting"/>
      <w:suff w:val="nothing"/>
      <w:lvlText w:val="%1、"/>
      <w:lvlJc w:val="left"/>
      <w:pPr>
        <w:ind w:left="6" w:firstLine="420"/>
      </w:pPr>
      <w:rPr>
        <w:rFonts w:hint="eastAsia"/>
        <w:b/>
      </w:rPr>
    </w:lvl>
  </w:abstractNum>
  <w:abstractNum w:abstractNumId="78">
    <w:nsid w:val="58C77E10"/>
    <w:multiLevelType w:val="multilevel"/>
    <w:tmpl w:val="58C77E10"/>
    <w:lvl w:ilvl="0" w:tentative="0">
      <w:start w:val="1"/>
      <w:numFmt w:val="decimal"/>
      <w:lvlText w:val="%1."/>
      <w:lvlJc w:val="left"/>
      <w:pPr>
        <w:tabs>
          <w:tab w:val="left" w:pos="907"/>
        </w:tabs>
        <w:ind w:left="907" w:hanging="907"/>
      </w:pPr>
      <w:rPr>
        <w:rFonts w:hint="eastAsia"/>
        <w:b/>
      </w:rPr>
    </w:lvl>
    <w:lvl w:ilvl="1" w:tentative="0">
      <w:start w:val="1"/>
      <w:numFmt w:val="decimal"/>
      <w:lvlText w:val="3.%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9">
    <w:nsid w:val="58C782A0"/>
    <w:multiLevelType w:val="multilevel"/>
    <w:tmpl w:val="58C782A0"/>
    <w:lvl w:ilvl="0" w:tentative="0">
      <w:start w:val="1"/>
      <w:numFmt w:val="decimal"/>
      <w:lvlText w:val="%1."/>
      <w:lvlJc w:val="left"/>
      <w:pPr>
        <w:tabs>
          <w:tab w:val="left" w:pos="907"/>
        </w:tabs>
        <w:ind w:left="907" w:hanging="907"/>
      </w:pPr>
      <w:rPr>
        <w:rFonts w:hint="eastAsia"/>
        <w:b/>
      </w:rPr>
    </w:lvl>
    <w:lvl w:ilvl="1" w:tentative="0">
      <w:start w:val="1"/>
      <w:numFmt w:val="decimal"/>
      <w:lvlText w:val="12.%2"/>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0">
    <w:nsid w:val="58C782FA"/>
    <w:multiLevelType w:val="multilevel"/>
    <w:tmpl w:val="58C782FA"/>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2.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1">
    <w:nsid w:val="58C7994D"/>
    <w:multiLevelType w:val="multilevel"/>
    <w:tmpl w:val="58C7994D"/>
    <w:lvl w:ilvl="0" w:tentative="0">
      <w:start w:val="1"/>
      <w:numFmt w:val="decimal"/>
      <w:lvlText w:val="%1."/>
      <w:lvlJc w:val="left"/>
      <w:pPr>
        <w:tabs>
          <w:tab w:val="left" w:pos="907"/>
        </w:tabs>
        <w:ind w:left="907" w:hanging="907"/>
      </w:pPr>
      <w:rPr>
        <w:rFonts w:hint="eastAsia"/>
        <w:b/>
      </w:rPr>
    </w:lvl>
    <w:lvl w:ilvl="1" w:tentative="0">
      <w:start w:val="1"/>
      <w:numFmt w:val="decimal"/>
      <w:isLgl/>
      <w:lvlText w:val="5.%2"/>
      <w:lvlJc w:val="left"/>
      <w:pPr>
        <w:tabs>
          <w:tab w:val="left" w:pos="907"/>
        </w:tabs>
        <w:ind w:left="907" w:hanging="907"/>
      </w:pPr>
      <w:rPr>
        <w:rFonts w:hint="default" w:ascii="楷体" w:hAnsi="楷体" w:eastAsia="楷体" w:cs="楷体"/>
        <w:b w:val="0"/>
        <w:color w:val="auto"/>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2">
    <w:nsid w:val="58E5ED84"/>
    <w:multiLevelType w:val="multilevel"/>
    <w:tmpl w:val="58E5ED84"/>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eastAsia" w:eastAsia="宋体"/>
        <w:b w:val="0"/>
      </w:rPr>
    </w:lvl>
    <w:lvl w:ilvl="2" w:tentative="0">
      <w:start w:val="1"/>
      <w:numFmt w:val="decimal"/>
      <w:lvlText w:val="15.2.%3"/>
      <w:lvlJc w:val="left"/>
      <w:pPr>
        <w:tabs>
          <w:tab w:val="left" w:pos="907"/>
        </w:tabs>
        <w:ind w:left="907" w:hanging="907"/>
      </w:pPr>
      <w:rPr>
        <w:rFonts w:hint="default" w:ascii="楷体" w:hAnsi="楷体" w:eastAsia="楷体" w:cs="楷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3">
    <w:nsid w:val="592CF23C"/>
    <w:multiLevelType w:val="multilevel"/>
    <w:tmpl w:val="592CF23C"/>
    <w:lvl w:ilvl="0" w:tentative="0">
      <w:start w:val="1"/>
      <w:numFmt w:val="decimal"/>
      <w:lvlText w:val="%1."/>
      <w:lvlJc w:val="left"/>
      <w:pPr>
        <w:tabs>
          <w:tab w:val="left" w:pos="907"/>
        </w:tabs>
        <w:ind w:left="907" w:hanging="907"/>
      </w:pPr>
      <w:rPr>
        <w:rFonts w:hint="eastAsia"/>
        <w:b/>
      </w:rPr>
    </w:lvl>
    <w:lvl w:ilvl="1" w:tentative="0">
      <w:start w:val="1"/>
      <w:numFmt w:val="decimal"/>
      <w:lvlText w:val="15.%2 "/>
      <w:lvlJc w:val="left"/>
      <w:pPr>
        <w:tabs>
          <w:tab w:val="left" w:pos="907"/>
        </w:tabs>
        <w:ind w:left="907" w:hanging="907"/>
      </w:pPr>
      <w:rPr>
        <w:rFonts w:hint="default" w:ascii="楷体" w:hAnsi="楷体" w:eastAsia="楷体" w:cs="楷体"/>
        <w:b w:val="0"/>
      </w:rPr>
    </w:lvl>
    <w:lvl w:ilvl="2" w:tentative="0">
      <w:start w:val="1"/>
      <w:numFmt w:val="decimal"/>
      <w:lvlText w:val="%1.%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4">
    <w:nsid w:val="6BB705BC"/>
    <w:multiLevelType w:val="singleLevel"/>
    <w:tmpl w:val="6BB705BC"/>
    <w:lvl w:ilvl="0" w:tentative="0">
      <w:start w:val="1"/>
      <w:numFmt w:val="chineseCounting"/>
      <w:suff w:val="nothing"/>
      <w:lvlText w:val="%1、"/>
      <w:lvlJc w:val="left"/>
      <w:rPr>
        <w:rFonts w:hint="eastAsia"/>
      </w:rPr>
    </w:lvl>
  </w:abstractNum>
  <w:num w:numId="1">
    <w:abstractNumId w:val="77"/>
  </w:num>
  <w:num w:numId="2">
    <w:abstractNumId w:val="76"/>
  </w:num>
  <w:num w:numId="3">
    <w:abstractNumId w:val="11"/>
  </w:num>
  <w:num w:numId="4">
    <w:abstractNumId w:val="25"/>
  </w:num>
  <w:num w:numId="5">
    <w:abstractNumId w:val="24"/>
  </w:num>
  <w:num w:numId="6">
    <w:abstractNumId w:val="26"/>
  </w:num>
  <w:num w:numId="7">
    <w:abstractNumId w:val="78"/>
  </w:num>
  <w:num w:numId="8">
    <w:abstractNumId w:val="27"/>
  </w:num>
  <w:num w:numId="9">
    <w:abstractNumId w:val="28"/>
  </w:num>
  <w:num w:numId="10">
    <w:abstractNumId w:val="29"/>
  </w:num>
  <w:num w:numId="11">
    <w:abstractNumId w:val="30"/>
  </w:num>
  <w:num w:numId="12">
    <w:abstractNumId w:val="31"/>
  </w:num>
  <w:num w:numId="13">
    <w:abstractNumId w:val="32"/>
  </w:num>
  <w:num w:numId="14">
    <w:abstractNumId w:val="33"/>
  </w:num>
  <w:num w:numId="15">
    <w:abstractNumId w:val="46"/>
  </w:num>
  <w:num w:numId="16">
    <w:abstractNumId w:val="79"/>
  </w:num>
  <w:num w:numId="17">
    <w:abstractNumId w:val="80"/>
  </w:num>
  <w:num w:numId="18">
    <w:abstractNumId w:val="47"/>
  </w:num>
  <w:num w:numId="19">
    <w:abstractNumId w:val="48"/>
  </w:num>
  <w:num w:numId="20">
    <w:abstractNumId w:val="49"/>
  </w:num>
  <w:num w:numId="21">
    <w:abstractNumId w:val="50"/>
  </w:num>
  <w:num w:numId="22">
    <w:abstractNumId w:val="83"/>
  </w:num>
  <w:num w:numId="23">
    <w:abstractNumId w:val="82"/>
  </w:num>
  <w:num w:numId="24">
    <w:abstractNumId w:val="51"/>
  </w:num>
  <w:num w:numId="25">
    <w:abstractNumId w:val="52"/>
  </w:num>
  <w:num w:numId="26">
    <w:abstractNumId w:val="53"/>
  </w:num>
  <w:num w:numId="27">
    <w:abstractNumId w:val="54"/>
  </w:num>
  <w:num w:numId="28">
    <w:abstractNumId w:val="55"/>
  </w:num>
  <w:num w:numId="29">
    <w:abstractNumId w:val="56"/>
  </w:num>
  <w:num w:numId="30">
    <w:abstractNumId w:val="57"/>
  </w:num>
  <w:num w:numId="31">
    <w:abstractNumId w:val="58"/>
  </w:num>
  <w:num w:numId="32">
    <w:abstractNumId w:val="59"/>
  </w:num>
  <w:num w:numId="33">
    <w:abstractNumId w:val="9"/>
  </w:num>
  <w:num w:numId="34">
    <w:abstractNumId w:val="60"/>
  </w:num>
  <w:num w:numId="35">
    <w:abstractNumId w:val="61"/>
  </w:num>
  <w:num w:numId="36">
    <w:abstractNumId w:val="62"/>
  </w:num>
  <w:num w:numId="37">
    <w:abstractNumId w:val="63"/>
  </w:num>
  <w:num w:numId="38">
    <w:abstractNumId w:val="64"/>
  </w:num>
  <w:num w:numId="39">
    <w:abstractNumId w:val="65"/>
  </w:num>
  <w:num w:numId="40">
    <w:abstractNumId w:val="66"/>
  </w:num>
  <w:num w:numId="41">
    <w:abstractNumId w:val="67"/>
  </w:num>
  <w:num w:numId="42">
    <w:abstractNumId w:val="12"/>
  </w:num>
  <w:num w:numId="43">
    <w:abstractNumId w:val="34"/>
  </w:num>
  <w:num w:numId="44">
    <w:abstractNumId w:val="35"/>
  </w:num>
  <w:num w:numId="45">
    <w:abstractNumId w:val="13"/>
  </w:num>
  <w:num w:numId="46">
    <w:abstractNumId w:val="36"/>
  </w:num>
  <w:num w:numId="47">
    <w:abstractNumId w:val="37"/>
  </w:num>
  <w:num w:numId="48">
    <w:abstractNumId w:val="38"/>
  </w:num>
  <w:num w:numId="49">
    <w:abstractNumId w:val="14"/>
  </w:num>
  <w:num w:numId="50">
    <w:abstractNumId w:val="68"/>
  </w:num>
  <w:num w:numId="51">
    <w:abstractNumId w:val="10"/>
  </w:num>
  <w:num w:numId="52">
    <w:abstractNumId w:val="15"/>
  </w:num>
  <w:num w:numId="53">
    <w:abstractNumId w:val="81"/>
  </w:num>
  <w:num w:numId="54">
    <w:abstractNumId w:val="5"/>
  </w:num>
  <w:num w:numId="55">
    <w:abstractNumId w:val="7"/>
  </w:num>
  <w:num w:numId="56">
    <w:abstractNumId w:val="69"/>
  </w:num>
  <w:num w:numId="57">
    <w:abstractNumId w:val="70"/>
  </w:num>
  <w:num w:numId="58">
    <w:abstractNumId w:val="71"/>
  </w:num>
  <w:num w:numId="59">
    <w:abstractNumId w:val="72"/>
  </w:num>
  <w:num w:numId="60">
    <w:abstractNumId w:val="8"/>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num>
  <w:num w:numId="63">
    <w:abstractNumId w:val="2"/>
  </w:num>
  <w:num w:numId="64">
    <w:abstractNumId w:val="0"/>
  </w:num>
  <w:num w:numId="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84"/>
  </w:num>
  <w:num w:numId="68">
    <w:abstractNumId w:val="74"/>
  </w:num>
  <w:num w:numId="69">
    <w:abstractNumId w:val="3"/>
  </w:num>
  <w:num w:numId="70">
    <w:abstractNumId w:val="17"/>
  </w:num>
  <w:num w:numId="71">
    <w:abstractNumId w:val="39"/>
  </w:num>
  <w:num w:numId="72">
    <w:abstractNumId w:val="40"/>
  </w:num>
  <w:num w:numId="73">
    <w:abstractNumId w:val="19"/>
  </w:num>
  <w:num w:numId="74">
    <w:abstractNumId w:val="18"/>
  </w:num>
  <w:num w:numId="75">
    <w:abstractNumId w:val="20"/>
  </w:num>
  <w:num w:numId="76">
    <w:abstractNumId w:val="41"/>
  </w:num>
  <w:num w:numId="77">
    <w:abstractNumId w:val="42"/>
  </w:num>
  <w:num w:numId="78">
    <w:abstractNumId w:val="43"/>
  </w:num>
  <w:num w:numId="79">
    <w:abstractNumId w:val="44"/>
  </w:num>
  <w:num w:numId="80">
    <w:abstractNumId w:val="23"/>
  </w:num>
  <w:num w:numId="81">
    <w:abstractNumId w:val="16"/>
  </w:num>
  <w:num w:numId="82">
    <w:abstractNumId w:val="21"/>
  </w:num>
  <w:num w:numId="83">
    <w:abstractNumId w:val="45"/>
  </w:num>
  <w:num w:numId="84">
    <w:abstractNumId w:val="22"/>
  </w:num>
  <w:num w:numId="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mM2MmNlOWI3NzhjOWQ4NjU5MGYwMGJhYzZhZGIifQ=="/>
    <w:docVar w:name="KSO_WPS_MARK_KEY" w:val="a07d3e54-4d39-45fd-b193-20591ed84c93"/>
  </w:docVars>
  <w:rsids>
    <w:rsidRoot w:val="00F3202A"/>
    <w:rsid w:val="00000057"/>
    <w:rsid w:val="000076AF"/>
    <w:rsid w:val="00012177"/>
    <w:rsid w:val="00022679"/>
    <w:rsid w:val="0004698F"/>
    <w:rsid w:val="0005033C"/>
    <w:rsid w:val="00053C98"/>
    <w:rsid w:val="00062EDB"/>
    <w:rsid w:val="00070A94"/>
    <w:rsid w:val="000722F4"/>
    <w:rsid w:val="00077C9A"/>
    <w:rsid w:val="0009075C"/>
    <w:rsid w:val="00091155"/>
    <w:rsid w:val="00091AE5"/>
    <w:rsid w:val="000953BE"/>
    <w:rsid w:val="000A4CAC"/>
    <w:rsid w:val="000A4D20"/>
    <w:rsid w:val="000A4D38"/>
    <w:rsid w:val="000A7EA7"/>
    <w:rsid w:val="000B6F28"/>
    <w:rsid w:val="000D2E5F"/>
    <w:rsid w:val="000D4167"/>
    <w:rsid w:val="000D54A4"/>
    <w:rsid w:val="000D6699"/>
    <w:rsid w:val="000D6E1B"/>
    <w:rsid w:val="000E3FB3"/>
    <w:rsid w:val="000E6B95"/>
    <w:rsid w:val="000E73B5"/>
    <w:rsid w:val="000F2034"/>
    <w:rsid w:val="000F3B5D"/>
    <w:rsid w:val="000F70DE"/>
    <w:rsid w:val="001018D2"/>
    <w:rsid w:val="001109C6"/>
    <w:rsid w:val="001211C9"/>
    <w:rsid w:val="00124872"/>
    <w:rsid w:val="00126948"/>
    <w:rsid w:val="001301F0"/>
    <w:rsid w:val="0013373D"/>
    <w:rsid w:val="00142F5B"/>
    <w:rsid w:val="00145C9C"/>
    <w:rsid w:val="00151869"/>
    <w:rsid w:val="001528C6"/>
    <w:rsid w:val="00171CDD"/>
    <w:rsid w:val="00173744"/>
    <w:rsid w:val="001926C7"/>
    <w:rsid w:val="001952FC"/>
    <w:rsid w:val="001A7044"/>
    <w:rsid w:val="001C08A9"/>
    <w:rsid w:val="001C7428"/>
    <w:rsid w:val="001E0189"/>
    <w:rsid w:val="001F0B7A"/>
    <w:rsid w:val="001F1986"/>
    <w:rsid w:val="001F3C3D"/>
    <w:rsid w:val="001F4647"/>
    <w:rsid w:val="001F711C"/>
    <w:rsid w:val="00211449"/>
    <w:rsid w:val="00220261"/>
    <w:rsid w:val="00221920"/>
    <w:rsid w:val="002273BF"/>
    <w:rsid w:val="00232298"/>
    <w:rsid w:val="002440A9"/>
    <w:rsid w:val="00244A3C"/>
    <w:rsid w:val="00246278"/>
    <w:rsid w:val="00250FEE"/>
    <w:rsid w:val="0025780A"/>
    <w:rsid w:val="002638A7"/>
    <w:rsid w:val="002656AC"/>
    <w:rsid w:val="00265E2B"/>
    <w:rsid w:val="0027186F"/>
    <w:rsid w:val="00274AEF"/>
    <w:rsid w:val="002767BB"/>
    <w:rsid w:val="002849A5"/>
    <w:rsid w:val="00290A82"/>
    <w:rsid w:val="002A5997"/>
    <w:rsid w:val="002A6240"/>
    <w:rsid w:val="002A6361"/>
    <w:rsid w:val="002B2BE1"/>
    <w:rsid w:val="002B551F"/>
    <w:rsid w:val="002D700F"/>
    <w:rsid w:val="002E4CE1"/>
    <w:rsid w:val="002E7452"/>
    <w:rsid w:val="002F214E"/>
    <w:rsid w:val="002F2ACA"/>
    <w:rsid w:val="002F6665"/>
    <w:rsid w:val="0030448E"/>
    <w:rsid w:val="00310848"/>
    <w:rsid w:val="00310A27"/>
    <w:rsid w:val="00310D54"/>
    <w:rsid w:val="00314E2A"/>
    <w:rsid w:val="00322C84"/>
    <w:rsid w:val="00331589"/>
    <w:rsid w:val="0034075E"/>
    <w:rsid w:val="00341D3E"/>
    <w:rsid w:val="003435C7"/>
    <w:rsid w:val="00352C66"/>
    <w:rsid w:val="0035355B"/>
    <w:rsid w:val="00354899"/>
    <w:rsid w:val="00354B77"/>
    <w:rsid w:val="003553CC"/>
    <w:rsid w:val="003772E2"/>
    <w:rsid w:val="003824BC"/>
    <w:rsid w:val="00392C34"/>
    <w:rsid w:val="00394603"/>
    <w:rsid w:val="00394C28"/>
    <w:rsid w:val="00397E7B"/>
    <w:rsid w:val="003A2A4B"/>
    <w:rsid w:val="003A4875"/>
    <w:rsid w:val="003B089B"/>
    <w:rsid w:val="003B3025"/>
    <w:rsid w:val="003C58D3"/>
    <w:rsid w:val="003C7C5B"/>
    <w:rsid w:val="003D7E1D"/>
    <w:rsid w:val="003E08C8"/>
    <w:rsid w:val="003E1A6C"/>
    <w:rsid w:val="003E2058"/>
    <w:rsid w:val="003E3ACF"/>
    <w:rsid w:val="003E61B3"/>
    <w:rsid w:val="003F2634"/>
    <w:rsid w:val="003F4AFC"/>
    <w:rsid w:val="004020A0"/>
    <w:rsid w:val="00403395"/>
    <w:rsid w:val="004144BB"/>
    <w:rsid w:val="00414EED"/>
    <w:rsid w:val="00423022"/>
    <w:rsid w:val="004238C1"/>
    <w:rsid w:val="00423FF6"/>
    <w:rsid w:val="00430DFC"/>
    <w:rsid w:val="00433259"/>
    <w:rsid w:val="00446998"/>
    <w:rsid w:val="00454BA5"/>
    <w:rsid w:val="00460240"/>
    <w:rsid w:val="00481CCD"/>
    <w:rsid w:val="004843C4"/>
    <w:rsid w:val="00487C1F"/>
    <w:rsid w:val="004A30D4"/>
    <w:rsid w:val="004B1B8B"/>
    <w:rsid w:val="004C1A04"/>
    <w:rsid w:val="004C43CC"/>
    <w:rsid w:val="004C43D2"/>
    <w:rsid w:val="004D0519"/>
    <w:rsid w:val="004D7262"/>
    <w:rsid w:val="004E17D6"/>
    <w:rsid w:val="004E6403"/>
    <w:rsid w:val="004E7305"/>
    <w:rsid w:val="004E7C97"/>
    <w:rsid w:val="004F59EE"/>
    <w:rsid w:val="004F6F44"/>
    <w:rsid w:val="00505329"/>
    <w:rsid w:val="0050773C"/>
    <w:rsid w:val="00520425"/>
    <w:rsid w:val="00521B76"/>
    <w:rsid w:val="00540A65"/>
    <w:rsid w:val="00547936"/>
    <w:rsid w:val="005501B6"/>
    <w:rsid w:val="00553081"/>
    <w:rsid w:val="00557FCD"/>
    <w:rsid w:val="00560C48"/>
    <w:rsid w:val="00563694"/>
    <w:rsid w:val="00572125"/>
    <w:rsid w:val="00572BBC"/>
    <w:rsid w:val="00580826"/>
    <w:rsid w:val="00582CFB"/>
    <w:rsid w:val="00590424"/>
    <w:rsid w:val="00591DBC"/>
    <w:rsid w:val="005A1BAB"/>
    <w:rsid w:val="005A368B"/>
    <w:rsid w:val="005A6B87"/>
    <w:rsid w:val="005B1723"/>
    <w:rsid w:val="005B3610"/>
    <w:rsid w:val="005C02E7"/>
    <w:rsid w:val="005C6880"/>
    <w:rsid w:val="005D382E"/>
    <w:rsid w:val="005D5CA1"/>
    <w:rsid w:val="005D6633"/>
    <w:rsid w:val="005F29CF"/>
    <w:rsid w:val="005F32B0"/>
    <w:rsid w:val="005F4A23"/>
    <w:rsid w:val="005F63FC"/>
    <w:rsid w:val="00604893"/>
    <w:rsid w:val="006048FF"/>
    <w:rsid w:val="00611BB0"/>
    <w:rsid w:val="006133C0"/>
    <w:rsid w:val="006140E3"/>
    <w:rsid w:val="0061418D"/>
    <w:rsid w:val="00615D6A"/>
    <w:rsid w:val="00621D72"/>
    <w:rsid w:val="00622ECD"/>
    <w:rsid w:val="00625B9B"/>
    <w:rsid w:val="00630DE7"/>
    <w:rsid w:val="00630E10"/>
    <w:rsid w:val="00631E99"/>
    <w:rsid w:val="00633165"/>
    <w:rsid w:val="00637726"/>
    <w:rsid w:val="00643A60"/>
    <w:rsid w:val="00650A3F"/>
    <w:rsid w:val="00650D4B"/>
    <w:rsid w:val="00652DE8"/>
    <w:rsid w:val="00664D97"/>
    <w:rsid w:val="006678C9"/>
    <w:rsid w:val="00667B69"/>
    <w:rsid w:val="00667BF6"/>
    <w:rsid w:val="00672026"/>
    <w:rsid w:val="006846EF"/>
    <w:rsid w:val="0068500F"/>
    <w:rsid w:val="00685C39"/>
    <w:rsid w:val="0068724B"/>
    <w:rsid w:val="00697B26"/>
    <w:rsid w:val="006A11F4"/>
    <w:rsid w:val="006A3838"/>
    <w:rsid w:val="006A4F07"/>
    <w:rsid w:val="006B4687"/>
    <w:rsid w:val="006B5297"/>
    <w:rsid w:val="006C3CA0"/>
    <w:rsid w:val="006C4C8B"/>
    <w:rsid w:val="006C781D"/>
    <w:rsid w:val="006C7AE4"/>
    <w:rsid w:val="006D1D9B"/>
    <w:rsid w:val="006E5457"/>
    <w:rsid w:val="006E5FE6"/>
    <w:rsid w:val="006E75E5"/>
    <w:rsid w:val="006F4D2D"/>
    <w:rsid w:val="006F7654"/>
    <w:rsid w:val="00711031"/>
    <w:rsid w:val="007138AB"/>
    <w:rsid w:val="00713F9E"/>
    <w:rsid w:val="00714CD6"/>
    <w:rsid w:val="007152A5"/>
    <w:rsid w:val="0071594F"/>
    <w:rsid w:val="00715ADE"/>
    <w:rsid w:val="007243E8"/>
    <w:rsid w:val="007263AC"/>
    <w:rsid w:val="0073711C"/>
    <w:rsid w:val="00742827"/>
    <w:rsid w:val="00746E1A"/>
    <w:rsid w:val="00754DE7"/>
    <w:rsid w:val="007563D4"/>
    <w:rsid w:val="0075730B"/>
    <w:rsid w:val="007578E7"/>
    <w:rsid w:val="0077153F"/>
    <w:rsid w:val="00775F69"/>
    <w:rsid w:val="00785915"/>
    <w:rsid w:val="00786008"/>
    <w:rsid w:val="00792E58"/>
    <w:rsid w:val="007A15B3"/>
    <w:rsid w:val="007B24A9"/>
    <w:rsid w:val="007B5289"/>
    <w:rsid w:val="007C1E9B"/>
    <w:rsid w:val="007C7B7C"/>
    <w:rsid w:val="007D141B"/>
    <w:rsid w:val="007D2C92"/>
    <w:rsid w:val="007D42FD"/>
    <w:rsid w:val="007D71CC"/>
    <w:rsid w:val="007E491F"/>
    <w:rsid w:val="007F6458"/>
    <w:rsid w:val="007F68E9"/>
    <w:rsid w:val="008159F6"/>
    <w:rsid w:val="0082778F"/>
    <w:rsid w:val="0083082A"/>
    <w:rsid w:val="00832537"/>
    <w:rsid w:val="008408F3"/>
    <w:rsid w:val="008466DE"/>
    <w:rsid w:val="008470D7"/>
    <w:rsid w:val="00850187"/>
    <w:rsid w:val="00851A66"/>
    <w:rsid w:val="00854E83"/>
    <w:rsid w:val="00855D72"/>
    <w:rsid w:val="008566E7"/>
    <w:rsid w:val="00860070"/>
    <w:rsid w:val="00862018"/>
    <w:rsid w:val="00865862"/>
    <w:rsid w:val="00865A7F"/>
    <w:rsid w:val="00871A4E"/>
    <w:rsid w:val="008763DC"/>
    <w:rsid w:val="0087699C"/>
    <w:rsid w:val="0087750F"/>
    <w:rsid w:val="00883F5D"/>
    <w:rsid w:val="00885BFD"/>
    <w:rsid w:val="00890103"/>
    <w:rsid w:val="008A0156"/>
    <w:rsid w:val="008A25F2"/>
    <w:rsid w:val="008A3A9E"/>
    <w:rsid w:val="008A7477"/>
    <w:rsid w:val="008B5ECB"/>
    <w:rsid w:val="008C5BE6"/>
    <w:rsid w:val="008D6129"/>
    <w:rsid w:val="008E0EC3"/>
    <w:rsid w:val="008E7554"/>
    <w:rsid w:val="008E7877"/>
    <w:rsid w:val="008F0879"/>
    <w:rsid w:val="008F22F8"/>
    <w:rsid w:val="008F4B41"/>
    <w:rsid w:val="008F5713"/>
    <w:rsid w:val="008F6350"/>
    <w:rsid w:val="009045D3"/>
    <w:rsid w:val="00905242"/>
    <w:rsid w:val="00905EBD"/>
    <w:rsid w:val="00917A30"/>
    <w:rsid w:val="00924A2E"/>
    <w:rsid w:val="00931766"/>
    <w:rsid w:val="00932750"/>
    <w:rsid w:val="00937FA2"/>
    <w:rsid w:val="0094048B"/>
    <w:rsid w:val="00940F54"/>
    <w:rsid w:val="0095673A"/>
    <w:rsid w:val="00956F5F"/>
    <w:rsid w:val="0098242B"/>
    <w:rsid w:val="0098450C"/>
    <w:rsid w:val="0098673A"/>
    <w:rsid w:val="00993437"/>
    <w:rsid w:val="009B4EE1"/>
    <w:rsid w:val="009B5A65"/>
    <w:rsid w:val="009C2927"/>
    <w:rsid w:val="009C51E2"/>
    <w:rsid w:val="009C5F89"/>
    <w:rsid w:val="009D0540"/>
    <w:rsid w:val="009D219F"/>
    <w:rsid w:val="009D44BC"/>
    <w:rsid w:val="009D7E27"/>
    <w:rsid w:val="009E1C70"/>
    <w:rsid w:val="009E516A"/>
    <w:rsid w:val="009E60D0"/>
    <w:rsid w:val="009F3857"/>
    <w:rsid w:val="00A04758"/>
    <w:rsid w:val="00A04D7E"/>
    <w:rsid w:val="00A116C0"/>
    <w:rsid w:val="00A14CCA"/>
    <w:rsid w:val="00A1727D"/>
    <w:rsid w:val="00A263E9"/>
    <w:rsid w:val="00A30764"/>
    <w:rsid w:val="00A36F32"/>
    <w:rsid w:val="00A37186"/>
    <w:rsid w:val="00A416D1"/>
    <w:rsid w:val="00A41F48"/>
    <w:rsid w:val="00A451C2"/>
    <w:rsid w:val="00A47530"/>
    <w:rsid w:val="00A544D0"/>
    <w:rsid w:val="00A60098"/>
    <w:rsid w:val="00A63A9F"/>
    <w:rsid w:val="00A8153F"/>
    <w:rsid w:val="00A90A53"/>
    <w:rsid w:val="00A942F6"/>
    <w:rsid w:val="00A95454"/>
    <w:rsid w:val="00A95CCE"/>
    <w:rsid w:val="00AA03FA"/>
    <w:rsid w:val="00AA1A76"/>
    <w:rsid w:val="00AB25AB"/>
    <w:rsid w:val="00AC2095"/>
    <w:rsid w:val="00AD4744"/>
    <w:rsid w:val="00AD5429"/>
    <w:rsid w:val="00AD6CCB"/>
    <w:rsid w:val="00AD7293"/>
    <w:rsid w:val="00AD7777"/>
    <w:rsid w:val="00AE3BDE"/>
    <w:rsid w:val="00AF2AF3"/>
    <w:rsid w:val="00AF2DDB"/>
    <w:rsid w:val="00AF364F"/>
    <w:rsid w:val="00AF3B8F"/>
    <w:rsid w:val="00B07463"/>
    <w:rsid w:val="00B1137C"/>
    <w:rsid w:val="00B123E8"/>
    <w:rsid w:val="00B20CEE"/>
    <w:rsid w:val="00B2450F"/>
    <w:rsid w:val="00B50B9C"/>
    <w:rsid w:val="00B6026E"/>
    <w:rsid w:val="00B77BB9"/>
    <w:rsid w:val="00B810D6"/>
    <w:rsid w:val="00B93CB6"/>
    <w:rsid w:val="00B941DF"/>
    <w:rsid w:val="00B9703D"/>
    <w:rsid w:val="00B9752B"/>
    <w:rsid w:val="00BA5626"/>
    <w:rsid w:val="00BA675D"/>
    <w:rsid w:val="00BB05C0"/>
    <w:rsid w:val="00BB6D72"/>
    <w:rsid w:val="00BC05D6"/>
    <w:rsid w:val="00BC2F18"/>
    <w:rsid w:val="00BC55FA"/>
    <w:rsid w:val="00BC7500"/>
    <w:rsid w:val="00BE4657"/>
    <w:rsid w:val="00BE5AC7"/>
    <w:rsid w:val="00BE712D"/>
    <w:rsid w:val="00BF3E77"/>
    <w:rsid w:val="00BF7612"/>
    <w:rsid w:val="00C00077"/>
    <w:rsid w:val="00C02A9B"/>
    <w:rsid w:val="00C03D52"/>
    <w:rsid w:val="00C06414"/>
    <w:rsid w:val="00C07ADD"/>
    <w:rsid w:val="00C11BC0"/>
    <w:rsid w:val="00C14D6D"/>
    <w:rsid w:val="00C16D13"/>
    <w:rsid w:val="00C229CA"/>
    <w:rsid w:val="00C25D15"/>
    <w:rsid w:val="00C30792"/>
    <w:rsid w:val="00C417C0"/>
    <w:rsid w:val="00C472DA"/>
    <w:rsid w:val="00C529FD"/>
    <w:rsid w:val="00C54255"/>
    <w:rsid w:val="00C6597D"/>
    <w:rsid w:val="00C659B4"/>
    <w:rsid w:val="00C65E6F"/>
    <w:rsid w:val="00C7491B"/>
    <w:rsid w:val="00C76B7A"/>
    <w:rsid w:val="00C80FA9"/>
    <w:rsid w:val="00C827D4"/>
    <w:rsid w:val="00C94E59"/>
    <w:rsid w:val="00C95CD2"/>
    <w:rsid w:val="00CA52FD"/>
    <w:rsid w:val="00CA5445"/>
    <w:rsid w:val="00CB248D"/>
    <w:rsid w:val="00CC087C"/>
    <w:rsid w:val="00CD17C9"/>
    <w:rsid w:val="00CD19A7"/>
    <w:rsid w:val="00CD32DF"/>
    <w:rsid w:val="00CD3BF4"/>
    <w:rsid w:val="00CD5B7C"/>
    <w:rsid w:val="00CD7E9F"/>
    <w:rsid w:val="00CE1CF6"/>
    <w:rsid w:val="00CF49A3"/>
    <w:rsid w:val="00D064F3"/>
    <w:rsid w:val="00D10D4A"/>
    <w:rsid w:val="00D20F43"/>
    <w:rsid w:val="00D27A10"/>
    <w:rsid w:val="00D30957"/>
    <w:rsid w:val="00D32D03"/>
    <w:rsid w:val="00D35FEC"/>
    <w:rsid w:val="00D45349"/>
    <w:rsid w:val="00D57A03"/>
    <w:rsid w:val="00D6338D"/>
    <w:rsid w:val="00D6473B"/>
    <w:rsid w:val="00D7388B"/>
    <w:rsid w:val="00D80372"/>
    <w:rsid w:val="00D85832"/>
    <w:rsid w:val="00D90DCB"/>
    <w:rsid w:val="00DA5485"/>
    <w:rsid w:val="00DA572D"/>
    <w:rsid w:val="00DB4506"/>
    <w:rsid w:val="00DB4627"/>
    <w:rsid w:val="00DB4D39"/>
    <w:rsid w:val="00DB73D7"/>
    <w:rsid w:val="00DC2B82"/>
    <w:rsid w:val="00DC2E29"/>
    <w:rsid w:val="00DC6D6C"/>
    <w:rsid w:val="00DC7561"/>
    <w:rsid w:val="00DD1A06"/>
    <w:rsid w:val="00DD3364"/>
    <w:rsid w:val="00DD699B"/>
    <w:rsid w:val="00DD6F3C"/>
    <w:rsid w:val="00DE1A61"/>
    <w:rsid w:val="00DE277E"/>
    <w:rsid w:val="00DE28EB"/>
    <w:rsid w:val="00DE72A2"/>
    <w:rsid w:val="00DE7B35"/>
    <w:rsid w:val="00DF0BB3"/>
    <w:rsid w:val="00E0560B"/>
    <w:rsid w:val="00E10981"/>
    <w:rsid w:val="00E22732"/>
    <w:rsid w:val="00E3049B"/>
    <w:rsid w:val="00E352F3"/>
    <w:rsid w:val="00E3624B"/>
    <w:rsid w:val="00E366A3"/>
    <w:rsid w:val="00E43CED"/>
    <w:rsid w:val="00E507B6"/>
    <w:rsid w:val="00E52359"/>
    <w:rsid w:val="00E53701"/>
    <w:rsid w:val="00E552E6"/>
    <w:rsid w:val="00E60389"/>
    <w:rsid w:val="00E62687"/>
    <w:rsid w:val="00E65506"/>
    <w:rsid w:val="00E73D35"/>
    <w:rsid w:val="00E75332"/>
    <w:rsid w:val="00E806C0"/>
    <w:rsid w:val="00E848DE"/>
    <w:rsid w:val="00E863FA"/>
    <w:rsid w:val="00E91F1C"/>
    <w:rsid w:val="00E94869"/>
    <w:rsid w:val="00EA481A"/>
    <w:rsid w:val="00EC494C"/>
    <w:rsid w:val="00EC4EE1"/>
    <w:rsid w:val="00EC6E08"/>
    <w:rsid w:val="00ED5C3E"/>
    <w:rsid w:val="00EE2383"/>
    <w:rsid w:val="00EE3309"/>
    <w:rsid w:val="00EF0E0F"/>
    <w:rsid w:val="00EF13A1"/>
    <w:rsid w:val="00EF1BD0"/>
    <w:rsid w:val="00EF238B"/>
    <w:rsid w:val="00F02523"/>
    <w:rsid w:val="00F03370"/>
    <w:rsid w:val="00F1100B"/>
    <w:rsid w:val="00F1127B"/>
    <w:rsid w:val="00F119B2"/>
    <w:rsid w:val="00F13B7C"/>
    <w:rsid w:val="00F232A2"/>
    <w:rsid w:val="00F31D3C"/>
    <w:rsid w:val="00F3202A"/>
    <w:rsid w:val="00F33ABD"/>
    <w:rsid w:val="00F3534E"/>
    <w:rsid w:val="00F45591"/>
    <w:rsid w:val="00F469D3"/>
    <w:rsid w:val="00F5735F"/>
    <w:rsid w:val="00F57949"/>
    <w:rsid w:val="00F62E3B"/>
    <w:rsid w:val="00F64089"/>
    <w:rsid w:val="00F65618"/>
    <w:rsid w:val="00F7058A"/>
    <w:rsid w:val="00F7186E"/>
    <w:rsid w:val="00F748FB"/>
    <w:rsid w:val="00F841B1"/>
    <w:rsid w:val="00F902CA"/>
    <w:rsid w:val="00F92686"/>
    <w:rsid w:val="00F937B3"/>
    <w:rsid w:val="00F96BCE"/>
    <w:rsid w:val="00FB5547"/>
    <w:rsid w:val="00FB6451"/>
    <w:rsid w:val="00FB6D26"/>
    <w:rsid w:val="00FD3066"/>
    <w:rsid w:val="00FE4CD0"/>
    <w:rsid w:val="00FF79E8"/>
    <w:rsid w:val="00FF7B99"/>
    <w:rsid w:val="014B4315"/>
    <w:rsid w:val="015853FD"/>
    <w:rsid w:val="016245C6"/>
    <w:rsid w:val="018F4C90"/>
    <w:rsid w:val="01A52F74"/>
    <w:rsid w:val="01C550FA"/>
    <w:rsid w:val="01DA2B31"/>
    <w:rsid w:val="01FD2D7A"/>
    <w:rsid w:val="020213B6"/>
    <w:rsid w:val="02056D00"/>
    <w:rsid w:val="02235E3A"/>
    <w:rsid w:val="023029D6"/>
    <w:rsid w:val="026006E2"/>
    <w:rsid w:val="02733093"/>
    <w:rsid w:val="027D71DE"/>
    <w:rsid w:val="028C042D"/>
    <w:rsid w:val="0295277A"/>
    <w:rsid w:val="02B30A8E"/>
    <w:rsid w:val="02BD1509"/>
    <w:rsid w:val="02C763DB"/>
    <w:rsid w:val="031E276F"/>
    <w:rsid w:val="03221B35"/>
    <w:rsid w:val="033575C4"/>
    <w:rsid w:val="03673423"/>
    <w:rsid w:val="037C7496"/>
    <w:rsid w:val="037E6AB7"/>
    <w:rsid w:val="03B56796"/>
    <w:rsid w:val="03C26480"/>
    <w:rsid w:val="03CC21CB"/>
    <w:rsid w:val="044B7594"/>
    <w:rsid w:val="04506958"/>
    <w:rsid w:val="047270C1"/>
    <w:rsid w:val="04943983"/>
    <w:rsid w:val="04BE2062"/>
    <w:rsid w:val="04C6509C"/>
    <w:rsid w:val="04D14E29"/>
    <w:rsid w:val="04FA68C4"/>
    <w:rsid w:val="05277873"/>
    <w:rsid w:val="05A02A82"/>
    <w:rsid w:val="05B23BFD"/>
    <w:rsid w:val="05B812BD"/>
    <w:rsid w:val="05C43595"/>
    <w:rsid w:val="05D9494F"/>
    <w:rsid w:val="05F544C1"/>
    <w:rsid w:val="05FD2B10"/>
    <w:rsid w:val="0607573C"/>
    <w:rsid w:val="062142C7"/>
    <w:rsid w:val="0622129B"/>
    <w:rsid w:val="06391244"/>
    <w:rsid w:val="065E32B1"/>
    <w:rsid w:val="066C7717"/>
    <w:rsid w:val="068044F8"/>
    <w:rsid w:val="06961257"/>
    <w:rsid w:val="06BB6284"/>
    <w:rsid w:val="06C72A6B"/>
    <w:rsid w:val="06CD4399"/>
    <w:rsid w:val="06E16969"/>
    <w:rsid w:val="070B62FA"/>
    <w:rsid w:val="070E472E"/>
    <w:rsid w:val="071E1C4B"/>
    <w:rsid w:val="075538B1"/>
    <w:rsid w:val="07575DFD"/>
    <w:rsid w:val="075F62C5"/>
    <w:rsid w:val="077E2440"/>
    <w:rsid w:val="07940806"/>
    <w:rsid w:val="07B72DD6"/>
    <w:rsid w:val="07D92C60"/>
    <w:rsid w:val="07EF46DA"/>
    <w:rsid w:val="082C1057"/>
    <w:rsid w:val="08350A80"/>
    <w:rsid w:val="08602EE2"/>
    <w:rsid w:val="08753839"/>
    <w:rsid w:val="088017D6"/>
    <w:rsid w:val="088828FC"/>
    <w:rsid w:val="088968DD"/>
    <w:rsid w:val="08A234FA"/>
    <w:rsid w:val="08A97A24"/>
    <w:rsid w:val="08B11DE0"/>
    <w:rsid w:val="08D719C5"/>
    <w:rsid w:val="08E62DAD"/>
    <w:rsid w:val="09037615"/>
    <w:rsid w:val="091C7CDC"/>
    <w:rsid w:val="094663E2"/>
    <w:rsid w:val="097E4DC8"/>
    <w:rsid w:val="098955EF"/>
    <w:rsid w:val="098E765A"/>
    <w:rsid w:val="09B04833"/>
    <w:rsid w:val="09BB5885"/>
    <w:rsid w:val="09CD410F"/>
    <w:rsid w:val="09DC0C8E"/>
    <w:rsid w:val="0A2E2A9D"/>
    <w:rsid w:val="0A523407"/>
    <w:rsid w:val="0A623B1E"/>
    <w:rsid w:val="0A9D2E71"/>
    <w:rsid w:val="0AA064B9"/>
    <w:rsid w:val="0AD17E5F"/>
    <w:rsid w:val="0B044764"/>
    <w:rsid w:val="0B1B0D8E"/>
    <w:rsid w:val="0B5860AE"/>
    <w:rsid w:val="0B631F1B"/>
    <w:rsid w:val="0B721B23"/>
    <w:rsid w:val="0B807F95"/>
    <w:rsid w:val="0BCD3C22"/>
    <w:rsid w:val="0BF80312"/>
    <w:rsid w:val="0C123C69"/>
    <w:rsid w:val="0C182F1C"/>
    <w:rsid w:val="0C2124AB"/>
    <w:rsid w:val="0C2B072B"/>
    <w:rsid w:val="0C3A575A"/>
    <w:rsid w:val="0C600A8A"/>
    <w:rsid w:val="0C6350BE"/>
    <w:rsid w:val="0C642C65"/>
    <w:rsid w:val="0C6A07D3"/>
    <w:rsid w:val="0C7645CC"/>
    <w:rsid w:val="0C9774E2"/>
    <w:rsid w:val="0CAF1FA8"/>
    <w:rsid w:val="0CB45B6A"/>
    <w:rsid w:val="0D1433CA"/>
    <w:rsid w:val="0D451750"/>
    <w:rsid w:val="0D5E7B21"/>
    <w:rsid w:val="0D65084A"/>
    <w:rsid w:val="0DA758A9"/>
    <w:rsid w:val="0DD405FA"/>
    <w:rsid w:val="0E0F77A6"/>
    <w:rsid w:val="0E1517FE"/>
    <w:rsid w:val="0E1F1149"/>
    <w:rsid w:val="0E2808D8"/>
    <w:rsid w:val="0E2D440E"/>
    <w:rsid w:val="0E4D57A7"/>
    <w:rsid w:val="0E6A2D0C"/>
    <w:rsid w:val="0E7E3E53"/>
    <w:rsid w:val="0E8B693F"/>
    <w:rsid w:val="0EB628F1"/>
    <w:rsid w:val="0ECB5B6D"/>
    <w:rsid w:val="0ED10695"/>
    <w:rsid w:val="0EDA19C4"/>
    <w:rsid w:val="0EE67FC9"/>
    <w:rsid w:val="0EF7234F"/>
    <w:rsid w:val="0EFA07EC"/>
    <w:rsid w:val="0F2875EF"/>
    <w:rsid w:val="0F3C2003"/>
    <w:rsid w:val="0F871B88"/>
    <w:rsid w:val="0FB038B0"/>
    <w:rsid w:val="0FE775D9"/>
    <w:rsid w:val="0FEA6632"/>
    <w:rsid w:val="0FF26B15"/>
    <w:rsid w:val="0FFD5E45"/>
    <w:rsid w:val="10024BCA"/>
    <w:rsid w:val="1025513D"/>
    <w:rsid w:val="10381943"/>
    <w:rsid w:val="10565E0B"/>
    <w:rsid w:val="105A7AEB"/>
    <w:rsid w:val="107240FA"/>
    <w:rsid w:val="108635A4"/>
    <w:rsid w:val="108F305E"/>
    <w:rsid w:val="10B74375"/>
    <w:rsid w:val="10CE721A"/>
    <w:rsid w:val="10EF74F9"/>
    <w:rsid w:val="111807FE"/>
    <w:rsid w:val="111F3BE3"/>
    <w:rsid w:val="11272F1B"/>
    <w:rsid w:val="11290C5D"/>
    <w:rsid w:val="11296A03"/>
    <w:rsid w:val="113B44EC"/>
    <w:rsid w:val="114A2184"/>
    <w:rsid w:val="119B18B2"/>
    <w:rsid w:val="11A17C7A"/>
    <w:rsid w:val="11CD2258"/>
    <w:rsid w:val="11F50022"/>
    <w:rsid w:val="120172B8"/>
    <w:rsid w:val="12195A6A"/>
    <w:rsid w:val="12370063"/>
    <w:rsid w:val="123E24E6"/>
    <w:rsid w:val="123F625E"/>
    <w:rsid w:val="12406D3B"/>
    <w:rsid w:val="12650CBC"/>
    <w:rsid w:val="12686CB0"/>
    <w:rsid w:val="126E42E1"/>
    <w:rsid w:val="1290662F"/>
    <w:rsid w:val="12CF75E2"/>
    <w:rsid w:val="12D46019"/>
    <w:rsid w:val="12EC5B77"/>
    <w:rsid w:val="1300693C"/>
    <w:rsid w:val="130173FC"/>
    <w:rsid w:val="13021765"/>
    <w:rsid w:val="13135EB5"/>
    <w:rsid w:val="131C5FBB"/>
    <w:rsid w:val="134136AB"/>
    <w:rsid w:val="13622015"/>
    <w:rsid w:val="13660DEA"/>
    <w:rsid w:val="13743CE5"/>
    <w:rsid w:val="13C8545C"/>
    <w:rsid w:val="13D0191E"/>
    <w:rsid w:val="13DB7C6E"/>
    <w:rsid w:val="14053704"/>
    <w:rsid w:val="142F44D4"/>
    <w:rsid w:val="1432607A"/>
    <w:rsid w:val="145B48C0"/>
    <w:rsid w:val="145D19B3"/>
    <w:rsid w:val="148E39AE"/>
    <w:rsid w:val="14970128"/>
    <w:rsid w:val="14B37C7A"/>
    <w:rsid w:val="14B46950"/>
    <w:rsid w:val="14BE790E"/>
    <w:rsid w:val="14BF020D"/>
    <w:rsid w:val="15082937"/>
    <w:rsid w:val="152357F3"/>
    <w:rsid w:val="155344FA"/>
    <w:rsid w:val="158D108E"/>
    <w:rsid w:val="159213D5"/>
    <w:rsid w:val="15A8022C"/>
    <w:rsid w:val="15BE49DE"/>
    <w:rsid w:val="15CF2A72"/>
    <w:rsid w:val="15E433A4"/>
    <w:rsid w:val="15EA54CB"/>
    <w:rsid w:val="15FC6C98"/>
    <w:rsid w:val="15FD4466"/>
    <w:rsid w:val="161778AD"/>
    <w:rsid w:val="161D2412"/>
    <w:rsid w:val="16481DCA"/>
    <w:rsid w:val="1658716F"/>
    <w:rsid w:val="167069E6"/>
    <w:rsid w:val="16846826"/>
    <w:rsid w:val="16880660"/>
    <w:rsid w:val="16AD45FF"/>
    <w:rsid w:val="16B7252F"/>
    <w:rsid w:val="16D97D8D"/>
    <w:rsid w:val="16E35DDC"/>
    <w:rsid w:val="16FD3BBD"/>
    <w:rsid w:val="17011D34"/>
    <w:rsid w:val="1724254E"/>
    <w:rsid w:val="174E3079"/>
    <w:rsid w:val="176A68ED"/>
    <w:rsid w:val="177E1C99"/>
    <w:rsid w:val="178E312F"/>
    <w:rsid w:val="17D8582B"/>
    <w:rsid w:val="17E331AB"/>
    <w:rsid w:val="18122DDE"/>
    <w:rsid w:val="181B23EB"/>
    <w:rsid w:val="183E60D1"/>
    <w:rsid w:val="184667A3"/>
    <w:rsid w:val="18716A45"/>
    <w:rsid w:val="187E29A7"/>
    <w:rsid w:val="188D74FF"/>
    <w:rsid w:val="189C7F66"/>
    <w:rsid w:val="18A0379D"/>
    <w:rsid w:val="18A629E2"/>
    <w:rsid w:val="18A62B93"/>
    <w:rsid w:val="18C80D5B"/>
    <w:rsid w:val="18E9297E"/>
    <w:rsid w:val="18EB2F42"/>
    <w:rsid w:val="192625B3"/>
    <w:rsid w:val="19454E92"/>
    <w:rsid w:val="195C76F5"/>
    <w:rsid w:val="19812363"/>
    <w:rsid w:val="19AB4E42"/>
    <w:rsid w:val="19D77504"/>
    <w:rsid w:val="19D92803"/>
    <w:rsid w:val="1A150761"/>
    <w:rsid w:val="1A2B60D9"/>
    <w:rsid w:val="1A8F0AF9"/>
    <w:rsid w:val="1A915A1F"/>
    <w:rsid w:val="1A9F6652"/>
    <w:rsid w:val="1AAB26E2"/>
    <w:rsid w:val="1AAF430E"/>
    <w:rsid w:val="1ACB4740"/>
    <w:rsid w:val="1AD15684"/>
    <w:rsid w:val="1AED3F54"/>
    <w:rsid w:val="1AF600C2"/>
    <w:rsid w:val="1AFC192A"/>
    <w:rsid w:val="1B0041CA"/>
    <w:rsid w:val="1B1D736F"/>
    <w:rsid w:val="1B80591D"/>
    <w:rsid w:val="1B903EF3"/>
    <w:rsid w:val="1B920776"/>
    <w:rsid w:val="1B994ADE"/>
    <w:rsid w:val="1BA67D14"/>
    <w:rsid w:val="1BA70886"/>
    <w:rsid w:val="1BB47375"/>
    <w:rsid w:val="1BBB4BA7"/>
    <w:rsid w:val="1BBF46CB"/>
    <w:rsid w:val="1BD87315"/>
    <w:rsid w:val="1C166281"/>
    <w:rsid w:val="1C2564C4"/>
    <w:rsid w:val="1C284DFB"/>
    <w:rsid w:val="1C5B3C94"/>
    <w:rsid w:val="1C6164D4"/>
    <w:rsid w:val="1C68438E"/>
    <w:rsid w:val="1C7A7AE2"/>
    <w:rsid w:val="1CB71D7A"/>
    <w:rsid w:val="1CBE6535"/>
    <w:rsid w:val="1CD530BF"/>
    <w:rsid w:val="1CD70397"/>
    <w:rsid w:val="1D036806"/>
    <w:rsid w:val="1D161A14"/>
    <w:rsid w:val="1D3E1C94"/>
    <w:rsid w:val="1D4170CB"/>
    <w:rsid w:val="1D4B567D"/>
    <w:rsid w:val="1D4C63A4"/>
    <w:rsid w:val="1D5C5B3D"/>
    <w:rsid w:val="1D6A6030"/>
    <w:rsid w:val="1D74214D"/>
    <w:rsid w:val="1D7F1D63"/>
    <w:rsid w:val="1D837231"/>
    <w:rsid w:val="1D911085"/>
    <w:rsid w:val="1E0263FB"/>
    <w:rsid w:val="1E2527AC"/>
    <w:rsid w:val="1E301B9F"/>
    <w:rsid w:val="1E3756FA"/>
    <w:rsid w:val="1E3E2708"/>
    <w:rsid w:val="1E506E24"/>
    <w:rsid w:val="1EB007A7"/>
    <w:rsid w:val="1EE968CC"/>
    <w:rsid w:val="1F1803EF"/>
    <w:rsid w:val="1F315ED8"/>
    <w:rsid w:val="1F415ABC"/>
    <w:rsid w:val="1F6E7CB4"/>
    <w:rsid w:val="1F7B62F4"/>
    <w:rsid w:val="1F80152B"/>
    <w:rsid w:val="1F8C4A08"/>
    <w:rsid w:val="1F977E2A"/>
    <w:rsid w:val="1FBC0331"/>
    <w:rsid w:val="1FFDE4D4"/>
    <w:rsid w:val="1FFF441D"/>
    <w:rsid w:val="20062BDD"/>
    <w:rsid w:val="200848DB"/>
    <w:rsid w:val="201F145A"/>
    <w:rsid w:val="203573DE"/>
    <w:rsid w:val="203B38D6"/>
    <w:rsid w:val="205729C5"/>
    <w:rsid w:val="207D718A"/>
    <w:rsid w:val="20985E79"/>
    <w:rsid w:val="20B00A53"/>
    <w:rsid w:val="20B63B8F"/>
    <w:rsid w:val="20C10042"/>
    <w:rsid w:val="20D96364"/>
    <w:rsid w:val="20F123AA"/>
    <w:rsid w:val="20F13FD1"/>
    <w:rsid w:val="21284C33"/>
    <w:rsid w:val="213925AA"/>
    <w:rsid w:val="2144216C"/>
    <w:rsid w:val="21517264"/>
    <w:rsid w:val="21584C46"/>
    <w:rsid w:val="21760275"/>
    <w:rsid w:val="21847B5A"/>
    <w:rsid w:val="21863561"/>
    <w:rsid w:val="218B159D"/>
    <w:rsid w:val="21910C6F"/>
    <w:rsid w:val="21EE6567"/>
    <w:rsid w:val="21FA21C3"/>
    <w:rsid w:val="2227670D"/>
    <w:rsid w:val="222A65E3"/>
    <w:rsid w:val="224A5946"/>
    <w:rsid w:val="224F7DF7"/>
    <w:rsid w:val="22AE30DC"/>
    <w:rsid w:val="22C712E4"/>
    <w:rsid w:val="22C96F23"/>
    <w:rsid w:val="22CA64DE"/>
    <w:rsid w:val="22D569A0"/>
    <w:rsid w:val="23277D0F"/>
    <w:rsid w:val="23476D20"/>
    <w:rsid w:val="2352088A"/>
    <w:rsid w:val="2355768F"/>
    <w:rsid w:val="235C1144"/>
    <w:rsid w:val="236F6AA3"/>
    <w:rsid w:val="23CD6A9E"/>
    <w:rsid w:val="24311EAA"/>
    <w:rsid w:val="24456607"/>
    <w:rsid w:val="24476F0F"/>
    <w:rsid w:val="24574BEB"/>
    <w:rsid w:val="24661428"/>
    <w:rsid w:val="24697FC3"/>
    <w:rsid w:val="24771929"/>
    <w:rsid w:val="24A70559"/>
    <w:rsid w:val="24F83EF3"/>
    <w:rsid w:val="2515104D"/>
    <w:rsid w:val="251E05F3"/>
    <w:rsid w:val="252820EF"/>
    <w:rsid w:val="253C1D41"/>
    <w:rsid w:val="256839EE"/>
    <w:rsid w:val="25737EB8"/>
    <w:rsid w:val="25E37AFD"/>
    <w:rsid w:val="2606738A"/>
    <w:rsid w:val="260B6A7A"/>
    <w:rsid w:val="262B2618"/>
    <w:rsid w:val="26681488"/>
    <w:rsid w:val="268C0DDD"/>
    <w:rsid w:val="268E0808"/>
    <w:rsid w:val="26AE6E0F"/>
    <w:rsid w:val="26B23657"/>
    <w:rsid w:val="26CA5E5C"/>
    <w:rsid w:val="26CD67C2"/>
    <w:rsid w:val="26FE7379"/>
    <w:rsid w:val="27090EBD"/>
    <w:rsid w:val="273A3B66"/>
    <w:rsid w:val="27400876"/>
    <w:rsid w:val="275971D9"/>
    <w:rsid w:val="276775E3"/>
    <w:rsid w:val="2773258E"/>
    <w:rsid w:val="279261C1"/>
    <w:rsid w:val="27983FEE"/>
    <w:rsid w:val="27B74E35"/>
    <w:rsid w:val="27D222A1"/>
    <w:rsid w:val="27E40677"/>
    <w:rsid w:val="27ED5A8E"/>
    <w:rsid w:val="27EE3AFB"/>
    <w:rsid w:val="28027498"/>
    <w:rsid w:val="282B6DED"/>
    <w:rsid w:val="28426557"/>
    <w:rsid w:val="284620D4"/>
    <w:rsid w:val="28791080"/>
    <w:rsid w:val="2886146E"/>
    <w:rsid w:val="28B14C3F"/>
    <w:rsid w:val="28C827D8"/>
    <w:rsid w:val="28CD5F1A"/>
    <w:rsid w:val="28D5096F"/>
    <w:rsid w:val="2901713D"/>
    <w:rsid w:val="29090D35"/>
    <w:rsid w:val="290A2CCA"/>
    <w:rsid w:val="2912272D"/>
    <w:rsid w:val="298B4E94"/>
    <w:rsid w:val="299C614B"/>
    <w:rsid w:val="29C235A5"/>
    <w:rsid w:val="29DF1E83"/>
    <w:rsid w:val="29E74DB9"/>
    <w:rsid w:val="29FE1E11"/>
    <w:rsid w:val="2A03331C"/>
    <w:rsid w:val="2A2337E0"/>
    <w:rsid w:val="2A2D0A8E"/>
    <w:rsid w:val="2A3723B5"/>
    <w:rsid w:val="2A401E01"/>
    <w:rsid w:val="2A4D340D"/>
    <w:rsid w:val="2A61307F"/>
    <w:rsid w:val="2A624B8B"/>
    <w:rsid w:val="2A866380"/>
    <w:rsid w:val="2A885F83"/>
    <w:rsid w:val="2B2945B3"/>
    <w:rsid w:val="2B3078C2"/>
    <w:rsid w:val="2B382072"/>
    <w:rsid w:val="2B3A2B98"/>
    <w:rsid w:val="2B6B0B6D"/>
    <w:rsid w:val="2B6C5D72"/>
    <w:rsid w:val="2B717030"/>
    <w:rsid w:val="2B910373"/>
    <w:rsid w:val="2BB67139"/>
    <w:rsid w:val="2BE51E7D"/>
    <w:rsid w:val="2C3E5422"/>
    <w:rsid w:val="2C4B6D4D"/>
    <w:rsid w:val="2C5E03A5"/>
    <w:rsid w:val="2C9027C2"/>
    <w:rsid w:val="2C9C1EFE"/>
    <w:rsid w:val="2CB36ABA"/>
    <w:rsid w:val="2CBE4236"/>
    <w:rsid w:val="2CD90465"/>
    <w:rsid w:val="2CF75AF5"/>
    <w:rsid w:val="2D485B6F"/>
    <w:rsid w:val="2D4A3DC8"/>
    <w:rsid w:val="2D5664DE"/>
    <w:rsid w:val="2D6D06D8"/>
    <w:rsid w:val="2D92247B"/>
    <w:rsid w:val="2DCEA62F"/>
    <w:rsid w:val="2DD32649"/>
    <w:rsid w:val="2E3E4CA5"/>
    <w:rsid w:val="2E512252"/>
    <w:rsid w:val="2E605F3C"/>
    <w:rsid w:val="2E6A07BE"/>
    <w:rsid w:val="2E6C3B95"/>
    <w:rsid w:val="2E7BFD7B"/>
    <w:rsid w:val="2E9574DA"/>
    <w:rsid w:val="2E9B432D"/>
    <w:rsid w:val="2EA1295C"/>
    <w:rsid w:val="2EBD1B49"/>
    <w:rsid w:val="2ECB4CA9"/>
    <w:rsid w:val="2ECD1C6B"/>
    <w:rsid w:val="2ECF2E6C"/>
    <w:rsid w:val="2EDC6D00"/>
    <w:rsid w:val="2F0C75D6"/>
    <w:rsid w:val="2F495E42"/>
    <w:rsid w:val="2F7C73CB"/>
    <w:rsid w:val="2F8A753A"/>
    <w:rsid w:val="2FA974CF"/>
    <w:rsid w:val="2FB74983"/>
    <w:rsid w:val="2FC37E14"/>
    <w:rsid w:val="30005153"/>
    <w:rsid w:val="300C37CC"/>
    <w:rsid w:val="301306B6"/>
    <w:rsid w:val="301544AB"/>
    <w:rsid w:val="301E5C37"/>
    <w:rsid w:val="30275F10"/>
    <w:rsid w:val="307E4D3E"/>
    <w:rsid w:val="3082583C"/>
    <w:rsid w:val="308E6FBA"/>
    <w:rsid w:val="30C904F0"/>
    <w:rsid w:val="30EA0FEF"/>
    <w:rsid w:val="310B6DA8"/>
    <w:rsid w:val="31123098"/>
    <w:rsid w:val="311834DF"/>
    <w:rsid w:val="31421255"/>
    <w:rsid w:val="31491EFA"/>
    <w:rsid w:val="31CF2D03"/>
    <w:rsid w:val="31DF3148"/>
    <w:rsid w:val="321B35C0"/>
    <w:rsid w:val="32293C6E"/>
    <w:rsid w:val="322F4B2F"/>
    <w:rsid w:val="324F2CF6"/>
    <w:rsid w:val="325E6D1E"/>
    <w:rsid w:val="32672A40"/>
    <w:rsid w:val="3268794A"/>
    <w:rsid w:val="32A0644D"/>
    <w:rsid w:val="32AE1990"/>
    <w:rsid w:val="32CA0C9A"/>
    <w:rsid w:val="32E703E7"/>
    <w:rsid w:val="32F97908"/>
    <w:rsid w:val="33186469"/>
    <w:rsid w:val="33693D11"/>
    <w:rsid w:val="3375624A"/>
    <w:rsid w:val="3383123D"/>
    <w:rsid w:val="339262A6"/>
    <w:rsid w:val="339B4182"/>
    <w:rsid w:val="339C4E66"/>
    <w:rsid w:val="339E298D"/>
    <w:rsid w:val="34020204"/>
    <w:rsid w:val="34067ECC"/>
    <w:rsid w:val="34110FF9"/>
    <w:rsid w:val="34175314"/>
    <w:rsid w:val="34212BD6"/>
    <w:rsid w:val="34440303"/>
    <w:rsid w:val="347E0FB0"/>
    <w:rsid w:val="347F02BC"/>
    <w:rsid w:val="34B14942"/>
    <w:rsid w:val="34B34216"/>
    <w:rsid w:val="34DA4AFE"/>
    <w:rsid w:val="34E402F2"/>
    <w:rsid w:val="34F75091"/>
    <w:rsid w:val="352047DF"/>
    <w:rsid w:val="355365EC"/>
    <w:rsid w:val="35572FC2"/>
    <w:rsid w:val="35871813"/>
    <w:rsid w:val="35A10512"/>
    <w:rsid w:val="35A53805"/>
    <w:rsid w:val="35E03366"/>
    <w:rsid w:val="35E9133F"/>
    <w:rsid w:val="362B5B29"/>
    <w:rsid w:val="364C0C41"/>
    <w:rsid w:val="36654E03"/>
    <w:rsid w:val="369E0C8B"/>
    <w:rsid w:val="36B03BF9"/>
    <w:rsid w:val="36BF2A4B"/>
    <w:rsid w:val="36DA2C14"/>
    <w:rsid w:val="36E0506A"/>
    <w:rsid w:val="37101AAB"/>
    <w:rsid w:val="37357170"/>
    <w:rsid w:val="374E2B08"/>
    <w:rsid w:val="37564211"/>
    <w:rsid w:val="37752EBF"/>
    <w:rsid w:val="377F1446"/>
    <w:rsid w:val="377F67F0"/>
    <w:rsid w:val="37977E1F"/>
    <w:rsid w:val="37A8202C"/>
    <w:rsid w:val="37C53BA6"/>
    <w:rsid w:val="37CC4B18"/>
    <w:rsid w:val="37D42BF8"/>
    <w:rsid w:val="37F1778A"/>
    <w:rsid w:val="38471A71"/>
    <w:rsid w:val="38484C75"/>
    <w:rsid w:val="384A30E3"/>
    <w:rsid w:val="38560C26"/>
    <w:rsid w:val="386422B7"/>
    <w:rsid w:val="38850EA3"/>
    <w:rsid w:val="38934A8A"/>
    <w:rsid w:val="38AD1864"/>
    <w:rsid w:val="38B3578B"/>
    <w:rsid w:val="38B86862"/>
    <w:rsid w:val="38D22887"/>
    <w:rsid w:val="38F456F5"/>
    <w:rsid w:val="391A2715"/>
    <w:rsid w:val="391F1A33"/>
    <w:rsid w:val="393559E3"/>
    <w:rsid w:val="393923E4"/>
    <w:rsid w:val="399402D7"/>
    <w:rsid w:val="39B32F0A"/>
    <w:rsid w:val="39B855BD"/>
    <w:rsid w:val="3A234172"/>
    <w:rsid w:val="3A3A5994"/>
    <w:rsid w:val="3A3B731D"/>
    <w:rsid w:val="3A470F81"/>
    <w:rsid w:val="3A4A1C07"/>
    <w:rsid w:val="3A712385"/>
    <w:rsid w:val="3A881279"/>
    <w:rsid w:val="3AC23405"/>
    <w:rsid w:val="3AD92B3F"/>
    <w:rsid w:val="3AE5143C"/>
    <w:rsid w:val="3B4262F3"/>
    <w:rsid w:val="3B58B061"/>
    <w:rsid w:val="3B5E746C"/>
    <w:rsid w:val="3B691AD2"/>
    <w:rsid w:val="3B6A2873"/>
    <w:rsid w:val="3B726472"/>
    <w:rsid w:val="3B7DA33F"/>
    <w:rsid w:val="3B9E62BE"/>
    <w:rsid w:val="3BC84F1B"/>
    <w:rsid w:val="3C002CDC"/>
    <w:rsid w:val="3C3B145B"/>
    <w:rsid w:val="3C3C24DB"/>
    <w:rsid w:val="3C5D4DB2"/>
    <w:rsid w:val="3C6A5B02"/>
    <w:rsid w:val="3C7E4390"/>
    <w:rsid w:val="3C833745"/>
    <w:rsid w:val="3C8977A4"/>
    <w:rsid w:val="3CAD7138"/>
    <w:rsid w:val="3CBD687A"/>
    <w:rsid w:val="3CBD6F27"/>
    <w:rsid w:val="3CCB53BF"/>
    <w:rsid w:val="3D0D1601"/>
    <w:rsid w:val="3D1E68EC"/>
    <w:rsid w:val="3D6E1622"/>
    <w:rsid w:val="3D7626A7"/>
    <w:rsid w:val="3D8B03F6"/>
    <w:rsid w:val="3E291E46"/>
    <w:rsid w:val="3E3068D7"/>
    <w:rsid w:val="3E467DCB"/>
    <w:rsid w:val="3E483E97"/>
    <w:rsid w:val="3E4F1453"/>
    <w:rsid w:val="3E55193B"/>
    <w:rsid w:val="3E5A2D2E"/>
    <w:rsid w:val="3E7C197B"/>
    <w:rsid w:val="3E921340"/>
    <w:rsid w:val="3F5061FF"/>
    <w:rsid w:val="3F5900B0"/>
    <w:rsid w:val="3F676329"/>
    <w:rsid w:val="3F9C494E"/>
    <w:rsid w:val="3FAB10AD"/>
    <w:rsid w:val="3FB93AEA"/>
    <w:rsid w:val="3FC72894"/>
    <w:rsid w:val="3FD07AA9"/>
    <w:rsid w:val="3FEA233C"/>
    <w:rsid w:val="4014038D"/>
    <w:rsid w:val="401A3F29"/>
    <w:rsid w:val="405A5E8D"/>
    <w:rsid w:val="405E54A0"/>
    <w:rsid w:val="405F70F8"/>
    <w:rsid w:val="407D056A"/>
    <w:rsid w:val="40B75801"/>
    <w:rsid w:val="40D74927"/>
    <w:rsid w:val="40DF2739"/>
    <w:rsid w:val="40EE3E95"/>
    <w:rsid w:val="41134450"/>
    <w:rsid w:val="411805E2"/>
    <w:rsid w:val="413904E4"/>
    <w:rsid w:val="414F6EE9"/>
    <w:rsid w:val="41603D08"/>
    <w:rsid w:val="416040A6"/>
    <w:rsid w:val="416845DA"/>
    <w:rsid w:val="416A241C"/>
    <w:rsid w:val="416F6A3B"/>
    <w:rsid w:val="41BB0D3B"/>
    <w:rsid w:val="41DB1250"/>
    <w:rsid w:val="41E159F5"/>
    <w:rsid w:val="4228277E"/>
    <w:rsid w:val="423C1CEE"/>
    <w:rsid w:val="42502E80"/>
    <w:rsid w:val="42A85862"/>
    <w:rsid w:val="42AB72E7"/>
    <w:rsid w:val="42E63A08"/>
    <w:rsid w:val="42F6303C"/>
    <w:rsid w:val="43005817"/>
    <w:rsid w:val="43217136"/>
    <w:rsid w:val="432A5FEB"/>
    <w:rsid w:val="433C2B9D"/>
    <w:rsid w:val="43572B58"/>
    <w:rsid w:val="43610339"/>
    <w:rsid w:val="437C611B"/>
    <w:rsid w:val="438070B3"/>
    <w:rsid w:val="438D0328"/>
    <w:rsid w:val="439115F6"/>
    <w:rsid w:val="43A907A8"/>
    <w:rsid w:val="43BA0340"/>
    <w:rsid w:val="43C5363E"/>
    <w:rsid w:val="43D917BF"/>
    <w:rsid w:val="44056110"/>
    <w:rsid w:val="442B201A"/>
    <w:rsid w:val="4448730B"/>
    <w:rsid w:val="446C6548"/>
    <w:rsid w:val="44792962"/>
    <w:rsid w:val="4490145E"/>
    <w:rsid w:val="44957494"/>
    <w:rsid w:val="449E2F15"/>
    <w:rsid w:val="44A165CE"/>
    <w:rsid w:val="44A1715D"/>
    <w:rsid w:val="44BF6649"/>
    <w:rsid w:val="44C15E66"/>
    <w:rsid w:val="44CF205F"/>
    <w:rsid w:val="44D75D0B"/>
    <w:rsid w:val="44DA2A74"/>
    <w:rsid w:val="44EB24AF"/>
    <w:rsid w:val="44ED534F"/>
    <w:rsid w:val="4506388C"/>
    <w:rsid w:val="452F1C93"/>
    <w:rsid w:val="45560719"/>
    <w:rsid w:val="45857508"/>
    <w:rsid w:val="458C0A70"/>
    <w:rsid w:val="459C4852"/>
    <w:rsid w:val="45AB057C"/>
    <w:rsid w:val="45BD1528"/>
    <w:rsid w:val="45C6271A"/>
    <w:rsid w:val="45C705F8"/>
    <w:rsid w:val="45E160E7"/>
    <w:rsid w:val="45E175E7"/>
    <w:rsid w:val="45FD79E7"/>
    <w:rsid w:val="46080501"/>
    <w:rsid w:val="46123B31"/>
    <w:rsid w:val="461D3BE5"/>
    <w:rsid w:val="46324A7E"/>
    <w:rsid w:val="46362EF9"/>
    <w:rsid w:val="46472A10"/>
    <w:rsid w:val="464B69A4"/>
    <w:rsid w:val="464E3D9E"/>
    <w:rsid w:val="4651107F"/>
    <w:rsid w:val="465574A1"/>
    <w:rsid w:val="465C5C72"/>
    <w:rsid w:val="4672101B"/>
    <w:rsid w:val="468D48BA"/>
    <w:rsid w:val="468F0B8A"/>
    <w:rsid w:val="46CB25D3"/>
    <w:rsid w:val="46E36155"/>
    <w:rsid w:val="46E82445"/>
    <w:rsid w:val="46EB3CE3"/>
    <w:rsid w:val="47133534"/>
    <w:rsid w:val="471F573B"/>
    <w:rsid w:val="47233AA7"/>
    <w:rsid w:val="47826516"/>
    <w:rsid w:val="47A95B3A"/>
    <w:rsid w:val="47CA7D9C"/>
    <w:rsid w:val="47F93017"/>
    <w:rsid w:val="480A1226"/>
    <w:rsid w:val="480B131E"/>
    <w:rsid w:val="485E2A68"/>
    <w:rsid w:val="488A48C9"/>
    <w:rsid w:val="489A24E8"/>
    <w:rsid w:val="48AF6809"/>
    <w:rsid w:val="48B76317"/>
    <w:rsid w:val="48BB3958"/>
    <w:rsid w:val="48BC14A1"/>
    <w:rsid w:val="48BD520B"/>
    <w:rsid w:val="48D85A12"/>
    <w:rsid w:val="48F25222"/>
    <w:rsid w:val="48F84107"/>
    <w:rsid w:val="48FF637B"/>
    <w:rsid w:val="490B6891"/>
    <w:rsid w:val="491A2F72"/>
    <w:rsid w:val="49463622"/>
    <w:rsid w:val="496E7F48"/>
    <w:rsid w:val="498126DD"/>
    <w:rsid w:val="49A1549B"/>
    <w:rsid w:val="49AC016B"/>
    <w:rsid w:val="49D0648D"/>
    <w:rsid w:val="49FB423D"/>
    <w:rsid w:val="4A1F0A85"/>
    <w:rsid w:val="4A215AAB"/>
    <w:rsid w:val="4A36062E"/>
    <w:rsid w:val="4A6961A2"/>
    <w:rsid w:val="4A7767A6"/>
    <w:rsid w:val="4AE10D6E"/>
    <w:rsid w:val="4AE3603B"/>
    <w:rsid w:val="4AEB0FEA"/>
    <w:rsid w:val="4AF76E89"/>
    <w:rsid w:val="4B0215FB"/>
    <w:rsid w:val="4B386DCB"/>
    <w:rsid w:val="4B8770AA"/>
    <w:rsid w:val="4B9F7A9C"/>
    <w:rsid w:val="4BB2750C"/>
    <w:rsid w:val="4BBF20A9"/>
    <w:rsid w:val="4BC24089"/>
    <w:rsid w:val="4BD25472"/>
    <w:rsid w:val="4BD552B9"/>
    <w:rsid w:val="4C30678B"/>
    <w:rsid w:val="4C433C79"/>
    <w:rsid w:val="4C5F6CA1"/>
    <w:rsid w:val="4C6870EB"/>
    <w:rsid w:val="4C7E6A60"/>
    <w:rsid w:val="4CAD4F6D"/>
    <w:rsid w:val="4CB22BAD"/>
    <w:rsid w:val="4CE57CB3"/>
    <w:rsid w:val="4CE97FD3"/>
    <w:rsid w:val="4D147913"/>
    <w:rsid w:val="4D152462"/>
    <w:rsid w:val="4D1B7531"/>
    <w:rsid w:val="4D3B4C66"/>
    <w:rsid w:val="4D60378E"/>
    <w:rsid w:val="4D743090"/>
    <w:rsid w:val="4D846CE5"/>
    <w:rsid w:val="4D8A326C"/>
    <w:rsid w:val="4DC200A2"/>
    <w:rsid w:val="4DDF5C24"/>
    <w:rsid w:val="4DE24AEA"/>
    <w:rsid w:val="4DE34A9B"/>
    <w:rsid w:val="4E0D0646"/>
    <w:rsid w:val="4E257ADB"/>
    <w:rsid w:val="4E4336C1"/>
    <w:rsid w:val="4E7B6F32"/>
    <w:rsid w:val="4E7F5794"/>
    <w:rsid w:val="4EAF55F6"/>
    <w:rsid w:val="4EC06A86"/>
    <w:rsid w:val="4EC77ECE"/>
    <w:rsid w:val="4EFC4E5F"/>
    <w:rsid w:val="4F4C1097"/>
    <w:rsid w:val="4F6F0867"/>
    <w:rsid w:val="4F824AB9"/>
    <w:rsid w:val="4FAE338C"/>
    <w:rsid w:val="4FAE5CA7"/>
    <w:rsid w:val="4FE1559E"/>
    <w:rsid w:val="4FFB2245"/>
    <w:rsid w:val="50102EE5"/>
    <w:rsid w:val="5011737A"/>
    <w:rsid w:val="506E64A5"/>
    <w:rsid w:val="50841EA7"/>
    <w:rsid w:val="50963FEB"/>
    <w:rsid w:val="50C21EAD"/>
    <w:rsid w:val="50EC7C1F"/>
    <w:rsid w:val="51125647"/>
    <w:rsid w:val="512675EC"/>
    <w:rsid w:val="513242BC"/>
    <w:rsid w:val="5134045D"/>
    <w:rsid w:val="514E7348"/>
    <w:rsid w:val="51713037"/>
    <w:rsid w:val="51A451BA"/>
    <w:rsid w:val="51F36142"/>
    <w:rsid w:val="5221680B"/>
    <w:rsid w:val="52224331"/>
    <w:rsid w:val="52394042"/>
    <w:rsid w:val="523F1A06"/>
    <w:rsid w:val="52404E44"/>
    <w:rsid w:val="52552958"/>
    <w:rsid w:val="527419F5"/>
    <w:rsid w:val="527470D1"/>
    <w:rsid w:val="52975405"/>
    <w:rsid w:val="52A94F07"/>
    <w:rsid w:val="52B31D05"/>
    <w:rsid w:val="52B96A43"/>
    <w:rsid w:val="52BC4EC9"/>
    <w:rsid w:val="52ED0888"/>
    <w:rsid w:val="52EF06DB"/>
    <w:rsid w:val="5306231C"/>
    <w:rsid w:val="5319460C"/>
    <w:rsid w:val="532540B5"/>
    <w:rsid w:val="533B05E6"/>
    <w:rsid w:val="537F1245"/>
    <w:rsid w:val="53877353"/>
    <w:rsid w:val="53C9715A"/>
    <w:rsid w:val="53D86CDD"/>
    <w:rsid w:val="53EA5386"/>
    <w:rsid w:val="53FE181C"/>
    <w:rsid w:val="54131E71"/>
    <w:rsid w:val="5488491F"/>
    <w:rsid w:val="54C05753"/>
    <w:rsid w:val="54FF2BDD"/>
    <w:rsid w:val="5522541A"/>
    <w:rsid w:val="553418C3"/>
    <w:rsid w:val="55515659"/>
    <w:rsid w:val="55522844"/>
    <w:rsid w:val="55661E53"/>
    <w:rsid w:val="557B2B0C"/>
    <w:rsid w:val="558274A2"/>
    <w:rsid w:val="55BB5A99"/>
    <w:rsid w:val="55EF15FA"/>
    <w:rsid w:val="561145CC"/>
    <w:rsid w:val="5616736A"/>
    <w:rsid w:val="562754E3"/>
    <w:rsid w:val="562B7C58"/>
    <w:rsid w:val="56513437"/>
    <w:rsid w:val="565E627F"/>
    <w:rsid w:val="56645CCD"/>
    <w:rsid w:val="56737851"/>
    <w:rsid w:val="56C3728D"/>
    <w:rsid w:val="56E60023"/>
    <w:rsid w:val="57555612"/>
    <w:rsid w:val="576553EC"/>
    <w:rsid w:val="57761358"/>
    <w:rsid w:val="5783052C"/>
    <w:rsid w:val="57874E10"/>
    <w:rsid w:val="57CB11C6"/>
    <w:rsid w:val="57CF2661"/>
    <w:rsid w:val="57EC0603"/>
    <w:rsid w:val="57EE2BFB"/>
    <w:rsid w:val="57FF0296"/>
    <w:rsid w:val="582337E2"/>
    <w:rsid w:val="58650817"/>
    <w:rsid w:val="58692938"/>
    <w:rsid w:val="58AE75D5"/>
    <w:rsid w:val="593B4656"/>
    <w:rsid w:val="59670DF5"/>
    <w:rsid w:val="59977DAE"/>
    <w:rsid w:val="59AD307A"/>
    <w:rsid w:val="59BC74C1"/>
    <w:rsid w:val="59C53294"/>
    <w:rsid w:val="59CC7AE7"/>
    <w:rsid w:val="59CD058C"/>
    <w:rsid w:val="59D14FBA"/>
    <w:rsid w:val="59E248C5"/>
    <w:rsid w:val="5A07674D"/>
    <w:rsid w:val="5A490297"/>
    <w:rsid w:val="5A727A04"/>
    <w:rsid w:val="5A945092"/>
    <w:rsid w:val="5ACF7D8B"/>
    <w:rsid w:val="5AEB3E5A"/>
    <w:rsid w:val="5AEE086C"/>
    <w:rsid w:val="5AFD2B13"/>
    <w:rsid w:val="5B0319CF"/>
    <w:rsid w:val="5B547C51"/>
    <w:rsid w:val="5B583E14"/>
    <w:rsid w:val="5B773940"/>
    <w:rsid w:val="5B7B13AF"/>
    <w:rsid w:val="5B800A46"/>
    <w:rsid w:val="5B8878FB"/>
    <w:rsid w:val="5BF019AB"/>
    <w:rsid w:val="5C2A47C0"/>
    <w:rsid w:val="5C356211"/>
    <w:rsid w:val="5CA62B67"/>
    <w:rsid w:val="5CA85EFB"/>
    <w:rsid w:val="5CCE3563"/>
    <w:rsid w:val="5CEB0141"/>
    <w:rsid w:val="5D3444AE"/>
    <w:rsid w:val="5D384789"/>
    <w:rsid w:val="5D3B758B"/>
    <w:rsid w:val="5D5C0AE7"/>
    <w:rsid w:val="5D7609CA"/>
    <w:rsid w:val="5DB37B76"/>
    <w:rsid w:val="5DBE131F"/>
    <w:rsid w:val="5E1F7CAC"/>
    <w:rsid w:val="5E2676F1"/>
    <w:rsid w:val="5E3020FD"/>
    <w:rsid w:val="5E3D49CC"/>
    <w:rsid w:val="5EBE53E1"/>
    <w:rsid w:val="5EC46E9C"/>
    <w:rsid w:val="5EC7698C"/>
    <w:rsid w:val="5EF540A8"/>
    <w:rsid w:val="5F11183D"/>
    <w:rsid w:val="5F62285E"/>
    <w:rsid w:val="5F757EE9"/>
    <w:rsid w:val="5F7600DC"/>
    <w:rsid w:val="5F797C86"/>
    <w:rsid w:val="5F8FD4AA"/>
    <w:rsid w:val="5FB6AD4C"/>
    <w:rsid w:val="5FDB52AC"/>
    <w:rsid w:val="601A61C3"/>
    <w:rsid w:val="605E57B6"/>
    <w:rsid w:val="6064477D"/>
    <w:rsid w:val="60744F97"/>
    <w:rsid w:val="609F5700"/>
    <w:rsid w:val="60CF1428"/>
    <w:rsid w:val="61214EA3"/>
    <w:rsid w:val="612400C6"/>
    <w:rsid w:val="61323676"/>
    <w:rsid w:val="61353054"/>
    <w:rsid w:val="614D3E2A"/>
    <w:rsid w:val="615046B1"/>
    <w:rsid w:val="615269E1"/>
    <w:rsid w:val="615E61C7"/>
    <w:rsid w:val="6182169B"/>
    <w:rsid w:val="61892790"/>
    <w:rsid w:val="618B7B89"/>
    <w:rsid w:val="61AF54D7"/>
    <w:rsid w:val="61BF7532"/>
    <w:rsid w:val="61F15435"/>
    <w:rsid w:val="62141EE8"/>
    <w:rsid w:val="622301A0"/>
    <w:rsid w:val="622D31D4"/>
    <w:rsid w:val="623A4025"/>
    <w:rsid w:val="626A5FAC"/>
    <w:rsid w:val="627921C2"/>
    <w:rsid w:val="629923ED"/>
    <w:rsid w:val="629A60E3"/>
    <w:rsid w:val="62C665ED"/>
    <w:rsid w:val="62D376AD"/>
    <w:rsid w:val="62DB50CE"/>
    <w:rsid w:val="63041E6D"/>
    <w:rsid w:val="632F3963"/>
    <w:rsid w:val="63422717"/>
    <w:rsid w:val="634D35BC"/>
    <w:rsid w:val="634E16F7"/>
    <w:rsid w:val="63561418"/>
    <w:rsid w:val="63620A31"/>
    <w:rsid w:val="636829D8"/>
    <w:rsid w:val="63696264"/>
    <w:rsid w:val="63945A0E"/>
    <w:rsid w:val="63A92B04"/>
    <w:rsid w:val="63EF514A"/>
    <w:rsid w:val="63FF4368"/>
    <w:rsid w:val="641A755E"/>
    <w:rsid w:val="642F4DB7"/>
    <w:rsid w:val="643705C7"/>
    <w:rsid w:val="643B59D5"/>
    <w:rsid w:val="64582249"/>
    <w:rsid w:val="649E3BDD"/>
    <w:rsid w:val="64BE77CC"/>
    <w:rsid w:val="64DF4A2F"/>
    <w:rsid w:val="65213BDB"/>
    <w:rsid w:val="6535408B"/>
    <w:rsid w:val="659A2704"/>
    <w:rsid w:val="65A73073"/>
    <w:rsid w:val="65B43BA3"/>
    <w:rsid w:val="65BB267B"/>
    <w:rsid w:val="65BD667D"/>
    <w:rsid w:val="65D17026"/>
    <w:rsid w:val="66105B95"/>
    <w:rsid w:val="661E1452"/>
    <w:rsid w:val="66225A21"/>
    <w:rsid w:val="66382D1C"/>
    <w:rsid w:val="66677AD4"/>
    <w:rsid w:val="666E76AB"/>
    <w:rsid w:val="66865856"/>
    <w:rsid w:val="66896711"/>
    <w:rsid w:val="669B38C6"/>
    <w:rsid w:val="66E75210"/>
    <w:rsid w:val="67086D87"/>
    <w:rsid w:val="67157BBB"/>
    <w:rsid w:val="672506F4"/>
    <w:rsid w:val="673131BF"/>
    <w:rsid w:val="676034DA"/>
    <w:rsid w:val="677A0A3F"/>
    <w:rsid w:val="678C6708"/>
    <w:rsid w:val="67920C47"/>
    <w:rsid w:val="67A01A11"/>
    <w:rsid w:val="67B81568"/>
    <w:rsid w:val="67EB7247"/>
    <w:rsid w:val="67FD3177"/>
    <w:rsid w:val="681A38D9"/>
    <w:rsid w:val="681D195F"/>
    <w:rsid w:val="682F1E5E"/>
    <w:rsid w:val="68797826"/>
    <w:rsid w:val="68AB67DA"/>
    <w:rsid w:val="68CC0CD6"/>
    <w:rsid w:val="68D0468F"/>
    <w:rsid w:val="68DA6575"/>
    <w:rsid w:val="69085C00"/>
    <w:rsid w:val="69112CDD"/>
    <w:rsid w:val="6961287F"/>
    <w:rsid w:val="69644B75"/>
    <w:rsid w:val="697E2871"/>
    <w:rsid w:val="699E71E5"/>
    <w:rsid w:val="69A007FA"/>
    <w:rsid w:val="69AD48AC"/>
    <w:rsid w:val="69CE6E20"/>
    <w:rsid w:val="69D72179"/>
    <w:rsid w:val="69DF3283"/>
    <w:rsid w:val="69EF59DA"/>
    <w:rsid w:val="6A194542"/>
    <w:rsid w:val="6A315DF5"/>
    <w:rsid w:val="6A541985"/>
    <w:rsid w:val="6A67407D"/>
    <w:rsid w:val="6A8713B1"/>
    <w:rsid w:val="6A8A1E57"/>
    <w:rsid w:val="6A9A4F55"/>
    <w:rsid w:val="6AB84399"/>
    <w:rsid w:val="6AC111E7"/>
    <w:rsid w:val="6AD62942"/>
    <w:rsid w:val="6AE267F2"/>
    <w:rsid w:val="6B0413A0"/>
    <w:rsid w:val="6B137AAB"/>
    <w:rsid w:val="6B242A8A"/>
    <w:rsid w:val="6B3158B9"/>
    <w:rsid w:val="6B3A33B8"/>
    <w:rsid w:val="6B3A6097"/>
    <w:rsid w:val="6B472681"/>
    <w:rsid w:val="6B930322"/>
    <w:rsid w:val="6B947BF6"/>
    <w:rsid w:val="6B9A5D58"/>
    <w:rsid w:val="6BA50011"/>
    <w:rsid w:val="6BEC0C66"/>
    <w:rsid w:val="6BF12836"/>
    <w:rsid w:val="6BF57A54"/>
    <w:rsid w:val="6BFC6D28"/>
    <w:rsid w:val="6C032BA3"/>
    <w:rsid w:val="6C231205"/>
    <w:rsid w:val="6C2E787B"/>
    <w:rsid w:val="6CA35C99"/>
    <w:rsid w:val="6CB22A29"/>
    <w:rsid w:val="6CE82AEA"/>
    <w:rsid w:val="6D382F3C"/>
    <w:rsid w:val="6D5011E3"/>
    <w:rsid w:val="6D6D5995"/>
    <w:rsid w:val="6D7E39B6"/>
    <w:rsid w:val="6D974AB8"/>
    <w:rsid w:val="6DA46816"/>
    <w:rsid w:val="6DC53F83"/>
    <w:rsid w:val="6DD32C57"/>
    <w:rsid w:val="6DEA5676"/>
    <w:rsid w:val="6DFB2026"/>
    <w:rsid w:val="6E075FA3"/>
    <w:rsid w:val="6E1462F1"/>
    <w:rsid w:val="6E285B7D"/>
    <w:rsid w:val="6E2E09F0"/>
    <w:rsid w:val="6E3952F4"/>
    <w:rsid w:val="6E3C30EB"/>
    <w:rsid w:val="6E5A3B90"/>
    <w:rsid w:val="6EB25F06"/>
    <w:rsid w:val="6EC57377"/>
    <w:rsid w:val="6ED8429D"/>
    <w:rsid w:val="6EEA46FD"/>
    <w:rsid w:val="6EFB528F"/>
    <w:rsid w:val="6F101C89"/>
    <w:rsid w:val="6F1053E6"/>
    <w:rsid w:val="6F184060"/>
    <w:rsid w:val="6F204E84"/>
    <w:rsid w:val="6F475D5A"/>
    <w:rsid w:val="6F8166E3"/>
    <w:rsid w:val="6F931AF0"/>
    <w:rsid w:val="6FB1521A"/>
    <w:rsid w:val="6FCA3D02"/>
    <w:rsid w:val="70025CE0"/>
    <w:rsid w:val="700B5A54"/>
    <w:rsid w:val="702205A9"/>
    <w:rsid w:val="70314BAF"/>
    <w:rsid w:val="705845CA"/>
    <w:rsid w:val="705C75B7"/>
    <w:rsid w:val="70B07E23"/>
    <w:rsid w:val="70C60851"/>
    <w:rsid w:val="70C70427"/>
    <w:rsid w:val="70CE31A4"/>
    <w:rsid w:val="70D34CC3"/>
    <w:rsid w:val="70E52DAA"/>
    <w:rsid w:val="71050AF1"/>
    <w:rsid w:val="710E785B"/>
    <w:rsid w:val="711E0D1B"/>
    <w:rsid w:val="71254610"/>
    <w:rsid w:val="712843F5"/>
    <w:rsid w:val="71306445"/>
    <w:rsid w:val="71351CBC"/>
    <w:rsid w:val="713779A1"/>
    <w:rsid w:val="714A783B"/>
    <w:rsid w:val="714D3E90"/>
    <w:rsid w:val="71685AA9"/>
    <w:rsid w:val="716D7778"/>
    <w:rsid w:val="71BD30BB"/>
    <w:rsid w:val="71E73175"/>
    <w:rsid w:val="71FA6C99"/>
    <w:rsid w:val="72121BA5"/>
    <w:rsid w:val="72183630"/>
    <w:rsid w:val="72284A2D"/>
    <w:rsid w:val="722A3062"/>
    <w:rsid w:val="72377386"/>
    <w:rsid w:val="724C393A"/>
    <w:rsid w:val="725F3E00"/>
    <w:rsid w:val="72842453"/>
    <w:rsid w:val="728F1117"/>
    <w:rsid w:val="729D55E2"/>
    <w:rsid w:val="72B87C2C"/>
    <w:rsid w:val="72D24194"/>
    <w:rsid w:val="72FA22E2"/>
    <w:rsid w:val="733E6DC5"/>
    <w:rsid w:val="73444D5B"/>
    <w:rsid w:val="73621CCF"/>
    <w:rsid w:val="736A014E"/>
    <w:rsid w:val="73806E8E"/>
    <w:rsid w:val="73860117"/>
    <w:rsid w:val="738A025C"/>
    <w:rsid w:val="73D044D7"/>
    <w:rsid w:val="74045405"/>
    <w:rsid w:val="740F42BD"/>
    <w:rsid w:val="742E508B"/>
    <w:rsid w:val="742F499B"/>
    <w:rsid w:val="742F6340"/>
    <w:rsid w:val="743157F9"/>
    <w:rsid w:val="743F4AED"/>
    <w:rsid w:val="74494FC8"/>
    <w:rsid w:val="744A30A7"/>
    <w:rsid w:val="74D972B1"/>
    <w:rsid w:val="74F72F88"/>
    <w:rsid w:val="74F82FA3"/>
    <w:rsid w:val="74F87D45"/>
    <w:rsid w:val="7505479B"/>
    <w:rsid w:val="750D00B9"/>
    <w:rsid w:val="751C34AE"/>
    <w:rsid w:val="75304859"/>
    <w:rsid w:val="757A1C0A"/>
    <w:rsid w:val="759ECD93"/>
    <w:rsid w:val="75A1646D"/>
    <w:rsid w:val="75EB2452"/>
    <w:rsid w:val="760616F0"/>
    <w:rsid w:val="763A399B"/>
    <w:rsid w:val="76676690"/>
    <w:rsid w:val="7685556B"/>
    <w:rsid w:val="76892C15"/>
    <w:rsid w:val="76BC3F4C"/>
    <w:rsid w:val="76E76DDB"/>
    <w:rsid w:val="76EE3F2C"/>
    <w:rsid w:val="770A29D5"/>
    <w:rsid w:val="77112A42"/>
    <w:rsid w:val="774234B9"/>
    <w:rsid w:val="77434185"/>
    <w:rsid w:val="7746449A"/>
    <w:rsid w:val="77684356"/>
    <w:rsid w:val="77843521"/>
    <w:rsid w:val="77876861"/>
    <w:rsid w:val="77A04669"/>
    <w:rsid w:val="77E617D9"/>
    <w:rsid w:val="77F78C1E"/>
    <w:rsid w:val="782C5C43"/>
    <w:rsid w:val="7847232C"/>
    <w:rsid w:val="78531BFB"/>
    <w:rsid w:val="78586870"/>
    <w:rsid w:val="785B420C"/>
    <w:rsid w:val="78640EFE"/>
    <w:rsid w:val="786772D6"/>
    <w:rsid w:val="78681101"/>
    <w:rsid w:val="786E4D72"/>
    <w:rsid w:val="78B96685"/>
    <w:rsid w:val="78C728B3"/>
    <w:rsid w:val="78EF0B61"/>
    <w:rsid w:val="79246C6F"/>
    <w:rsid w:val="79316C75"/>
    <w:rsid w:val="7940316B"/>
    <w:rsid w:val="794763A5"/>
    <w:rsid w:val="79772EE1"/>
    <w:rsid w:val="798B1853"/>
    <w:rsid w:val="798D58F3"/>
    <w:rsid w:val="799854F0"/>
    <w:rsid w:val="79C43D9C"/>
    <w:rsid w:val="79CB0C87"/>
    <w:rsid w:val="79ED1D6E"/>
    <w:rsid w:val="79EE6476"/>
    <w:rsid w:val="7A122D59"/>
    <w:rsid w:val="7A1F6CB4"/>
    <w:rsid w:val="7A467D6E"/>
    <w:rsid w:val="7A535BBA"/>
    <w:rsid w:val="7A542535"/>
    <w:rsid w:val="7A70438A"/>
    <w:rsid w:val="7AAA4D40"/>
    <w:rsid w:val="7AD1051F"/>
    <w:rsid w:val="7ADA7319"/>
    <w:rsid w:val="7ADC0C0A"/>
    <w:rsid w:val="7AED10D1"/>
    <w:rsid w:val="7B014C15"/>
    <w:rsid w:val="7B2B6939"/>
    <w:rsid w:val="7B2C1BF9"/>
    <w:rsid w:val="7B3F362A"/>
    <w:rsid w:val="7B5839D4"/>
    <w:rsid w:val="7B5B428C"/>
    <w:rsid w:val="7B5B6AF4"/>
    <w:rsid w:val="7B5E1FE8"/>
    <w:rsid w:val="7B7787DD"/>
    <w:rsid w:val="7B8F7876"/>
    <w:rsid w:val="7B9C025B"/>
    <w:rsid w:val="7BAE7D13"/>
    <w:rsid w:val="7BB45623"/>
    <w:rsid w:val="7BC63DFB"/>
    <w:rsid w:val="7BCC6F38"/>
    <w:rsid w:val="7C010774"/>
    <w:rsid w:val="7C5E7D7E"/>
    <w:rsid w:val="7C6A0D99"/>
    <w:rsid w:val="7C9B0125"/>
    <w:rsid w:val="7CB4620A"/>
    <w:rsid w:val="7CCD740C"/>
    <w:rsid w:val="7CD8471C"/>
    <w:rsid w:val="7CE9270B"/>
    <w:rsid w:val="7CEC7892"/>
    <w:rsid w:val="7CF136B9"/>
    <w:rsid w:val="7D00333D"/>
    <w:rsid w:val="7D124E1E"/>
    <w:rsid w:val="7D2A660C"/>
    <w:rsid w:val="7D3730FC"/>
    <w:rsid w:val="7D3E3E65"/>
    <w:rsid w:val="7D4E22FA"/>
    <w:rsid w:val="7D5048D8"/>
    <w:rsid w:val="7D5524B2"/>
    <w:rsid w:val="7D591596"/>
    <w:rsid w:val="7D5D07EC"/>
    <w:rsid w:val="7D6112F5"/>
    <w:rsid w:val="7D66655C"/>
    <w:rsid w:val="7D7D0A97"/>
    <w:rsid w:val="7DBA4314"/>
    <w:rsid w:val="7DBF4D4E"/>
    <w:rsid w:val="7DDA5C4F"/>
    <w:rsid w:val="7DDF09B7"/>
    <w:rsid w:val="7DE149EC"/>
    <w:rsid w:val="7DFD162B"/>
    <w:rsid w:val="7E097FCF"/>
    <w:rsid w:val="7E2C603C"/>
    <w:rsid w:val="7E332B5D"/>
    <w:rsid w:val="7E5112AD"/>
    <w:rsid w:val="7E514C77"/>
    <w:rsid w:val="7E5666C1"/>
    <w:rsid w:val="7E6B0C8A"/>
    <w:rsid w:val="7E7FF718"/>
    <w:rsid w:val="7EE17B26"/>
    <w:rsid w:val="7EEB205B"/>
    <w:rsid w:val="7EF45957"/>
    <w:rsid w:val="7EF48D5D"/>
    <w:rsid w:val="7EF54389"/>
    <w:rsid w:val="7F046965"/>
    <w:rsid w:val="7F135ADA"/>
    <w:rsid w:val="7F15345C"/>
    <w:rsid w:val="7F230A24"/>
    <w:rsid w:val="7F2552DD"/>
    <w:rsid w:val="7F3B240A"/>
    <w:rsid w:val="7F3F2B98"/>
    <w:rsid w:val="7F40224A"/>
    <w:rsid w:val="7F695C83"/>
    <w:rsid w:val="7F735B68"/>
    <w:rsid w:val="7F817745"/>
    <w:rsid w:val="7FA93AC2"/>
    <w:rsid w:val="7FCC39AA"/>
    <w:rsid w:val="7FE02829"/>
    <w:rsid w:val="7FE67123"/>
    <w:rsid w:val="7FF709BB"/>
    <w:rsid w:val="B7FEA023"/>
    <w:rsid w:val="BF4BDEBE"/>
    <w:rsid w:val="BFBC2EF8"/>
    <w:rsid w:val="BFDE947F"/>
    <w:rsid w:val="CDFFF7FC"/>
    <w:rsid w:val="D741AD2C"/>
    <w:rsid w:val="D7F128D3"/>
    <w:rsid w:val="DBF1C71B"/>
    <w:rsid w:val="DBF5FAC1"/>
    <w:rsid w:val="DFDD57A5"/>
    <w:rsid w:val="F67DA9F6"/>
    <w:rsid w:val="F7FF8102"/>
    <w:rsid w:val="F9B7C600"/>
    <w:rsid w:val="FDFFD16B"/>
    <w:rsid w:val="FF5DBE7E"/>
    <w:rsid w:val="FF6F8D13"/>
    <w:rsid w:val="FFEFEA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outlineLvl w:val="0"/>
    </w:pPr>
    <w:rPr>
      <w:b/>
      <w:bCs/>
      <w:kern w:val="44"/>
      <w:sz w:val="44"/>
      <w:szCs w:val="44"/>
    </w:rPr>
  </w:style>
  <w:style w:type="paragraph" w:styleId="3">
    <w:name w:val="heading 2"/>
    <w:basedOn w:val="1"/>
    <w:next w:val="1"/>
    <w:link w:val="55"/>
    <w:qFormat/>
    <w:uiPriority w:val="0"/>
    <w:pPr>
      <w:keepNext/>
      <w:keepLines/>
      <w:tabs>
        <w:tab w:val="left" w:pos="720"/>
      </w:tabs>
      <w:spacing w:before="260" w:after="260" w:line="413"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tabs>
        <w:tab w:val="left" w:pos="720"/>
      </w:tabs>
      <w:spacing w:before="260" w:after="260" w:line="413" w:lineRule="auto"/>
      <w:ind w:left="720" w:hanging="432"/>
      <w:outlineLvl w:val="2"/>
    </w:pPr>
    <w:rPr>
      <w:b/>
      <w:bCs/>
      <w:sz w:val="32"/>
      <w:szCs w:val="32"/>
    </w:rPr>
  </w:style>
  <w:style w:type="paragraph" w:styleId="5">
    <w:name w:val="heading 4"/>
    <w:basedOn w:val="1"/>
    <w:next w:val="1"/>
    <w:link w:val="57"/>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5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6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62"/>
    <w:qFormat/>
    <w:uiPriority w:val="0"/>
    <w:pPr>
      <w:keepNext/>
      <w:keepLines/>
      <w:tabs>
        <w:tab w:val="left" w:pos="1584"/>
      </w:tabs>
      <w:spacing w:before="240" w:after="64" w:line="320" w:lineRule="auto"/>
      <w:ind w:left="1584" w:hanging="1584"/>
      <w:outlineLvl w:val="8"/>
    </w:pPr>
    <w:rPr>
      <w:rFonts w:ascii="Arial" w:hAnsi="Arial" w:eastAsia="黑体"/>
      <w:sz w:val="28"/>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20"/>
      <w:szCs w:val="20"/>
    </w:rPr>
  </w:style>
  <w:style w:type="paragraph" w:styleId="12">
    <w:name w:val="Normal Indent"/>
    <w:basedOn w:val="1"/>
    <w:link w:val="63"/>
    <w:qFormat/>
    <w:uiPriority w:val="99"/>
    <w:pPr>
      <w:ind w:firstLine="420"/>
    </w:pPr>
    <w:rPr>
      <w:szCs w:val="20"/>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64"/>
    <w:qFormat/>
    <w:uiPriority w:val="0"/>
    <w:rPr>
      <w:rFonts w:ascii="宋体"/>
      <w:sz w:val="18"/>
      <w:szCs w:val="18"/>
    </w:rPr>
  </w:style>
  <w:style w:type="paragraph" w:styleId="15">
    <w:name w:val="toa heading"/>
    <w:basedOn w:val="1"/>
    <w:next w:val="1"/>
    <w:unhideWhenUsed/>
    <w:qFormat/>
    <w:uiPriority w:val="99"/>
    <w:pPr>
      <w:spacing w:before="120"/>
    </w:pPr>
    <w:rPr>
      <w:rFonts w:ascii="Cambria" w:hAnsi="Cambria"/>
      <w:sz w:val="24"/>
    </w:rPr>
  </w:style>
  <w:style w:type="paragraph" w:styleId="16">
    <w:name w:val="annotation text"/>
    <w:basedOn w:val="1"/>
    <w:link w:val="65"/>
    <w:qFormat/>
    <w:uiPriority w:val="0"/>
    <w:pPr>
      <w:jc w:val="left"/>
    </w:pPr>
  </w:style>
  <w:style w:type="paragraph" w:styleId="17">
    <w:name w:val="Body Text"/>
    <w:basedOn w:val="1"/>
    <w:next w:val="18"/>
    <w:qFormat/>
    <w:uiPriority w:val="0"/>
    <w:pPr>
      <w:spacing w:after="120"/>
    </w:pPr>
  </w:style>
  <w:style w:type="paragraph" w:styleId="18">
    <w:name w:val="Body Text First Indent"/>
    <w:basedOn w:val="17"/>
    <w:qFormat/>
    <w:uiPriority w:val="0"/>
    <w:pPr>
      <w:ind w:firstLine="420" w:firstLineChars="100"/>
    </w:pPr>
  </w:style>
  <w:style w:type="paragraph" w:styleId="19">
    <w:name w:val="Body Text Indent"/>
    <w:basedOn w:val="1"/>
    <w:qFormat/>
    <w:uiPriority w:val="0"/>
    <w:pPr>
      <w:ind w:firstLine="830" w:firstLineChars="352"/>
    </w:pPr>
    <w:rPr>
      <w:rFonts w:ascii="仿宋_GB2312" w:eastAsia="仿宋_GB2312"/>
      <w:kern w:val="0"/>
      <w:sz w:val="32"/>
      <w:szCs w:val="20"/>
    </w:rPr>
  </w:style>
  <w:style w:type="paragraph" w:styleId="20">
    <w:name w:val="toc 5"/>
    <w:basedOn w:val="1"/>
    <w:next w:val="1"/>
    <w:qFormat/>
    <w:uiPriority w:val="39"/>
    <w:pPr>
      <w:ind w:left="840"/>
      <w:jc w:val="left"/>
    </w:pPr>
    <w:rPr>
      <w:sz w:val="20"/>
      <w:szCs w:val="20"/>
    </w:rPr>
  </w:style>
  <w:style w:type="paragraph" w:styleId="21">
    <w:name w:val="toc 3"/>
    <w:basedOn w:val="1"/>
    <w:next w:val="1"/>
    <w:qFormat/>
    <w:uiPriority w:val="39"/>
    <w:pPr>
      <w:ind w:left="420"/>
      <w:jc w:val="left"/>
    </w:pPr>
    <w:rPr>
      <w:sz w:val="20"/>
      <w:szCs w:val="20"/>
    </w:rPr>
  </w:style>
  <w:style w:type="paragraph" w:styleId="22">
    <w:name w:val="Plain Text"/>
    <w:basedOn w:val="1"/>
    <w:next w:val="1"/>
    <w:link w:val="66"/>
    <w:qFormat/>
    <w:uiPriority w:val="0"/>
    <w:rPr>
      <w:rFonts w:ascii="宋体" w:hAnsi="Courier New"/>
    </w:rPr>
  </w:style>
  <w:style w:type="paragraph" w:styleId="23">
    <w:name w:val="toc 8"/>
    <w:basedOn w:val="1"/>
    <w:next w:val="1"/>
    <w:qFormat/>
    <w:uiPriority w:val="39"/>
    <w:pPr>
      <w:ind w:left="1470"/>
      <w:jc w:val="left"/>
    </w:pPr>
    <w:rPr>
      <w:sz w:val="20"/>
      <w:szCs w:val="20"/>
    </w:rPr>
  </w:style>
  <w:style w:type="paragraph" w:styleId="24">
    <w:name w:val="Date"/>
    <w:basedOn w:val="1"/>
    <w:next w:val="1"/>
    <w:qFormat/>
    <w:uiPriority w:val="0"/>
    <w:pPr>
      <w:ind w:left="100" w:leftChars="2500"/>
    </w:pPr>
  </w:style>
  <w:style w:type="paragraph" w:styleId="25">
    <w:name w:val="Body Text Indent 2"/>
    <w:basedOn w:val="1"/>
    <w:unhideWhenUsed/>
    <w:qFormat/>
    <w:uiPriority w:val="0"/>
    <w:pPr>
      <w:spacing w:after="120" w:line="480" w:lineRule="auto"/>
      <w:ind w:left="420" w:leftChars="200"/>
    </w:pPr>
  </w:style>
  <w:style w:type="paragraph" w:styleId="26">
    <w:name w:val="Balloon Text"/>
    <w:basedOn w:val="1"/>
    <w:link w:val="67"/>
    <w:qFormat/>
    <w:uiPriority w:val="99"/>
    <w:rPr>
      <w:sz w:val="18"/>
      <w:szCs w:val="18"/>
    </w:rPr>
  </w:style>
  <w:style w:type="paragraph" w:styleId="27">
    <w:name w:val="footer"/>
    <w:basedOn w:val="1"/>
    <w:link w:val="68"/>
    <w:qFormat/>
    <w:uiPriority w:val="99"/>
    <w:pPr>
      <w:tabs>
        <w:tab w:val="center" w:pos="4153"/>
        <w:tab w:val="right" w:pos="8306"/>
      </w:tabs>
      <w:snapToGrid w:val="0"/>
      <w:jc w:val="left"/>
    </w:pPr>
    <w:rPr>
      <w:sz w:val="18"/>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jc w:val="left"/>
    </w:pPr>
    <w:rPr>
      <w:b/>
      <w:bCs/>
      <w:i/>
      <w:iCs/>
      <w:sz w:val="24"/>
    </w:rPr>
  </w:style>
  <w:style w:type="paragraph" w:styleId="30">
    <w:name w:val="toc 4"/>
    <w:basedOn w:val="1"/>
    <w:next w:val="1"/>
    <w:qFormat/>
    <w:uiPriority w:val="39"/>
    <w:pPr>
      <w:ind w:left="630"/>
      <w:jc w:val="left"/>
    </w:pPr>
    <w:rPr>
      <w:sz w:val="20"/>
      <w:szCs w:val="20"/>
    </w:rPr>
  </w:style>
  <w:style w:type="paragraph" w:styleId="31">
    <w:name w:val="index heading"/>
    <w:basedOn w:val="1"/>
    <w:next w:val="32"/>
    <w:qFormat/>
    <w:uiPriority w:val="0"/>
    <w:rPr>
      <w:szCs w:val="20"/>
    </w:rPr>
  </w:style>
  <w:style w:type="paragraph" w:styleId="32">
    <w:name w:val="index 1"/>
    <w:basedOn w:val="1"/>
    <w:next w:val="1"/>
    <w:qFormat/>
    <w:uiPriority w:val="0"/>
    <w:rPr>
      <w:szCs w:val="20"/>
    </w:rPr>
  </w:style>
  <w:style w:type="paragraph" w:styleId="33">
    <w:name w:val="toc 6"/>
    <w:basedOn w:val="1"/>
    <w:next w:val="1"/>
    <w:qFormat/>
    <w:uiPriority w:val="39"/>
    <w:pPr>
      <w:ind w:left="1050"/>
      <w:jc w:val="left"/>
    </w:pPr>
    <w:rPr>
      <w:sz w:val="20"/>
      <w:szCs w:val="20"/>
    </w:r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link w:val="70"/>
    <w:qFormat/>
    <w:uiPriority w:val="39"/>
    <w:pPr>
      <w:spacing w:before="120"/>
      <w:ind w:left="210"/>
      <w:jc w:val="left"/>
    </w:pPr>
    <w:rPr>
      <w:b/>
      <w:bCs/>
      <w:sz w:val="22"/>
      <w:szCs w:val="22"/>
    </w:rPr>
  </w:style>
  <w:style w:type="paragraph" w:styleId="36">
    <w:name w:val="toc 9"/>
    <w:basedOn w:val="1"/>
    <w:next w:val="1"/>
    <w:qFormat/>
    <w:uiPriority w:val="39"/>
    <w:pPr>
      <w:ind w:left="1680"/>
      <w:jc w:val="left"/>
    </w:pPr>
    <w:rPr>
      <w:sz w:val="20"/>
      <w:szCs w:val="20"/>
    </w:rPr>
  </w:style>
  <w:style w:type="paragraph" w:styleId="37">
    <w:name w:val="Body Text 2"/>
    <w:basedOn w:val="1"/>
    <w:next w:val="17"/>
    <w:qFormat/>
    <w:uiPriority w:val="0"/>
    <w:pPr>
      <w:jc w:val="left"/>
    </w:pPr>
    <w:rPr>
      <w:rFonts w:ascii="仿宋_GB2312" w:hAnsi="宋体" w:eastAsia="仿宋_GB231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99"/>
    <w:pPr>
      <w:widowControl/>
      <w:spacing w:beforeAutospacing="1" w:afterAutospacing="1"/>
      <w:jc w:val="left"/>
    </w:pPr>
    <w:rPr>
      <w:rFonts w:hint="eastAsia" w:ascii="宋体" w:hAnsi="宋体"/>
      <w:kern w:val="0"/>
      <w:sz w:val="24"/>
    </w:rPr>
  </w:style>
  <w:style w:type="paragraph" w:styleId="40">
    <w:name w:val="Title"/>
    <w:basedOn w:val="1"/>
    <w:next w:val="1"/>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71"/>
    <w:qFormat/>
    <w:uiPriority w:val="99"/>
  </w:style>
  <w:style w:type="paragraph" w:styleId="42">
    <w:name w:val="Body Text First Indent 2"/>
    <w:basedOn w:val="19"/>
    <w:qFormat/>
    <w:uiPriority w:val="0"/>
    <w:pPr>
      <w:tabs>
        <w:tab w:val="left" w:pos="720"/>
        <w:tab w:val="left" w:pos="9240"/>
      </w:tabs>
      <w:spacing w:line="360" w:lineRule="auto"/>
      <w:ind w:firstLine="420" w:firstLineChars="200"/>
    </w:pPr>
    <w:rPr>
      <w:rFonts w:ascii="Times New Roman"/>
      <w:sz w:val="24"/>
      <w:szCs w:val="24"/>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page number"/>
    <w:qFormat/>
    <w:uiPriority w:val="0"/>
  </w:style>
  <w:style w:type="character" w:styleId="48">
    <w:name w:val="FollowedHyperlink"/>
    <w:basedOn w:val="45"/>
    <w:semiHidden/>
    <w:unhideWhenUsed/>
    <w:qFormat/>
    <w:uiPriority w:val="99"/>
    <w:rPr>
      <w:color w:val="800080"/>
      <w:u w:val="none"/>
    </w:rPr>
  </w:style>
  <w:style w:type="character" w:styleId="49">
    <w:name w:val="Emphasis"/>
    <w:qFormat/>
    <w:uiPriority w:val="20"/>
    <w:rPr>
      <w:i/>
    </w:rPr>
  </w:style>
  <w:style w:type="character" w:styleId="50">
    <w:name w:val="Hyperlink"/>
    <w:qFormat/>
    <w:uiPriority w:val="99"/>
    <w:rPr>
      <w:color w:val="0563C1"/>
      <w:u w:val="single"/>
    </w:rPr>
  </w:style>
  <w:style w:type="character" w:styleId="51">
    <w:name w:val="annotation reference"/>
    <w:basedOn w:val="45"/>
    <w:qFormat/>
    <w:uiPriority w:val="99"/>
    <w:rPr>
      <w:sz w:val="21"/>
      <w:szCs w:val="21"/>
    </w:rPr>
  </w:style>
  <w:style w:type="paragraph" w:customStyle="1" w:styleId="52">
    <w:name w:val="_Style 3"/>
    <w:basedOn w:val="1"/>
    <w:next w:val="34"/>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53">
    <w:name w:val="首行缩进"/>
    <w:basedOn w:val="1"/>
    <w:qFormat/>
    <w:uiPriority w:val="0"/>
    <w:pPr>
      <w:ind w:firstLine="480" w:firstLineChars="200"/>
    </w:pPr>
    <w:rPr>
      <w:lang w:val="zh-CN"/>
    </w:rPr>
  </w:style>
  <w:style w:type="paragraph" w:customStyle="1" w:styleId="54">
    <w:name w:val="正文+缩进"/>
    <w:basedOn w:val="1"/>
    <w:qFormat/>
    <w:uiPriority w:val="0"/>
    <w:pPr>
      <w:ind w:firstLine="200" w:firstLineChars="200"/>
    </w:pPr>
  </w:style>
  <w:style w:type="character" w:customStyle="1" w:styleId="55">
    <w:name w:val="标题 2 Char"/>
    <w:link w:val="3"/>
    <w:qFormat/>
    <w:uiPriority w:val="0"/>
    <w:rPr>
      <w:rFonts w:ascii="Arial" w:hAnsi="Arial" w:eastAsia="黑体"/>
      <w:b/>
      <w:bCs/>
      <w:kern w:val="2"/>
      <w:sz w:val="32"/>
      <w:szCs w:val="32"/>
    </w:rPr>
  </w:style>
  <w:style w:type="character" w:customStyle="1" w:styleId="56">
    <w:name w:val="标题 3 Char"/>
    <w:qFormat/>
    <w:uiPriority w:val="0"/>
    <w:rPr>
      <w:b/>
      <w:bCs/>
      <w:kern w:val="2"/>
      <w:sz w:val="32"/>
      <w:szCs w:val="32"/>
    </w:rPr>
  </w:style>
  <w:style w:type="character" w:customStyle="1" w:styleId="57">
    <w:name w:val="标题 4 Char"/>
    <w:link w:val="5"/>
    <w:qFormat/>
    <w:uiPriority w:val="0"/>
    <w:rPr>
      <w:rFonts w:ascii="Arial" w:hAnsi="Arial" w:eastAsia="黑体"/>
      <w:b/>
      <w:bCs/>
      <w:kern w:val="2"/>
      <w:sz w:val="28"/>
      <w:szCs w:val="28"/>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Arial" w:hAnsi="Arial" w:eastAsia="黑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标题 8 Char"/>
    <w:link w:val="9"/>
    <w:qFormat/>
    <w:uiPriority w:val="0"/>
    <w:rPr>
      <w:rFonts w:ascii="Arial" w:hAnsi="Arial" w:eastAsia="黑体" w:cs="Times New Roman"/>
      <w:kern w:val="2"/>
      <w:sz w:val="24"/>
      <w:szCs w:val="24"/>
    </w:rPr>
  </w:style>
  <w:style w:type="character" w:customStyle="1" w:styleId="62">
    <w:name w:val="标题 9 Char"/>
    <w:link w:val="10"/>
    <w:qFormat/>
    <w:uiPriority w:val="0"/>
    <w:rPr>
      <w:rFonts w:ascii="Arial" w:hAnsi="Arial" w:eastAsia="黑体" w:cs="Times New Roman"/>
      <w:kern w:val="2"/>
      <w:sz w:val="28"/>
      <w:szCs w:val="21"/>
    </w:rPr>
  </w:style>
  <w:style w:type="character" w:customStyle="1" w:styleId="63">
    <w:name w:val="正文缩进 Char"/>
    <w:link w:val="12"/>
    <w:qFormat/>
    <w:uiPriority w:val="99"/>
    <w:rPr>
      <w:kern w:val="2"/>
      <w:sz w:val="21"/>
    </w:rPr>
  </w:style>
  <w:style w:type="character" w:customStyle="1" w:styleId="64">
    <w:name w:val="文档结构图 Char"/>
    <w:link w:val="14"/>
    <w:qFormat/>
    <w:uiPriority w:val="0"/>
    <w:rPr>
      <w:rFonts w:ascii="宋体" w:eastAsia="宋体"/>
      <w:kern w:val="2"/>
      <w:sz w:val="18"/>
      <w:szCs w:val="18"/>
    </w:rPr>
  </w:style>
  <w:style w:type="character" w:customStyle="1" w:styleId="65">
    <w:name w:val="批注文字 Char"/>
    <w:link w:val="16"/>
    <w:qFormat/>
    <w:uiPriority w:val="0"/>
    <w:rPr>
      <w:kern w:val="2"/>
      <w:sz w:val="21"/>
      <w:szCs w:val="24"/>
    </w:rPr>
  </w:style>
  <w:style w:type="character" w:customStyle="1" w:styleId="66">
    <w:name w:val="纯文本 Char"/>
    <w:link w:val="22"/>
    <w:qFormat/>
    <w:uiPriority w:val="0"/>
    <w:rPr>
      <w:rFonts w:ascii="宋体" w:hAnsi="Courier New"/>
      <w:kern w:val="2"/>
      <w:sz w:val="21"/>
      <w:szCs w:val="24"/>
    </w:rPr>
  </w:style>
  <w:style w:type="character" w:customStyle="1" w:styleId="67">
    <w:name w:val="批注框文本 Char"/>
    <w:link w:val="26"/>
    <w:qFormat/>
    <w:uiPriority w:val="99"/>
    <w:rPr>
      <w:kern w:val="2"/>
      <w:sz w:val="18"/>
      <w:szCs w:val="18"/>
    </w:rPr>
  </w:style>
  <w:style w:type="character" w:customStyle="1" w:styleId="68">
    <w:name w:val="页脚 Char"/>
    <w:link w:val="27"/>
    <w:qFormat/>
    <w:uiPriority w:val="99"/>
    <w:rPr>
      <w:kern w:val="2"/>
      <w:sz w:val="18"/>
      <w:szCs w:val="24"/>
    </w:rPr>
  </w:style>
  <w:style w:type="character" w:customStyle="1" w:styleId="69">
    <w:name w:val="页眉 Char"/>
    <w:link w:val="28"/>
    <w:qFormat/>
    <w:uiPriority w:val="99"/>
    <w:rPr>
      <w:kern w:val="2"/>
      <w:sz w:val="18"/>
      <w:szCs w:val="18"/>
    </w:rPr>
  </w:style>
  <w:style w:type="character" w:customStyle="1" w:styleId="70">
    <w:name w:val="目录 2 Char"/>
    <w:link w:val="35"/>
    <w:qFormat/>
    <w:uiPriority w:val="39"/>
    <w:rPr>
      <w:b/>
      <w:bCs/>
      <w:kern w:val="2"/>
      <w:sz w:val="22"/>
      <w:szCs w:val="22"/>
    </w:rPr>
  </w:style>
  <w:style w:type="character" w:customStyle="1" w:styleId="71">
    <w:name w:val="批注主题 Char"/>
    <w:link w:val="41"/>
    <w:qFormat/>
    <w:uiPriority w:val="99"/>
    <w:rPr>
      <w:kern w:val="2"/>
      <w:sz w:val="21"/>
      <w:szCs w:val="24"/>
    </w:rPr>
  </w:style>
  <w:style w:type="paragraph" w:customStyle="1" w:styleId="72">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73">
    <w:name w:val="正文正"/>
    <w:basedOn w:val="1"/>
    <w:qFormat/>
    <w:uiPriority w:val="0"/>
    <w:pPr>
      <w:spacing w:line="560" w:lineRule="exact"/>
      <w:ind w:firstLine="561"/>
    </w:pPr>
    <w:rPr>
      <w:rFonts w:eastAsia="仿宋_GB2312"/>
      <w:sz w:val="28"/>
    </w:rPr>
  </w:style>
  <w:style w:type="character" w:customStyle="1" w:styleId="74">
    <w:name w:val="列出段落 Char"/>
    <w:link w:val="75"/>
    <w:qFormat/>
    <w:uiPriority w:val="34"/>
    <w:rPr>
      <w:kern w:val="2"/>
      <w:sz w:val="21"/>
      <w:szCs w:val="24"/>
    </w:rPr>
  </w:style>
  <w:style w:type="paragraph" w:styleId="75">
    <w:name w:val="List Paragraph"/>
    <w:basedOn w:val="1"/>
    <w:link w:val="74"/>
    <w:qFormat/>
    <w:uiPriority w:val="34"/>
    <w:pPr>
      <w:ind w:firstLine="420" w:firstLineChars="200"/>
    </w:pPr>
  </w:style>
  <w:style w:type="character" w:customStyle="1" w:styleId="76">
    <w:name w:val="p141"/>
    <w:qFormat/>
    <w:uiPriority w:val="0"/>
    <w:rPr>
      <w:sz w:val="21"/>
    </w:rPr>
  </w:style>
  <w:style w:type="character" w:customStyle="1" w:styleId="77">
    <w:name w:val="不明显强调1"/>
    <w:qFormat/>
    <w:uiPriority w:val="19"/>
    <w:rPr>
      <w:i/>
      <w:iCs/>
      <w:color w:val="404040"/>
    </w:rPr>
  </w:style>
  <w:style w:type="paragraph" w:customStyle="1" w:styleId="78">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79">
    <w:name w:val="题注4"/>
    <w:basedOn w:val="1"/>
    <w:next w:val="13"/>
    <w:qFormat/>
    <w:uiPriority w:val="0"/>
    <w:pPr>
      <w:ind w:left="-132" w:leftChars="-64" w:right="-105" w:rightChars="-50" w:hanging="2"/>
      <w:jc w:val="center"/>
    </w:pPr>
    <w:rPr>
      <w:b/>
      <w:color w:val="FF0000"/>
      <w:szCs w:val="21"/>
      <w:lang w:val="en-GB"/>
    </w:rPr>
  </w:style>
  <w:style w:type="paragraph" w:customStyle="1" w:styleId="80">
    <w:name w:val="报告正文"/>
    <w:qFormat/>
    <w:uiPriority w:val="0"/>
    <w:pPr>
      <w:wordWrap w:val="0"/>
      <w:spacing w:beforeLines="50" w:afterLines="20" w:line="300" w:lineRule="auto"/>
      <w:jc w:val="both"/>
    </w:pPr>
    <w:rPr>
      <w:rFonts w:ascii="宋体" w:hAnsi="宋体" w:eastAsia="宋体" w:cs="Times New Roman"/>
      <w:bCs/>
      <w:kern w:val="2"/>
      <w:sz w:val="22"/>
      <w:szCs w:val="32"/>
      <w:lang w:val="en-US" w:eastAsia="zh-CN" w:bidi="ar-SA"/>
    </w:rPr>
  </w:style>
  <w:style w:type="paragraph" w:customStyle="1" w:styleId="81">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82">
    <w:name w:val="修订1"/>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题注5"/>
    <w:basedOn w:val="1"/>
    <w:next w:val="13"/>
    <w:qFormat/>
    <w:uiPriority w:val="0"/>
    <w:pPr>
      <w:jc w:val="center"/>
    </w:pPr>
    <w:rPr>
      <w:b/>
      <w:color w:val="000000"/>
      <w:sz w:val="24"/>
      <w:szCs w:val="21"/>
    </w:rPr>
  </w:style>
  <w:style w:type="paragraph" w:customStyle="1" w:styleId="86">
    <w:name w:val="修订2"/>
    <w:qFormat/>
    <w:uiPriority w:val="99"/>
    <w:rPr>
      <w:rFonts w:ascii="Times New Roman" w:hAnsi="Times New Roman" w:eastAsia="宋体" w:cs="Times New Roman"/>
      <w:kern w:val="2"/>
      <w:sz w:val="21"/>
      <w:szCs w:val="24"/>
      <w:lang w:val="en-US" w:eastAsia="zh-CN" w:bidi="ar-SA"/>
    </w:rPr>
  </w:style>
  <w:style w:type="paragraph" w:customStyle="1" w:styleId="87">
    <w:name w:val="表格文字"/>
    <w:basedOn w:val="1"/>
    <w:qFormat/>
    <w:uiPriority w:val="0"/>
    <w:pPr>
      <w:spacing w:before="25" w:after="25"/>
      <w:jc w:val="left"/>
    </w:pPr>
    <w:rPr>
      <w:bCs/>
      <w:spacing w:val="10"/>
      <w:kern w:val="0"/>
      <w:sz w:val="24"/>
      <w:szCs w:val="20"/>
    </w:rPr>
  </w:style>
  <w:style w:type="paragraph" w:customStyle="1" w:styleId="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Table Paragraph"/>
    <w:basedOn w:val="1"/>
    <w:qFormat/>
    <w:uiPriority w:val="1"/>
  </w:style>
  <w:style w:type="paragraph" w:customStyle="1" w:styleId="9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列出段落2"/>
    <w:basedOn w:val="1"/>
    <w:qFormat/>
    <w:uiPriority w:val="99"/>
    <w:pPr>
      <w:ind w:firstLine="420" w:firstLineChars="200"/>
    </w:pPr>
    <w:rPr>
      <w:szCs w:val="22"/>
    </w:rPr>
  </w:style>
  <w:style w:type="paragraph" w:customStyle="1" w:styleId="92">
    <w:name w:val="列出段落1"/>
    <w:basedOn w:val="1"/>
    <w:next w:val="1"/>
    <w:qFormat/>
    <w:uiPriority w:val="34"/>
    <w:pPr>
      <w:ind w:firstLine="420" w:firstLineChars="200"/>
    </w:pPr>
  </w:style>
  <w:style w:type="paragraph" w:customStyle="1" w:styleId="93">
    <w:name w:val="列出段落3"/>
    <w:basedOn w:val="1"/>
    <w:qFormat/>
    <w:uiPriority w:val="34"/>
    <w:pPr>
      <w:ind w:firstLine="420" w:firstLineChars="200"/>
    </w:pPr>
    <w:rPr>
      <w:szCs w:val="22"/>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样式 86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96">
    <w:name w:val="样式 17 小四"/>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97">
    <w:name w:val="样式 85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98">
    <w:name w:val="单元格文字（居左）"/>
    <w:basedOn w:val="1"/>
    <w:qFormat/>
    <w:uiPriority w:val="0"/>
    <w:pPr>
      <w:spacing w:line="312" w:lineRule="auto"/>
    </w:pPr>
    <w:rPr>
      <w:rFonts w:cs="宋体"/>
      <w:szCs w:val="20"/>
    </w:rPr>
  </w:style>
  <w:style w:type="character" w:customStyle="1" w:styleId="99">
    <w:name w:val="font01"/>
    <w:qFormat/>
    <w:uiPriority w:val="99"/>
    <w:rPr>
      <w:rFonts w:ascii="宋体" w:hAnsi="宋体" w:eastAsia="宋体" w:cs="宋体"/>
      <w:color w:val="000000"/>
      <w:sz w:val="24"/>
      <w:szCs w:val="24"/>
      <w:u w:val="none"/>
    </w:rPr>
  </w:style>
  <w:style w:type="paragraph" w:customStyle="1" w:styleId="100">
    <w:name w:val="*正文"/>
    <w:basedOn w:val="1"/>
    <w:qFormat/>
    <w:uiPriority w:val="0"/>
    <w:pPr>
      <w:widowControl/>
      <w:spacing w:line="360" w:lineRule="auto"/>
      <w:ind w:firstLine="480" w:firstLineChars="200"/>
    </w:pPr>
    <w:rPr>
      <w:rFonts w:hAnsi="宋体"/>
    </w:rPr>
  </w:style>
  <w:style w:type="paragraph" w:customStyle="1" w:styleId="101">
    <w:name w:val="缺省文本"/>
    <w:basedOn w:val="1"/>
    <w:qFormat/>
    <w:uiPriority w:val="0"/>
    <w:pPr>
      <w:jc w:val="left"/>
    </w:pPr>
    <w:rPr>
      <w:rFonts w:ascii="Calibri" w:hAnsi="Calibri"/>
    </w:rPr>
  </w:style>
  <w:style w:type="paragraph" w:customStyle="1" w:styleId="102">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03">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普通正文缩进2字符"/>
    <w:basedOn w:val="1"/>
    <w:qFormat/>
    <w:uiPriority w:val="99"/>
    <w:pPr>
      <w:ind w:firstLine="200" w:firstLineChars="200"/>
    </w:pPr>
    <w:rPr>
      <w:rFonts w:ascii="Courier New" w:hAnsi="Courier New" w:cs="Courier New"/>
    </w:rPr>
  </w:style>
  <w:style w:type="paragraph" w:customStyle="1" w:styleId="105">
    <w:name w:val="null3"/>
    <w:qFormat/>
    <w:uiPriority w:val="0"/>
    <w:rPr>
      <w:rFonts w:hint="eastAsia" w:ascii="Calibri" w:hAnsi="Calibri" w:eastAsia="宋体" w:cs="Times New Roman"/>
      <w:lang w:val="en-US" w:eastAsia="zh-CN" w:bidi="ar-SA"/>
    </w:rPr>
  </w:style>
  <w:style w:type="paragraph" w:customStyle="1" w:styleId="10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07">
    <w:name w:val="font21"/>
    <w:basedOn w:val="45"/>
    <w:qFormat/>
    <w:uiPriority w:val="0"/>
    <w:rPr>
      <w:rFonts w:ascii="宋体" w:hAnsi="宋体" w:eastAsia="宋体" w:cs="宋体"/>
      <w:color w:val="000000"/>
      <w:sz w:val="16"/>
      <w:szCs w:val="16"/>
      <w:u w:val="none"/>
    </w:rPr>
  </w:style>
  <w:style w:type="paragraph" w:customStyle="1" w:styleId="108">
    <w:name w:val="Normal_13"/>
    <w:basedOn w:val="1"/>
    <w:qFormat/>
    <w:uiPriority w:val="0"/>
    <w:pPr>
      <w:widowControl/>
      <w:spacing w:before="120" w:after="240"/>
    </w:pPr>
    <w:rPr>
      <w:rFonts w:ascii="Calibri" w:hAnsi="Calibri" w:cs="宋体"/>
      <w:kern w:val="0"/>
      <w:sz w:val="22"/>
      <w:szCs w:val="22"/>
    </w:rPr>
  </w:style>
  <w:style w:type="character" w:customStyle="1" w:styleId="109">
    <w:name w:val="10"/>
    <w:basedOn w:val="45"/>
    <w:qFormat/>
    <w:uiPriority w:val="0"/>
    <w:rPr>
      <w:rFonts w:hint="default" w:ascii="Times New Roman" w:hAnsi="Times New Roman" w:cs="Times New Roman"/>
    </w:rPr>
  </w:style>
  <w:style w:type="paragraph" w:customStyle="1" w:styleId="110">
    <w:name w:val="Normal_15"/>
    <w:basedOn w:val="1"/>
    <w:qFormat/>
    <w:uiPriority w:val="0"/>
    <w:pPr>
      <w:widowControl/>
      <w:spacing w:before="120" w:after="240"/>
    </w:pPr>
    <w:rPr>
      <w:rFonts w:ascii="Calibri" w:hAnsi="Calibri" w:cs="宋体"/>
      <w:kern w:val="0"/>
      <w:sz w:val="22"/>
      <w:szCs w:val="22"/>
    </w:rPr>
  </w:style>
  <w:style w:type="paragraph" w:customStyle="1" w:styleId="111">
    <w:name w:val="正文缩进1"/>
    <w:basedOn w:val="1"/>
    <w:next w:val="1"/>
    <w:qFormat/>
    <w:uiPriority w:val="0"/>
    <w:pPr>
      <w:adjustRightInd w:val="0"/>
      <w:snapToGrid w:val="0"/>
      <w:spacing w:line="360" w:lineRule="auto"/>
      <w:ind w:left="1270"/>
      <w:textAlignment w:val="baseline"/>
    </w:pPr>
    <w:rPr>
      <w:rFonts w:ascii="Arial" w:hAnsi="Arial" w:eastAsia="仿宋_GB2312"/>
      <w:color w:val="000000"/>
      <w:kern w:val="0"/>
      <w:sz w:val="24"/>
      <w:szCs w:val="20"/>
    </w:rPr>
  </w:style>
  <w:style w:type="character" w:customStyle="1" w:styleId="112">
    <w:name w:val="标题 3 Char1"/>
    <w:link w:val="4"/>
    <w:qFormat/>
    <w:uiPriority w:val="0"/>
    <w:rPr>
      <w:b/>
      <w:sz w:val="32"/>
    </w:rPr>
  </w:style>
  <w:style w:type="paragraph" w:customStyle="1" w:styleId="113">
    <w:name w:val="正文 New New New New New New New New New New New New New New New New New New New New New New"/>
    <w:qFormat/>
    <w:uiPriority w:val="99"/>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paragraph" w:customStyle="1" w:styleId="114">
    <w:name w:val="正文_1_0"/>
    <w:qFormat/>
    <w:uiPriority w:val="0"/>
    <w:pPr>
      <w:widowControl w:val="0"/>
      <w:jc w:val="both"/>
    </w:pPr>
    <w:rPr>
      <w:rFonts w:ascii="仿宋" w:hAnsi="仿宋" w:eastAsia="宋体" w:cs="仿宋"/>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97</Pages>
  <Words>16105</Words>
  <Characters>16830</Characters>
  <Lines>324</Lines>
  <Paragraphs>91</Paragraphs>
  <TotalTime>16</TotalTime>
  <ScaleCrop>false</ScaleCrop>
  <LinksUpToDate>false</LinksUpToDate>
  <CharactersWithSpaces>16958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2025-07-01T01:33:00Z</dcterms:created>
  <dc:creator>李伟</dc:creator>
  <cp:lastModifiedBy>招标代理clb</cp:lastModifiedBy>
  <cp:lastPrinted>2025-07-19T00:26:00Z</cp:lastPrinted>
  <dcterms:modified xsi:type="dcterms:W3CDTF">2025-09-22T07:08:16Z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85BA3770905A4DE9978594CBCDC9F2B4_13</vt:lpwstr>
  </property>
  <property fmtid="{D5CDD505-2E9C-101B-9397-08002B2CF9AE}" pid="4" name="KSOTemplateDocerSaveRecord">
    <vt:lpwstr>eyJoZGlkIjoiZDQwZDNiMmNiOWU1MGExZTQxZThiZTljOGQ2ZWNkMWIiLCJ1c2VySWQiOiIyNjA4MjU3MTIifQ==</vt:lpwstr>
  </property>
</Properties>
</file>