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3257">
      <w:pPr>
        <w:spacing w:before="68" w:line="219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黑龙江北方有色建设有限责任公司绥化 500千伏变电站新建工程混凝土采购项目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招标公告</w:t>
      </w:r>
    </w:p>
    <w:p w14:paraId="4D07C5A7">
      <w:pPr>
        <w:spacing w:before="20" w:line="228" w:lineRule="auto"/>
        <w:ind w:left="6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1.招标条件</w:t>
      </w:r>
    </w:p>
    <w:p w14:paraId="5B81FD11">
      <w:pPr>
        <w:spacing w:before="162" w:line="377" w:lineRule="auto"/>
        <w:ind w:left="180" w:right="214"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eastAsia="zh-CN"/>
        </w:rPr>
        <w:t>黑龙江北方有色建设有限责任公司绥化 500千伏变电站新建工程混凝土采购项目</w:t>
      </w:r>
      <w:r>
        <w:rPr>
          <w:rFonts w:ascii="宋体" w:hAnsi="宋体" w:eastAsia="宋体" w:cs="宋体"/>
          <w:spacing w:val="-1"/>
          <w:sz w:val="20"/>
          <w:szCs w:val="20"/>
        </w:rPr>
        <w:t>（</w:t>
      </w:r>
      <w:r>
        <w:rPr>
          <w:rFonts w:ascii="宋体" w:hAnsi="宋体" w:eastAsia="宋体" w:cs="宋体"/>
          <w:spacing w:val="10"/>
          <w:sz w:val="20"/>
          <w:szCs w:val="20"/>
        </w:rPr>
        <w:t>以下简称“本项目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”</w:t>
      </w:r>
      <w:r>
        <w:rPr>
          <w:rFonts w:ascii="宋体" w:hAnsi="宋体" w:eastAsia="宋体" w:cs="宋体"/>
          <w:spacing w:val="-1"/>
          <w:sz w:val="20"/>
          <w:szCs w:val="20"/>
        </w:rPr>
        <w:t>），</w:t>
      </w:r>
      <w:r>
        <w:rPr>
          <w:rFonts w:ascii="宋体" w:hAnsi="宋体" w:eastAsia="宋体" w:cs="宋体"/>
          <w:spacing w:val="10"/>
          <w:sz w:val="20"/>
          <w:szCs w:val="20"/>
        </w:rPr>
        <w:t>招标人为</w:t>
      </w:r>
      <w:r>
        <w:rPr>
          <w:rFonts w:hint="eastAsia" w:ascii="宋体" w:hAnsi="宋体" w:eastAsia="宋体" w:cs="宋体"/>
          <w:spacing w:val="10"/>
          <w:sz w:val="20"/>
          <w:szCs w:val="20"/>
          <w:lang w:eastAsia="zh-CN"/>
        </w:rPr>
        <w:t>黑龙江北方有色建设有限责任公司</w:t>
      </w:r>
      <w:r>
        <w:rPr>
          <w:rFonts w:ascii="宋体" w:hAnsi="宋体" w:eastAsia="宋体" w:cs="宋体"/>
          <w:spacing w:val="10"/>
          <w:sz w:val="20"/>
          <w:szCs w:val="20"/>
        </w:rPr>
        <w:t>，资金来源为企业自筹。</w:t>
      </w:r>
      <w:r>
        <w:rPr>
          <w:rFonts w:ascii="宋体" w:hAnsi="宋体" w:eastAsia="宋体" w:cs="宋体"/>
          <w:spacing w:val="9"/>
          <w:sz w:val="20"/>
          <w:szCs w:val="20"/>
        </w:rPr>
        <w:t>本项目已具备招标条件，现对本项目进行公开招标。</w:t>
      </w:r>
    </w:p>
    <w:p w14:paraId="4764B029">
      <w:pPr>
        <w:spacing w:before="1" w:line="227" w:lineRule="auto"/>
        <w:ind w:left="6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2.项目概况与招标范围</w:t>
      </w:r>
    </w:p>
    <w:p w14:paraId="6F469B10">
      <w:pPr>
        <w:spacing w:before="161" w:line="302" w:lineRule="auto"/>
        <w:ind w:left="178" w:right="174" w:firstLine="423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</w:rPr>
        <w:t>2.1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项目名称：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黑龙江北方有色建设有限责任公司绥化 500千伏变电站新建工程混凝土采购项目</w:t>
      </w:r>
    </w:p>
    <w:p w14:paraId="1AD9E87F">
      <w:pPr>
        <w:spacing w:before="162" w:line="226" w:lineRule="auto"/>
        <w:ind w:left="601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</w:rPr>
        <w:t>2.2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项目编号：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KT-2025DW-001</w:t>
      </w:r>
    </w:p>
    <w:p w14:paraId="108CBEDC">
      <w:pPr>
        <w:spacing w:before="162" w:line="234" w:lineRule="auto"/>
        <w:ind w:left="1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2.3</w:t>
      </w:r>
      <w:r>
        <w:rPr>
          <w:rFonts w:ascii="宋体" w:hAnsi="宋体" w:eastAsia="宋体" w:cs="宋体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项目概况：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绥化 500千伏变电站新建工程</w:t>
      </w:r>
      <w:r>
        <w:rPr>
          <w:rFonts w:ascii="宋体" w:hAnsi="宋体" w:eastAsia="宋体" w:cs="宋体"/>
          <w:spacing w:val="-2"/>
          <w:sz w:val="20"/>
          <w:szCs w:val="20"/>
        </w:rPr>
        <w:t>。</w:t>
      </w:r>
    </w:p>
    <w:p w14:paraId="3C1BD9D8">
      <w:pPr>
        <w:spacing w:before="157" w:line="227" w:lineRule="auto"/>
        <w:ind w:left="6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2.4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招标范围及标段划分：混凝土采购。本项目共划分为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1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个标段，即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A1标段。</w:t>
      </w:r>
    </w:p>
    <w:p w14:paraId="6D95C6CD">
      <w:pPr>
        <w:spacing w:line="131" w:lineRule="exact"/>
      </w:pPr>
    </w:p>
    <w:tbl>
      <w:tblPr>
        <w:tblStyle w:val="5"/>
        <w:tblW w:w="9407" w:type="dxa"/>
        <w:tblInd w:w="2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951"/>
        <w:gridCol w:w="1223"/>
        <w:gridCol w:w="1096"/>
        <w:gridCol w:w="731"/>
        <w:gridCol w:w="1692"/>
        <w:gridCol w:w="1520"/>
        <w:gridCol w:w="1525"/>
      </w:tblGrid>
      <w:tr w14:paraId="43409405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69" w:type="dxa"/>
            <w:tcBorders>
              <w:right w:val="single" w:color="000000" w:sz="2" w:space="0"/>
            </w:tcBorders>
            <w:vAlign w:val="top"/>
          </w:tcPr>
          <w:p w14:paraId="5AB07FFB">
            <w:pPr>
              <w:pStyle w:val="4"/>
              <w:spacing w:before="161" w:line="220" w:lineRule="auto"/>
              <w:ind w:left="15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标段</w:t>
            </w: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6733429F">
            <w:pPr>
              <w:pStyle w:val="4"/>
              <w:spacing w:before="161" w:line="221" w:lineRule="auto"/>
              <w:ind w:left="30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名称</w:t>
            </w:r>
          </w:p>
        </w:tc>
        <w:tc>
          <w:tcPr>
            <w:tcW w:w="1223" w:type="dxa"/>
            <w:vAlign w:val="top"/>
          </w:tcPr>
          <w:p w14:paraId="2ECF1240">
            <w:pPr>
              <w:pStyle w:val="4"/>
              <w:spacing w:before="161" w:line="219" w:lineRule="auto"/>
              <w:ind w:left="25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规格型号</w:t>
            </w:r>
          </w:p>
        </w:tc>
        <w:tc>
          <w:tcPr>
            <w:tcW w:w="1096" w:type="dxa"/>
            <w:vAlign w:val="top"/>
          </w:tcPr>
          <w:p w14:paraId="27FAB526">
            <w:pPr>
              <w:pStyle w:val="4"/>
              <w:spacing w:before="161" w:line="219" w:lineRule="auto"/>
              <w:ind w:left="372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数量</w:t>
            </w:r>
          </w:p>
        </w:tc>
        <w:tc>
          <w:tcPr>
            <w:tcW w:w="731" w:type="dxa"/>
            <w:vAlign w:val="top"/>
          </w:tcPr>
          <w:p w14:paraId="44DBB0FB">
            <w:pPr>
              <w:pStyle w:val="4"/>
              <w:spacing w:before="161" w:line="220" w:lineRule="auto"/>
              <w:ind w:left="19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单位</w:t>
            </w:r>
          </w:p>
        </w:tc>
        <w:tc>
          <w:tcPr>
            <w:tcW w:w="1692" w:type="dxa"/>
            <w:vAlign w:val="top"/>
          </w:tcPr>
          <w:p w14:paraId="40EC542F">
            <w:pPr>
              <w:pStyle w:val="4"/>
              <w:spacing w:before="43" w:line="218" w:lineRule="auto"/>
              <w:ind w:left="131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单价最高限价（元</w:t>
            </w:r>
          </w:p>
          <w:p w14:paraId="781290CC">
            <w:pPr>
              <w:pStyle w:val="4"/>
              <w:spacing w:before="19" w:line="219" w:lineRule="auto"/>
              <w:ind w:left="35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人民币/m³</w:t>
            </w:r>
            <w:r>
              <w:rPr>
                <w:spacing w:val="-61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)</w:t>
            </w:r>
          </w:p>
        </w:tc>
        <w:tc>
          <w:tcPr>
            <w:tcW w:w="1520" w:type="dxa"/>
            <w:vAlign w:val="top"/>
          </w:tcPr>
          <w:p w14:paraId="2490D3BA">
            <w:pPr>
              <w:pStyle w:val="4"/>
              <w:spacing w:before="43" w:line="230" w:lineRule="auto"/>
              <w:ind w:left="235" w:right="215" w:hanging="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最高投标限价</w:t>
            </w:r>
            <w:r>
              <w:rPr>
                <w:spacing w:val="-3"/>
                <w:highlight w:val="none"/>
              </w:rPr>
              <w:t>（元人民币）</w:t>
            </w:r>
          </w:p>
        </w:tc>
        <w:tc>
          <w:tcPr>
            <w:tcW w:w="1525" w:type="dxa"/>
            <w:vAlign w:val="top"/>
          </w:tcPr>
          <w:p w14:paraId="2080BB5C">
            <w:pPr>
              <w:pStyle w:val="4"/>
              <w:spacing w:before="161" w:line="221" w:lineRule="auto"/>
              <w:ind w:left="587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备注</w:t>
            </w:r>
          </w:p>
        </w:tc>
      </w:tr>
      <w:tr w14:paraId="2280F0D3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69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676CF02B">
            <w:pPr>
              <w:spacing w:line="289" w:lineRule="auto"/>
              <w:rPr>
                <w:rFonts w:ascii="Arial"/>
                <w:sz w:val="21"/>
                <w:highlight w:val="none"/>
              </w:rPr>
            </w:pPr>
          </w:p>
          <w:p w14:paraId="549588BD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2D054492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673547DD">
            <w:pPr>
              <w:pStyle w:val="4"/>
              <w:spacing w:before="59" w:line="241" w:lineRule="auto"/>
              <w:ind w:left="242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A1</w:t>
            </w: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1CE9A744">
            <w:pPr>
              <w:pStyle w:val="4"/>
              <w:spacing w:before="162" w:line="221" w:lineRule="auto"/>
              <w:ind w:left="20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混凝土</w:t>
            </w:r>
          </w:p>
        </w:tc>
        <w:tc>
          <w:tcPr>
            <w:tcW w:w="1223" w:type="dxa"/>
            <w:vAlign w:val="top"/>
          </w:tcPr>
          <w:p w14:paraId="4741F985">
            <w:pPr>
              <w:pStyle w:val="4"/>
              <w:spacing w:before="162"/>
              <w:ind w:left="478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</w:rPr>
              <w:t>C20</w:t>
            </w:r>
          </w:p>
        </w:tc>
        <w:tc>
          <w:tcPr>
            <w:tcW w:w="1096" w:type="dxa"/>
            <w:vAlign w:val="top"/>
          </w:tcPr>
          <w:p w14:paraId="459031AF">
            <w:pPr>
              <w:pStyle w:val="4"/>
              <w:spacing w:before="162"/>
              <w:ind w:left="341"/>
              <w:rPr>
                <w:highlight w:val="none"/>
              </w:rPr>
            </w:pPr>
            <w:r>
              <w:rPr>
                <w:rFonts w:hint="eastAsia"/>
                <w:spacing w:val="-4"/>
                <w:highlight w:val="none"/>
              </w:rPr>
              <w:t>500</w:t>
            </w:r>
          </w:p>
        </w:tc>
        <w:tc>
          <w:tcPr>
            <w:tcW w:w="731" w:type="dxa"/>
            <w:vAlign w:val="top"/>
          </w:tcPr>
          <w:p w14:paraId="53AB2D2F">
            <w:pPr>
              <w:pStyle w:val="4"/>
              <w:spacing w:before="163" w:line="241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m³</w:t>
            </w:r>
          </w:p>
        </w:tc>
        <w:tc>
          <w:tcPr>
            <w:tcW w:w="1692" w:type="dxa"/>
            <w:vAlign w:val="top"/>
          </w:tcPr>
          <w:p w14:paraId="4FF1D037">
            <w:pPr>
              <w:pStyle w:val="4"/>
              <w:spacing w:before="162"/>
              <w:ind w:left="71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450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vAlign w:val="top"/>
          </w:tcPr>
          <w:p w14:paraId="0E46E069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21554056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7A3C5BC9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1295CC01">
            <w:pPr>
              <w:pStyle w:val="4"/>
              <w:spacing w:before="58" w:line="216" w:lineRule="auto"/>
              <w:ind w:left="36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1"/>
                <w:highlight w:val="none"/>
                <w:lang w:val="en-US" w:eastAsia="zh-CN"/>
              </w:rPr>
              <w:t>2</w:t>
            </w:r>
            <w:r>
              <w:rPr>
                <w:spacing w:val="-1"/>
                <w:highlight w:val="none"/>
              </w:rPr>
              <w:t>,</w:t>
            </w:r>
            <w:r>
              <w:rPr>
                <w:rFonts w:hint="eastAsia"/>
                <w:spacing w:val="-1"/>
                <w:highlight w:val="none"/>
                <w:lang w:val="en-US" w:eastAsia="zh-CN"/>
              </w:rPr>
              <w:t>549</w:t>
            </w:r>
            <w:r>
              <w:rPr>
                <w:spacing w:val="-1"/>
                <w:highlight w:val="none"/>
              </w:rPr>
              <w:t>,</w:t>
            </w:r>
            <w:r>
              <w:rPr>
                <w:rFonts w:hint="eastAsia"/>
                <w:spacing w:val="-1"/>
                <w:highlight w:val="none"/>
                <w:lang w:val="en-US" w:eastAsia="zh-CN"/>
              </w:rPr>
              <w:t>000</w:t>
            </w:r>
          </w:p>
        </w:tc>
        <w:tc>
          <w:tcPr>
            <w:tcW w:w="1525" w:type="dxa"/>
            <w:vAlign w:val="top"/>
          </w:tcPr>
          <w:p w14:paraId="50CD656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61D06F8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69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75AE4C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358B6EAD">
            <w:pPr>
              <w:pStyle w:val="4"/>
              <w:spacing w:before="163" w:line="221" w:lineRule="auto"/>
              <w:ind w:left="20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混凝土</w:t>
            </w:r>
          </w:p>
        </w:tc>
        <w:tc>
          <w:tcPr>
            <w:tcW w:w="1223" w:type="dxa"/>
            <w:vAlign w:val="top"/>
          </w:tcPr>
          <w:p w14:paraId="631CF1BF">
            <w:pPr>
              <w:pStyle w:val="4"/>
              <w:spacing w:before="163"/>
              <w:ind w:left="478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</w:rPr>
              <w:t>C30</w:t>
            </w:r>
          </w:p>
        </w:tc>
        <w:tc>
          <w:tcPr>
            <w:tcW w:w="1096" w:type="dxa"/>
            <w:vAlign w:val="top"/>
          </w:tcPr>
          <w:p w14:paraId="1589D7EB">
            <w:pPr>
              <w:pStyle w:val="4"/>
              <w:spacing w:before="163"/>
              <w:ind w:left="418"/>
              <w:rPr>
                <w:highlight w:val="none"/>
              </w:rPr>
            </w:pPr>
            <w:r>
              <w:rPr>
                <w:rFonts w:hint="eastAsia"/>
                <w:spacing w:val="-3"/>
                <w:highlight w:val="none"/>
              </w:rPr>
              <w:t>5000</w:t>
            </w:r>
          </w:p>
        </w:tc>
        <w:tc>
          <w:tcPr>
            <w:tcW w:w="731" w:type="dxa"/>
            <w:vAlign w:val="top"/>
          </w:tcPr>
          <w:p w14:paraId="3733FEAC">
            <w:pPr>
              <w:pStyle w:val="4"/>
              <w:spacing w:before="163" w:line="241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m³</w:t>
            </w:r>
          </w:p>
        </w:tc>
        <w:tc>
          <w:tcPr>
            <w:tcW w:w="1692" w:type="dxa"/>
            <w:vAlign w:val="top"/>
          </w:tcPr>
          <w:p w14:paraId="4E3774D6">
            <w:pPr>
              <w:pStyle w:val="4"/>
              <w:spacing w:before="163"/>
              <w:ind w:left="71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455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vAlign w:val="top"/>
          </w:tcPr>
          <w:p w14:paraId="18678D5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6F314186">
            <w:pPr>
              <w:spacing w:line="360" w:lineRule="auto"/>
              <w:rPr>
                <w:rFonts w:ascii="Arial"/>
                <w:sz w:val="21"/>
                <w:highlight w:val="none"/>
              </w:rPr>
            </w:pPr>
          </w:p>
          <w:p w14:paraId="32F8CFAA">
            <w:pPr>
              <w:pStyle w:val="4"/>
              <w:spacing w:before="58" w:line="219" w:lineRule="auto"/>
              <w:ind w:left="384"/>
              <w:rPr>
                <w:highlight w:val="none"/>
              </w:rPr>
            </w:pPr>
          </w:p>
        </w:tc>
      </w:tr>
      <w:tr w14:paraId="7C7505CC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9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E2A9DA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53362DB8">
            <w:pPr>
              <w:pStyle w:val="4"/>
              <w:spacing w:before="164" w:line="221" w:lineRule="auto"/>
              <w:ind w:left="20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混凝土</w:t>
            </w:r>
          </w:p>
        </w:tc>
        <w:tc>
          <w:tcPr>
            <w:tcW w:w="1223" w:type="dxa"/>
            <w:vAlign w:val="top"/>
          </w:tcPr>
          <w:p w14:paraId="5BD42DE7">
            <w:pPr>
              <w:pStyle w:val="4"/>
              <w:spacing w:before="163"/>
              <w:ind w:left="478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</w:rPr>
              <w:t>C30P10</w:t>
            </w:r>
          </w:p>
        </w:tc>
        <w:tc>
          <w:tcPr>
            <w:tcW w:w="1096" w:type="dxa"/>
            <w:vAlign w:val="top"/>
          </w:tcPr>
          <w:p w14:paraId="216759E2">
            <w:pPr>
              <w:pStyle w:val="4"/>
              <w:spacing w:before="163"/>
              <w:ind w:left="466"/>
              <w:rPr>
                <w:highlight w:val="none"/>
              </w:rPr>
            </w:pPr>
            <w:r>
              <w:rPr>
                <w:rFonts w:hint="eastAsia"/>
                <w:spacing w:val="-6"/>
                <w:highlight w:val="none"/>
              </w:rPr>
              <w:t>100</w:t>
            </w:r>
          </w:p>
        </w:tc>
        <w:tc>
          <w:tcPr>
            <w:tcW w:w="731" w:type="dxa"/>
            <w:vAlign w:val="top"/>
          </w:tcPr>
          <w:p w14:paraId="07A10558">
            <w:pPr>
              <w:pStyle w:val="4"/>
              <w:spacing w:before="164" w:line="241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m³</w:t>
            </w:r>
          </w:p>
        </w:tc>
        <w:tc>
          <w:tcPr>
            <w:tcW w:w="1692" w:type="dxa"/>
            <w:vAlign w:val="top"/>
          </w:tcPr>
          <w:p w14:paraId="2CE58ADD">
            <w:pPr>
              <w:pStyle w:val="4"/>
              <w:spacing w:before="163"/>
              <w:ind w:left="71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490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vAlign w:val="top"/>
          </w:tcPr>
          <w:p w14:paraId="78DE168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240DA2A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30ACEC4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407" w:type="dxa"/>
            <w:gridSpan w:val="8"/>
            <w:vAlign w:val="top"/>
          </w:tcPr>
          <w:p w14:paraId="70E5AA8F">
            <w:pPr>
              <w:pStyle w:val="4"/>
              <w:spacing w:before="30" w:line="359" w:lineRule="auto"/>
              <w:ind w:left="117" w:right="62" w:hanging="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注：①以上数量为计划数量，投标人应按本项目的实际需求量进行供货，合同执行期间以实际供应量进行计量和结算，</w:t>
            </w:r>
            <w:r>
              <w:rPr>
                <w:spacing w:val="-2"/>
                <w:highlight w:val="none"/>
              </w:rPr>
              <w:t>详情见招标文件。</w:t>
            </w:r>
          </w:p>
          <w:p w14:paraId="657B28E5">
            <w:pPr>
              <w:pStyle w:val="4"/>
              <w:spacing w:line="217" w:lineRule="auto"/>
              <w:ind w:left="114"/>
              <w:rPr>
                <w:highlight w:val="none"/>
              </w:rPr>
            </w:pPr>
            <w:r>
              <w:rPr>
                <w:highlight w:val="none"/>
              </w:rPr>
              <w:t>②投标人投标报价不得超过最高投标限价，且单价不得超过单价最高限价，此单价为</w:t>
            </w:r>
            <w:r>
              <w:rPr>
                <w:spacing w:val="-1"/>
                <w:highlight w:val="none"/>
              </w:rPr>
              <w:t>含税（专票）。</w:t>
            </w:r>
          </w:p>
          <w:p w14:paraId="2F62DE9D">
            <w:pPr>
              <w:pStyle w:val="4"/>
              <w:spacing w:before="138" w:line="217" w:lineRule="auto"/>
              <w:ind w:left="114"/>
              <w:rPr>
                <w:highlight w:val="none"/>
              </w:rPr>
            </w:pPr>
            <w:r>
              <w:rPr>
                <w:highlight w:val="none"/>
              </w:rPr>
              <w:t>③最高投标限价包含货物价格、运费、装卸费、泵送费、税金及增值税附加（增值税</w:t>
            </w:r>
            <w:r>
              <w:rPr>
                <w:spacing w:val="-1"/>
                <w:highlight w:val="none"/>
              </w:rPr>
              <w:t>）等全部费用。</w:t>
            </w:r>
          </w:p>
        </w:tc>
      </w:tr>
    </w:tbl>
    <w:p w14:paraId="43EED977">
      <w:pPr>
        <w:spacing w:before="31" w:line="227" w:lineRule="auto"/>
        <w:ind w:left="6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2.5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交货期：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自合同签订日起至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2025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1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0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30 日（以招标人要求时</w:t>
      </w:r>
      <w:r>
        <w:rPr>
          <w:rFonts w:ascii="宋体" w:hAnsi="宋体" w:eastAsia="宋体" w:cs="宋体"/>
          <w:spacing w:val="2"/>
          <w:sz w:val="20"/>
          <w:szCs w:val="20"/>
        </w:rPr>
        <w:t>间为准）。</w:t>
      </w:r>
    </w:p>
    <w:p w14:paraId="3CB03C83">
      <w:pPr>
        <w:spacing w:before="162" w:line="227" w:lineRule="auto"/>
        <w:ind w:left="6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2.6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交货地点：</w:t>
      </w:r>
      <w:r>
        <w:rPr>
          <w:rFonts w:hint="eastAsia" w:ascii="宋体" w:hAnsi="宋体" w:eastAsia="宋体" w:cs="宋体"/>
          <w:spacing w:val="8"/>
          <w:sz w:val="20"/>
          <w:szCs w:val="20"/>
        </w:rPr>
        <w:t>黑龙江省海伦市伦河镇姜焕照村东南约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1.8km </w:t>
      </w:r>
      <w:r>
        <w:rPr>
          <w:rFonts w:hint="eastAsia" w:ascii="宋体" w:hAnsi="宋体" w:eastAsia="宋体" w:cs="宋体"/>
          <w:spacing w:val="8"/>
          <w:sz w:val="20"/>
          <w:szCs w:val="20"/>
        </w:rPr>
        <w:t>处</w:t>
      </w:r>
      <w:r>
        <w:rPr>
          <w:rFonts w:ascii="宋体" w:hAnsi="宋体" w:eastAsia="宋体" w:cs="宋体"/>
          <w:spacing w:val="8"/>
          <w:sz w:val="20"/>
          <w:szCs w:val="20"/>
        </w:rPr>
        <w:t>（招标人指定</w:t>
      </w:r>
      <w:r>
        <w:rPr>
          <w:rFonts w:ascii="宋体" w:hAnsi="宋体" w:eastAsia="宋体" w:cs="宋体"/>
          <w:spacing w:val="7"/>
          <w:sz w:val="20"/>
          <w:szCs w:val="20"/>
        </w:rPr>
        <w:t>地点）。</w:t>
      </w:r>
    </w:p>
    <w:p w14:paraId="2D475873">
      <w:pPr>
        <w:spacing w:before="162" w:line="228" w:lineRule="auto"/>
        <w:ind w:left="6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2.7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质量标准：符合现行国家、地方及行业</w:t>
      </w:r>
      <w:r>
        <w:rPr>
          <w:rFonts w:ascii="宋体" w:hAnsi="宋体" w:eastAsia="宋体" w:cs="宋体"/>
          <w:spacing w:val="8"/>
          <w:sz w:val="20"/>
          <w:szCs w:val="20"/>
        </w:rPr>
        <w:t>相关专业验收规范的合格标准。</w:t>
      </w:r>
    </w:p>
    <w:p w14:paraId="4B5B1353">
      <w:pPr>
        <w:spacing w:before="161" w:line="228" w:lineRule="auto"/>
        <w:ind w:left="6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3.投标人资格要求：</w:t>
      </w:r>
    </w:p>
    <w:p w14:paraId="0D7DA1DB">
      <w:pPr>
        <w:spacing w:before="163" w:line="302" w:lineRule="auto"/>
        <w:ind w:left="196" w:right="171" w:firstLine="4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3.1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投标人须具备中华人民共和国境内注册的法人或非法人组织，持有市场监督管理部门登记</w:t>
      </w:r>
      <w:r>
        <w:rPr>
          <w:rFonts w:ascii="宋体" w:hAnsi="宋体" w:eastAsia="宋体" w:cs="宋体"/>
          <w:spacing w:val="9"/>
          <w:sz w:val="20"/>
          <w:szCs w:val="20"/>
        </w:rPr>
        <w:t>的有效营业执照和基本账户开户许可证或基本存款账户信息，并具有履行合同的供货能力。</w:t>
      </w:r>
    </w:p>
    <w:p w14:paraId="22F4283D">
      <w:pPr>
        <w:spacing w:before="213" w:line="227" w:lineRule="auto"/>
        <w:ind w:left="6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3.2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信誉要求：</w:t>
      </w:r>
    </w:p>
    <w:p w14:paraId="3536AF2C">
      <w:pPr>
        <w:spacing w:before="65" w:line="302" w:lineRule="auto"/>
        <w:ind w:right="9" w:firstLine="4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3.2.1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投标人在国家企业信用信息公示系统（</w:t>
      </w:r>
      <w:r>
        <w:fldChar w:fldCharType="begin"/>
      </w:r>
      <w:r>
        <w:instrText xml:space="preserve"> HYPERLINK "http://www.gsxt.gov.cn/" </w:instrText>
      </w:r>
      <w:r>
        <w:fldChar w:fldCharType="separate"/>
      </w:r>
      <w:r>
        <w:rPr>
          <w:rFonts w:ascii="宋体" w:hAnsi="宋体" w:eastAsia="宋体" w:cs="宋体"/>
          <w:sz w:val="20"/>
          <w:szCs w:val="20"/>
        </w:rPr>
        <w:t>http</w:t>
      </w:r>
      <w:r>
        <w:rPr>
          <w:rFonts w:ascii="宋体" w:hAnsi="宋体" w:eastAsia="宋体" w:cs="宋体"/>
          <w:spacing w:val="10"/>
          <w:sz w:val="20"/>
          <w:szCs w:val="20"/>
        </w:rPr>
        <w:t>:</w:t>
      </w:r>
      <w:r>
        <w:rPr>
          <w:rFonts w:ascii="宋体" w:hAnsi="宋体" w:eastAsia="宋体" w:cs="宋体"/>
          <w:spacing w:val="9"/>
          <w:sz w:val="20"/>
          <w:szCs w:val="20"/>
        </w:rPr>
        <w:t>//</w:t>
      </w:r>
      <w:r>
        <w:rPr>
          <w:rFonts w:ascii="宋体" w:hAnsi="宋体" w:eastAsia="宋体" w:cs="宋体"/>
          <w:sz w:val="20"/>
          <w:szCs w:val="20"/>
        </w:rPr>
        <w:t>www</w:t>
      </w:r>
      <w:r>
        <w:rPr>
          <w:rFonts w:ascii="宋体" w:hAnsi="宋体" w:eastAsia="宋体" w:cs="宋体"/>
          <w:spacing w:val="9"/>
          <w:sz w:val="20"/>
          <w:szCs w:val="20"/>
        </w:rPr>
        <w:t>.</w:t>
      </w:r>
      <w:r>
        <w:rPr>
          <w:rFonts w:ascii="宋体" w:hAnsi="宋体" w:eastAsia="宋体" w:cs="宋体"/>
          <w:sz w:val="20"/>
          <w:szCs w:val="20"/>
        </w:rPr>
        <w:t>gsxt</w:t>
      </w:r>
      <w:r>
        <w:rPr>
          <w:rFonts w:ascii="宋体" w:hAnsi="宋体" w:eastAsia="宋体" w:cs="宋体"/>
          <w:spacing w:val="9"/>
          <w:sz w:val="20"/>
          <w:szCs w:val="20"/>
        </w:rPr>
        <w:t>.</w:t>
      </w:r>
      <w:r>
        <w:rPr>
          <w:rFonts w:ascii="宋体" w:hAnsi="宋体" w:eastAsia="宋体" w:cs="宋体"/>
          <w:sz w:val="20"/>
          <w:szCs w:val="20"/>
        </w:rPr>
        <w:t>gov</w:t>
      </w:r>
      <w:r>
        <w:rPr>
          <w:rFonts w:ascii="宋体" w:hAnsi="宋体" w:eastAsia="宋体" w:cs="宋体"/>
          <w:spacing w:val="9"/>
          <w:sz w:val="20"/>
          <w:szCs w:val="20"/>
        </w:rPr>
        <w:t>.</w:t>
      </w:r>
      <w:r>
        <w:rPr>
          <w:rFonts w:ascii="宋体" w:hAnsi="宋体" w:eastAsia="宋体" w:cs="宋体"/>
          <w:sz w:val="20"/>
          <w:szCs w:val="20"/>
        </w:rPr>
        <w:t>cn</w:t>
      </w:r>
      <w:r>
        <w:rPr>
          <w:rFonts w:ascii="宋体" w:hAnsi="宋体" w:eastAsia="宋体" w:cs="宋体"/>
          <w:spacing w:val="9"/>
          <w:sz w:val="20"/>
          <w:szCs w:val="20"/>
        </w:rPr>
        <w:t>/</w:t>
      </w:r>
      <w:r>
        <w:rPr>
          <w:rFonts w:ascii="宋体" w:hAnsi="宋体" w:eastAsia="宋体" w:cs="宋体"/>
          <w:spacing w:val="9"/>
          <w:sz w:val="20"/>
          <w:szCs w:val="20"/>
        </w:rPr>
        <w:fldChar w:fldCharType="end"/>
      </w:r>
      <w:r>
        <w:rPr>
          <w:rFonts w:ascii="宋体" w:hAnsi="宋体" w:eastAsia="宋体" w:cs="宋体"/>
          <w:spacing w:val="9"/>
          <w:sz w:val="20"/>
          <w:szCs w:val="20"/>
        </w:rPr>
        <w:t>）中被列入严重违法失</w:t>
      </w:r>
      <w:r>
        <w:rPr>
          <w:rFonts w:ascii="宋体" w:hAnsi="宋体" w:eastAsia="宋体" w:cs="宋体"/>
          <w:spacing w:val="10"/>
          <w:sz w:val="20"/>
          <w:szCs w:val="20"/>
        </w:rPr>
        <w:t>信企业名单的，不得参加本项目。以企业信</w:t>
      </w:r>
      <w:r>
        <w:rPr>
          <w:rFonts w:ascii="宋体" w:hAnsi="宋体" w:eastAsia="宋体" w:cs="宋体"/>
          <w:spacing w:val="9"/>
          <w:sz w:val="20"/>
          <w:szCs w:val="20"/>
        </w:rPr>
        <w:t>用信息公示系统网站查询结果（网页截图）为准。</w:t>
      </w:r>
    </w:p>
    <w:p w14:paraId="354804FC">
      <w:pPr>
        <w:spacing w:before="164" w:line="302" w:lineRule="auto"/>
        <w:ind w:left="2" w:right="9" w:firstLine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3.2.2</w:t>
      </w:r>
      <w:r>
        <w:rPr>
          <w:rFonts w:ascii="宋体" w:hAnsi="宋体" w:eastAsia="宋体" w:cs="宋体"/>
          <w:spacing w:val="-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投标人在“信用中国”网站（</w:t>
      </w:r>
      <w:r>
        <w:fldChar w:fldCharType="begin"/>
      </w:r>
      <w:r>
        <w:instrText xml:space="preserve"> HYPERLINK "http：//www.creditchina.gov.cn" </w:instrText>
      </w:r>
      <w:r>
        <w:fldChar w:fldCharType="separate"/>
      </w:r>
      <w:r>
        <w:rPr>
          <w:rFonts w:ascii="宋体" w:hAnsi="宋体" w:eastAsia="宋体" w:cs="宋体"/>
          <w:sz w:val="20"/>
          <w:szCs w:val="20"/>
        </w:rPr>
        <w:t>http</w:t>
      </w:r>
      <w:r>
        <w:rPr>
          <w:rFonts w:ascii="宋体" w:hAnsi="宋体" w:eastAsia="宋体" w:cs="宋体"/>
          <w:spacing w:val="12"/>
          <w:sz w:val="20"/>
          <w:szCs w:val="20"/>
        </w:rPr>
        <w:t>：//</w:t>
      </w:r>
      <w:r>
        <w:rPr>
          <w:rFonts w:ascii="宋体" w:hAnsi="宋体" w:eastAsia="宋体" w:cs="宋体"/>
          <w:sz w:val="20"/>
          <w:szCs w:val="20"/>
        </w:rPr>
        <w:t>www</w:t>
      </w:r>
      <w:r>
        <w:rPr>
          <w:rFonts w:ascii="宋体" w:hAnsi="宋体" w:eastAsia="宋体" w:cs="宋体"/>
          <w:spacing w:val="12"/>
          <w:sz w:val="20"/>
          <w:szCs w:val="20"/>
        </w:rPr>
        <w:t>.</w:t>
      </w:r>
      <w:r>
        <w:rPr>
          <w:rFonts w:ascii="宋体" w:hAnsi="宋体" w:eastAsia="宋体" w:cs="宋体"/>
          <w:sz w:val="20"/>
          <w:szCs w:val="20"/>
        </w:rPr>
        <w:t>creditchina</w:t>
      </w:r>
      <w:r>
        <w:rPr>
          <w:rFonts w:ascii="宋体" w:hAnsi="宋体" w:eastAsia="宋体" w:cs="宋体"/>
          <w:spacing w:val="12"/>
          <w:sz w:val="20"/>
          <w:szCs w:val="20"/>
        </w:rPr>
        <w:t>.</w:t>
      </w:r>
      <w:r>
        <w:rPr>
          <w:rFonts w:ascii="宋体" w:hAnsi="宋体" w:eastAsia="宋体" w:cs="宋体"/>
          <w:sz w:val="20"/>
          <w:szCs w:val="20"/>
        </w:rPr>
        <w:t>gov</w:t>
      </w:r>
      <w:r>
        <w:rPr>
          <w:rFonts w:ascii="宋体" w:hAnsi="宋体" w:eastAsia="宋体" w:cs="宋体"/>
          <w:spacing w:val="12"/>
          <w:sz w:val="20"/>
          <w:szCs w:val="20"/>
        </w:rPr>
        <w:t>.</w:t>
      </w:r>
      <w:r>
        <w:rPr>
          <w:rFonts w:ascii="宋体" w:hAnsi="宋体" w:eastAsia="宋体" w:cs="宋体"/>
          <w:sz w:val="20"/>
          <w:szCs w:val="20"/>
        </w:rPr>
        <w:t>cn</w:t>
      </w:r>
      <w:r>
        <w:rPr>
          <w:rFonts w:ascii="宋体" w:hAnsi="宋体" w:eastAsia="宋体" w:cs="宋体"/>
          <w:sz w:val="20"/>
          <w:szCs w:val="20"/>
        </w:rPr>
        <w:fldChar w:fldCharType="end"/>
      </w:r>
      <w:r>
        <w:rPr>
          <w:rFonts w:ascii="宋体" w:hAnsi="宋体" w:eastAsia="宋体" w:cs="宋体"/>
          <w:spacing w:val="12"/>
          <w:sz w:val="20"/>
          <w:szCs w:val="20"/>
        </w:rPr>
        <w:t>）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中被列入失信被执行</w:t>
      </w:r>
      <w:r>
        <w:rPr>
          <w:rFonts w:ascii="宋体" w:hAnsi="宋体" w:eastAsia="宋体" w:cs="宋体"/>
          <w:spacing w:val="8"/>
          <w:sz w:val="20"/>
          <w:szCs w:val="20"/>
        </w:rPr>
        <w:t>人名单的，不得参加本项目。以“信用中国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”网站查询结果（网页截图）为准。</w:t>
      </w:r>
    </w:p>
    <w:p w14:paraId="6C86F42A">
      <w:pPr>
        <w:spacing w:before="162" w:line="339" w:lineRule="auto"/>
        <w:ind w:right="9" w:firstLine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3.2.3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近三年（2022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年09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月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01 日～投标文件递交截止时间止）投标人及其法定代表人/单位负</w:t>
      </w:r>
      <w:r>
        <w:rPr>
          <w:rFonts w:ascii="宋体" w:hAnsi="宋体" w:eastAsia="宋体" w:cs="宋体"/>
          <w:spacing w:val="11"/>
          <w:sz w:val="20"/>
          <w:szCs w:val="20"/>
        </w:rPr>
        <w:t>责人有行贿犯罪记录的，不得参加本项目投标。无行贿犯罪行为的认定</w:t>
      </w:r>
      <w:r>
        <w:rPr>
          <w:rFonts w:ascii="宋体" w:hAnsi="宋体" w:eastAsia="宋体" w:cs="宋体"/>
          <w:spacing w:val="10"/>
          <w:sz w:val="20"/>
          <w:szCs w:val="20"/>
        </w:rPr>
        <w:t>以投标人提供的在中国裁判文书（</w:t>
      </w:r>
      <w:r>
        <w:fldChar w:fldCharType="begin"/>
      </w:r>
      <w:r>
        <w:instrText xml:space="preserve"> HYPERLINK "https：//wenshu.court.gov.cn/" </w:instrText>
      </w:r>
      <w:r>
        <w:fldChar w:fldCharType="separate"/>
      </w:r>
      <w:r>
        <w:rPr>
          <w:rFonts w:ascii="宋体" w:hAnsi="宋体" w:eastAsia="宋体" w:cs="宋体"/>
          <w:sz w:val="20"/>
          <w:szCs w:val="20"/>
        </w:rPr>
        <w:t>https</w:t>
      </w:r>
      <w:r>
        <w:rPr>
          <w:rFonts w:ascii="宋体" w:hAnsi="宋体" w:eastAsia="宋体" w:cs="宋体"/>
          <w:spacing w:val="10"/>
          <w:sz w:val="20"/>
          <w:szCs w:val="20"/>
        </w:rPr>
        <w:t>：//</w:t>
      </w:r>
      <w:r>
        <w:rPr>
          <w:rFonts w:ascii="宋体" w:hAnsi="宋体" w:eastAsia="宋体" w:cs="宋体"/>
          <w:sz w:val="20"/>
          <w:szCs w:val="20"/>
        </w:rPr>
        <w:t>wenshu</w:t>
      </w:r>
      <w:r>
        <w:rPr>
          <w:rFonts w:ascii="宋体" w:hAnsi="宋体" w:eastAsia="宋体" w:cs="宋体"/>
          <w:spacing w:val="10"/>
          <w:sz w:val="20"/>
          <w:szCs w:val="20"/>
        </w:rPr>
        <w:t>.</w:t>
      </w:r>
      <w:r>
        <w:rPr>
          <w:rFonts w:ascii="宋体" w:hAnsi="宋体" w:eastAsia="宋体" w:cs="宋体"/>
          <w:sz w:val="20"/>
          <w:szCs w:val="20"/>
        </w:rPr>
        <w:t>court</w:t>
      </w:r>
      <w:r>
        <w:rPr>
          <w:rFonts w:ascii="宋体" w:hAnsi="宋体" w:eastAsia="宋体" w:cs="宋体"/>
          <w:spacing w:val="10"/>
          <w:sz w:val="20"/>
          <w:szCs w:val="20"/>
        </w:rPr>
        <w:t>.</w:t>
      </w:r>
      <w:r>
        <w:rPr>
          <w:rFonts w:ascii="宋体" w:hAnsi="宋体" w:eastAsia="宋体" w:cs="宋体"/>
          <w:sz w:val="20"/>
          <w:szCs w:val="20"/>
        </w:rPr>
        <w:t>gov</w:t>
      </w:r>
      <w:r>
        <w:rPr>
          <w:rFonts w:ascii="宋体" w:hAnsi="宋体" w:eastAsia="宋体" w:cs="宋体"/>
          <w:spacing w:val="10"/>
          <w:sz w:val="20"/>
          <w:szCs w:val="20"/>
        </w:rPr>
        <w:t>.</w:t>
      </w:r>
      <w:r>
        <w:rPr>
          <w:rFonts w:ascii="宋体" w:hAnsi="宋体" w:eastAsia="宋体" w:cs="宋体"/>
          <w:sz w:val="20"/>
          <w:szCs w:val="20"/>
        </w:rPr>
        <w:t>cn</w:t>
      </w:r>
      <w:r>
        <w:rPr>
          <w:rFonts w:ascii="宋体" w:hAnsi="宋体" w:eastAsia="宋体" w:cs="宋体"/>
          <w:spacing w:val="10"/>
          <w:sz w:val="20"/>
          <w:szCs w:val="20"/>
        </w:rPr>
        <w:t>/</w:t>
      </w:r>
      <w:r>
        <w:rPr>
          <w:rFonts w:ascii="宋体" w:hAnsi="宋体" w:eastAsia="宋体" w:cs="宋体"/>
          <w:spacing w:val="10"/>
          <w:sz w:val="20"/>
          <w:szCs w:val="20"/>
        </w:rPr>
        <w:fldChar w:fldCharType="end"/>
      </w:r>
      <w:r>
        <w:rPr>
          <w:rFonts w:ascii="宋体" w:hAnsi="宋体" w:eastAsia="宋体" w:cs="宋体"/>
          <w:spacing w:val="10"/>
          <w:sz w:val="20"/>
          <w:szCs w:val="20"/>
        </w:rPr>
        <w:t>）网站上无行贿犯罪查询记录的网页截图为准（查询日期应</w:t>
      </w:r>
      <w:r>
        <w:rPr>
          <w:rFonts w:ascii="宋体" w:hAnsi="宋体" w:eastAsia="宋体" w:cs="宋体"/>
          <w:spacing w:val="8"/>
          <w:sz w:val="20"/>
          <w:szCs w:val="20"/>
        </w:rPr>
        <w:t>在招标公告发布后至投标文件递交截止日期之间）。</w:t>
      </w:r>
    </w:p>
    <w:p w14:paraId="611523AE">
      <w:pPr>
        <w:spacing w:before="213" w:line="227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注：查询方法详见“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附件：部分网页截图示例查询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方法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”。</w:t>
      </w:r>
    </w:p>
    <w:p w14:paraId="71529120">
      <w:pPr>
        <w:spacing w:before="213" w:line="347" w:lineRule="auto"/>
        <w:ind w:left="1" w:right="9" w:firstLine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3.3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与招标人存在利害关系可能影响招标公正性的法人或非法人组织，不得参加本项目投标。单位负责人为同一人或者存在控股、管理关系的不同单位不得同时</w:t>
      </w:r>
      <w:r>
        <w:rPr>
          <w:rFonts w:ascii="宋体" w:hAnsi="宋体" w:eastAsia="宋体" w:cs="宋体"/>
          <w:spacing w:val="10"/>
          <w:sz w:val="20"/>
          <w:szCs w:val="20"/>
        </w:rPr>
        <w:t>参加本项目投标，</w:t>
      </w:r>
      <w:r>
        <w:rPr>
          <w:rFonts w:ascii="宋体" w:hAnsi="宋体" w:eastAsia="宋体" w:cs="宋体"/>
          <w:color w:val="404040"/>
          <w:spacing w:val="10"/>
          <w:sz w:val="20"/>
          <w:szCs w:val="20"/>
        </w:rPr>
        <w:t>法定代表人为</w:t>
      </w:r>
      <w:r>
        <w:rPr>
          <w:rFonts w:ascii="宋体" w:hAnsi="宋体" w:eastAsia="宋体" w:cs="宋体"/>
          <w:color w:val="404040"/>
          <w:spacing w:val="11"/>
          <w:sz w:val="20"/>
          <w:szCs w:val="20"/>
        </w:rPr>
        <w:t>同一个人的两个及两个以上法人，母公司、全资子公司及其控股公</w:t>
      </w:r>
      <w:r>
        <w:rPr>
          <w:rFonts w:ascii="宋体" w:hAnsi="宋体" w:eastAsia="宋体" w:cs="宋体"/>
          <w:color w:val="404040"/>
          <w:spacing w:val="10"/>
          <w:sz w:val="20"/>
          <w:szCs w:val="20"/>
        </w:rPr>
        <w:t>司，都不得在同一货物招标中同</w:t>
      </w:r>
      <w:r>
        <w:rPr>
          <w:rFonts w:ascii="宋体" w:hAnsi="宋体" w:eastAsia="宋体" w:cs="宋体"/>
          <w:color w:val="404040"/>
          <w:spacing w:val="11"/>
          <w:sz w:val="20"/>
          <w:szCs w:val="20"/>
        </w:rPr>
        <w:t>时投标</w:t>
      </w:r>
      <w:r>
        <w:rPr>
          <w:rFonts w:ascii="宋体" w:hAnsi="宋体" w:eastAsia="宋体" w:cs="宋体"/>
          <w:spacing w:val="11"/>
          <w:sz w:val="20"/>
          <w:szCs w:val="20"/>
        </w:rPr>
        <w:t>以及不同单位的高级管理人员之间存在交叉任职的均</w:t>
      </w:r>
      <w:r>
        <w:rPr>
          <w:rFonts w:ascii="宋体" w:hAnsi="宋体" w:eastAsia="宋体" w:cs="宋体"/>
          <w:spacing w:val="10"/>
          <w:sz w:val="20"/>
          <w:szCs w:val="20"/>
        </w:rPr>
        <w:t>不得同时参加本项目同一标段投标。违</w:t>
      </w:r>
      <w:r>
        <w:rPr>
          <w:rFonts w:ascii="宋体" w:hAnsi="宋体" w:eastAsia="宋体" w:cs="宋体"/>
          <w:spacing w:val="8"/>
          <w:sz w:val="20"/>
          <w:szCs w:val="20"/>
        </w:rPr>
        <w:t>反本条款规定的，相关投标均无效。</w:t>
      </w:r>
    </w:p>
    <w:p w14:paraId="0B7A3CCC">
      <w:pPr>
        <w:spacing w:before="212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3.4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本招标项目不接受联合体参加投标。不允许分包。</w:t>
      </w:r>
    </w:p>
    <w:p w14:paraId="384D766A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4.招标文件的获取</w:t>
      </w:r>
    </w:p>
    <w:p w14:paraId="05F4CED8">
      <w:pPr>
        <w:spacing w:before="161" w:line="304" w:lineRule="auto"/>
        <w:ind w:left="10" w:right="9" w:firstLine="39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4.1</w:t>
      </w:r>
      <w:r>
        <w:rPr>
          <w:rFonts w:ascii="宋体" w:hAnsi="宋体" w:eastAsia="宋体" w:cs="宋体"/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招标文件获取时间：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2025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0"/>
          <w:szCs w:val="20"/>
          <w:lang w:val="en-US" w:eastAsia="zh-CN"/>
        </w:rPr>
        <w:t>10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月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0"/>
          <w:szCs w:val="20"/>
          <w:lang w:val="en-US" w:eastAsia="zh-CN"/>
        </w:rPr>
        <w:t>10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日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00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时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00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分至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2025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lang w:val="en-US" w:eastAsia="zh-CN"/>
        </w:rPr>
        <w:t>10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33"/>
          <w:sz w:val="20"/>
          <w:szCs w:val="20"/>
          <w:lang w:val="en-US" w:eastAsia="zh-CN"/>
        </w:rPr>
        <w:t>14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日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lang w:val="en-US" w:eastAsia="zh-CN"/>
        </w:rPr>
        <w:t>24</w:t>
      </w:r>
      <w:bookmarkStart w:id="0" w:name="_GoBack"/>
      <w:bookmarkEnd w:id="0"/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时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00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分（北京</w:t>
      </w: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时间，下同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）；</w:t>
      </w:r>
    </w:p>
    <w:p w14:paraId="087B5E80">
      <w:pPr>
        <w:spacing w:before="161" w:line="377" w:lineRule="auto"/>
        <w:ind w:left="2" w:right="9" w:firstLine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4.2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招标文件获取方式：</w:t>
      </w:r>
      <w:r>
        <w:rPr>
          <w:rFonts w:ascii="宋体" w:hAnsi="宋体" w:eastAsia="宋体" w:cs="宋体"/>
          <w:spacing w:val="3"/>
          <w:sz w:val="20"/>
          <w:szCs w:val="20"/>
        </w:rPr>
        <w:t>凡有意参与本项目的投标人，</w:t>
      </w:r>
      <w:r>
        <w:rPr>
          <w:rFonts w:hint="default" w:ascii="宋体" w:hAnsi="宋体" w:eastAsia="宋体" w:cs="宋体"/>
          <w:spacing w:val="3"/>
          <w:sz w:val="20"/>
          <w:szCs w:val="20"/>
        </w:rPr>
        <w:t>采购文件公告期为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5</w:t>
      </w:r>
      <w:r>
        <w:rPr>
          <w:rFonts w:hint="default" w:ascii="宋体" w:hAnsi="宋体" w:eastAsia="宋体" w:cs="宋体"/>
          <w:spacing w:val="3"/>
          <w:sz w:val="20"/>
          <w:szCs w:val="20"/>
        </w:rPr>
        <w:t>日，供应商须在公告期内凭</w:t>
      </w:r>
      <w:r>
        <w:rPr>
          <w:rFonts w:hint="default" w:ascii="宋体" w:hAnsi="宋体" w:eastAsia="宋体" w:cs="宋体"/>
          <w:spacing w:val="3"/>
          <w:sz w:val="20"/>
          <w:szCs w:val="20"/>
          <w:lang w:val="en-US" w:eastAsia="zh-CN"/>
        </w:rPr>
        <w:t>在</w:t>
      </w:r>
      <w:r>
        <w:rPr>
          <w:rFonts w:hint="default" w:ascii="宋体" w:hAnsi="宋体" w:eastAsia="宋体" w:cs="宋体"/>
          <w:spacing w:val="3"/>
          <w:sz w:val="20"/>
          <w:szCs w:val="20"/>
        </w:rPr>
        <w:t>中招联合招标采购平台</w:t>
      </w:r>
      <w:r>
        <w:rPr>
          <w:rFonts w:hint="default" w:ascii="宋体" w:hAnsi="宋体" w:eastAsia="宋体" w:cs="宋体"/>
          <w:spacing w:val="3"/>
          <w:sz w:val="20"/>
          <w:szCs w:val="20"/>
          <w:lang w:val="en-US" w:eastAsia="zh-CN"/>
        </w:rPr>
        <w:t>所办理的CA</w:t>
      </w:r>
      <w:r>
        <w:rPr>
          <w:rFonts w:hint="default" w:ascii="宋体" w:hAnsi="宋体" w:eastAsia="宋体" w:cs="宋体"/>
          <w:spacing w:val="3"/>
          <w:sz w:val="20"/>
          <w:szCs w:val="20"/>
        </w:rPr>
        <w:t>，登录中招联合招标采购平台， 选择“</w:t>
      </w:r>
      <w:r>
        <w:rPr>
          <w:rFonts w:hint="default" w:ascii="宋体" w:hAnsi="宋体" w:eastAsia="宋体" w:cs="宋体"/>
          <w:spacing w:val="3"/>
          <w:sz w:val="20"/>
          <w:szCs w:val="20"/>
          <w:lang w:val="en-US" w:eastAsia="zh-CN"/>
        </w:rPr>
        <w:t>供应商/投标人入口</w:t>
      </w:r>
      <w:r>
        <w:rPr>
          <w:rFonts w:hint="default" w:ascii="宋体" w:hAnsi="宋体" w:eastAsia="宋体" w:cs="宋体"/>
          <w:spacing w:val="3"/>
          <w:sz w:val="20"/>
          <w:szCs w:val="20"/>
        </w:rPr>
        <w:t xml:space="preserve"> → 应标 → 项目投标”，在列表中选择需要参与的项目， 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也可按照《全电子流程项目供应商操作要点指引》进行操作，</w:t>
      </w:r>
      <w:r>
        <w:rPr>
          <w:rFonts w:hint="default" w:ascii="宋体" w:hAnsi="宋体" w:eastAsia="宋体" w:cs="宋体"/>
          <w:spacing w:val="3"/>
          <w:sz w:val="20"/>
          <w:szCs w:val="20"/>
        </w:rPr>
        <w:t>确认参与后即可获取文件。获取文件的供应商，方具有投标和质疑资格。逾期报名，不再受理</w:t>
      </w:r>
      <w:r>
        <w:rPr>
          <w:rFonts w:ascii="宋体" w:hAnsi="宋体" w:eastAsia="宋体" w:cs="宋体"/>
          <w:spacing w:val="9"/>
          <w:sz w:val="20"/>
          <w:szCs w:val="20"/>
        </w:rPr>
        <w:t>。</w:t>
      </w:r>
    </w:p>
    <w:p w14:paraId="37101A5E">
      <w:pPr>
        <w:spacing w:before="1" w:line="226" w:lineRule="auto"/>
        <w:ind w:left="4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4.3</w:t>
      </w:r>
      <w:r>
        <w:rPr>
          <w:rFonts w:ascii="宋体" w:hAnsi="宋体" w:eastAsia="宋体" w:cs="宋体"/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本项目采用网上申请方式，投标人登录系统后，按要求进行本项目</w:t>
      </w:r>
      <w:r>
        <w:rPr>
          <w:rFonts w:ascii="宋体" w:hAnsi="宋体" w:eastAsia="宋体" w:cs="宋体"/>
          <w:spacing w:val="1"/>
          <w:sz w:val="20"/>
          <w:szCs w:val="20"/>
        </w:rPr>
        <w:t>招标的相关操作；</w:t>
      </w:r>
    </w:p>
    <w:p w14:paraId="3387CAB9">
      <w:pPr>
        <w:spacing w:before="162" w:line="226" w:lineRule="auto"/>
        <w:ind w:left="4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4.4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招标文件售价：本项目不收取。</w:t>
      </w:r>
    </w:p>
    <w:p w14:paraId="53FC6B96">
      <w:pPr>
        <w:spacing w:before="166" w:line="228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5.投标保证金：</w:t>
      </w:r>
    </w:p>
    <w:p w14:paraId="73C867F7">
      <w:pPr>
        <w:spacing w:before="160" w:line="225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5.1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投标保证金的金额：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0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元人民币/标段；</w:t>
      </w:r>
    </w:p>
    <w:p w14:paraId="19D3476D">
      <w:pPr>
        <w:spacing w:before="165" w:line="228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5.2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保证金递交截止时间：</w:t>
      </w:r>
      <w:r>
        <w:rPr>
          <w:rFonts w:ascii="宋体" w:hAnsi="宋体" w:eastAsia="宋体" w:cs="宋体"/>
          <w:b/>
          <w:bCs/>
          <w:sz w:val="20"/>
          <w:szCs w:val="20"/>
        </w:rPr>
        <w:t>2025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</w:rPr>
        <w:t>年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</w:rPr>
        <w:t>10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</w:rPr>
        <w:t>月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20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</w:rPr>
        <w:t>日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09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</w:rPr>
        <w:t>时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</w:rPr>
        <w:t>00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</w:rPr>
        <w:t>分</w:t>
      </w:r>
      <w:r>
        <w:rPr>
          <w:rFonts w:ascii="宋体" w:hAnsi="宋体" w:eastAsia="宋体" w:cs="宋体"/>
          <w:sz w:val="20"/>
          <w:szCs w:val="20"/>
        </w:rPr>
        <w:t>；</w:t>
      </w:r>
    </w:p>
    <w:p w14:paraId="3ABDF292">
      <w:pPr>
        <w:spacing w:before="65" w:line="228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5.3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投标保证金递交方式：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电汇或网银；</w:t>
      </w:r>
    </w:p>
    <w:p w14:paraId="2533064E">
      <w:pPr>
        <w:spacing w:before="160" w:line="378" w:lineRule="auto"/>
        <w:ind w:left="2" w:right="97" w:firstLine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注</w:t>
      </w:r>
      <w:r>
        <w:rPr>
          <w:rFonts w:ascii="宋体" w:hAnsi="宋体" w:eastAsia="宋体" w:cs="宋体"/>
          <w:spacing w:val="-28"/>
          <w:sz w:val="20"/>
          <w:szCs w:val="20"/>
        </w:rPr>
        <w:t>：（</w:t>
      </w:r>
      <w:r>
        <w:rPr>
          <w:rFonts w:ascii="宋体" w:hAnsi="宋体" w:eastAsia="宋体" w:cs="宋体"/>
          <w:spacing w:val="10"/>
          <w:sz w:val="20"/>
          <w:szCs w:val="20"/>
        </w:rPr>
        <w:t>1）投标保证金应按《数字服务平台供应商操作手册》“六</w:t>
      </w:r>
      <w:r>
        <w:rPr>
          <w:rFonts w:ascii="宋体" w:hAnsi="宋体" w:eastAsia="宋体" w:cs="宋体"/>
          <w:spacing w:val="9"/>
          <w:sz w:val="20"/>
          <w:szCs w:val="20"/>
        </w:rPr>
        <w:t>、递交投</w:t>
      </w:r>
      <w:r>
        <w:rPr>
          <w:rFonts w:ascii="宋体" w:hAnsi="宋体" w:eastAsia="宋体" w:cs="宋体"/>
          <w:spacing w:val="6"/>
          <w:sz w:val="20"/>
          <w:szCs w:val="20"/>
        </w:rPr>
        <w:t>标保证金</w:t>
      </w:r>
      <w:r>
        <w:rPr>
          <w:rFonts w:ascii="宋体" w:hAnsi="宋体" w:eastAsia="宋体" w:cs="宋体"/>
          <w:spacing w:val="-6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”程序进行相关操作；</w:t>
      </w:r>
    </w:p>
    <w:p w14:paraId="7A4310FE">
      <w:pPr>
        <w:spacing w:before="3" w:line="326" w:lineRule="auto"/>
        <w:ind w:left="2" w:right="45" w:firstLine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（2）投标人应当采取网上银行支付、手机银行支付或银行柜台转账的方式，</w:t>
      </w:r>
      <w:r>
        <w:rPr>
          <w:rFonts w:ascii="宋体" w:hAnsi="宋体" w:eastAsia="宋体" w:cs="宋体"/>
          <w:spacing w:val="7"/>
          <w:sz w:val="20"/>
          <w:szCs w:val="20"/>
        </w:rPr>
        <w:t>将投标保证金按时</w:t>
      </w:r>
      <w:r>
        <w:rPr>
          <w:rFonts w:ascii="宋体" w:hAnsi="宋体" w:eastAsia="宋体" w:cs="宋体"/>
          <w:spacing w:val="9"/>
          <w:sz w:val="20"/>
          <w:szCs w:val="20"/>
        </w:rPr>
        <w:t>一次性足额汇入系统随机生成的银行账户；进入项目后点击投标</w:t>
      </w:r>
      <w:r>
        <w:rPr>
          <w:rFonts w:ascii="宋体" w:hAnsi="宋体" w:eastAsia="宋体" w:cs="宋体"/>
          <w:spacing w:val="8"/>
          <w:sz w:val="20"/>
          <w:szCs w:val="20"/>
        </w:rPr>
        <w:t>保证金→递交→缴纳方式（电汇</w:t>
      </w:r>
      <w:r>
        <w:rPr>
          <w:rFonts w:ascii="宋体" w:hAnsi="宋体" w:eastAsia="宋体" w:cs="宋体"/>
          <w:spacing w:val="-26"/>
          <w:sz w:val="20"/>
          <w:szCs w:val="20"/>
        </w:rPr>
        <w:t>）；</w:t>
      </w:r>
      <w:r>
        <w:rPr>
          <w:rFonts w:ascii="宋体" w:hAnsi="宋体" w:eastAsia="宋体" w:cs="宋体"/>
          <w:spacing w:val="9"/>
          <w:sz w:val="20"/>
          <w:szCs w:val="20"/>
        </w:rPr>
        <w:t>保证金的缴纳账号由系统自动生成，每个项目所划分包次/标段的账号均不相同；</w:t>
      </w:r>
    </w:p>
    <w:p w14:paraId="0BD31818">
      <w:pPr>
        <w:spacing w:before="161" w:line="302" w:lineRule="auto"/>
        <w:ind w:left="11" w:right="97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（3）为保证招标活动完成后及时退还保证金，汇款前，投标人应按提示填写准确</w:t>
      </w:r>
      <w:r>
        <w:rPr>
          <w:rFonts w:ascii="宋体" w:hAnsi="宋体" w:eastAsia="宋体" w:cs="宋体"/>
          <w:spacing w:val="7"/>
          <w:sz w:val="20"/>
          <w:szCs w:val="20"/>
        </w:rPr>
        <w:t>的汇款方信息</w:t>
      </w:r>
      <w:r>
        <w:rPr>
          <w:rFonts w:ascii="宋体" w:hAnsi="宋体" w:eastAsia="宋体" w:cs="宋体"/>
          <w:spacing w:val="8"/>
          <w:sz w:val="20"/>
          <w:szCs w:val="20"/>
        </w:rPr>
        <w:t>（包括汇出行账号、地址、联系方式等</w:t>
      </w:r>
      <w:r>
        <w:rPr>
          <w:rFonts w:ascii="宋体" w:hAnsi="宋体" w:eastAsia="宋体" w:cs="宋体"/>
          <w:spacing w:val="6"/>
          <w:sz w:val="20"/>
          <w:szCs w:val="20"/>
        </w:rPr>
        <w:t>）；</w:t>
      </w:r>
    </w:p>
    <w:p w14:paraId="7354BF10">
      <w:pPr>
        <w:spacing w:before="164" w:line="302" w:lineRule="auto"/>
        <w:ind w:right="100" w:firstLine="4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（4）投标保证金未在规定时间到账、未交纳到系统提示账号或无效交纳的，</w:t>
      </w:r>
      <w:r>
        <w:rPr>
          <w:rFonts w:ascii="宋体" w:hAnsi="宋体" w:eastAsia="宋体" w:cs="宋体"/>
          <w:spacing w:val="7"/>
          <w:sz w:val="20"/>
          <w:szCs w:val="20"/>
        </w:rPr>
        <w:t>其递交的投标文件将被视为无效。</w:t>
      </w:r>
    </w:p>
    <w:p w14:paraId="6B219CCB">
      <w:pPr>
        <w:spacing w:before="160" w:line="228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6.投标文件的递交</w:t>
      </w:r>
    </w:p>
    <w:p w14:paraId="32AB4F13">
      <w:pPr>
        <w:spacing w:before="161" w:line="228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6.1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投标文件递交截止时间（投标截止时间，下同）为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20</w:t>
      </w: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25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10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月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lang w:val="en-US" w:eastAsia="zh-CN"/>
        </w:rPr>
        <w:t>20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日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lang w:val="en-US" w:eastAsia="zh-CN"/>
        </w:rPr>
        <w:t>09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时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00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分</w:t>
      </w:r>
      <w:r>
        <w:rPr>
          <w:rFonts w:ascii="宋体" w:hAnsi="宋体" w:eastAsia="宋体" w:cs="宋体"/>
          <w:spacing w:val="2"/>
          <w:sz w:val="20"/>
          <w:szCs w:val="20"/>
        </w:rPr>
        <w:t>；</w:t>
      </w:r>
    </w:p>
    <w:p w14:paraId="741DBC18">
      <w:pPr>
        <w:spacing w:before="164" w:line="347" w:lineRule="auto"/>
        <w:ind w:firstLine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6.2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投标人应在</w:t>
      </w:r>
      <w:r>
        <w:rPr>
          <w:rFonts w:ascii="宋体" w:hAnsi="宋体" w:eastAsia="宋体" w:cs="宋体"/>
          <w:b/>
          <w:bCs/>
          <w:spacing w:val="11"/>
          <w:sz w:val="20"/>
          <w:szCs w:val="20"/>
        </w:rPr>
        <w:t>采购服务平台→下载专区→工具软件→</w:t>
      </w:r>
      <w:r>
        <w:rPr>
          <w:rFonts w:ascii="宋体" w:hAnsi="宋体" w:eastAsia="宋体" w:cs="宋体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b/>
          <w:bCs/>
          <w:spacing w:val="11"/>
          <w:sz w:val="20"/>
          <w:szCs w:val="20"/>
        </w:rPr>
        <w:t>投标文件制作工具（供应商使用）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”下载工具后编制电子投标文件，并按招标文件要求进行加密、递交</w:t>
      </w:r>
      <w:r>
        <w:rPr>
          <w:rFonts w:ascii="宋体" w:hAnsi="宋体" w:eastAsia="宋体" w:cs="宋体"/>
          <w:spacing w:val="10"/>
          <w:sz w:val="20"/>
          <w:szCs w:val="20"/>
        </w:rPr>
        <w:t>。投标人应在投标文件规定的开标截止时间前，通过互联网使用</w:t>
      </w:r>
      <w:r>
        <w:rPr>
          <w:rFonts w:ascii="宋体" w:hAnsi="宋体" w:eastAsia="宋体" w:cs="宋体"/>
          <w:sz w:val="20"/>
          <w:szCs w:val="20"/>
        </w:rPr>
        <w:t>CA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数字证书登录</w:t>
      </w:r>
      <w:r>
        <w:rPr>
          <w:rFonts w:ascii="宋体" w:hAnsi="宋体" w:eastAsia="宋体" w:cs="宋体"/>
          <w:spacing w:val="9"/>
          <w:sz w:val="20"/>
          <w:szCs w:val="20"/>
        </w:rPr>
        <w:t>采购服务平台，将加密的投标文件上传，并保存上</w:t>
      </w:r>
      <w:r>
        <w:rPr>
          <w:rFonts w:ascii="宋体" w:hAnsi="宋体" w:eastAsia="宋体" w:cs="宋体"/>
          <w:spacing w:val="11"/>
          <w:sz w:val="20"/>
          <w:szCs w:val="20"/>
        </w:rPr>
        <w:t>传成功后系统自动生成的电子签收凭证，递交时间即为电子签收凭证时</w:t>
      </w:r>
      <w:r>
        <w:rPr>
          <w:rFonts w:ascii="宋体" w:hAnsi="宋体" w:eastAsia="宋体" w:cs="宋体"/>
          <w:spacing w:val="10"/>
          <w:sz w:val="20"/>
          <w:szCs w:val="20"/>
        </w:rPr>
        <w:t>间。投标人应充分考虑上传文件时的不可预见因素，未在递交截止时间</w:t>
      </w:r>
      <w:r>
        <w:rPr>
          <w:rFonts w:ascii="宋体" w:hAnsi="宋体" w:eastAsia="宋体" w:cs="宋体"/>
          <w:spacing w:val="9"/>
          <w:sz w:val="20"/>
          <w:szCs w:val="20"/>
        </w:rPr>
        <w:t>前完成上传的，视为逾期送达，将不予受理。</w:t>
      </w:r>
    </w:p>
    <w:p w14:paraId="78D89F54">
      <w:pPr>
        <w:spacing w:before="162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7.投标文件开标时间及地点</w:t>
      </w:r>
    </w:p>
    <w:p w14:paraId="4FB87EEC">
      <w:pPr>
        <w:spacing w:before="161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7.1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投标文件开标时间：同投标文件递交截</w:t>
      </w:r>
      <w:r>
        <w:rPr>
          <w:rFonts w:ascii="宋体" w:hAnsi="宋体" w:eastAsia="宋体" w:cs="宋体"/>
          <w:spacing w:val="7"/>
          <w:sz w:val="20"/>
          <w:szCs w:val="20"/>
        </w:rPr>
        <w:t>止时间。</w:t>
      </w:r>
    </w:p>
    <w:p w14:paraId="7F206B98">
      <w:pPr>
        <w:spacing w:before="162" w:line="302" w:lineRule="auto"/>
        <w:ind w:left="6" w:right="151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7.2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投标文件开标地点：登录“采购服务</w:t>
      </w:r>
      <w:r>
        <w:rPr>
          <w:rFonts w:ascii="宋体" w:hAnsi="宋体" w:eastAsia="宋体" w:cs="宋体"/>
          <w:spacing w:val="8"/>
          <w:sz w:val="20"/>
          <w:szCs w:val="20"/>
        </w:rPr>
        <w:t>平台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”，进入“开标大厅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”选择所投标段进行签到，</w:t>
      </w:r>
      <w:r>
        <w:rPr>
          <w:rFonts w:ascii="宋体" w:hAnsi="宋体" w:eastAsia="宋体" w:cs="宋体"/>
          <w:spacing w:val="9"/>
          <w:sz w:val="20"/>
          <w:szCs w:val="20"/>
        </w:rPr>
        <w:t>并在开标时间实时在线关注招标人的文件开</w:t>
      </w:r>
      <w:r>
        <w:rPr>
          <w:rFonts w:ascii="宋体" w:hAnsi="宋体" w:eastAsia="宋体" w:cs="宋体"/>
          <w:spacing w:val="8"/>
          <w:sz w:val="20"/>
          <w:szCs w:val="20"/>
        </w:rPr>
        <w:t>标情况。</w:t>
      </w:r>
    </w:p>
    <w:p w14:paraId="3769F319">
      <w:pPr>
        <w:spacing w:before="161" w:line="228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8.其他说明</w:t>
      </w:r>
    </w:p>
    <w:p w14:paraId="219E6187">
      <w:pPr>
        <w:spacing w:before="164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8.1 本次招标评标采用</w:t>
      </w:r>
      <w:r>
        <w:rPr>
          <w:rFonts w:ascii="宋体" w:hAnsi="宋体" w:eastAsia="宋体" w:cs="宋体"/>
          <w:b/>
          <w:bCs/>
          <w:spacing w:val="10"/>
          <w:sz w:val="20"/>
          <w:szCs w:val="20"/>
        </w:rPr>
        <w:t>综合评估法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，对投标人的资</w:t>
      </w:r>
      <w:r>
        <w:rPr>
          <w:rFonts w:ascii="宋体" w:hAnsi="宋体" w:eastAsia="宋体" w:cs="宋体"/>
          <w:spacing w:val="9"/>
          <w:sz w:val="20"/>
          <w:szCs w:val="20"/>
        </w:rPr>
        <w:t>格审查采用</w:t>
      </w:r>
      <w:r>
        <w:rPr>
          <w:rFonts w:ascii="宋体" w:hAnsi="宋体" w:eastAsia="宋体" w:cs="宋体"/>
          <w:spacing w:val="9"/>
          <w:sz w:val="20"/>
          <w:szCs w:val="20"/>
          <w:u w:val="single" w:color="auto"/>
        </w:rPr>
        <w:t>资格后审形式</w:t>
      </w:r>
      <w:r>
        <w:rPr>
          <w:rFonts w:ascii="宋体" w:hAnsi="宋体" w:eastAsia="宋体" w:cs="宋体"/>
          <w:spacing w:val="9"/>
          <w:sz w:val="20"/>
          <w:szCs w:val="20"/>
        </w:rPr>
        <w:t>；</w:t>
      </w:r>
    </w:p>
    <w:p w14:paraId="22B7E62F">
      <w:pPr>
        <w:spacing w:before="163" w:line="327" w:lineRule="auto"/>
        <w:ind w:left="1" w:right="126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8.2</w:t>
      </w:r>
      <w:r>
        <w:rPr>
          <w:rFonts w:ascii="宋体" w:hAnsi="宋体" w:eastAsia="宋体" w:cs="宋体"/>
          <w:spacing w:val="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本项目采用全流程电子招采，通过</w:t>
      </w:r>
      <w:r>
        <w:rPr>
          <w:rFonts w:hint="eastAsia" w:ascii="宋体" w:hAnsi="宋体" w:eastAsia="宋体" w:cs="宋体"/>
          <w:spacing w:val="10"/>
          <w:sz w:val="20"/>
          <w:szCs w:val="20"/>
          <w:lang w:eastAsia="zh-CN"/>
        </w:rPr>
        <w:t>中招联合招标采购平台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开展招投标活动，注册及操作等相关内容，请先查阅门户网站</w:t>
      </w:r>
      <w:r>
        <w:rPr>
          <w:rFonts w:ascii="宋体" w:hAnsi="宋体" w:eastAsia="宋体" w:cs="宋体"/>
          <w:b/>
          <w:bCs/>
          <w:spacing w:val="11"/>
          <w:sz w:val="20"/>
          <w:szCs w:val="20"/>
        </w:rPr>
        <w:t>→</w:t>
      </w:r>
      <w:r>
        <w:rPr>
          <w:rFonts w:ascii="宋体" w:hAnsi="宋体" w:eastAsia="宋体" w:cs="宋体"/>
          <w:spacing w:val="11"/>
          <w:sz w:val="20"/>
          <w:szCs w:val="20"/>
        </w:rPr>
        <w:t>帮助</w:t>
      </w:r>
      <w:r>
        <w:rPr>
          <w:rFonts w:ascii="宋体" w:hAnsi="宋体" w:eastAsia="宋体" w:cs="宋体"/>
          <w:spacing w:val="10"/>
          <w:sz w:val="20"/>
          <w:szCs w:val="20"/>
        </w:rPr>
        <w:t>中心</w:t>
      </w:r>
      <w:r>
        <w:rPr>
          <w:rFonts w:ascii="宋体" w:hAnsi="宋体" w:eastAsia="宋体" w:cs="宋体"/>
          <w:b/>
          <w:bCs/>
          <w:spacing w:val="10"/>
          <w:sz w:val="20"/>
          <w:szCs w:val="20"/>
        </w:rPr>
        <w:t>→</w:t>
      </w:r>
      <w:r>
        <w:rPr>
          <w:rFonts w:ascii="宋体" w:hAnsi="宋体" w:eastAsia="宋体" w:cs="宋体"/>
          <w:spacing w:val="10"/>
          <w:sz w:val="20"/>
          <w:szCs w:val="20"/>
        </w:rPr>
        <w:t>操作指南内的操作手册，参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9"/>
          <w:sz w:val="20"/>
          <w:szCs w:val="20"/>
        </w:rPr>
        <w:t>与投标过程中遇到的平台问题可拨打技术支持电话。</w:t>
      </w:r>
    </w:p>
    <w:p w14:paraId="4145087D">
      <w:pPr>
        <w:spacing w:before="162" w:line="347" w:lineRule="auto"/>
        <w:ind w:right="97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8.3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投标人仅限于为本单位支付平台使用费及缴纳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CA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数字证书。若存在任一投标</w:t>
      </w:r>
      <w:r>
        <w:rPr>
          <w:rFonts w:ascii="宋体" w:hAnsi="宋体" w:eastAsia="宋体" w:cs="宋体"/>
          <w:spacing w:val="8"/>
          <w:sz w:val="20"/>
          <w:szCs w:val="20"/>
        </w:rPr>
        <w:t>人为多家投标人代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缴上述费用的行为，根据《中华人民共和国招标投标法实</w:t>
      </w:r>
      <w:r>
        <w:rPr>
          <w:rFonts w:ascii="宋体" w:hAnsi="宋体" w:eastAsia="宋体" w:cs="宋体"/>
          <w:spacing w:val="9"/>
          <w:sz w:val="20"/>
          <w:szCs w:val="20"/>
        </w:rPr>
        <w:t>施条例》第四十条“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(二)不同投标人委托同一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单位或者个人办理投标事宜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”视为投标人相互串通投标。同时,依据《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黑龙江省矿投建设集团有限公司</w:t>
      </w:r>
      <w:r>
        <w:rPr>
          <w:rFonts w:ascii="宋体" w:hAnsi="宋体" w:eastAsia="宋体" w:cs="宋体"/>
          <w:spacing w:val="7"/>
          <w:sz w:val="20"/>
          <w:szCs w:val="20"/>
        </w:rPr>
        <w:t>供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应商管理办法》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中关于供应商失信行为的认定标准，此类行为被定性为采购活动中的串通投</w:t>
      </w:r>
      <w:r>
        <w:rPr>
          <w:rFonts w:ascii="宋体" w:hAnsi="宋体" w:eastAsia="宋体" w:cs="宋体"/>
          <w:spacing w:val="9"/>
          <w:sz w:val="20"/>
          <w:szCs w:val="20"/>
        </w:rPr>
        <w:t>标或围标。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涉及的供应商将在一年内禁止参加集团及权属企业实施的采购活动。</w:t>
      </w:r>
    </w:p>
    <w:p w14:paraId="4EEBE3E9">
      <w:pPr>
        <w:spacing w:before="162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9.发布公告的媒介</w:t>
      </w:r>
    </w:p>
    <w:p w14:paraId="575EB582">
      <w:pPr>
        <w:spacing w:before="65" w:line="377" w:lineRule="auto"/>
        <w:ind w:left="18" w:hanging="1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本项目招标公告在</w:t>
      </w:r>
      <w:r>
        <w:rPr>
          <w:rFonts w:hint="eastAsia" w:ascii="宋体" w:hAnsi="宋体" w:eastAsia="宋体" w:cs="宋体"/>
          <w:spacing w:val="13"/>
          <w:sz w:val="20"/>
          <w:szCs w:val="20"/>
          <w:lang w:eastAsia="zh-CN"/>
        </w:rPr>
        <w:t>中招联合招标采购平台</w:t>
      </w:r>
      <w:r>
        <w:rPr>
          <w:rFonts w:ascii="宋体" w:hAnsi="宋体" w:eastAsia="宋体" w:cs="宋体"/>
          <w:spacing w:val="11"/>
          <w:sz w:val="20"/>
          <w:szCs w:val="20"/>
        </w:rPr>
        <w:t>上发布。其它网址转载无效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49C302B1">
      <w:pPr>
        <w:spacing w:line="227" w:lineRule="auto"/>
        <w:ind w:left="4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10.受理异议的联系方式</w:t>
      </w:r>
    </w:p>
    <w:p w14:paraId="76C6254C">
      <w:pPr>
        <w:spacing w:before="160" w:line="228" w:lineRule="auto"/>
        <w:ind w:left="42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9"/>
          <w:sz w:val="20"/>
          <w:szCs w:val="20"/>
        </w:rPr>
        <w:t>招标人：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黑龙江北方有色建设有限责任公司</w:t>
      </w:r>
    </w:p>
    <w:p w14:paraId="5AAB8D6A">
      <w:pPr>
        <w:spacing w:before="161" w:line="228" w:lineRule="auto"/>
        <w:ind w:left="419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</w:rPr>
        <w:t>地址：黑龙江省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哈尔滨市</w:t>
      </w:r>
    </w:p>
    <w:p w14:paraId="0F1FFFDE">
      <w:pPr>
        <w:spacing w:before="160" w:line="228" w:lineRule="auto"/>
        <w:ind w:left="42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</w:rPr>
        <w:t>联系人：</w:t>
      </w:r>
      <w:r>
        <w:rPr>
          <w:rFonts w:hint="eastAsia" w:ascii="宋体" w:hAnsi="宋体" w:eastAsia="宋体" w:cs="宋体"/>
          <w:spacing w:val="8"/>
          <w:sz w:val="20"/>
          <w:szCs w:val="20"/>
        </w:rPr>
        <w:t>刘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先生</w:t>
      </w:r>
    </w:p>
    <w:p w14:paraId="218E2ED2">
      <w:pPr>
        <w:spacing w:before="162" w:line="230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联系电话：</w:t>
      </w:r>
      <w:r>
        <w:rPr>
          <w:rFonts w:hint="eastAsia" w:ascii="宋体" w:hAnsi="宋体" w:eastAsia="宋体" w:cs="宋体"/>
          <w:spacing w:val="5"/>
          <w:sz w:val="20"/>
          <w:szCs w:val="20"/>
        </w:rPr>
        <w:t>0451-82731840</w:t>
      </w:r>
    </w:p>
    <w:p w14:paraId="49F9AC1D">
      <w:pPr>
        <w:spacing w:before="161" w:line="227" w:lineRule="auto"/>
        <w:ind w:left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代理机构： 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黑龙江省矿投建设集团有限公司</w:t>
      </w:r>
    </w:p>
    <w:p w14:paraId="0DD3CCC7">
      <w:pPr>
        <w:spacing w:before="162" w:line="228" w:lineRule="auto"/>
        <w:ind w:left="423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9"/>
          <w:sz w:val="20"/>
          <w:szCs w:val="20"/>
        </w:rPr>
        <w:t>办公地址：黑龙江省哈尔滨市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理治街33号</w:t>
      </w:r>
    </w:p>
    <w:p w14:paraId="0B29EDEF">
      <w:pPr>
        <w:spacing w:before="161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联系人：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王</w:t>
      </w:r>
      <w:r>
        <w:rPr>
          <w:rFonts w:ascii="宋体" w:hAnsi="宋体" w:eastAsia="宋体" w:cs="宋体"/>
          <w:spacing w:val="8"/>
          <w:sz w:val="20"/>
          <w:szCs w:val="20"/>
        </w:rPr>
        <w:t>先生</w:t>
      </w:r>
    </w:p>
    <w:p w14:paraId="7059B25A">
      <w:pPr>
        <w:spacing w:before="161" w:line="230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联系电话：</w:t>
      </w:r>
      <w:r>
        <w:rPr>
          <w:rFonts w:hint="default" w:ascii="宋体" w:hAnsi="宋体" w:eastAsia="宋体" w:cs="宋体"/>
          <w:spacing w:val="9"/>
          <w:sz w:val="20"/>
          <w:szCs w:val="20"/>
          <w:lang w:val="en-US" w:eastAsia="zh-CN"/>
        </w:rPr>
        <w:t xml:space="preserve">0451-82722749 </w:t>
      </w:r>
    </w:p>
    <w:p w14:paraId="29EEBB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45F8"/>
    <w:rsid w:val="0E3F3599"/>
    <w:rsid w:val="13916645"/>
    <w:rsid w:val="1BE55780"/>
    <w:rsid w:val="20EA55E7"/>
    <w:rsid w:val="21F76737"/>
    <w:rsid w:val="28CC046E"/>
    <w:rsid w:val="3DCC15AD"/>
    <w:rsid w:val="46592743"/>
    <w:rsid w:val="4FE70DC0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385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2023-05-21T23:26:00Z</dcterms:created>
  <dc:creator>Lenovo</dc:creator>
  <cp:lastModifiedBy>权子</cp:lastModifiedBy>
  <dcterms:modified xsi:type="dcterms:W3CDTF">2025-10-09T05:54:56Z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F8F8309BD84E483199B778D26FCB00DE_12</vt:lpwstr>
  </property>
  <property fmtid="{D5CDD505-2E9C-101B-9397-08002B2CF9AE}" pid="4" name="KSOTemplateDocerSaveRecord">
    <vt:lpwstr>eyJoZGlkIjoiZTEwNGYzMzQ1N2I1MDc0MzUxZTM3N2YwNDkxNzVlNzMiLCJ1c2VySWQiOiIzNzUwNzM4MDkifQ==</vt:lpwstr>
  </property>
</Properties>
</file>