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5E70B">
      <w:pPr>
        <w:pStyle w:val="5"/>
        <w:rPr>
          <w:rFonts w:hint="eastAsia" w:ascii="宋体" w:hAnsi="宋体" w:cs="宋体"/>
          <w:color w:val="000000"/>
          <w:sz w:val="36"/>
          <w:szCs w:val="36"/>
        </w:rPr>
      </w:pPr>
      <w:r>
        <w:rPr>
          <w:rFonts w:hint="eastAsia" w:ascii="宋体" w:hAnsi="宋体" w:cs="宋体"/>
          <w:color w:val="000000"/>
          <w:sz w:val="36"/>
          <w:szCs w:val="36"/>
        </w:rPr>
        <w:t>招标公告</w:t>
      </w:r>
    </w:p>
    <w:p w14:paraId="322AE0FB">
      <w:pPr>
        <w:pStyle w:val="4"/>
        <w:spacing w:before="164" w:line="418" w:lineRule="auto"/>
        <w:ind w:firstLine="476" w:firstLineChars="200"/>
        <w:jc w:val="both"/>
        <w:rPr>
          <w:color w:val="000000"/>
          <w:sz w:val="24"/>
          <w:szCs w:val="24"/>
        </w:rPr>
      </w:pPr>
      <w:r>
        <w:rPr>
          <w:rFonts w:hint="eastAsia"/>
          <w:color w:val="000000"/>
          <w:spacing w:val="-1"/>
          <w:sz w:val="24"/>
          <w:szCs w:val="24"/>
          <w:u w:val="single"/>
        </w:rPr>
        <w:t>中通建设工程管理有限公司</w:t>
      </w:r>
      <w:r>
        <w:rPr>
          <w:color w:val="000000"/>
          <w:sz w:val="24"/>
          <w:szCs w:val="24"/>
        </w:rPr>
        <w:t>（</w:t>
      </w:r>
      <w:r>
        <w:rPr>
          <w:color w:val="000000"/>
          <w:spacing w:val="-9"/>
          <w:sz w:val="24"/>
          <w:szCs w:val="24"/>
        </w:rPr>
        <w:t>以下简称“</w:t>
      </w:r>
      <w:r>
        <w:rPr>
          <w:rFonts w:hint="eastAsia"/>
          <w:color w:val="000000"/>
          <w:spacing w:val="-9"/>
          <w:sz w:val="24"/>
          <w:szCs w:val="24"/>
        </w:rPr>
        <w:t>招标代理机构</w:t>
      </w:r>
      <w:r>
        <w:rPr>
          <w:color w:val="000000"/>
          <w:spacing w:val="-9"/>
          <w:sz w:val="24"/>
          <w:szCs w:val="24"/>
        </w:rPr>
        <w:t>”</w:t>
      </w:r>
      <w:r>
        <w:rPr>
          <w:color w:val="000000"/>
          <w:sz w:val="24"/>
          <w:szCs w:val="24"/>
        </w:rPr>
        <w:t>）</w:t>
      </w:r>
      <w:r>
        <w:rPr>
          <w:color w:val="000000"/>
          <w:spacing w:val="-1"/>
          <w:sz w:val="24"/>
          <w:szCs w:val="24"/>
        </w:rPr>
        <w:t>受</w:t>
      </w:r>
      <w:r>
        <w:rPr>
          <w:rFonts w:hint="eastAsia"/>
          <w:color w:val="000000"/>
          <w:spacing w:val="-1"/>
          <w:sz w:val="24"/>
          <w:szCs w:val="24"/>
          <w:u w:val="single"/>
        </w:rPr>
        <w:t>中国石化销售股份有限公司广东石油分公司</w:t>
      </w:r>
      <w:r>
        <w:rPr>
          <w:color w:val="000000"/>
          <w:spacing w:val="-3"/>
          <w:sz w:val="24"/>
          <w:szCs w:val="24"/>
        </w:rPr>
        <w:t>（</w:t>
      </w:r>
      <w:r>
        <w:rPr>
          <w:color w:val="000000"/>
          <w:spacing w:val="-15"/>
          <w:sz w:val="24"/>
          <w:szCs w:val="24"/>
        </w:rPr>
        <w:t>以下简称“</w:t>
      </w:r>
      <w:r>
        <w:rPr>
          <w:rFonts w:hint="eastAsia"/>
          <w:color w:val="000000"/>
          <w:spacing w:val="-15"/>
          <w:sz w:val="24"/>
          <w:szCs w:val="24"/>
        </w:rPr>
        <w:t>招标人</w:t>
      </w:r>
      <w:r>
        <w:rPr>
          <w:color w:val="000000"/>
          <w:spacing w:val="-15"/>
          <w:sz w:val="24"/>
          <w:szCs w:val="24"/>
        </w:rPr>
        <w:t>”</w:t>
      </w:r>
      <w:r>
        <w:rPr>
          <w:color w:val="000000"/>
          <w:sz w:val="24"/>
          <w:szCs w:val="24"/>
        </w:rPr>
        <w:t>）</w:t>
      </w:r>
      <w:r>
        <w:rPr>
          <w:color w:val="000000"/>
          <w:spacing w:val="-3"/>
          <w:sz w:val="24"/>
          <w:szCs w:val="24"/>
        </w:rPr>
        <w:t>的委托，对</w:t>
      </w:r>
      <w:r>
        <w:rPr>
          <w:rFonts w:hint="eastAsia"/>
          <w:sz w:val="24"/>
          <w:szCs w:val="24"/>
        </w:rPr>
        <w:t>中国石化销售股份有限公司广东石油分公司便利店专业盘点服务框架采购项目</w:t>
      </w:r>
      <w:r>
        <w:rPr>
          <w:color w:val="000000"/>
          <w:spacing w:val="-3"/>
          <w:sz w:val="24"/>
          <w:szCs w:val="24"/>
        </w:rPr>
        <w:t>进行公开</w:t>
      </w:r>
      <w:r>
        <w:rPr>
          <w:rFonts w:hint="eastAsia"/>
          <w:color w:val="000000"/>
          <w:spacing w:val="-3"/>
          <w:sz w:val="24"/>
          <w:szCs w:val="24"/>
        </w:rPr>
        <w:t>招标</w:t>
      </w:r>
      <w:r>
        <w:rPr>
          <w:color w:val="000000"/>
          <w:spacing w:val="-3"/>
          <w:sz w:val="24"/>
          <w:szCs w:val="24"/>
        </w:rPr>
        <w:t>，欢迎符合资格条件的</w:t>
      </w:r>
      <w:r>
        <w:rPr>
          <w:rFonts w:hint="eastAsia"/>
          <w:color w:val="000000"/>
          <w:spacing w:val="-3"/>
          <w:sz w:val="24"/>
          <w:szCs w:val="24"/>
        </w:rPr>
        <w:t>投标人</w:t>
      </w:r>
      <w:r>
        <w:rPr>
          <w:color w:val="000000"/>
          <w:spacing w:val="-3"/>
          <w:sz w:val="24"/>
          <w:szCs w:val="24"/>
        </w:rPr>
        <w:t>参加。</w:t>
      </w:r>
    </w:p>
    <w:p w14:paraId="0E5365D8">
      <w:pPr>
        <w:pStyle w:val="4"/>
        <w:spacing w:line="418" w:lineRule="auto"/>
        <w:ind w:firstLine="482" w:firstLineChars="200"/>
        <w:rPr>
          <w:rFonts w:hint="eastAsia"/>
          <w:color w:val="000000"/>
          <w:spacing w:val="-6"/>
          <w:sz w:val="24"/>
          <w:szCs w:val="24"/>
        </w:rPr>
      </w:pPr>
      <w:r>
        <w:rPr>
          <w:rFonts w:hint="eastAsia"/>
          <w:b/>
          <w:bCs/>
          <w:color w:val="000000"/>
          <w:sz w:val="24"/>
          <w:szCs w:val="24"/>
        </w:rPr>
        <w:t>一、招标项目名称：</w:t>
      </w:r>
      <w:bookmarkStart w:id="0" w:name="OLE_LINK1"/>
      <w:r>
        <w:rPr>
          <w:rFonts w:hint="eastAsia"/>
          <w:sz w:val="24"/>
          <w:szCs w:val="24"/>
        </w:rPr>
        <w:t>中国石化销售股份有限公司广东石油分公司便利店专业盘点服务框架采购项目</w:t>
      </w:r>
      <w:bookmarkEnd w:id="0"/>
    </w:p>
    <w:p w14:paraId="5732C860">
      <w:pPr>
        <w:pStyle w:val="4"/>
        <w:spacing w:line="418" w:lineRule="auto"/>
        <w:ind w:firstLine="482" w:firstLineChars="200"/>
        <w:rPr>
          <w:rFonts w:hint="eastAsia"/>
          <w:color w:val="000000"/>
          <w:spacing w:val="-19"/>
          <w:sz w:val="24"/>
          <w:szCs w:val="24"/>
        </w:rPr>
      </w:pPr>
      <w:r>
        <w:rPr>
          <w:rFonts w:hint="eastAsia"/>
          <w:b/>
          <w:bCs/>
          <w:color w:val="000000"/>
          <w:sz w:val="24"/>
          <w:szCs w:val="24"/>
        </w:rPr>
        <w:t>二、最高投标限价：</w:t>
      </w:r>
      <w:r>
        <w:rPr>
          <w:rFonts w:hint="eastAsia"/>
          <w:color w:val="000000"/>
          <w:sz w:val="24"/>
          <w:szCs w:val="24"/>
        </w:rPr>
        <w:t>本项目总预算60万元/年(本金额仅作招标提醒，甲方不保证在约定期限内实际采购的服务金额一定达到预算金额，实际采购金额未达预算金额招标人不承担任何法律责任。)。</w:t>
      </w:r>
      <w:r>
        <w:rPr>
          <w:sz w:val="24"/>
          <w:szCs w:val="24"/>
        </w:rPr>
        <w:t>珠三角</w:t>
      </w:r>
      <w:r>
        <w:rPr>
          <w:rFonts w:hint="eastAsia"/>
          <w:sz w:val="24"/>
          <w:szCs w:val="24"/>
        </w:rPr>
        <w:t>区域单个便利店/中转仓最高报价限价为580元/店次，非珠三角区域单个便利店/中转仓最高报价限价为640元/店次，单个易捷速购店/中央仓最高报价限价为2000元/店次。</w:t>
      </w:r>
    </w:p>
    <w:p w14:paraId="52DD9474">
      <w:pPr>
        <w:adjustRightInd w:val="0"/>
        <w:snapToGrid w:val="0"/>
        <w:spacing w:line="360" w:lineRule="auto"/>
        <w:ind w:right="850" w:firstLine="426" w:firstLineChars="177"/>
        <w:rPr>
          <w:rFonts w:hint="eastAsia"/>
          <w:b/>
          <w:bCs/>
          <w:color w:val="000000"/>
          <w:sz w:val="24"/>
          <w:szCs w:val="24"/>
        </w:rPr>
      </w:pPr>
      <w:r>
        <w:rPr>
          <w:rFonts w:hint="eastAsia"/>
          <w:b/>
          <w:bCs/>
          <w:color w:val="000000"/>
          <w:sz w:val="24"/>
          <w:szCs w:val="24"/>
        </w:rPr>
        <w:t>三、项目内容及需求</w:t>
      </w:r>
    </w:p>
    <w:p w14:paraId="0889FA06">
      <w:pPr>
        <w:spacing w:line="360" w:lineRule="auto"/>
        <w:ind w:right="850" w:firstLine="480" w:firstLineChars="200"/>
        <w:rPr>
          <w:rFonts w:hint="eastAsia"/>
          <w:color w:val="000000"/>
          <w:sz w:val="24"/>
          <w:szCs w:val="24"/>
        </w:rPr>
      </w:pPr>
      <w:r>
        <w:rPr>
          <w:rFonts w:hint="eastAsia" w:cs="Times New Roman"/>
          <w:color w:val="000000"/>
          <w:sz w:val="24"/>
        </w:rPr>
        <w:t>3.1包组划分：本项目划分为1个包组。</w:t>
      </w:r>
      <w:r>
        <w:rPr>
          <w:rFonts w:hint="eastAsia"/>
          <w:color w:val="000000"/>
          <w:sz w:val="24"/>
          <w:szCs w:val="24"/>
        </w:rPr>
        <w:t>具体项目明细见下表：</w:t>
      </w:r>
    </w:p>
    <w:tbl>
      <w:tblPr>
        <w:tblStyle w:val="6"/>
        <w:tblW w:w="0" w:type="auto"/>
        <w:jc w:val="center"/>
        <w:tblLayout w:type="fixed"/>
        <w:tblCellMar>
          <w:top w:w="0" w:type="dxa"/>
          <w:left w:w="108" w:type="dxa"/>
          <w:bottom w:w="0" w:type="dxa"/>
          <w:right w:w="108" w:type="dxa"/>
        </w:tblCellMar>
      </w:tblPr>
      <w:tblGrid>
        <w:gridCol w:w="1077"/>
        <w:gridCol w:w="3121"/>
        <w:gridCol w:w="1537"/>
        <w:gridCol w:w="3950"/>
      </w:tblGrid>
      <w:tr w14:paraId="2A985B38">
        <w:tblPrEx>
          <w:tblCellMar>
            <w:top w:w="0" w:type="dxa"/>
            <w:left w:w="108" w:type="dxa"/>
            <w:bottom w:w="0" w:type="dxa"/>
            <w:right w:w="108" w:type="dxa"/>
          </w:tblCellMar>
        </w:tblPrEx>
        <w:trPr>
          <w:trHeight w:val="567" w:hRule="atLeast"/>
          <w:jc w:val="center"/>
        </w:trPr>
        <w:tc>
          <w:tcPr>
            <w:tcW w:w="1077" w:type="dxa"/>
            <w:tcBorders>
              <w:top w:val="single" w:color="auto" w:sz="4" w:space="0"/>
              <w:left w:val="single" w:color="auto" w:sz="4" w:space="0"/>
              <w:bottom w:val="single" w:color="auto" w:sz="4" w:space="0"/>
              <w:right w:val="single" w:color="auto" w:sz="4" w:space="0"/>
            </w:tcBorders>
            <w:noWrap/>
            <w:vAlign w:val="center"/>
          </w:tcPr>
          <w:p w14:paraId="47323188">
            <w:pPr>
              <w:widowControl/>
              <w:jc w:val="center"/>
              <w:rPr>
                <w:sz w:val="24"/>
                <w:szCs w:val="24"/>
              </w:rPr>
            </w:pPr>
            <w:r>
              <w:rPr>
                <w:rFonts w:hint="eastAsia"/>
                <w:color w:val="000000"/>
                <w:sz w:val="24"/>
                <w:szCs w:val="24"/>
              </w:rPr>
              <w:t>区域</w:t>
            </w:r>
          </w:p>
        </w:tc>
        <w:tc>
          <w:tcPr>
            <w:tcW w:w="3121" w:type="dxa"/>
            <w:tcBorders>
              <w:top w:val="single" w:color="auto" w:sz="4" w:space="0"/>
              <w:left w:val="single" w:color="auto" w:sz="4" w:space="0"/>
              <w:bottom w:val="single" w:color="auto" w:sz="4" w:space="0"/>
              <w:right w:val="single" w:color="auto" w:sz="4" w:space="0"/>
            </w:tcBorders>
            <w:noWrap/>
            <w:vAlign w:val="center"/>
          </w:tcPr>
          <w:p w14:paraId="50E32B6C">
            <w:pPr>
              <w:widowControl/>
              <w:jc w:val="center"/>
              <w:rPr>
                <w:sz w:val="24"/>
                <w:szCs w:val="24"/>
              </w:rPr>
            </w:pPr>
            <w:r>
              <w:rPr>
                <w:rFonts w:hint="eastAsia"/>
                <w:color w:val="000000"/>
                <w:sz w:val="24"/>
                <w:szCs w:val="24"/>
              </w:rPr>
              <w:t>地市公司</w:t>
            </w:r>
          </w:p>
        </w:tc>
        <w:tc>
          <w:tcPr>
            <w:tcW w:w="1537" w:type="dxa"/>
            <w:tcBorders>
              <w:top w:val="single" w:color="auto" w:sz="4" w:space="0"/>
              <w:left w:val="nil"/>
              <w:bottom w:val="single" w:color="auto" w:sz="4" w:space="0"/>
              <w:right w:val="single" w:color="auto" w:sz="4" w:space="0"/>
            </w:tcBorders>
            <w:noWrap/>
            <w:vAlign w:val="center"/>
          </w:tcPr>
          <w:p w14:paraId="64221096">
            <w:pPr>
              <w:widowControl/>
              <w:jc w:val="center"/>
              <w:rPr>
                <w:sz w:val="24"/>
                <w:szCs w:val="24"/>
              </w:rPr>
            </w:pPr>
            <w:r>
              <w:rPr>
                <w:rFonts w:hint="eastAsia"/>
                <w:color w:val="000000"/>
                <w:sz w:val="24"/>
                <w:szCs w:val="24"/>
              </w:rPr>
              <w:t>门店数量</w:t>
            </w:r>
          </w:p>
        </w:tc>
        <w:tc>
          <w:tcPr>
            <w:tcW w:w="3950" w:type="dxa"/>
            <w:tcBorders>
              <w:top w:val="single" w:color="auto" w:sz="4" w:space="0"/>
              <w:left w:val="nil"/>
              <w:bottom w:val="single" w:color="auto" w:sz="4" w:space="0"/>
              <w:right w:val="single" w:color="auto" w:sz="4" w:space="0"/>
            </w:tcBorders>
            <w:noWrap/>
            <w:vAlign w:val="center"/>
          </w:tcPr>
          <w:p w14:paraId="05BE786B">
            <w:pPr>
              <w:widowControl/>
              <w:spacing w:line="360" w:lineRule="auto"/>
              <w:jc w:val="center"/>
              <w:rPr>
                <w:sz w:val="24"/>
                <w:szCs w:val="24"/>
              </w:rPr>
            </w:pPr>
            <w:r>
              <w:rPr>
                <w:rFonts w:hint="eastAsia"/>
                <w:sz w:val="24"/>
                <w:szCs w:val="24"/>
              </w:rPr>
              <w:t>备注</w:t>
            </w:r>
          </w:p>
        </w:tc>
      </w:tr>
      <w:tr w14:paraId="06A1D78C">
        <w:tblPrEx>
          <w:tblCellMar>
            <w:top w:w="0" w:type="dxa"/>
            <w:left w:w="108" w:type="dxa"/>
            <w:bottom w:w="0" w:type="dxa"/>
            <w:right w:w="108" w:type="dxa"/>
          </w:tblCellMar>
        </w:tblPrEx>
        <w:trPr>
          <w:trHeight w:val="1154" w:hRule="atLeast"/>
          <w:jc w:val="center"/>
        </w:trPr>
        <w:tc>
          <w:tcPr>
            <w:tcW w:w="1077" w:type="dxa"/>
            <w:tcBorders>
              <w:top w:val="single" w:color="auto" w:sz="4" w:space="0"/>
              <w:left w:val="single" w:color="auto" w:sz="4" w:space="0"/>
              <w:bottom w:val="single" w:color="auto" w:sz="4" w:space="0"/>
              <w:right w:val="single" w:color="auto" w:sz="4" w:space="0"/>
            </w:tcBorders>
            <w:noWrap/>
            <w:vAlign w:val="center"/>
          </w:tcPr>
          <w:p w14:paraId="05283CF2">
            <w:pPr>
              <w:widowControl/>
              <w:jc w:val="center"/>
              <w:rPr>
                <w:sz w:val="24"/>
                <w:szCs w:val="24"/>
              </w:rPr>
            </w:pPr>
            <w:r>
              <w:rPr>
                <w:rFonts w:hint="eastAsia"/>
                <w:color w:val="000000"/>
                <w:sz w:val="24"/>
                <w:szCs w:val="24"/>
              </w:rPr>
              <w:t>珠三角</w:t>
            </w:r>
          </w:p>
        </w:tc>
        <w:tc>
          <w:tcPr>
            <w:tcW w:w="3121" w:type="dxa"/>
            <w:tcBorders>
              <w:top w:val="single" w:color="auto" w:sz="4" w:space="0"/>
              <w:left w:val="single" w:color="auto" w:sz="4" w:space="0"/>
              <w:bottom w:val="single" w:color="auto" w:sz="4" w:space="0"/>
              <w:right w:val="single" w:color="auto" w:sz="4" w:space="0"/>
            </w:tcBorders>
            <w:noWrap/>
            <w:vAlign w:val="center"/>
          </w:tcPr>
          <w:p w14:paraId="0A43757A">
            <w:pPr>
              <w:widowControl/>
              <w:jc w:val="center"/>
              <w:rPr>
                <w:sz w:val="24"/>
                <w:szCs w:val="24"/>
              </w:rPr>
            </w:pPr>
            <w:r>
              <w:rPr>
                <w:rFonts w:hint="eastAsia"/>
                <w:color w:val="000000"/>
                <w:sz w:val="24"/>
                <w:szCs w:val="24"/>
              </w:rPr>
              <w:t>广州、深圳、佛山、东莞、肇庆、惠州、珠海、中山、江门</w:t>
            </w:r>
          </w:p>
        </w:tc>
        <w:tc>
          <w:tcPr>
            <w:tcW w:w="1537" w:type="dxa"/>
            <w:tcBorders>
              <w:top w:val="nil"/>
              <w:left w:val="nil"/>
              <w:bottom w:val="single" w:color="auto" w:sz="4" w:space="0"/>
              <w:right w:val="single" w:color="auto" w:sz="4" w:space="0"/>
            </w:tcBorders>
            <w:noWrap/>
            <w:vAlign w:val="center"/>
          </w:tcPr>
          <w:p w14:paraId="56B60A26">
            <w:pPr>
              <w:widowControl/>
              <w:jc w:val="center"/>
              <w:rPr>
                <w:sz w:val="24"/>
                <w:szCs w:val="24"/>
              </w:rPr>
            </w:pPr>
            <w:r>
              <w:rPr>
                <w:rFonts w:hint="eastAsia"/>
                <w:color w:val="000000"/>
                <w:sz w:val="24"/>
                <w:szCs w:val="24"/>
              </w:rPr>
              <w:t>约</w:t>
            </w:r>
            <w:r>
              <w:rPr>
                <w:color w:val="000000"/>
                <w:sz w:val="24"/>
                <w:szCs w:val="24"/>
              </w:rPr>
              <w:t>1200</w:t>
            </w:r>
            <w:r>
              <w:rPr>
                <w:rFonts w:hint="eastAsia"/>
                <w:color w:val="000000"/>
                <w:sz w:val="24"/>
                <w:szCs w:val="24"/>
              </w:rPr>
              <w:t>座</w:t>
            </w:r>
          </w:p>
        </w:tc>
        <w:tc>
          <w:tcPr>
            <w:tcW w:w="3950" w:type="dxa"/>
            <w:vMerge w:val="restart"/>
            <w:tcBorders>
              <w:top w:val="nil"/>
              <w:left w:val="nil"/>
              <w:right w:val="single" w:color="auto" w:sz="4" w:space="0"/>
            </w:tcBorders>
            <w:noWrap w:val="0"/>
            <w:vAlign w:val="center"/>
          </w:tcPr>
          <w:p w14:paraId="03C7946F">
            <w:pPr>
              <w:widowControl/>
              <w:jc w:val="center"/>
              <w:rPr>
                <w:sz w:val="24"/>
                <w:szCs w:val="24"/>
              </w:rPr>
            </w:pPr>
            <w:bookmarkStart w:id="1" w:name="OLE_LINK3"/>
            <w:r>
              <w:rPr>
                <w:rFonts w:hint="eastAsia"/>
                <w:sz w:val="24"/>
                <w:szCs w:val="24"/>
              </w:rPr>
              <w:t>招标人</w:t>
            </w:r>
            <w:r>
              <w:rPr>
                <w:sz w:val="24"/>
                <w:szCs w:val="24"/>
              </w:rPr>
              <w:t>原则上在1个自然年度内采购1000店次盘点服务（暂定），对</w:t>
            </w:r>
            <w:r>
              <w:rPr>
                <w:rFonts w:hint="eastAsia"/>
                <w:sz w:val="24"/>
                <w:szCs w:val="24"/>
              </w:rPr>
              <w:t>招标人</w:t>
            </w:r>
            <w:r>
              <w:rPr>
                <w:sz w:val="24"/>
                <w:szCs w:val="24"/>
              </w:rPr>
              <w:t>21个地市公司约2200家在营普通便利店、中转仓、易捷速购店和中央仓</w:t>
            </w:r>
            <w:r>
              <w:rPr>
                <w:color w:val="000000"/>
                <w:spacing w:val="-3"/>
                <w:sz w:val="24"/>
                <w:szCs w:val="24"/>
              </w:rPr>
              <w:t>（</w:t>
            </w:r>
            <w:r>
              <w:rPr>
                <w:color w:val="000000"/>
                <w:spacing w:val="-15"/>
                <w:sz w:val="24"/>
                <w:szCs w:val="24"/>
              </w:rPr>
              <w:t>以下简称“</w:t>
            </w:r>
            <w:r>
              <w:rPr>
                <w:rFonts w:hint="eastAsia"/>
                <w:color w:val="000000"/>
                <w:spacing w:val="-15"/>
                <w:sz w:val="24"/>
                <w:szCs w:val="24"/>
              </w:rPr>
              <w:t>门店</w:t>
            </w:r>
            <w:r>
              <w:rPr>
                <w:color w:val="000000"/>
                <w:spacing w:val="-15"/>
                <w:sz w:val="24"/>
                <w:szCs w:val="24"/>
              </w:rPr>
              <w:t>”</w:t>
            </w:r>
            <w:r>
              <w:rPr>
                <w:color w:val="000000"/>
                <w:sz w:val="24"/>
                <w:szCs w:val="24"/>
              </w:rPr>
              <w:t>）</w:t>
            </w:r>
            <w:r>
              <w:rPr>
                <w:sz w:val="24"/>
                <w:szCs w:val="24"/>
              </w:rPr>
              <w:t>提供盘点服务，各分公司门店数量会随业务发展略有增减。</w:t>
            </w:r>
            <w:bookmarkEnd w:id="1"/>
          </w:p>
        </w:tc>
      </w:tr>
      <w:tr w14:paraId="3DA31770">
        <w:tblPrEx>
          <w:tblCellMar>
            <w:top w:w="0" w:type="dxa"/>
            <w:left w:w="108" w:type="dxa"/>
            <w:bottom w:w="0" w:type="dxa"/>
            <w:right w:w="108" w:type="dxa"/>
          </w:tblCellMar>
        </w:tblPrEx>
        <w:trPr>
          <w:trHeight w:val="764" w:hRule="atLeast"/>
          <w:jc w:val="center"/>
        </w:trPr>
        <w:tc>
          <w:tcPr>
            <w:tcW w:w="1077" w:type="dxa"/>
            <w:tcBorders>
              <w:top w:val="single" w:color="auto" w:sz="4" w:space="0"/>
              <w:left w:val="single" w:color="auto" w:sz="4" w:space="0"/>
              <w:bottom w:val="single" w:color="auto" w:sz="4" w:space="0"/>
              <w:right w:val="single" w:color="auto" w:sz="4" w:space="0"/>
            </w:tcBorders>
            <w:noWrap/>
            <w:vAlign w:val="center"/>
          </w:tcPr>
          <w:p w14:paraId="7C6F5333">
            <w:pPr>
              <w:widowControl/>
              <w:jc w:val="center"/>
              <w:rPr>
                <w:sz w:val="24"/>
                <w:szCs w:val="24"/>
              </w:rPr>
            </w:pPr>
            <w:r>
              <w:rPr>
                <w:color w:val="000000"/>
                <w:sz w:val="24"/>
                <w:szCs w:val="24"/>
              </w:rPr>
              <w:t>非珠三角</w:t>
            </w:r>
          </w:p>
        </w:tc>
        <w:tc>
          <w:tcPr>
            <w:tcW w:w="3121" w:type="dxa"/>
            <w:tcBorders>
              <w:top w:val="single" w:color="auto" w:sz="4" w:space="0"/>
              <w:left w:val="single" w:color="auto" w:sz="4" w:space="0"/>
              <w:bottom w:val="single" w:color="auto" w:sz="4" w:space="0"/>
              <w:right w:val="single" w:color="auto" w:sz="4" w:space="0"/>
            </w:tcBorders>
            <w:noWrap/>
            <w:vAlign w:val="center"/>
          </w:tcPr>
          <w:p w14:paraId="0ED283F7">
            <w:pPr>
              <w:widowControl/>
              <w:jc w:val="center"/>
              <w:rPr>
                <w:sz w:val="24"/>
                <w:szCs w:val="24"/>
              </w:rPr>
            </w:pPr>
            <w:r>
              <w:rPr>
                <w:rFonts w:hint="eastAsia"/>
                <w:color w:val="000000"/>
                <w:sz w:val="24"/>
                <w:szCs w:val="24"/>
              </w:rPr>
              <w:t>韶关、清远、河源、梅州、汕尾、汕头、潮州、揭阳、茂名、阳江、云浮、湛江</w:t>
            </w:r>
          </w:p>
        </w:tc>
        <w:tc>
          <w:tcPr>
            <w:tcW w:w="1537" w:type="dxa"/>
            <w:tcBorders>
              <w:top w:val="nil"/>
              <w:left w:val="nil"/>
              <w:bottom w:val="single" w:color="auto" w:sz="4" w:space="0"/>
              <w:right w:val="single" w:color="auto" w:sz="4" w:space="0"/>
            </w:tcBorders>
            <w:noWrap/>
            <w:vAlign w:val="center"/>
          </w:tcPr>
          <w:p w14:paraId="0254B09E">
            <w:pPr>
              <w:widowControl/>
              <w:jc w:val="center"/>
              <w:rPr>
                <w:sz w:val="24"/>
                <w:szCs w:val="24"/>
              </w:rPr>
            </w:pPr>
            <w:r>
              <w:rPr>
                <w:rFonts w:hint="eastAsia"/>
                <w:color w:val="000000"/>
                <w:sz w:val="24"/>
                <w:szCs w:val="24"/>
              </w:rPr>
              <w:t>约1</w:t>
            </w:r>
            <w:r>
              <w:rPr>
                <w:color w:val="000000"/>
                <w:sz w:val="24"/>
                <w:szCs w:val="24"/>
              </w:rPr>
              <w:t>000</w:t>
            </w:r>
            <w:r>
              <w:rPr>
                <w:rFonts w:hint="eastAsia"/>
                <w:color w:val="000000"/>
                <w:sz w:val="24"/>
                <w:szCs w:val="24"/>
              </w:rPr>
              <w:t>座</w:t>
            </w:r>
          </w:p>
        </w:tc>
        <w:tc>
          <w:tcPr>
            <w:tcW w:w="3950" w:type="dxa"/>
            <w:vMerge w:val="continue"/>
            <w:tcBorders>
              <w:left w:val="nil"/>
              <w:bottom w:val="single" w:color="auto" w:sz="4" w:space="0"/>
              <w:right w:val="single" w:color="auto" w:sz="4" w:space="0"/>
            </w:tcBorders>
            <w:noWrap w:val="0"/>
            <w:vAlign w:val="center"/>
          </w:tcPr>
          <w:p w14:paraId="283F455C">
            <w:pPr>
              <w:widowControl/>
              <w:jc w:val="center"/>
              <w:rPr>
                <w:sz w:val="24"/>
                <w:szCs w:val="24"/>
              </w:rPr>
            </w:pPr>
          </w:p>
        </w:tc>
      </w:tr>
    </w:tbl>
    <w:p w14:paraId="5E7DDFD2">
      <w:pPr>
        <w:spacing w:line="520" w:lineRule="exact"/>
        <w:ind w:firstLine="480" w:firstLineChars="200"/>
        <w:rPr>
          <w:rFonts w:eastAsia="仿宋_GB2312"/>
          <w:sz w:val="28"/>
          <w:szCs w:val="28"/>
        </w:rPr>
      </w:pPr>
      <w:r>
        <w:rPr>
          <w:rFonts w:hint="eastAsia"/>
          <w:color w:val="000000"/>
          <w:sz w:val="24"/>
          <w:szCs w:val="24"/>
        </w:rPr>
        <w:t>3.2项目内容及需求：本项目计划对招标人下属</w:t>
      </w:r>
      <w:r>
        <w:rPr>
          <w:color w:val="000000"/>
          <w:sz w:val="24"/>
          <w:szCs w:val="24"/>
        </w:rPr>
        <w:t>21</w:t>
      </w:r>
      <w:r>
        <w:rPr>
          <w:rFonts w:hint="eastAsia"/>
          <w:color w:val="000000"/>
          <w:sz w:val="24"/>
          <w:szCs w:val="24"/>
        </w:rPr>
        <w:t>个地市公司约2200家门店的专业盘点服务进行框架采购，选取2家专业盘点公司入围，按照招标人的门店盘点计划提供盘点和门店督导服务（包括提升运营管理水平相关盘查及现场督导，如便利店陈列、商品保质期、库房未陈列商品、自营餐饮、汽服网点和服务区现场检查等），盘点范围包括普通便利店、中转仓、易捷速购店和中央仓。原则上2家入围盘点公司的工作量不固定分配比例，招标人有权根据入围单位的履约考评情况进行合理分配区域和门店数量，并动态调整。一般情况下，本项目阶段性考评得分第一、第二的中标人预计承接合同期内总业务量分别为55%、45%。招标人每月结合对中标人的考核评估，动态调整业务量给考核优秀的中标人。具体以实际发生工作量和金额结算。</w:t>
      </w:r>
    </w:p>
    <w:p w14:paraId="48E8035B">
      <w:pPr>
        <w:pStyle w:val="9"/>
      </w:pPr>
    </w:p>
    <w:p w14:paraId="549D549D">
      <w:pPr>
        <w:spacing w:line="360" w:lineRule="auto"/>
        <w:ind w:firstLine="482" w:firstLineChars="200"/>
        <w:rPr>
          <w:color w:val="000000"/>
          <w:spacing w:val="-4"/>
          <w:sz w:val="24"/>
          <w:szCs w:val="24"/>
        </w:rPr>
      </w:pPr>
      <w:r>
        <w:rPr>
          <w:rFonts w:hint="eastAsia"/>
          <w:b/>
          <w:bCs/>
          <w:color w:val="000000"/>
          <w:sz w:val="24"/>
          <w:szCs w:val="24"/>
        </w:rPr>
        <w:t>四、服务期：</w:t>
      </w:r>
      <w:r>
        <w:rPr>
          <w:rFonts w:hint="eastAsia"/>
          <w:color w:val="000000"/>
          <w:sz w:val="24"/>
          <w:szCs w:val="24"/>
        </w:rPr>
        <w:t>2年（合同签订之日开始计算）</w:t>
      </w:r>
      <w:r>
        <w:rPr>
          <w:rFonts w:hint="eastAsia"/>
          <w:color w:val="000000"/>
          <w:spacing w:val="-4"/>
          <w:sz w:val="24"/>
          <w:szCs w:val="24"/>
        </w:rPr>
        <w:t>。</w:t>
      </w:r>
    </w:p>
    <w:p w14:paraId="089D5431">
      <w:pPr>
        <w:spacing w:line="360" w:lineRule="auto"/>
        <w:ind w:right="841" w:firstLine="482" w:firstLineChars="200"/>
        <w:rPr>
          <w:color w:val="000000"/>
          <w:sz w:val="24"/>
          <w:szCs w:val="24"/>
        </w:rPr>
      </w:pPr>
      <w:r>
        <w:rPr>
          <w:rFonts w:hint="eastAsia"/>
          <w:b/>
          <w:bCs/>
          <w:color w:val="000000"/>
          <w:sz w:val="24"/>
          <w:szCs w:val="24"/>
        </w:rPr>
        <w:t>五、投标人资格要求：</w:t>
      </w:r>
      <w:r>
        <w:rPr>
          <w:color w:val="000000"/>
          <w:spacing w:val="-3"/>
          <w:sz w:val="24"/>
          <w:szCs w:val="24"/>
        </w:rPr>
        <w:t xml:space="preserve">       </w:t>
      </w:r>
    </w:p>
    <w:p w14:paraId="2BD9BEC4">
      <w:pPr>
        <w:pStyle w:val="10"/>
        <w:tabs>
          <w:tab w:val="left" w:pos="996"/>
        </w:tabs>
        <w:spacing w:line="360" w:lineRule="auto"/>
        <w:ind w:left="0" w:firstLine="464" w:firstLineChars="200"/>
        <w:rPr>
          <w:color w:val="000000"/>
          <w:sz w:val="24"/>
          <w:szCs w:val="24"/>
        </w:rPr>
      </w:pPr>
      <w:r>
        <w:rPr>
          <w:rFonts w:hint="eastAsia"/>
          <w:color w:val="000000"/>
          <w:spacing w:val="-4"/>
          <w:sz w:val="24"/>
          <w:szCs w:val="24"/>
        </w:rPr>
        <w:t>5.1投标人</w:t>
      </w:r>
      <w:r>
        <w:rPr>
          <w:color w:val="000000"/>
          <w:spacing w:val="-4"/>
          <w:sz w:val="24"/>
          <w:szCs w:val="24"/>
        </w:rPr>
        <w:t>必须是具有独立承担民事责任能力的在中华人民共和国境内注册的法人，投标</w:t>
      </w:r>
      <w:r>
        <w:rPr>
          <w:color w:val="000000"/>
          <w:sz w:val="24"/>
          <w:szCs w:val="24"/>
        </w:rPr>
        <w:t>时提交有效的营业执照（或事业法人登记证）副本复印件。</w:t>
      </w:r>
    </w:p>
    <w:p w14:paraId="7E5D409C">
      <w:pPr>
        <w:pStyle w:val="10"/>
        <w:tabs>
          <w:tab w:val="left" w:pos="996"/>
        </w:tabs>
        <w:spacing w:line="417" w:lineRule="auto"/>
        <w:ind w:left="0" w:firstLine="464" w:firstLineChars="200"/>
        <w:rPr>
          <w:color w:val="000000"/>
          <w:spacing w:val="-4"/>
          <w:sz w:val="24"/>
          <w:szCs w:val="24"/>
        </w:rPr>
      </w:pPr>
      <w:r>
        <w:rPr>
          <w:rFonts w:hint="eastAsia"/>
          <w:color w:val="000000"/>
          <w:spacing w:val="-4"/>
          <w:sz w:val="24"/>
          <w:szCs w:val="24"/>
        </w:rPr>
        <w:t>5.2</w:t>
      </w:r>
      <w:r>
        <w:rPr>
          <w:rFonts w:hint="eastAsia"/>
          <w:color w:val="000000"/>
          <w:kern w:val="2"/>
          <w:sz w:val="24"/>
          <w:szCs w:val="24"/>
        </w:rPr>
        <w:t>投标人必须具有良好的商业信誉和健全的财务会计制度，投标时，提供2022年至今任意一年的年度财务状况报告(2025年新成立公司提供成立至今的月或季度财务报表复印件)或银行出具的资信证明复印件。</w:t>
      </w:r>
    </w:p>
    <w:p w14:paraId="09361B4C">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5.3投标人不得存在下列情形之一（投标人须在投标文件中就有关内容做出承诺，除非另有要求，不需要在投标文件中提供证明材料）：</w:t>
      </w:r>
    </w:p>
    <w:p w14:paraId="7C3F7EEA">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（1）为招标人不具有独立法人资格的附属机构（单位）；</w:t>
      </w:r>
    </w:p>
    <w:p w14:paraId="30214E20">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（2）与招标人存在利害关系且可能影响招标公正性；</w:t>
      </w:r>
    </w:p>
    <w:p w14:paraId="4F5624BF">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（3）与本招标项目的其他投标人为同一个单位负责人；</w:t>
      </w:r>
    </w:p>
    <w:p w14:paraId="4E1503CA">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（4）与本招标项目的其他投标人存在控股、管理关系；</w:t>
      </w:r>
    </w:p>
    <w:p w14:paraId="414B75C1">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（5）为本招标项目的招标代理机构或为本招标项目提供过其他咨询服务；</w:t>
      </w:r>
    </w:p>
    <w:p w14:paraId="5BAEBE96">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（6）与本招标项目的招标代理机构同为一个法定代表人；</w:t>
      </w:r>
    </w:p>
    <w:p w14:paraId="5220C9FE">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（7）与本招标项目的招标代理机构存在控股或参股关系；</w:t>
      </w:r>
    </w:p>
    <w:p w14:paraId="0BA66B25">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（8）被依法暂停或者取消投标资格；</w:t>
      </w:r>
    </w:p>
    <w:p w14:paraId="13A185FA">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（9）被责令停产停业、暂扣或者吊销许可证、暂扣或者吊销执照；</w:t>
      </w:r>
    </w:p>
    <w:p w14:paraId="4C130E00">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（10）进入清算程序，或被宣告破产，或其他丧失履约能力的情形；</w:t>
      </w:r>
    </w:p>
    <w:p w14:paraId="283B8D83">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（11）在最近三年内（按递交投标文件截止时间往前推算）发生重大服务质量问题（以相关行业主管部门的行政处罚决定或司法机关出具的有关法律文书生效日期为准）；</w:t>
      </w:r>
    </w:p>
    <w:p w14:paraId="6C7A6AE6">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（12）在最近三年内（按递交投标文件截止时间往前推算）发生重大安全事故（以相关行业主管部门的行政处罚决定或司法机关出具的有关法律文书生效日期为准）；</w:t>
      </w:r>
    </w:p>
    <w:p w14:paraId="378AA998">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（13）被工商行政管理机关（或市场监督部门）在全国企业信用信息公示系统中列入严重违法失信企业名单，</w:t>
      </w:r>
      <w:r>
        <w:rPr>
          <w:rFonts w:hint="eastAsia"/>
          <w:b/>
          <w:bCs/>
          <w:color w:val="000000"/>
          <w:sz w:val="24"/>
          <w:szCs w:val="24"/>
        </w:rPr>
        <w:t>提供全国企业信用信息公示系统中查询结果网页截图</w:t>
      </w:r>
      <w:r>
        <w:rPr>
          <w:rFonts w:hint="eastAsia"/>
          <w:color w:val="000000"/>
          <w:sz w:val="24"/>
          <w:szCs w:val="24"/>
        </w:rPr>
        <w:t>；</w:t>
      </w:r>
    </w:p>
    <w:p w14:paraId="0BA25D8E">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（14）被最高人民法院在“信用中国”网站（www.creditchina.gov.cn）中列入失信被执行人名单，</w:t>
      </w:r>
      <w:r>
        <w:rPr>
          <w:rFonts w:hint="eastAsia"/>
          <w:b/>
          <w:bCs/>
          <w:color w:val="000000"/>
          <w:sz w:val="24"/>
          <w:szCs w:val="24"/>
        </w:rPr>
        <w:t>提供“信用中国”查询结果网站网页截图；</w:t>
      </w:r>
    </w:p>
    <w:p w14:paraId="460127A8">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（15）以中国石化（含子、分公司）及其控股、参股企业为贸易对象开展融资性贸易（中国石化同意的除外），投标时，</w:t>
      </w:r>
      <w:r>
        <w:rPr>
          <w:rFonts w:hint="eastAsia"/>
          <w:b/>
          <w:bCs/>
          <w:color w:val="000000"/>
          <w:sz w:val="24"/>
          <w:szCs w:val="24"/>
        </w:rPr>
        <w:t>提供中登网（https://www.zhongdengwang.org.cn/）查询截图（以个人普通用户注册，登陆系统后，首页-查询入口-按担保人查询）</w:t>
      </w:r>
      <w:r>
        <w:rPr>
          <w:rFonts w:hint="eastAsia"/>
          <w:color w:val="000000"/>
          <w:sz w:val="24"/>
          <w:szCs w:val="24"/>
        </w:rPr>
        <w:t>；</w:t>
      </w:r>
    </w:p>
    <w:p w14:paraId="67D53525">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（16）在近三年内（按递交投标文件截止时间往前推算）投标人或其法定代表人有行贿犯罪判决或裁定记录（以中国裁判文书网http://wenshu.court.gov.cn查询结果为准）；</w:t>
      </w:r>
    </w:p>
    <w:p w14:paraId="4CA1BCD9">
      <w:pPr>
        <w:pStyle w:val="10"/>
        <w:tabs>
          <w:tab w:val="left" w:pos="1190"/>
          <w:tab w:val="left" w:pos="4694"/>
          <w:tab w:val="left" w:pos="6290"/>
          <w:tab w:val="left" w:pos="9020"/>
        </w:tabs>
        <w:spacing w:line="360" w:lineRule="auto"/>
        <w:ind w:left="0" w:firstLine="480" w:firstLineChars="200"/>
        <w:jc w:val="both"/>
        <w:rPr>
          <w:rFonts w:hint="eastAsia"/>
          <w:color w:val="000000"/>
          <w:sz w:val="24"/>
          <w:szCs w:val="24"/>
        </w:rPr>
      </w:pPr>
      <w:r>
        <w:rPr>
          <w:rFonts w:hint="eastAsia"/>
          <w:color w:val="000000"/>
          <w:sz w:val="24"/>
          <w:szCs w:val="24"/>
        </w:rPr>
        <w:t>（17）法律法规规定的其他情形。</w:t>
      </w:r>
    </w:p>
    <w:p w14:paraId="235FACB5">
      <w:pPr>
        <w:pStyle w:val="10"/>
        <w:tabs>
          <w:tab w:val="left" w:pos="996"/>
        </w:tabs>
        <w:spacing w:line="417" w:lineRule="auto"/>
        <w:ind w:left="0" w:right="841" w:firstLine="464" w:firstLineChars="200"/>
        <w:rPr>
          <w:color w:val="000000"/>
          <w:spacing w:val="-4"/>
          <w:sz w:val="24"/>
          <w:szCs w:val="24"/>
        </w:rPr>
      </w:pPr>
      <w:r>
        <w:rPr>
          <w:rFonts w:hint="eastAsia"/>
          <w:color w:val="000000"/>
          <w:spacing w:val="-4"/>
          <w:sz w:val="24"/>
          <w:szCs w:val="24"/>
        </w:rPr>
        <w:t>5.4本项目不接受联合体投标（详见投标函）。</w:t>
      </w:r>
    </w:p>
    <w:p w14:paraId="69D49384">
      <w:pPr>
        <w:spacing w:line="360" w:lineRule="auto"/>
        <w:ind w:right="842" w:firstLine="482" w:firstLineChars="200"/>
        <w:jc w:val="both"/>
        <w:rPr>
          <w:rFonts w:hint="eastAsia"/>
          <w:b/>
          <w:bCs/>
          <w:color w:val="000000"/>
          <w:sz w:val="24"/>
          <w:szCs w:val="24"/>
        </w:rPr>
      </w:pPr>
      <w:r>
        <w:rPr>
          <w:rFonts w:hint="eastAsia"/>
          <w:b/>
          <w:bCs/>
          <w:color w:val="000000"/>
          <w:sz w:val="24"/>
          <w:szCs w:val="24"/>
        </w:rPr>
        <w:t>六、招标文件的获取</w:t>
      </w:r>
    </w:p>
    <w:p w14:paraId="748A3C99">
      <w:pPr>
        <w:pStyle w:val="4"/>
        <w:tabs>
          <w:tab w:val="left" w:pos="5016"/>
          <w:tab w:val="left" w:pos="6312"/>
          <w:tab w:val="left" w:pos="7466"/>
          <w:tab w:val="left" w:pos="8833"/>
        </w:tabs>
        <w:spacing w:line="360" w:lineRule="auto"/>
        <w:ind w:firstLine="480" w:firstLineChars="200"/>
        <w:rPr>
          <w:rFonts w:hint="eastAsia"/>
          <w:color w:val="000000"/>
          <w:sz w:val="24"/>
          <w:szCs w:val="24"/>
          <w:lang w:bidi="ar"/>
        </w:rPr>
      </w:pPr>
      <w:r>
        <w:rPr>
          <w:rFonts w:hint="eastAsia"/>
          <w:color w:val="000000"/>
          <w:sz w:val="24"/>
          <w:szCs w:val="24"/>
        </w:rPr>
        <w:t>6.1 凡有意参加投标者，请于2025年</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17</w:t>
      </w:r>
      <w:r>
        <w:rPr>
          <w:rFonts w:hint="eastAsia"/>
          <w:color w:val="000000"/>
          <w:sz w:val="24"/>
          <w:szCs w:val="24"/>
        </w:rPr>
        <w:t>日至2025年</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23</w:t>
      </w:r>
      <w:r>
        <w:rPr>
          <w:rFonts w:hint="eastAsia"/>
          <w:color w:val="000000"/>
          <w:sz w:val="24"/>
          <w:szCs w:val="24"/>
        </w:rPr>
        <w:t>日(公休日及法定节假日除外)，每日上午9：30至11：30，下午14：00至16：00（北京时间，下同），</w:t>
      </w:r>
      <w:r>
        <w:rPr>
          <w:rFonts w:hint="eastAsia"/>
          <w:color w:val="000000"/>
          <w:sz w:val="24"/>
          <w:szCs w:val="24"/>
          <w:lang w:bidi="ar"/>
        </w:rPr>
        <w:t>可选择以下任一方式办理投标信息登记：</w:t>
      </w:r>
    </w:p>
    <w:p w14:paraId="69668FFA">
      <w:pPr>
        <w:pStyle w:val="4"/>
        <w:tabs>
          <w:tab w:val="left" w:pos="3760"/>
        </w:tabs>
        <w:spacing w:line="360" w:lineRule="auto"/>
        <w:ind w:firstLine="480" w:firstLineChars="200"/>
        <w:jc w:val="both"/>
        <w:rPr>
          <w:rFonts w:hint="eastAsia"/>
          <w:color w:val="000000"/>
          <w:sz w:val="24"/>
          <w:szCs w:val="24"/>
        </w:rPr>
      </w:pPr>
      <w:r>
        <w:rPr>
          <w:rFonts w:hint="eastAsia"/>
          <w:color w:val="000000"/>
          <w:sz w:val="24"/>
          <w:szCs w:val="24"/>
        </w:rPr>
        <w:t>方式一：现场办理投标登记方式。</w:t>
      </w:r>
      <w:r>
        <w:rPr>
          <w:rFonts w:hint="eastAsia"/>
          <w:color w:val="000000"/>
          <w:sz w:val="24"/>
          <w:szCs w:val="24"/>
          <w:u w:val="single"/>
        </w:rPr>
        <w:t>到</w:t>
      </w:r>
      <w:r>
        <w:rPr>
          <w:rFonts w:hint="eastAsia"/>
          <w:color w:val="000000"/>
          <w:sz w:val="24"/>
          <w:szCs w:val="24"/>
          <w:u w:val="single"/>
          <w:lang w:bidi="ar"/>
        </w:rPr>
        <w:t>广州公共资源交易中心一楼</w:t>
      </w:r>
      <w:r>
        <w:rPr>
          <w:rFonts w:hint="eastAsia"/>
          <w:color w:val="000000"/>
          <w:sz w:val="24"/>
          <w:szCs w:val="24"/>
          <w:u w:val="single"/>
        </w:rPr>
        <w:t>大厅</w:t>
      </w:r>
      <w:r>
        <w:rPr>
          <w:rFonts w:hint="eastAsia"/>
          <w:color w:val="000000"/>
          <w:sz w:val="24"/>
          <w:szCs w:val="24"/>
          <w:u w:val="single"/>
          <w:lang w:bidi="ar"/>
        </w:rPr>
        <w:t>42号窗口（地址：广州市天河区天润路333号，不需要取号，登记前须提前电话联系招标代理。）</w:t>
      </w:r>
      <w:r>
        <w:rPr>
          <w:rFonts w:hint="eastAsia"/>
          <w:color w:val="000000"/>
          <w:sz w:val="24"/>
          <w:szCs w:val="24"/>
          <w:u w:val="single"/>
        </w:rPr>
        <w:t>持企业营业执照</w:t>
      </w:r>
      <w:r>
        <w:rPr>
          <w:color w:val="000000"/>
          <w:sz w:val="24"/>
          <w:szCs w:val="24"/>
          <w:u w:val="single"/>
        </w:rPr>
        <w:t>（或事业法人登记证）</w:t>
      </w:r>
      <w:r>
        <w:rPr>
          <w:rFonts w:hint="eastAsia"/>
          <w:color w:val="000000"/>
          <w:sz w:val="24"/>
          <w:szCs w:val="24"/>
          <w:u w:val="single"/>
        </w:rPr>
        <w:t>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、经办人身份证原件及盖章复印件、法定代表人证明书原件和授权委托书原件（格式自拟，经办人为法定代表人的无需提供授权委托书），办理投标登记并购买招标文件</w:t>
      </w:r>
      <w:r>
        <w:rPr>
          <w:rFonts w:hint="eastAsia"/>
          <w:color w:val="000000"/>
          <w:sz w:val="24"/>
          <w:szCs w:val="24"/>
        </w:rPr>
        <w:t>。</w:t>
      </w:r>
    </w:p>
    <w:p w14:paraId="55451AC9">
      <w:pPr>
        <w:pStyle w:val="4"/>
        <w:tabs>
          <w:tab w:val="left" w:pos="3760"/>
        </w:tabs>
        <w:spacing w:line="360" w:lineRule="auto"/>
        <w:ind w:firstLine="480" w:firstLineChars="200"/>
        <w:jc w:val="both"/>
        <w:rPr>
          <w:rFonts w:hint="eastAsia"/>
          <w:color w:val="000000"/>
          <w:sz w:val="24"/>
          <w:szCs w:val="24"/>
        </w:rPr>
      </w:pPr>
      <w:r>
        <w:rPr>
          <w:rFonts w:hint="eastAsia"/>
          <w:color w:val="000000"/>
          <w:sz w:val="24"/>
          <w:szCs w:val="24"/>
        </w:rPr>
        <w:t>方式二：邮箱办理投标登记方式。</w:t>
      </w:r>
      <w:r>
        <w:rPr>
          <w:rFonts w:hint="eastAsia"/>
          <w:color w:val="000000"/>
          <w:sz w:val="24"/>
          <w:szCs w:val="24"/>
          <w:u w:val="single"/>
          <w:lang w:bidi="ar"/>
        </w:rPr>
        <w:t>将</w:t>
      </w:r>
      <w:r>
        <w:rPr>
          <w:rFonts w:hint="eastAsia"/>
          <w:color w:val="000000"/>
          <w:sz w:val="24"/>
          <w:szCs w:val="24"/>
          <w:u w:val="single"/>
        </w:rPr>
        <w:t>营业执照</w:t>
      </w:r>
      <w:r>
        <w:rPr>
          <w:color w:val="000000"/>
          <w:sz w:val="24"/>
          <w:szCs w:val="24"/>
          <w:u w:val="single"/>
        </w:rPr>
        <w:t>（或事业法人登记证）</w:t>
      </w:r>
      <w:r>
        <w:rPr>
          <w:rFonts w:hint="eastAsia"/>
          <w:color w:val="000000"/>
          <w:sz w:val="24"/>
          <w:szCs w:val="24"/>
          <w:u w:val="single"/>
        </w:rPr>
        <w:t>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、经办人身份证原件及盖章复印件、法定代表人证明书原件和授权委托书原件（格式自拟，须注明经办人联系方式，经办人为法定代表人的无需提供授权委托书）</w:t>
      </w:r>
      <w:r>
        <w:rPr>
          <w:rFonts w:hint="eastAsia"/>
          <w:color w:val="000000"/>
          <w:sz w:val="24"/>
          <w:szCs w:val="24"/>
          <w:u w:val="single"/>
          <w:lang w:bidi="ar"/>
        </w:rPr>
        <w:t>彩色扫描发送至招标代理机构邮箱(</w:t>
      </w:r>
      <w:r>
        <w:rPr>
          <w:rFonts w:hint="eastAsia"/>
          <w:color w:val="000000"/>
          <w:sz w:val="24"/>
          <w:szCs w:val="24"/>
          <w:u w:val="single"/>
        </w:rPr>
        <w:t>hzcofy@163.com</w:t>
      </w:r>
      <w:r>
        <w:rPr>
          <w:rFonts w:hint="eastAsia"/>
          <w:color w:val="000000"/>
          <w:sz w:val="24"/>
          <w:szCs w:val="24"/>
          <w:u w:val="single"/>
          <w:lang w:bidi="ar"/>
        </w:rPr>
        <w:t>)，并电话联系招标代理（联系人：颜工13642788793）办理投标登记，招标文件可提供邮寄，邮费由投标单位自行承担</w:t>
      </w:r>
      <w:r>
        <w:rPr>
          <w:rFonts w:hint="eastAsia"/>
          <w:color w:val="000000"/>
          <w:sz w:val="24"/>
          <w:szCs w:val="24"/>
        </w:rPr>
        <w:t>。</w:t>
      </w:r>
    </w:p>
    <w:p w14:paraId="3C2E4654">
      <w:pPr>
        <w:pStyle w:val="4"/>
        <w:tabs>
          <w:tab w:val="left" w:pos="3760"/>
        </w:tabs>
        <w:spacing w:line="360" w:lineRule="auto"/>
        <w:ind w:firstLine="480" w:firstLineChars="200"/>
        <w:jc w:val="both"/>
        <w:rPr>
          <w:rFonts w:hint="eastAsia"/>
          <w:color w:val="000000"/>
          <w:sz w:val="24"/>
          <w:szCs w:val="24"/>
        </w:rPr>
      </w:pPr>
      <w:r>
        <w:rPr>
          <w:rFonts w:hint="eastAsia"/>
          <w:color w:val="000000"/>
          <w:sz w:val="24"/>
          <w:szCs w:val="24"/>
        </w:rPr>
        <w:t>6.2 招标文件每套售价500元，售后不退，由招标代理机构开具收据。</w:t>
      </w:r>
    </w:p>
    <w:p w14:paraId="63986A2C">
      <w:pPr>
        <w:spacing w:line="360" w:lineRule="auto"/>
        <w:ind w:firstLine="482" w:firstLineChars="200"/>
        <w:rPr>
          <w:rFonts w:hint="eastAsia"/>
          <w:b/>
          <w:bCs/>
          <w:color w:val="000000"/>
          <w:sz w:val="24"/>
          <w:szCs w:val="24"/>
        </w:rPr>
      </w:pPr>
      <w:r>
        <w:rPr>
          <w:rFonts w:hint="eastAsia"/>
          <w:b/>
          <w:bCs/>
          <w:color w:val="000000"/>
          <w:sz w:val="24"/>
          <w:szCs w:val="24"/>
        </w:rPr>
        <w:t>七、投标文件的递交</w:t>
      </w:r>
    </w:p>
    <w:p w14:paraId="2A2B0A3B">
      <w:pPr>
        <w:pStyle w:val="4"/>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7.1 投标保证金：</w:t>
      </w:r>
      <w:r>
        <w:rPr>
          <w:rFonts w:hint="eastAsia"/>
          <w:color w:val="000000"/>
          <w:sz w:val="24"/>
          <w:szCs w:val="24"/>
          <w:u w:val="single"/>
        </w:rPr>
        <w:t xml:space="preserve"> 1 </w:t>
      </w:r>
      <w:r>
        <w:rPr>
          <w:rFonts w:hint="eastAsia"/>
          <w:color w:val="000000"/>
          <w:sz w:val="24"/>
          <w:szCs w:val="24"/>
        </w:rPr>
        <w:t>万元，须在投标截止时间前完成缴纳，详见招标文件。</w:t>
      </w:r>
    </w:p>
    <w:p w14:paraId="511FEF71">
      <w:pPr>
        <w:pStyle w:val="4"/>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7.2 投标文件递交方式：投标人须现场递交纸质投标文件，不接受邮寄。</w:t>
      </w:r>
    </w:p>
    <w:p w14:paraId="762E7BA8">
      <w:pPr>
        <w:pStyle w:val="4"/>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7.3 投标文件递交时间及地点：投标文件现场递交的时间为</w:t>
      </w:r>
      <w:r>
        <w:rPr>
          <w:rFonts w:hint="eastAsia"/>
          <w:color w:val="000000"/>
          <w:sz w:val="24"/>
          <w:szCs w:val="24"/>
          <w:u w:val="single"/>
        </w:rPr>
        <w:t>2025年</w:t>
      </w:r>
      <w:r>
        <w:rPr>
          <w:rFonts w:hint="eastAsia"/>
          <w:color w:val="000000"/>
          <w:sz w:val="24"/>
          <w:szCs w:val="24"/>
          <w:u w:val="single"/>
          <w:lang w:val="en-US" w:eastAsia="zh-CN"/>
        </w:rPr>
        <w:t>11</w:t>
      </w:r>
      <w:r>
        <w:rPr>
          <w:rFonts w:hint="eastAsia"/>
          <w:color w:val="000000"/>
          <w:sz w:val="24"/>
          <w:szCs w:val="24"/>
          <w:u w:val="single"/>
        </w:rPr>
        <w:t>月</w:t>
      </w:r>
      <w:r>
        <w:rPr>
          <w:rFonts w:hint="eastAsia"/>
          <w:color w:val="000000"/>
          <w:sz w:val="24"/>
          <w:szCs w:val="24"/>
          <w:u w:val="single"/>
          <w:lang w:val="en-US" w:eastAsia="zh-CN"/>
        </w:rPr>
        <w:t>6</w:t>
      </w:r>
      <w:r>
        <w:rPr>
          <w:rFonts w:hint="eastAsia"/>
          <w:color w:val="000000"/>
          <w:sz w:val="24"/>
          <w:szCs w:val="24"/>
          <w:u w:val="single"/>
        </w:rPr>
        <w:t>日</w:t>
      </w:r>
      <w:r>
        <w:rPr>
          <w:rFonts w:hint="eastAsia"/>
          <w:color w:val="000000"/>
          <w:sz w:val="24"/>
          <w:szCs w:val="24"/>
          <w:u w:val="single"/>
          <w:lang w:val="en-US" w:eastAsia="zh-CN"/>
        </w:rPr>
        <w:t>9</w:t>
      </w:r>
      <w:r>
        <w:rPr>
          <w:rFonts w:hint="eastAsia"/>
          <w:color w:val="000000"/>
          <w:sz w:val="24"/>
          <w:szCs w:val="24"/>
          <w:u w:val="single"/>
        </w:rPr>
        <w:t>时</w:t>
      </w:r>
      <w:r>
        <w:rPr>
          <w:rFonts w:hint="eastAsia"/>
          <w:color w:val="000000"/>
          <w:sz w:val="24"/>
          <w:szCs w:val="24"/>
          <w:u w:val="single"/>
          <w:lang w:val="en-US" w:eastAsia="zh-CN"/>
        </w:rPr>
        <w:t>00</w:t>
      </w:r>
      <w:r>
        <w:rPr>
          <w:rFonts w:hint="eastAsia"/>
          <w:color w:val="000000"/>
          <w:sz w:val="24"/>
          <w:szCs w:val="24"/>
          <w:u w:val="single"/>
        </w:rPr>
        <w:t>分至</w:t>
      </w:r>
      <w:r>
        <w:rPr>
          <w:rFonts w:hint="eastAsia"/>
          <w:color w:val="000000"/>
          <w:sz w:val="24"/>
          <w:szCs w:val="24"/>
          <w:u w:val="single"/>
          <w:lang w:val="en-US" w:eastAsia="zh-CN"/>
        </w:rPr>
        <w:t>10</w:t>
      </w:r>
      <w:r>
        <w:rPr>
          <w:rFonts w:hint="eastAsia"/>
          <w:color w:val="000000"/>
          <w:sz w:val="24"/>
          <w:szCs w:val="24"/>
          <w:u w:val="single"/>
        </w:rPr>
        <w:t>时</w:t>
      </w:r>
      <w:r>
        <w:rPr>
          <w:rFonts w:hint="eastAsia"/>
          <w:color w:val="000000"/>
          <w:sz w:val="24"/>
          <w:szCs w:val="24"/>
          <w:u w:val="single"/>
          <w:lang w:val="en-US" w:eastAsia="zh-CN"/>
        </w:rPr>
        <w:t>00</w:t>
      </w:r>
      <w:r>
        <w:rPr>
          <w:rFonts w:hint="eastAsia"/>
          <w:color w:val="000000"/>
          <w:sz w:val="24"/>
          <w:szCs w:val="24"/>
          <w:u w:val="single"/>
        </w:rPr>
        <w:t>分</w:t>
      </w:r>
      <w:r>
        <w:rPr>
          <w:rFonts w:hint="eastAsia"/>
          <w:color w:val="000000"/>
          <w:sz w:val="24"/>
          <w:szCs w:val="24"/>
        </w:rPr>
        <w:t>，地点为中通建设工程管理有限公司开评标室（广州市天河区华夏路49号津滨腾越大厦南塔27</w:t>
      </w:r>
      <w:r>
        <w:rPr>
          <w:rFonts w:hint="eastAsia"/>
          <w:color w:val="000000"/>
          <w:sz w:val="24"/>
          <w:szCs w:val="24"/>
          <w:lang w:val="en-US" w:eastAsia="zh-CN"/>
        </w:rPr>
        <w:t>11</w:t>
      </w:r>
      <w:bookmarkStart w:id="9" w:name="_GoBack"/>
      <w:bookmarkEnd w:id="9"/>
      <w:r>
        <w:rPr>
          <w:rFonts w:hint="eastAsia"/>
          <w:color w:val="000000"/>
          <w:sz w:val="24"/>
          <w:szCs w:val="24"/>
        </w:rPr>
        <w:t>房）。</w:t>
      </w:r>
    </w:p>
    <w:p w14:paraId="69002AE5">
      <w:pPr>
        <w:pStyle w:val="4"/>
        <w:tabs>
          <w:tab w:val="left" w:pos="5016"/>
          <w:tab w:val="left" w:pos="6312"/>
          <w:tab w:val="left" w:pos="7466"/>
          <w:tab w:val="left" w:pos="8833"/>
        </w:tabs>
        <w:spacing w:line="360" w:lineRule="auto"/>
        <w:ind w:firstLine="480" w:firstLineChars="200"/>
        <w:rPr>
          <w:rFonts w:hint="eastAsia"/>
          <w:color w:val="000000"/>
          <w:sz w:val="24"/>
          <w:szCs w:val="24"/>
        </w:rPr>
      </w:pPr>
      <w:r>
        <w:rPr>
          <w:rFonts w:hint="eastAsia"/>
          <w:color w:val="000000"/>
          <w:sz w:val="24"/>
          <w:szCs w:val="24"/>
        </w:rPr>
        <w:t>7.4 逾期送达的、未送达指定地点的或者不按照招标文件要求密封的投标文件，招标人将</w:t>
      </w:r>
      <w:r>
        <w:rPr>
          <w:color w:val="000000"/>
          <w:sz w:val="24"/>
          <w:szCs w:val="24"/>
        </w:rPr>
        <w:t>予以拒收。</w:t>
      </w:r>
      <w:bookmarkStart w:id="2" w:name="_bookmark7"/>
      <w:bookmarkEnd w:id="2"/>
    </w:p>
    <w:p w14:paraId="4DD5E72A">
      <w:pPr>
        <w:pStyle w:val="4"/>
        <w:spacing w:line="360" w:lineRule="auto"/>
        <w:ind w:firstLine="482" w:firstLineChars="200"/>
        <w:rPr>
          <w:color w:val="000000"/>
          <w:spacing w:val="-10"/>
          <w:sz w:val="24"/>
          <w:szCs w:val="24"/>
        </w:rPr>
      </w:pPr>
      <w:r>
        <w:rPr>
          <w:rFonts w:hint="eastAsia"/>
          <w:b/>
          <w:bCs/>
          <w:color w:val="000000"/>
          <w:sz w:val="24"/>
          <w:szCs w:val="24"/>
        </w:rPr>
        <w:t>八、开标时间</w:t>
      </w:r>
      <w:r>
        <w:rPr>
          <w:rFonts w:hint="eastAsia"/>
          <w:color w:val="000000"/>
          <w:sz w:val="24"/>
          <w:szCs w:val="24"/>
        </w:rPr>
        <w:t xml:space="preserve"> </w:t>
      </w:r>
    </w:p>
    <w:p w14:paraId="76CB219D">
      <w:pPr>
        <w:pStyle w:val="4"/>
        <w:tabs>
          <w:tab w:val="left" w:pos="5016"/>
          <w:tab w:val="left" w:pos="6312"/>
          <w:tab w:val="left" w:pos="7466"/>
          <w:tab w:val="left" w:pos="8833"/>
        </w:tabs>
        <w:spacing w:line="360" w:lineRule="auto"/>
        <w:ind w:firstLine="480" w:firstLineChars="200"/>
        <w:rPr>
          <w:color w:val="000000"/>
          <w:sz w:val="24"/>
          <w:szCs w:val="24"/>
        </w:rPr>
      </w:pPr>
      <w:r>
        <w:rPr>
          <w:rFonts w:hint="eastAsia"/>
          <w:color w:val="000000"/>
          <w:sz w:val="24"/>
          <w:szCs w:val="24"/>
        </w:rPr>
        <w:t>开标时间（即投标截止时间）：2025年</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6</w:t>
      </w:r>
      <w:r>
        <w:rPr>
          <w:rFonts w:hint="eastAsia"/>
          <w:color w:val="000000"/>
          <w:sz w:val="24"/>
          <w:szCs w:val="24"/>
        </w:rPr>
        <w:t>日</w:t>
      </w:r>
      <w:r>
        <w:rPr>
          <w:rFonts w:hint="eastAsia"/>
          <w:color w:val="000000"/>
          <w:sz w:val="24"/>
          <w:szCs w:val="24"/>
          <w:u w:val="single"/>
        </w:rPr>
        <w:t xml:space="preserve"> 10 </w:t>
      </w:r>
      <w:r>
        <w:rPr>
          <w:rFonts w:hint="eastAsia"/>
          <w:color w:val="000000"/>
          <w:sz w:val="24"/>
          <w:szCs w:val="24"/>
        </w:rPr>
        <w:t>时</w:t>
      </w:r>
      <w:r>
        <w:rPr>
          <w:rFonts w:hint="eastAsia"/>
          <w:color w:val="000000"/>
          <w:sz w:val="24"/>
          <w:szCs w:val="24"/>
          <w:u w:val="single"/>
        </w:rPr>
        <w:t xml:space="preserve"> 00 </w:t>
      </w:r>
      <w:r>
        <w:rPr>
          <w:rFonts w:hint="eastAsia"/>
          <w:color w:val="000000"/>
          <w:sz w:val="24"/>
          <w:szCs w:val="24"/>
        </w:rPr>
        <w:t>分，</w:t>
      </w:r>
      <w:bookmarkStart w:id="3" w:name="OLE_LINK2"/>
      <w:r>
        <w:rPr>
          <w:rFonts w:hint="eastAsia"/>
          <w:color w:val="000000"/>
          <w:sz w:val="24"/>
          <w:szCs w:val="24"/>
        </w:rPr>
        <w:t>开标地点：</w:t>
      </w:r>
      <w:r>
        <w:rPr>
          <w:rFonts w:hint="eastAsia" w:hAnsi="Calibri"/>
          <w:color w:val="000000"/>
          <w:sz w:val="24"/>
          <w:u w:val="single"/>
          <w:lang w:bidi="ar"/>
        </w:rPr>
        <w:t>中通建设工程管理有限公司开评标室地址：</w:t>
      </w:r>
      <w:r>
        <w:rPr>
          <w:rFonts w:hint="eastAsia"/>
          <w:color w:val="000000"/>
          <w:sz w:val="24"/>
          <w:szCs w:val="24"/>
          <w:u w:val="single"/>
        </w:rPr>
        <w:t>广州市天河区华夏路49号津滨腾越大厦南塔27</w:t>
      </w:r>
      <w:r>
        <w:rPr>
          <w:rFonts w:hint="eastAsia"/>
          <w:color w:val="000000"/>
          <w:sz w:val="24"/>
          <w:szCs w:val="24"/>
          <w:u w:val="single"/>
          <w:lang w:val="en-US" w:eastAsia="zh-CN"/>
        </w:rPr>
        <w:t>11</w:t>
      </w:r>
      <w:r>
        <w:rPr>
          <w:rFonts w:hint="eastAsia"/>
          <w:color w:val="000000"/>
          <w:sz w:val="24"/>
          <w:szCs w:val="24"/>
          <w:u w:val="single"/>
        </w:rPr>
        <w:t>房</w:t>
      </w:r>
      <w:r>
        <w:rPr>
          <w:rFonts w:hint="eastAsia" w:hAnsi="Calibri"/>
          <w:color w:val="000000"/>
          <w:sz w:val="24"/>
          <w:u w:val="single"/>
          <w:lang w:bidi="ar"/>
        </w:rPr>
        <w:t>）</w:t>
      </w:r>
      <w:r>
        <w:rPr>
          <w:rFonts w:hint="eastAsia"/>
          <w:color w:val="000000"/>
          <w:sz w:val="24"/>
          <w:szCs w:val="24"/>
        </w:rPr>
        <w:t>。</w:t>
      </w:r>
      <w:bookmarkEnd w:id="3"/>
      <w:r>
        <w:rPr>
          <w:rFonts w:hint="eastAsia"/>
          <w:color w:val="000000"/>
          <w:sz w:val="24"/>
          <w:szCs w:val="24"/>
        </w:rPr>
        <w:t>投标人的法定代表人或其委托代理人可不参加开标会议，不参加开标会议的视为默认开标结果。</w:t>
      </w:r>
    </w:p>
    <w:p w14:paraId="1EC501FC">
      <w:pPr>
        <w:pStyle w:val="4"/>
        <w:spacing w:line="360" w:lineRule="auto"/>
        <w:ind w:firstLine="482" w:firstLineChars="200"/>
        <w:rPr>
          <w:rFonts w:hint="eastAsia"/>
          <w:b/>
          <w:bCs/>
          <w:color w:val="000000"/>
          <w:sz w:val="24"/>
          <w:szCs w:val="24"/>
        </w:rPr>
      </w:pPr>
      <w:r>
        <w:rPr>
          <w:rFonts w:hint="eastAsia"/>
          <w:b/>
          <w:bCs/>
          <w:color w:val="000000"/>
          <w:sz w:val="24"/>
          <w:szCs w:val="24"/>
        </w:rPr>
        <w:t>九、本项目资格审查方式</w:t>
      </w:r>
    </w:p>
    <w:p w14:paraId="37E20CFA">
      <w:pPr>
        <w:adjustRightInd w:val="0"/>
        <w:snapToGrid w:val="0"/>
        <w:spacing w:line="360" w:lineRule="auto"/>
        <w:ind w:firstLine="480" w:firstLineChars="200"/>
        <w:rPr>
          <w:rFonts w:hint="eastAsia"/>
          <w:color w:val="000000"/>
          <w:sz w:val="24"/>
          <w:szCs w:val="24"/>
        </w:rPr>
      </w:pPr>
      <w:r>
        <w:rPr>
          <w:rFonts w:hint="eastAsia"/>
          <w:color w:val="000000"/>
          <w:sz w:val="24"/>
          <w:szCs w:val="24"/>
        </w:rPr>
        <w:t>本项目采用资格后审方式。（1）在规定的登记时间内，登记并购买项目资料的投标人不足3名时，招标人依法有权：发布公告延长登记时间。在延长的登记时间内，已登记的投标人资料仍有效并可自行补充资料，未登记的潜在投标人应根据公告的约定参与登记；或依法重新招标。（2）递交投标文件的投标人或满足资格审查合格条件的投标人少于3名时均为招标失败，招标人将依法修正招标方案后重新组织招标。</w:t>
      </w:r>
    </w:p>
    <w:p w14:paraId="239FF652">
      <w:pPr>
        <w:pStyle w:val="4"/>
        <w:spacing w:line="360" w:lineRule="auto"/>
        <w:ind w:firstLine="482" w:firstLineChars="200"/>
        <w:rPr>
          <w:rFonts w:hint="eastAsia"/>
          <w:b/>
          <w:bCs/>
          <w:color w:val="000000"/>
          <w:sz w:val="24"/>
          <w:szCs w:val="24"/>
        </w:rPr>
      </w:pPr>
      <w:r>
        <w:rPr>
          <w:rFonts w:hint="eastAsia"/>
          <w:b/>
          <w:bCs/>
          <w:color w:val="000000"/>
          <w:sz w:val="24"/>
          <w:szCs w:val="24"/>
        </w:rPr>
        <w:t>十、发布公告的媒介</w:t>
      </w:r>
    </w:p>
    <w:p w14:paraId="539EAFB5">
      <w:pPr>
        <w:pStyle w:val="4"/>
        <w:spacing w:line="360" w:lineRule="auto"/>
        <w:ind w:firstLine="480" w:firstLineChars="200"/>
        <w:rPr>
          <w:rFonts w:hint="eastAsia"/>
          <w:color w:val="000000"/>
          <w:sz w:val="24"/>
          <w:szCs w:val="24"/>
        </w:rPr>
      </w:pPr>
      <w:r>
        <w:rPr>
          <w:rFonts w:hint="eastAsia"/>
          <w:color w:val="000000"/>
          <w:sz w:val="24"/>
          <w:szCs w:val="24"/>
        </w:rPr>
        <w:t>本公告在中国招标投标公共服务平台（http://www.cebpubservice.com/）、中招联合招标采购网（http://www.365trade.com.cn/）上发布。</w:t>
      </w:r>
    </w:p>
    <w:p w14:paraId="5735AB0E">
      <w:pPr>
        <w:pStyle w:val="4"/>
        <w:spacing w:line="360" w:lineRule="auto"/>
        <w:ind w:firstLine="482" w:firstLineChars="200"/>
        <w:rPr>
          <w:color w:val="000000"/>
          <w:spacing w:val="-10"/>
          <w:sz w:val="24"/>
          <w:szCs w:val="24"/>
        </w:rPr>
      </w:pPr>
      <w:r>
        <w:rPr>
          <w:rFonts w:hint="eastAsia"/>
          <w:b/>
          <w:bCs/>
          <w:color w:val="000000"/>
          <w:sz w:val="24"/>
          <w:szCs w:val="24"/>
        </w:rPr>
        <w:t>十一、联系方式</w:t>
      </w:r>
    </w:p>
    <w:p w14:paraId="6F52E4C3">
      <w:pPr>
        <w:pStyle w:val="4"/>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招 标 人：中国石化销售股份有限公司广东石油分公司</w:t>
      </w:r>
    </w:p>
    <w:p w14:paraId="71580D12">
      <w:pPr>
        <w:pStyle w:val="4"/>
        <w:spacing w:line="360" w:lineRule="auto"/>
        <w:ind w:right="842" w:firstLine="440" w:firstLineChars="200"/>
        <w:jc w:val="both"/>
        <w:rPr>
          <w:color w:val="000000"/>
          <w:spacing w:val="-10"/>
          <w:sz w:val="24"/>
          <w:szCs w:val="24"/>
        </w:rPr>
      </w:pPr>
      <w:r>
        <w:rPr>
          <w:rFonts w:hint="eastAsia"/>
          <w:color w:val="000000"/>
          <w:spacing w:val="-10"/>
          <w:sz w:val="24"/>
          <w:szCs w:val="24"/>
        </w:rPr>
        <w:t>地    址：</w:t>
      </w:r>
      <w:r>
        <w:rPr>
          <w:rFonts w:hint="eastAsia"/>
          <w:sz w:val="24"/>
          <w:lang w:bidi="ar"/>
        </w:rPr>
        <w:t>广州市天河区体育西路 191 号中石化大厦</w:t>
      </w:r>
      <w:r>
        <w:rPr>
          <w:rFonts w:hint="eastAsia"/>
          <w:color w:val="000000"/>
          <w:spacing w:val="-10"/>
          <w:sz w:val="24"/>
          <w:szCs w:val="24"/>
        </w:rPr>
        <w:t xml:space="preserve"> </w:t>
      </w:r>
    </w:p>
    <w:p w14:paraId="597314CE">
      <w:pPr>
        <w:pStyle w:val="4"/>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联 系 人：</w:t>
      </w:r>
      <w:r>
        <w:rPr>
          <w:rFonts w:hint="eastAsia"/>
          <w:bCs/>
          <w:sz w:val="24"/>
          <w:lang w:bidi="ar"/>
        </w:rPr>
        <w:t>陶小姐</w:t>
      </w:r>
      <w:r>
        <w:rPr>
          <w:rFonts w:hint="eastAsia"/>
          <w:color w:val="000000"/>
          <w:spacing w:val="-10"/>
          <w:sz w:val="24"/>
          <w:szCs w:val="24"/>
        </w:rPr>
        <w:t xml:space="preserve"> </w:t>
      </w:r>
    </w:p>
    <w:p w14:paraId="7F193D2A">
      <w:pPr>
        <w:pStyle w:val="4"/>
        <w:spacing w:line="360" w:lineRule="auto"/>
        <w:ind w:right="842" w:firstLine="440" w:firstLineChars="200"/>
        <w:jc w:val="both"/>
        <w:rPr>
          <w:color w:val="000000"/>
          <w:spacing w:val="-10"/>
          <w:sz w:val="24"/>
          <w:szCs w:val="24"/>
        </w:rPr>
      </w:pPr>
      <w:r>
        <w:rPr>
          <w:rFonts w:hint="eastAsia"/>
          <w:color w:val="000000"/>
          <w:spacing w:val="-10"/>
          <w:sz w:val="24"/>
          <w:szCs w:val="24"/>
        </w:rPr>
        <w:t>联系电话：</w:t>
      </w:r>
      <w:r>
        <w:rPr>
          <w:rFonts w:hint="eastAsia"/>
          <w:sz w:val="24"/>
          <w:lang w:bidi="ar"/>
        </w:rPr>
        <w:t>020-380843</w:t>
      </w:r>
      <w:r>
        <w:rPr>
          <w:sz w:val="24"/>
          <w:lang w:bidi="ar"/>
        </w:rPr>
        <w:t>16</w:t>
      </w:r>
    </w:p>
    <w:p w14:paraId="71652E28">
      <w:pPr>
        <w:pStyle w:val="4"/>
        <w:spacing w:line="360" w:lineRule="auto"/>
        <w:ind w:right="842" w:firstLine="440" w:firstLineChars="200"/>
        <w:jc w:val="both"/>
        <w:rPr>
          <w:color w:val="000000"/>
          <w:spacing w:val="-10"/>
          <w:sz w:val="24"/>
          <w:szCs w:val="24"/>
        </w:rPr>
      </w:pPr>
      <w:r>
        <w:rPr>
          <w:rFonts w:hint="eastAsia"/>
          <w:color w:val="000000"/>
          <w:spacing w:val="-10"/>
          <w:sz w:val="24"/>
          <w:szCs w:val="24"/>
        </w:rPr>
        <w:t>招标代理机构：中通建设工程管理有限公司</w:t>
      </w:r>
    </w:p>
    <w:p w14:paraId="271D6358">
      <w:pPr>
        <w:pStyle w:val="4"/>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地        址：广州市天河区华夏路49号津滨腾越大厦南塔2706房</w:t>
      </w:r>
    </w:p>
    <w:p w14:paraId="3D759BD8">
      <w:pPr>
        <w:pStyle w:val="4"/>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 xml:space="preserve">联   系   人：颜工    </w:t>
      </w:r>
    </w:p>
    <w:p w14:paraId="2868624F">
      <w:pPr>
        <w:pStyle w:val="4"/>
        <w:spacing w:line="360" w:lineRule="auto"/>
        <w:ind w:right="842" w:firstLine="440" w:firstLineChars="200"/>
        <w:jc w:val="both"/>
        <w:rPr>
          <w:rFonts w:hint="eastAsia"/>
          <w:color w:val="000000"/>
          <w:spacing w:val="-10"/>
          <w:sz w:val="24"/>
          <w:szCs w:val="24"/>
        </w:rPr>
      </w:pPr>
      <w:r>
        <w:rPr>
          <w:rFonts w:hint="eastAsia"/>
          <w:color w:val="000000"/>
          <w:spacing w:val="-10"/>
          <w:sz w:val="24"/>
          <w:szCs w:val="24"/>
        </w:rPr>
        <w:t>联  系 电 话：</w:t>
      </w:r>
      <w:r>
        <w:rPr>
          <w:rFonts w:hint="eastAsia"/>
          <w:color w:val="000000"/>
          <w:sz w:val="24"/>
          <w:szCs w:val="24"/>
        </w:rPr>
        <w:t>020- 85272361、13642788793</w:t>
      </w:r>
    </w:p>
    <w:p w14:paraId="3FF673EE">
      <w:pPr>
        <w:topLinePunct/>
        <w:spacing w:line="336" w:lineRule="auto"/>
        <w:ind w:firstLine="480" w:firstLineChars="200"/>
        <w:rPr>
          <w:color w:val="000000"/>
          <w:sz w:val="24"/>
          <w:szCs w:val="24"/>
        </w:rPr>
      </w:pPr>
      <w:r>
        <w:rPr>
          <w:color w:val="000000"/>
          <w:sz w:val="24"/>
          <w:szCs w:val="24"/>
        </w:rPr>
        <w:t>电</w:t>
      </w:r>
      <w:r>
        <w:rPr>
          <w:rFonts w:hint="eastAsia"/>
          <w:color w:val="000000"/>
          <w:sz w:val="24"/>
          <w:szCs w:val="24"/>
        </w:rPr>
        <w:t xml:space="preserve"> </w:t>
      </w:r>
      <w:r>
        <w:rPr>
          <w:color w:val="000000"/>
          <w:sz w:val="24"/>
          <w:szCs w:val="24"/>
        </w:rPr>
        <w:t>子</w:t>
      </w:r>
      <w:r>
        <w:rPr>
          <w:rFonts w:hint="eastAsia"/>
          <w:color w:val="000000"/>
          <w:sz w:val="24"/>
          <w:szCs w:val="24"/>
        </w:rPr>
        <w:t xml:space="preserve"> </w:t>
      </w:r>
      <w:r>
        <w:rPr>
          <w:color w:val="000000"/>
          <w:sz w:val="24"/>
          <w:szCs w:val="24"/>
        </w:rPr>
        <w:t>邮</w:t>
      </w:r>
      <w:r>
        <w:rPr>
          <w:rFonts w:hint="eastAsia"/>
          <w:color w:val="000000"/>
          <w:sz w:val="24"/>
          <w:szCs w:val="24"/>
        </w:rPr>
        <w:t xml:space="preserve"> </w:t>
      </w:r>
      <w:r>
        <w:rPr>
          <w:color w:val="000000"/>
          <w:sz w:val="24"/>
          <w:szCs w:val="24"/>
        </w:rPr>
        <w:t>件：</w:t>
      </w:r>
      <w:r>
        <w:rPr>
          <w:color w:val="000000"/>
          <w:sz w:val="24"/>
          <w:szCs w:val="24"/>
        </w:rPr>
        <w:fldChar w:fldCharType="begin"/>
      </w:r>
      <w:r>
        <w:rPr>
          <w:color w:val="000000"/>
          <w:sz w:val="24"/>
          <w:szCs w:val="24"/>
        </w:rPr>
        <w:instrText xml:space="preserve"> HYPERLINK "mailto:hzcofy@163.com" </w:instrText>
      </w:r>
      <w:r>
        <w:rPr>
          <w:color w:val="000000"/>
          <w:sz w:val="24"/>
          <w:szCs w:val="24"/>
        </w:rPr>
        <w:fldChar w:fldCharType="separate"/>
      </w:r>
      <w:r>
        <w:rPr>
          <w:rStyle w:val="8"/>
          <w:color w:val="000000"/>
          <w:sz w:val="24"/>
          <w:szCs w:val="24"/>
        </w:rPr>
        <w:t>hzcofy@163.com</w:t>
      </w:r>
      <w:r>
        <w:rPr>
          <w:color w:val="000000"/>
          <w:sz w:val="24"/>
          <w:szCs w:val="24"/>
        </w:rPr>
        <w:fldChar w:fldCharType="end"/>
      </w:r>
    </w:p>
    <w:p w14:paraId="6E8888D4">
      <w:pPr>
        <w:pStyle w:val="2"/>
      </w:pPr>
    </w:p>
    <w:p w14:paraId="4AF0E4E2">
      <w:pPr>
        <w:pStyle w:val="2"/>
        <w:spacing w:line="480" w:lineRule="auto"/>
        <w:ind w:left="440" w:leftChars="200" w:firstLine="2860" w:firstLineChars="1300"/>
        <w:rPr>
          <w:rFonts w:hint="eastAsia"/>
          <w:color w:val="000000"/>
          <w:spacing w:val="-10"/>
          <w:sz w:val="24"/>
          <w:szCs w:val="24"/>
        </w:rPr>
      </w:pPr>
      <w:r>
        <w:rPr>
          <w:rFonts w:hint="eastAsia"/>
          <w:color w:val="000000"/>
          <w:spacing w:val="-10"/>
          <w:sz w:val="24"/>
          <w:szCs w:val="24"/>
        </w:rPr>
        <w:t>招</w:t>
      </w:r>
      <w:r>
        <w:rPr>
          <w:rFonts w:hint="eastAsia"/>
          <w:color w:val="000000"/>
          <w:spacing w:val="-10"/>
          <w:sz w:val="24"/>
          <w:szCs w:val="24"/>
          <w:lang w:val="en-US" w:eastAsia="zh-CN"/>
        </w:rPr>
        <w:t xml:space="preserve"> </w:t>
      </w:r>
      <w:r>
        <w:rPr>
          <w:rFonts w:hint="eastAsia"/>
          <w:color w:val="000000"/>
          <w:spacing w:val="-10"/>
          <w:sz w:val="24"/>
          <w:szCs w:val="24"/>
        </w:rPr>
        <w:t>标</w:t>
      </w:r>
      <w:r>
        <w:rPr>
          <w:rFonts w:hint="eastAsia"/>
          <w:color w:val="000000"/>
          <w:spacing w:val="-10"/>
          <w:sz w:val="24"/>
          <w:szCs w:val="24"/>
          <w:lang w:val="en-US" w:eastAsia="zh-CN"/>
        </w:rPr>
        <w:t xml:space="preserve"> </w:t>
      </w:r>
      <w:r>
        <w:rPr>
          <w:rFonts w:hint="eastAsia"/>
          <w:color w:val="000000"/>
          <w:spacing w:val="-10"/>
          <w:sz w:val="24"/>
          <w:szCs w:val="24"/>
        </w:rPr>
        <w:t>人：中国石化销售股份有限公司广东石油分公司</w:t>
      </w:r>
    </w:p>
    <w:p w14:paraId="74578777">
      <w:pPr>
        <w:pStyle w:val="2"/>
        <w:spacing w:line="480" w:lineRule="auto"/>
        <w:ind w:left="440" w:leftChars="200" w:firstLine="2860" w:firstLineChars="1300"/>
        <w:rPr>
          <w:rFonts w:hint="eastAsia"/>
          <w:color w:val="000000"/>
          <w:spacing w:val="-10"/>
          <w:sz w:val="24"/>
          <w:szCs w:val="24"/>
        </w:rPr>
      </w:pPr>
      <w:r>
        <w:rPr>
          <w:rFonts w:hint="eastAsia"/>
          <w:color w:val="000000"/>
          <w:spacing w:val="-10"/>
          <w:sz w:val="24"/>
          <w:szCs w:val="24"/>
        </w:rPr>
        <w:t>招标代理：中通建设工程管理有限公司</w:t>
      </w:r>
    </w:p>
    <w:p w14:paraId="2AEE153C">
      <w:pPr>
        <w:pStyle w:val="2"/>
        <w:spacing w:line="480" w:lineRule="auto"/>
        <w:ind w:left="440" w:leftChars="200" w:firstLine="2860" w:firstLineChars="1300"/>
        <w:rPr>
          <w:rFonts w:hint="default" w:eastAsia="宋体"/>
          <w:color w:val="000000"/>
          <w:spacing w:val="-10"/>
          <w:sz w:val="24"/>
          <w:szCs w:val="24"/>
          <w:lang w:val="en-US" w:eastAsia="zh-CN"/>
        </w:rPr>
      </w:pPr>
      <w:r>
        <w:rPr>
          <w:rFonts w:hint="eastAsia"/>
          <w:color w:val="000000"/>
          <w:spacing w:val="-10"/>
          <w:sz w:val="24"/>
          <w:szCs w:val="24"/>
          <w:lang w:val="en-US" w:eastAsia="zh-CN"/>
        </w:rPr>
        <w:t>日     期：2025年10月16日</w:t>
      </w:r>
    </w:p>
    <w:p w14:paraId="6D7B0BA5">
      <w:pPr>
        <w:pStyle w:val="2"/>
        <w:spacing w:line="480" w:lineRule="auto"/>
        <w:rPr>
          <w:rFonts w:hint="default"/>
          <w:color w:val="000000"/>
          <w:spacing w:val="-10"/>
          <w:sz w:val="24"/>
          <w:szCs w:val="24"/>
          <w:lang w:val="en-US" w:eastAsia="zh-CN"/>
        </w:rPr>
        <w:sectPr>
          <w:pgSz w:w="11910" w:h="16840"/>
          <w:pgMar w:top="1247" w:right="1247" w:bottom="1247" w:left="1247" w:header="882" w:footer="570" w:gutter="0"/>
          <w:cols w:space="720" w:num="1"/>
        </w:sectPr>
      </w:pPr>
    </w:p>
    <w:p w14:paraId="473B5E9F">
      <w:pPr>
        <w:tabs>
          <w:tab w:val="left" w:pos="4519"/>
        </w:tabs>
        <w:spacing w:before="5"/>
        <w:outlineLvl w:val="0"/>
        <w:rPr>
          <w:rFonts w:hint="eastAsia" w:ascii="微软雅黑" w:eastAsia="微软雅黑"/>
          <w:b/>
          <w:color w:val="000000"/>
          <w:sz w:val="24"/>
          <w:szCs w:val="24"/>
        </w:rPr>
      </w:pPr>
      <w:bookmarkStart w:id="4" w:name="_Toc929"/>
      <w:bookmarkStart w:id="5" w:name="_Toc119328657"/>
      <w:r>
        <w:rPr>
          <w:rFonts w:hint="eastAsia" w:ascii="微软雅黑" w:eastAsia="微软雅黑"/>
          <w:b/>
          <w:color w:val="000000"/>
          <w:sz w:val="24"/>
          <w:szCs w:val="24"/>
        </w:rPr>
        <w:t>附件一：</w:t>
      </w:r>
      <w:bookmarkEnd w:id="4"/>
      <w:bookmarkEnd w:id="5"/>
    </w:p>
    <w:p w14:paraId="0567A055">
      <w:pPr>
        <w:tabs>
          <w:tab w:val="left" w:pos="4519"/>
        </w:tabs>
        <w:spacing w:before="5"/>
        <w:jc w:val="center"/>
        <w:outlineLvl w:val="0"/>
        <w:rPr>
          <w:rFonts w:hint="eastAsia"/>
          <w:b/>
          <w:bCs/>
          <w:color w:val="000000"/>
          <w:sz w:val="28"/>
          <w:szCs w:val="28"/>
        </w:rPr>
      </w:pPr>
      <w:bookmarkStart w:id="6" w:name="_Toc119328658"/>
      <w:bookmarkStart w:id="7" w:name="_Toc4456"/>
      <w:r>
        <w:rPr>
          <w:rFonts w:hint="eastAsia"/>
          <w:b/>
          <w:bCs/>
          <w:color w:val="000000"/>
          <w:sz w:val="28"/>
          <w:szCs w:val="28"/>
        </w:rPr>
        <w:t>投标登记申请表</w:t>
      </w:r>
      <w:bookmarkEnd w:id="6"/>
      <w:bookmarkEnd w:id="7"/>
    </w:p>
    <w:p w14:paraId="13821F71">
      <w:pPr>
        <w:jc w:val="center"/>
        <w:rPr>
          <w:rFonts w:hint="eastAsia"/>
          <w:b/>
          <w:bCs/>
          <w:color w:val="000000"/>
          <w:sz w:val="28"/>
          <w:szCs w:val="28"/>
        </w:rPr>
      </w:pPr>
      <w:bookmarkStart w:id="8" w:name="_Toc119328659"/>
      <w:r>
        <w:rPr>
          <w:color w:val="000000"/>
        </w:rPr>
        <w:t xml:space="preserve">                                                          </w:t>
      </w:r>
      <w:r>
        <w:rPr>
          <w:rFonts w:hint="eastAsia"/>
          <w:color w:val="000000"/>
        </w:rPr>
        <w:t>年    月    日</w:t>
      </w:r>
      <w:bookmarkEnd w:id="8"/>
    </w:p>
    <w:tbl>
      <w:tblPr>
        <w:tblStyle w:val="6"/>
        <w:tblW w:w="9026" w:type="dxa"/>
        <w:tblInd w:w="93" w:type="dxa"/>
        <w:tblLayout w:type="fixed"/>
        <w:tblCellMar>
          <w:top w:w="0" w:type="dxa"/>
          <w:left w:w="108" w:type="dxa"/>
          <w:bottom w:w="0" w:type="dxa"/>
          <w:right w:w="108" w:type="dxa"/>
        </w:tblCellMar>
      </w:tblPr>
      <w:tblGrid>
        <w:gridCol w:w="1706"/>
        <w:gridCol w:w="1673"/>
        <w:gridCol w:w="1225"/>
        <w:gridCol w:w="664"/>
        <w:gridCol w:w="401"/>
        <w:gridCol w:w="623"/>
        <w:gridCol w:w="784"/>
        <w:gridCol w:w="1950"/>
      </w:tblGrid>
      <w:tr w14:paraId="49B857E7">
        <w:tblPrEx>
          <w:tblCellMar>
            <w:top w:w="0" w:type="dxa"/>
            <w:left w:w="108" w:type="dxa"/>
            <w:bottom w:w="0" w:type="dxa"/>
            <w:right w:w="108" w:type="dxa"/>
          </w:tblCellMar>
        </w:tblPrEx>
        <w:trPr>
          <w:trHeight w:val="832" w:hRule="atLeast"/>
        </w:trPr>
        <w:tc>
          <w:tcPr>
            <w:tcW w:w="1706" w:type="dxa"/>
            <w:tcBorders>
              <w:top w:val="single" w:color="auto" w:sz="4" w:space="0"/>
              <w:left w:val="single" w:color="auto" w:sz="4" w:space="0"/>
              <w:bottom w:val="single" w:color="auto" w:sz="4" w:space="0"/>
              <w:right w:val="single" w:color="auto" w:sz="4" w:space="0"/>
            </w:tcBorders>
            <w:noWrap/>
            <w:vAlign w:val="center"/>
          </w:tcPr>
          <w:p w14:paraId="605C6EA5">
            <w:pPr>
              <w:widowControl/>
              <w:jc w:val="center"/>
              <w:rPr>
                <w:color w:val="000000"/>
                <w:sz w:val="24"/>
              </w:rPr>
            </w:pPr>
            <w:r>
              <w:rPr>
                <w:rFonts w:hint="eastAsia"/>
                <w:color w:val="000000"/>
                <w:sz w:val="24"/>
              </w:rPr>
              <w:t>项目名称</w:t>
            </w:r>
          </w:p>
        </w:tc>
        <w:tc>
          <w:tcPr>
            <w:tcW w:w="7320" w:type="dxa"/>
            <w:gridSpan w:val="7"/>
            <w:tcBorders>
              <w:top w:val="single" w:color="auto" w:sz="4" w:space="0"/>
              <w:left w:val="nil"/>
              <w:bottom w:val="single" w:color="auto" w:sz="4" w:space="0"/>
              <w:right w:val="single" w:color="auto" w:sz="4" w:space="0"/>
            </w:tcBorders>
            <w:noWrap/>
            <w:vAlign w:val="center"/>
          </w:tcPr>
          <w:p w14:paraId="0445D97B">
            <w:pPr>
              <w:widowControl/>
              <w:jc w:val="center"/>
              <w:rPr>
                <w:color w:val="000000"/>
                <w:sz w:val="24"/>
              </w:rPr>
            </w:pPr>
            <w:r>
              <w:rPr>
                <w:rFonts w:hint="eastAsia"/>
                <w:sz w:val="24"/>
                <w:szCs w:val="24"/>
              </w:rPr>
              <w:t>中国石化销售股份有限公司广东石油分公司便利店专业盘点服务框架采购项目</w:t>
            </w:r>
          </w:p>
        </w:tc>
      </w:tr>
      <w:tr w14:paraId="1A1A1792">
        <w:tblPrEx>
          <w:tblCellMar>
            <w:top w:w="0" w:type="dxa"/>
            <w:left w:w="108" w:type="dxa"/>
            <w:bottom w:w="0" w:type="dxa"/>
            <w:right w:w="108" w:type="dxa"/>
          </w:tblCellMar>
        </w:tblPrEx>
        <w:trPr>
          <w:trHeight w:val="961" w:hRule="atLeast"/>
        </w:trPr>
        <w:tc>
          <w:tcPr>
            <w:tcW w:w="1706" w:type="dxa"/>
            <w:tcBorders>
              <w:top w:val="nil"/>
              <w:left w:val="single" w:color="auto" w:sz="4" w:space="0"/>
              <w:bottom w:val="single" w:color="auto" w:sz="4" w:space="0"/>
              <w:right w:val="single" w:color="auto" w:sz="4" w:space="0"/>
            </w:tcBorders>
            <w:noWrap w:val="0"/>
            <w:vAlign w:val="center"/>
          </w:tcPr>
          <w:p w14:paraId="2AE05EDB">
            <w:pPr>
              <w:widowControl/>
              <w:jc w:val="center"/>
              <w:rPr>
                <w:color w:val="000000"/>
                <w:sz w:val="24"/>
              </w:rPr>
            </w:pPr>
            <w:r>
              <w:rPr>
                <w:rFonts w:hint="eastAsia"/>
                <w:color w:val="000000"/>
                <w:sz w:val="24"/>
              </w:rPr>
              <w:t>投标单位名称</w:t>
            </w:r>
          </w:p>
        </w:tc>
        <w:tc>
          <w:tcPr>
            <w:tcW w:w="1673" w:type="dxa"/>
            <w:tcBorders>
              <w:top w:val="nil"/>
              <w:left w:val="nil"/>
              <w:bottom w:val="single" w:color="auto" w:sz="4" w:space="0"/>
              <w:right w:val="single" w:color="auto" w:sz="4" w:space="0"/>
            </w:tcBorders>
            <w:noWrap/>
            <w:vAlign w:val="center"/>
          </w:tcPr>
          <w:p w14:paraId="313809CD">
            <w:pPr>
              <w:widowControl/>
              <w:jc w:val="center"/>
              <w:rPr>
                <w:color w:val="000000"/>
                <w:sz w:val="24"/>
              </w:rPr>
            </w:pPr>
            <w:r>
              <w:rPr>
                <w:rFonts w:hint="eastAsia"/>
                <w:color w:val="000000"/>
                <w:sz w:val="24"/>
              </w:rPr>
              <w:t>　</w:t>
            </w:r>
          </w:p>
        </w:tc>
        <w:tc>
          <w:tcPr>
            <w:tcW w:w="1225" w:type="dxa"/>
            <w:tcBorders>
              <w:top w:val="nil"/>
              <w:left w:val="nil"/>
              <w:bottom w:val="single" w:color="auto" w:sz="4" w:space="0"/>
              <w:right w:val="single" w:color="auto" w:sz="4" w:space="0"/>
            </w:tcBorders>
            <w:noWrap/>
            <w:vAlign w:val="center"/>
          </w:tcPr>
          <w:p w14:paraId="565F2071">
            <w:pPr>
              <w:widowControl/>
              <w:jc w:val="center"/>
              <w:rPr>
                <w:color w:val="000000"/>
                <w:sz w:val="24"/>
              </w:rPr>
            </w:pPr>
            <w:r>
              <w:rPr>
                <w:rFonts w:hint="eastAsia"/>
                <w:color w:val="000000"/>
                <w:sz w:val="24"/>
              </w:rPr>
              <w:t>被授权人</w:t>
            </w:r>
          </w:p>
        </w:tc>
        <w:tc>
          <w:tcPr>
            <w:tcW w:w="1065" w:type="dxa"/>
            <w:gridSpan w:val="2"/>
            <w:tcBorders>
              <w:top w:val="nil"/>
              <w:left w:val="nil"/>
              <w:bottom w:val="single" w:color="auto" w:sz="4" w:space="0"/>
              <w:right w:val="single" w:color="auto" w:sz="4" w:space="0"/>
            </w:tcBorders>
            <w:noWrap/>
            <w:vAlign w:val="center"/>
          </w:tcPr>
          <w:p w14:paraId="5AC4A912">
            <w:pPr>
              <w:widowControl/>
              <w:jc w:val="center"/>
              <w:rPr>
                <w:color w:val="000000"/>
                <w:sz w:val="24"/>
              </w:rPr>
            </w:pPr>
            <w:r>
              <w:rPr>
                <w:rFonts w:hint="eastAsia"/>
                <w:color w:val="000000"/>
                <w:sz w:val="24"/>
              </w:rPr>
              <w:t>　</w:t>
            </w:r>
          </w:p>
        </w:tc>
        <w:tc>
          <w:tcPr>
            <w:tcW w:w="1407" w:type="dxa"/>
            <w:gridSpan w:val="2"/>
            <w:tcBorders>
              <w:top w:val="nil"/>
              <w:left w:val="nil"/>
              <w:bottom w:val="single" w:color="auto" w:sz="4" w:space="0"/>
              <w:right w:val="single" w:color="auto" w:sz="4" w:space="0"/>
            </w:tcBorders>
            <w:noWrap/>
            <w:vAlign w:val="center"/>
          </w:tcPr>
          <w:p w14:paraId="054D870A">
            <w:pPr>
              <w:widowControl/>
              <w:jc w:val="center"/>
              <w:rPr>
                <w:color w:val="000000"/>
                <w:sz w:val="24"/>
              </w:rPr>
            </w:pPr>
            <w:r>
              <w:rPr>
                <w:rFonts w:hint="eastAsia"/>
                <w:color w:val="000000"/>
                <w:sz w:val="24"/>
              </w:rPr>
              <w:t>联系电话</w:t>
            </w:r>
          </w:p>
        </w:tc>
        <w:tc>
          <w:tcPr>
            <w:tcW w:w="1950" w:type="dxa"/>
            <w:tcBorders>
              <w:top w:val="nil"/>
              <w:left w:val="nil"/>
              <w:bottom w:val="single" w:color="auto" w:sz="4" w:space="0"/>
              <w:right w:val="single" w:color="auto" w:sz="4" w:space="0"/>
            </w:tcBorders>
            <w:noWrap/>
            <w:vAlign w:val="center"/>
          </w:tcPr>
          <w:p w14:paraId="3B995BDF">
            <w:pPr>
              <w:widowControl/>
              <w:jc w:val="center"/>
              <w:rPr>
                <w:color w:val="000000"/>
                <w:sz w:val="24"/>
              </w:rPr>
            </w:pPr>
            <w:r>
              <w:rPr>
                <w:rFonts w:hint="eastAsia"/>
                <w:color w:val="000000"/>
                <w:sz w:val="24"/>
              </w:rPr>
              <w:t>　</w:t>
            </w:r>
          </w:p>
        </w:tc>
      </w:tr>
      <w:tr w14:paraId="26F78C4A">
        <w:tblPrEx>
          <w:tblCellMar>
            <w:top w:w="0" w:type="dxa"/>
            <w:left w:w="108" w:type="dxa"/>
            <w:bottom w:w="0" w:type="dxa"/>
            <w:right w:w="108" w:type="dxa"/>
          </w:tblCellMar>
        </w:tblPrEx>
        <w:trPr>
          <w:trHeight w:val="961" w:hRule="atLeast"/>
        </w:trPr>
        <w:tc>
          <w:tcPr>
            <w:tcW w:w="1706" w:type="dxa"/>
            <w:tcBorders>
              <w:top w:val="nil"/>
              <w:left w:val="single" w:color="auto" w:sz="4" w:space="0"/>
              <w:bottom w:val="single" w:color="auto" w:sz="4" w:space="0"/>
              <w:right w:val="single" w:color="auto" w:sz="4" w:space="0"/>
            </w:tcBorders>
            <w:noWrap w:val="0"/>
            <w:vAlign w:val="center"/>
          </w:tcPr>
          <w:p w14:paraId="6E43988B">
            <w:pPr>
              <w:widowControl/>
              <w:jc w:val="center"/>
              <w:rPr>
                <w:color w:val="000000"/>
                <w:sz w:val="24"/>
              </w:rPr>
            </w:pPr>
            <w:r>
              <w:rPr>
                <w:rFonts w:hint="eastAsia"/>
                <w:color w:val="000000"/>
                <w:sz w:val="24"/>
              </w:rPr>
              <w:t>联系地址（用于收件）</w:t>
            </w:r>
          </w:p>
        </w:tc>
        <w:tc>
          <w:tcPr>
            <w:tcW w:w="3963" w:type="dxa"/>
            <w:gridSpan w:val="4"/>
            <w:tcBorders>
              <w:top w:val="nil"/>
              <w:left w:val="nil"/>
              <w:bottom w:val="single" w:color="auto" w:sz="4" w:space="0"/>
              <w:right w:val="single" w:color="auto" w:sz="4" w:space="0"/>
            </w:tcBorders>
            <w:noWrap/>
            <w:vAlign w:val="center"/>
          </w:tcPr>
          <w:p w14:paraId="7F60023D">
            <w:pPr>
              <w:widowControl/>
              <w:jc w:val="center"/>
              <w:rPr>
                <w:color w:val="000000"/>
                <w:sz w:val="24"/>
              </w:rPr>
            </w:pPr>
          </w:p>
        </w:tc>
        <w:tc>
          <w:tcPr>
            <w:tcW w:w="1407" w:type="dxa"/>
            <w:gridSpan w:val="2"/>
            <w:tcBorders>
              <w:top w:val="nil"/>
              <w:left w:val="nil"/>
              <w:bottom w:val="single" w:color="auto" w:sz="4" w:space="0"/>
              <w:right w:val="single" w:color="auto" w:sz="4" w:space="0"/>
            </w:tcBorders>
            <w:noWrap/>
            <w:vAlign w:val="center"/>
          </w:tcPr>
          <w:p w14:paraId="367B45E3">
            <w:pPr>
              <w:widowControl/>
              <w:jc w:val="center"/>
              <w:rPr>
                <w:color w:val="000000"/>
                <w:sz w:val="24"/>
              </w:rPr>
            </w:pPr>
            <w:r>
              <w:rPr>
                <w:rFonts w:hint="eastAsia"/>
                <w:color w:val="000000"/>
                <w:sz w:val="24"/>
              </w:rPr>
              <w:t>联系邮箱</w:t>
            </w:r>
          </w:p>
        </w:tc>
        <w:tc>
          <w:tcPr>
            <w:tcW w:w="1950" w:type="dxa"/>
            <w:tcBorders>
              <w:top w:val="nil"/>
              <w:left w:val="nil"/>
              <w:bottom w:val="single" w:color="auto" w:sz="4" w:space="0"/>
              <w:right w:val="single" w:color="auto" w:sz="4" w:space="0"/>
            </w:tcBorders>
            <w:noWrap/>
            <w:vAlign w:val="center"/>
          </w:tcPr>
          <w:p w14:paraId="43A6116B">
            <w:pPr>
              <w:widowControl/>
              <w:jc w:val="center"/>
              <w:rPr>
                <w:color w:val="000000"/>
                <w:sz w:val="24"/>
              </w:rPr>
            </w:pPr>
          </w:p>
        </w:tc>
      </w:tr>
      <w:tr w14:paraId="0FD881F0">
        <w:tblPrEx>
          <w:tblCellMar>
            <w:top w:w="0" w:type="dxa"/>
            <w:left w:w="108" w:type="dxa"/>
            <w:bottom w:w="0" w:type="dxa"/>
            <w:right w:w="108" w:type="dxa"/>
          </w:tblCellMar>
        </w:tblPrEx>
        <w:trPr>
          <w:trHeight w:val="881" w:hRule="atLeast"/>
        </w:trPr>
        <w:tc>
          <w:tcPr>
            <w:tcW w:w="1706" w:type="dxa"/>
            <w:tcBorders>
              <w:top w:val="nil"/>
              <w:left w:val="single" w:color="auto" w:sz="4" w:space="0"/>
              <w:bottom w:val="single" w:color="auto" w:sz="4" w:space="0"/>
              <w:right w:val="single" w:color="auto" w:sz="4" w:space="0"/>
            </w:tcBorders>
            <w:noWrap/>
            <w:vAlign w:val="center"/>
          </w:tcPr>
          <w:p w14:paraId="74F6AC32">
            <w:pPr>
              <w:widowControl/>
              <w:jc w:val="center"/>
              <w:rPr>
                <w:color w:val="000000"/>
                <w:sz w:val="24"/>
              </w:rPr>
            </w:pPr>
            <w:r>
              <w:rPr>
                <w:rFonts w:hint="eastAsia"/>
                <w:color w:val="000000"/>
                <w:sz w:val="24"/>
              </w:rPr>
              <w:t>保证书</w:t>
            </w:r>
          </w:p>
        </w:tc>
        <w:tc>
          <w:tcPr>
            <w:tcW w:w="7320" w:type="dxa"/>
            <w:gridSpan w:val="7"/>
            <w:tcBorders>
              <w:top w:val="single" w:color="auto" w:sz="4" w:space="0"/>
              <w:left w:val="nil"/>
              <w:bottom w:val="single" w:color="auto" w:sz="4" w:space="0"/>
              <w:right w:val="single" w:color="000000" w:sz="4" w:space="0"/>
            </w:tcBorders>
            <w:noWrap/>
            <w:vAlign w:val="center"/>
          </w:tcPr>
          <w:p w14:paraId="1920C3EB">
            <w:pPr>
              <w:widowControl/>
              <w:jc w:val="center"/>
              <w:rPr>
                <w:color w:val="000000"/>
                <w:sz w:val="24"/>
              </w:rPr>
            </w:pPr>
            <w:r>
              <w:rPr>
                <w:rFonts w:hint="eastAsia"/>
                <w:color w:val="000000"/>
                <w:sz w:val="24"/>
              </w:rPr>
              <w:t>我公司保证该项目由本单位承包，不接受他人挂靠，不转包，不非法分包。如有违犯，责任自负。</w:t>
            </w:r>
          </w:p>
        </w:tc>
      </w:tr>
      <w:tr w14:paraId="5F2B6CD5">
        <w:tblPrEx>
          <w:tblCellMar>
            <w:top w:w="0" w:type="dxa"/>
            <w:left w:w="108" w:type="dxa"/>
            <w:bottom w:w="0" w:type="dxa"/>
            <w:right w:w="108" w:type="dxa"/>
          </w:tblCellMar>
        </w:tblPrEx>
        <w:trPr>
          <w:trHeight w:val="1507" w:hRule="atLeast"/>
        </w:trPr>
        <w:tc>
          <w:tcPr>
            <w:tcW w:w="1706" w:type="dxa"/>
            <w:tcBorders>
              <w:top w:val="nil"/>
              <w:left w:val="single" w:color="auto" w:sz="4" w:space="0"/>
              <w:bottom w:val="single" w:color="auto" w:sz="4" w:space="0"/>
              <w:right w:val="single" w:color="auto" w:sz="4" w:space="0"/>
            </w:tcBorders>
            <w:noWrap/>
            <w:vAlign w:val="center"/>
          </w:tcPr>
          <w:p w14:paraId="7554B297">
            <w:pPr>
              <w:widowControl/>
              <w:jc w:val="center"/>
              <w:rPr>
                <w:color w:val="000000"/>
                <w:sz w:val="24"/>
              </w:rPr>
            </w:pPr>
            <w:r>
              <w:rPr>
                <w:rFonts w:hint="eastAsia"/>
                <w:color w:val="000000"/>
                <w:sz w:val="24"/>
              </w:rPr>
              <w:t>投标人盖章</w:t>
            </w:r>
          </w:p>
        </w:tc>
        <w:tc>
          <w:tcPr>
            <w:tcW w:w="1673" w:type="dxa"/>
            <w:tcBorders>
              <w:top w:val="nil"/>
              <w:left w:val="nil"/>
              <w:bottom w:val="single" w:color="auto" w:sz="4" w:space="0"/>
              <w:right w:val="single" w:color="auto" w:sz="4" w:space="0"/>
            </w:tcBorders>
            <w:noWrap/>
            <w:vAlign w:val="center"/>
          </w:tcPr>
          <w:p w14:paraId="744C41E2">
            <w:pPr>
              <w:widowControl/>
              <w:jc w:val="center"/>
              <w:rPr>
                <w:color w:val="000000"/>
                <w:sz w:val="24"/>
              </w:rPr>
            </w:pPr>
            <w:r>
              <w:rPr>
                <w:rFonts w:hint="eastAsia"/>
                <w:color w:val="000000"/>
                <w:sz w:val="24"/>
              </w:rPr>
              <w:t>　</w:t>
            </w:r>
          </w:p>
        </w:tc>
        <w:tc>
          <w:tcPr>
            <w:tcW w:w="2290" w:type="dxa"/>
            <w:gridSpan w:val="3"/>
            <w:tcBorders>
              <w:top w:val="single" w:color="auto" w:sz="4" w:space="0"/>
              <w:left w:val="nil"/>
              <w:bottom w:val="single" w:color="auto" w:sz="4" w:space="0"/>
              <w:right w:val="single" w:color="000000" w:sz="4" w:space="0"/>
            </w:tcBorders>
            <w:noWrap/>
            <w:vAlign w:val="center"/>
          </w:tcPr>
          <w:p w14:paraId="23B20177">
            <w:pPr>
              <w:widowControl/>
              <w:jc w:val="center"/>
              <w:rPr>
                <w:color w:val="000000"/>
                <w:sz w:val="24"/>
              </w:rPr>
            </w:pPr>
            <w:r>
              <w:rPr>
                <w:rFonts w:hint="eastAsia"/>
                <w:color w:val="000000"/>
                <w:sz w:val="24"/>
              </w:rPr>
              <w:t>法定代表人签字或签章</w:t>
            </w:r>
          </w:p>
        </w:tc>
        <w:tc>
          <w:tcPr>
            <w:tcW w:w="3357" w:type="dxa"/>
            <w:gridSpan w:val="3"/>
            <w:tcBorders>
              <w:top w:val="single" w:color="auto" w:sz="4" w:space="0"/>
              <w:left w:val="nil"/>
              <w:bottom w:val="single" w:color="auto" w:sz="4" w:space="0"/>
              <w:right w:val="single" w:color="000000" w:sz="4" w:space="0"/>
            </w:tcBorders>
            <w:noWrap/>
            <w:vAlign w:val="center"/>
          </w:tcPr>
          <w:p w14:paraId="52EF8C02">
            <w:pPr>
              <w:widowControl/>
              <w:jc w:val="center"/>
              <w:rPr>
                <w:color w:val="000000"/>
                <w:sz w:val="24"/>
              </w:rPr>
            </w:pPr>
            <w:r>
              <w:rPr>
                <w:rFonts w:hint="eastAsia"/>
                <w:color w:val="000000"/>
                <w:sz w:val="24"/>
              </w:rPr>
              <w:t>　</w:t>
            </w:r>
          </w:p>
        </w:tc>
      </w:tr>
      <w:tr w14:paraId="3A0B48F8">
        <w:tblPrEx>
          <w:tblCellMar>
            <w:top w:w="0" w:type="dxa"/>
            <w:left w:w="108" w:type="dxa"/>
            <w:bottom w:w="0" w:type="dxa"/>
            <w:right w:w="108" w:type="dxa"/>
          </w:tblCellMar>
        </w:tblPrEx>
        <w:trPr>
          <w:trHeight w:val="1337" w:hRule="atLeast"/>
        </w:trPr>
        <w:tc>
          <w:tcPr>
            <w:tcW w:w="1706" w:type="dxa"/>
            <w:tcBorders>
              <w:top w:val="nil"/>
              <w:left w:val="single" w:color="auto" w:sz="4" w:space="0"/>
              <w:bottom w:val="single" w:color="auto" w:sz="4" w:space="0"/>
              <w:right w:val="single" w:color="auto" w:sz="4" w:space="0"/>
            </w:tcBorders>
            <w:noWrap/>
            <w:vAlign w:val="center"/>
          </w:tcPr>
          <w:p w14:paraId="2CF913A5">
            <w:pPr>
              <w:widowControl/>
              <w:jc w:val="center"/>
              <w:rPr>
                <w:color w:val="000000"/>
                <w:sz w:val="24"/>
              </w:rPr>
            </w:pPr>
            <w:r>
              <w:rPr>
                <w:rFonts w:hint="eastAsia"/>
                <w:color w:val="000000"/>
                <w:sz w:val="24"/>
              </w:rPr>
              <w:t>备注</w:t>
            </w:r>
          </w:p>
        </w:tc>
        <w:tc>
          <w:tcPr>
            <w:tcW w:w="7320" w:type="dxa"/>
            <w:gridSpan w:val="7"/>
            <w:tcBorders>
              <w:top w:val="single" w:color="auto" w:sz="4" w:space="0"/>
              <w:left w:val="nil"/>
              <w:bottom w:val="single" w:color="auto" w:sz="4" w:space="0"/>
              <w:right w:val="single" w:color="000000" w:sz="4" w:space="0"/>
            </w:tcBorders>
            <w:noWrap/>
            <w:vAlign w:val="center"/>
          </w:tcPr>
          <w:p w14:paraId="26A47C4A">
            <w:pPr>
              <w:widowControl/>
              <w:jc w:val="center"/>
              <w:rPr>
                <w:color w:val="000000"/>
                <w:sz w:val="24"/>
              </w:rPr>
            </w:pPr>
            <w:r>
              <w:rPr>
                <w:rFonts w:hint="eastAsia"/>
                <w:color w:val="000000"/>
                <w:sz w:val="24"/>
              </w:rPr>
              <w:t>　</w:t>
            </w:r>
          </w:p>
        </w:tc>
      </w:tr>
      <w:tr w14:paraId="41E01CF9">
        <w:tblPrEx>
          <w:tblCellMar>
            <w:top w:w="0" w:type="dxa"/>
            <w:left w:w="108" w:type="dxa"/>
            <w:bottom w:w="0" w:type="dxa"/>
            <w:right w:w="108" w:type="dxa"/>
          </w:tblCellMar>
        </w:tblPrEx>
        <w:trPr>
          <w:trHeight w:val="452" w:hRule="atLeast"/>
        </w:trPr>
        <w:tc>
          <w:tcPr>
            <w:tcW w:w="5268" w:type="dxa"/>
            <w:gridSpan w:val="4"/>
            <w:tcBorders>
              <w:top w:val="nil"/>
              <w:left w:val="nil"/>
              <w:bottom w:val="nil"/>
              <w:right w:val="nil"/>
            </w:tcBorders>
            <w:noWrap/>
            <w:vAlign w:val="center"/>
          </w:tcPr>
          <w:p w14:paraId="3A397C5E">
            <w:pPr>
              <w:widowControl/>
              <w:rPr>
                <w:color w:val="000000"/>
                <w:sz w:val="24"/>
              </w:rPr>
            </w:pPr>
            <w:r>
              <w:rPr>
                <w:rFonts w:hint="eastAsia"/>
                <w:color w:val="000000"/>
                <w:sz w:val="24"/>
              </w:rPr>
              <w:t>1.本表内容不允许涂改或增删。</w:t>
            </w:r>
          </w:p>
        </w:tc>
        <w:tc>
          <w:tcPr>
            <w:tcW w:w="401" w:type="dxa"/>
            <w:tcBorders>
              <w:top w:val="nil"/>
              <w:left w:val="nil"/>
              <w:bottom w:val="nil"/>
              <w:right w:val="nil"/>
            </w:tcBorders>
            <w:noWrap/>
            <w:vAlign w:val="center"/>
          </w:tcPr>
          <w:p w14:paraId="4D7488C7">
            <w:pPr>
              <w:widowControl/>
              <w:rPr>
                <w:color w:val="000000"/>
              </w:rPr>
            </w:pPr>
          </w:p>
        </w:tc>
        <w:tc>
          <w:tcPr>
            <w:tcW w:w="623" w:type="dxa"/>
            <w:tcBorders>
              <w:top w:val="nil"/>
              <w:left w:val="nil"/>
              <w:bottom w:val="nil"/>
              <w:right w:val="nil"/>
            </w:tcBorders>
            <w:noWrap/>
            <w:vAlign w:val="center"/>
          </w:tcPr>
          <w:p w14:paraId="73835DA9">
            <w:pPr>
              <w:widowControl/>
              <w:rPr>
                <w:color w:val="000000"/>
              </w:rPr>
            </w:pPr>
          </w:p>
        </w:tc>
        <w:tc>
          <w:tcPr>
            <w:tcW w:w="2734" w:type="dxa"/>
            <w:gridSpan w:val="2"/>
            <w:tcBorders>
              <w:top w:val="nil"/>
              <w:left w:val="nil"/>
              <w:bottom w:val="nil"/>
              <w:right w:val="nil"/>
            </w:tcBorders>
            <w:noWrap/>
            <w:vAlign w:val="center"/>
          </w:tcPr>
          <w:p w14:paraId="6021BE0E">
            <w:pPr>
              <w:widowControl/>
              <w:rPr>
                <w:color w:val="000000"/>
              </w:rPr>
            </w:pPr>
          </w:p>
        </w:tc>
      </w:tr>
      <w:tr w14:paraId="4A54C21B">
        <w:tblPrEx>
          <w:tblCellMar>
            <w:top w:w="0" w:type="dxa"/>
            <w:left w:w="108" w:type="dxa"/>
            <w:bottom w:w="0" w:type="dxa"/>
            <w:right w:w="108" w:type="dxa"/>
          </w:tblCellMar>
        </w:tblPrEx>
        <w:trPr>
          <w:trHeight w:val="428" w:hRule="atLeast"/>
        </w:trPr>
        <w:tc>
          <w:tcPr>
            <w:tcW w:w="5268" w:type="dxa"/>
            <w:gridSpan w:val="4"/>
            <w:tcBorders>
              <w:top w:val="nil"/>
              <w:left w:val="nil"/>
              <w:bottom w:val="nil"/>
              <w:right w:val="nil"/>
            </w:tcBorders>
            <w:noWrap/>
            <w:vAlign w:val="center"/>
          </w:tcPr>
          <w:p w14:paraId="628753EF">
            <w:pPr>
              <w:widowControl/>
              <w:rPr>
                <w:color w:val="000000"/>
                <w:sz w:val="24"/>
              </w:rPr>
            </w:pPr>
            <w:r>
              <w:rPr>
                <w:rFonts w:hint="eastAsia"/>
                <w:color w:val="000000"/>
                <w:sz w:val="24"/>
              </w:rPr>
              <w:t>2.本表由招标人保存。</w:t>
            </w:r>
          </w:p>
        </w:tc>
        <w:tc>
          <w:tcPr>
            <w:tcW w:w="401" w:type="dxa"/>
            <w:tcBorders>
              <w:top w:val="nil"/>
              <w:left w:val="nil"/>
              <w:bottom w:val="nil"/>
              <w:right w:val="nil"/>
            </w:tcBorders>
            <w:noWrap/>
            <w:vAlign w:val="center"/>
          </w:tcPr>
          <w:p w14:paraId="65EC9FEB">
            <w:pPr>
              <w:widowControl/>
              <w:rPr>
                <w:color w:val="000000"/>
              </w:rPr>
            </w:pPr>
          </w:p>
        </w:tc>
        <w:tc>
          <w:tcPr>
            <w:tcW w:w="623" w:type="dxa"/>
            <w:tcBorders>
              <w:top w:val="nil"/>
              <w:left w:val="nil"/>
              <w:bottom w:val="nil"/>
              <w:right w:val="nil"/>
            </w:tcBorders>
            <w:noWrap/>
            <w:vAlign w:val="center"/>
          </w:tcPr>
          <w:p w14:paraId="0DB4C00E">
            <w:pPr>
              <w:widowControl/>
              <w:rPr>
                <w:color w:val="000000"/>
              </w:rPr>
            </w:pPr>
          </w:p>
        </w:tc>
        <w:tc>
          <w:tcPr>
            <w:tcW w:w="2734" w:type="dxa"/>
            <w:gridSpan w:val="2"/>
            <w:tcBorders>
              <w:top w:val="nil"/>
              <w:left w:val="nil"/>
              <w:bottom w:val="nil"/>
              <w:right w:val="nil"/>
            </w:tcBorders>
            <w:noWrap/>
            <w:vAlign w:val="center"/>
          </w:tcPr>
          <w:p w14:paraId="22B4A1BA">
            <w:pPr>
              <w:widowControl/>
              <w:rPr>
                <w:color w:val="000000"/>
              </w:rPr>
            </w:pPr>
          </w:p>
        </w:tc>
      </w:tr>
    </w:tbl>
    <w:p w14:paraId="38C1835E"/>
    <w:sectPr>
      <w:pgSz w:w="11906" w:h="16838"/>
      <w:pgMar w:top="1247"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D1E2D"/>
    <w:rsid w:val="140E7C96"/>
    <w:rsid w:val="3089612E"/>
    <w:rsid w:val="644F516E"/>
    <w:rsid w:val="66661265"/>
    <w:rsid w:val="704C5750"/>
    <w:rsid w:val="767D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autoSpaceDN/>
      <w:spacing w:after="120"/>
      <w:ind w:left="420" w:leftChars="200" w:firstLine="420" w:firstLineChars="200"/>
      <w:jc w:val="both"/>
    </w:pPr>
    <w:rPr>
      <w:rFonts w:ascii="Times New Roman" w:hAnsi="Times New Roman" w:cs="Times New Roman"/>
      <w:kern w:val="2"/>
      <w:sz w:val="21"/>
      <w:szCs w:val="24"/>
      <w:lang w:val="en-US" w:bidi="ar-SA"/>
    </w:rPr>
  </w:style>
  <w:style w:type="paragraph" w:styleId="3">
    <w:name w:val="Body Text Indent"/>
    <w:basedOn w:val="1"/>
    <w:qFormat/>
    <w:uiPriority w:val="0"/>
    <w:pPr>
      <w:ind w:firstLine="360"/>
    </w:pPr>
    <w:rPr>
      <w:rFonts w:ascii="Arial" w:hAnsi="Arial"/>
    </w:rPr>
  </w:style>
  <w:style w:type="paragraph" w:styleId="4">
    <w:name w:val="Body Text"/>
    <w:basedOn w:val="1"/>
    <w:next w:val="1"/>
    <w:qFormat/>
    <w:uiPriority w:val="1"/>
    <w:rPr>
      <w:sz w:val="21"/>
      <w:szCs w:val="21"/>
    </w:rPr>
  </w:style>
  <w:style w:type="paragraph" w:styleId="5">
    <w:name w:val="Title"/>
    <w:basedOn w:val="1"/>
    <w:next w:val="1"/>
    <w:qFormat/>
    <w:uiPriority w:val="0"/>
    <w:pPr>
      <w:spacing w:before="240" w:after="60"/>
      <w:jc w:val="center"/>
      <w:outlineLvl w:val="0"/>
    </w:pPr>
    <w:rPr>
      <w:rFonts w:ascii="等线 Light" w:hAnsi="等线 Light" w:cs="Times New Roman"/>
      <w:b/>
      <w:bCs/>
      <w:sz w:val="32"/>
      <w:szCs w:val="32"/>
    </w:rPr>
  </w:style>
  <w:style w:type="character" w:styleId="8">
    <w:name w:val="Hyperlink"/>
    <w:basedOn w:val="7"/>
    <w:qFormat/>
    <w:uiPriority w:val="0"/>
    <w:rPr>
      <w:color w:val="0000FF"/>
      <w:u w:val="single"/>
    </w:rPr>
  </w:style>
  <w:style w:type="paragraph" w:customStyle="1" w:styleId="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0">
    <w:name w:val="List Paragraph"/>
    <w:basedOn w:val="1"/>
    <w:qFormat/>
    <w:uiPriority w:val="1"/>
    <w:pPr>
      <w:ind w:left="278" w:firstLine="4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49</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2025-10-14T04:02:00Z</dcterms:created>
  <dc:creator>代理</dc:creator>
  <cp:lastModifiedBy>曹玉芳</cp:lastModifiedBy>
  <dcterms:modified xsi:type="dcterms:W3CDTF">2025-10-16T08:04:15Z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3C57CCFA03A843A48C8342A3073351FC_11</vt:lpwstr>
  </property>
</Properties>
</file>