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A7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  <w:lang w:eastAsia="zh-CN"/>
        </w:rPr>
        <w:t>2025年陵头镇申坡村饮水工程管网项目</w:t>
      </w:r>
    </w:p>
    <w:p w14:paraId="03C677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28"/>
        </w:rPr>
        <w:t>竞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28"/>
        </w:rPr>
        <w:t>争性谈判公告</w:t>
      </w:r>
    </w:p>
    <w:p w14:paraId="5C3F18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项目概况</w:t>
      </w:r>
    </w:p>
    <w:p w14:paraId="2F1CC5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宋体" w:hAnsi="宋体" w:cs="宋体"/>
          <w:color w:val="121212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2025年陵头镇申坡村饮水工程管网项目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的潜在响应人应在河南英华咨询有限</w:t>
      </w:r>
      <w:r>
        <w:rPr>
          <w:rFonts w:hint="eastAsia" w:ascii="宋体" w:hAnsi="宋体" w:eastAsia="宋体" w:cs="宋体"/>
          <w:color w:val="121212"/>
          <w:kern w:val="2"/>
          <w:sz w:val="24"/>
          <w:szCs w:val="24"/>
          <w:lang w:val="en-US" w:eastAsia="zh-CN" w:bidi="ar-SA"/>
        </w:rPr>
        <w:t>公司汝州办事处办公室获取竞争性谈判文件，并于202</w:t>
      </w:r>
      <w:r>
        <w:rPr>
          <w:rFonts w:hint="eastAsia" w:ascii="宋体" w:hAnsi="宋体" w:cs="宋体"/>
          <w:color w:val="121212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121212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color w:val="121212"/>
          <w:kern w:val="2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121212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color w:val="121212"/>
          <w:kern w:val="2"/>
          <w:sz w:val="24"/>
          <w:szCs w:val="24"/>
          <w:lang w:val="en-US" w:eastAsia="zh-CN" w:bidi="ar-SA"/>
        </w:rPr>
        <w:t xml:space="preserve">27 </w:t>
      </w:r>
      <w:r>
        <w:rPr>
          <w:rFonts w:hint="eastAsia" w:ascii="宋体" w:hAnsi="宋体" w:cs="宋体"/>
          <w:color w:val="121212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宋体" w:hAnsi="宋体" w:eastAsia="宋体" w:cs="宋体"/>
          <w:color w:val="121212"/>
          <w:kern w:val="2"/>
          <w:sz w:val="24"/>
          <w:szCs w:val="24"/>
          <w:lang w:val="en-US" w:eastAsia="zh-CN" w:bidi="ar-SA"/>
        </w:rPr>
        <w:t>9时00分（北京时间）前递交竞争性谈判响应文件。</w:t>
      </w:r>
    </w:p>
    <w:p w14:paraId="2F71E37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/>
        <w:textAlignment w:val="auto"/>
        <w:rPr>
          <w:rFonts w:ascii="宋体" w:hAnsi="宋体" w:cs="宋体"/>
          <w:color w:val="121212"/>
          <w:sz w:val="24"/>
        </w:rPr>
      </w:pPr>
      <w:r>
        <w:rPr>
          <w:rFonts w:hint="eastAsia" w:ascii="宋体" w:hAnsi="宋体" w:cs="宋体"/>
          <w:color w:val="121212"/>
          <w:sz w:val="24"/>
        </w:rPr>
        <w:t>项目基本情况</w:t>
      </w:r>
    </w:p>
    <w:p w14:paraId="79BF957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/>
        <w:textAlignment w:val="auto"/>
        <w:rPr>
          <w:rFonts w:ascii="宋体" w:hAnsi="宋体" w:cs="宋体"/>
          <w:color w:val="121212"/>
          <w:sz w:val="24"/>
        </w:rPr>
      </w:pPr>
      <w:r>
        <w:rPr>
          <w:rFonts w:hint="eastAsia" w:ascii="宋体" w:hAnsi="宋体" w:cs="宋体"/>
          <w:color w:val="121212"/>
          <w:sz w:val="24"/>
        </w:rPr>
        <w:t>项目编号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：YHZ</w:t>
      </w:r>
      <w:r>
        <w:rPr>
          <w:rFonts w:hint="eastAsia" w:ascii="宋体" w:hAnsi="宋体" w:eastAsia="宋体" w:cs="宋体"/>
          <w:color w:val="121212"/>
          <w:sz w:val="24"/>
          <w:lang w:val="en-US" w:eastAsia="zh-CN"/>
        </w:rPr>
        <w:t>B-20250416</w:t>
      </w:r>
    </w:p>
    <w:p w14:paraId="222E011D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121212"/>
          <w:sz w:val="24"/>
        </w:rPr>
        <w:t>项目名称：</w:t>
      </w:r>
      <w:r>
        <w:rPr>
          <w:rFonts w:hint="eastAsia" w:ascii="宋体" w:hAnsi="宋体" w:cs="宋体"/>
          <w:color w:val="121212"/>
          <w:sz w:val="24"/>
          <w:lang w:eastAsia="zh-CN"/>
        </w:rPr>
        <w:t>2025年陵头镇申坡村饮水工</w:t>
      </w:r>
      <w:r>
        <w:rPr>
          <w:rFonts w:hint="eastAsia" w:ascii="宋体" w:hAnsi="宋体" w:cs="宋体"/>
          <w:color w:val="000000"/>
          <w:sz w:val="24"/>
          <w:lang w:eastAsia="zh-CN"/>
        </w:rPr>
        <w:t>程管网项目</w:t>
      </w:r>
    </w:p>
    <w:p w14:paraId="0D914C1B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采购方式：竞争性谈判</w:t>
      </w:r>
    </w:p>
    <w:p w14:paraId="4B4D9C07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预算金额：</w:t>
      </w:r>
      <w:r>
        <w:rPr>
          <w:rFonts w:hint="eastAsia" w:ascii="宋体" w:hAnsi="宋体" w:cs="宋体"/>
          <w:color w:val="000000"/>
          <w:sz w:val="24"/>
          <w:lang w:eastAsia="zh-CN"/>
        </w:rPr>
        <w:t>192208.67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元</w:t>
      </w:r>
    </w:p>
    <w:p w14:paraId="5CC78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最高限价：</w:t>
      </w:r>
      <w:r>
        <w:rPr>
          <w:rFonts w:hint="eastAsia" w:ascii="宋体" w:hAnsi="宋体" w:cs="宋体"/>
          <w:color w:val="000000"/>
          <w:sz w:val="24"/>
          <w:lang w:eastAsia="zh-CN"/>
        </w:rPr>
        <w:t>192208.67</w:t>
      </w:r>
      <w:r>
        <w:rPr>
          <w:rFonts w:hint="eastAsia" w:ascii="宋体" w:hAnsi="宋体" w:cs="宋体"/>
          <w:color w:val="000000"/>
          <w:sz w:val="24"/>
        </w:rPr>
        <w:t>元</w:t>
      </w:r>
    </w:p>
    <w:tbl>
      <w:tblPr>
        <w:tblStyle w:val="10"/>
        <w:tblW w:w="10083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5"/>
        <w:gridCol w:w="4595"/>
        <w:gridCol w:w="2067"/>
        <w:gridCol w:w="1966"/>
      </w:tblGrid>
      <w:tr w14:paraId="2A3A9286">
        <w:tblPrEx>
          <w:tblLayout w:type="fixed"/>
        </w:tblPrEx>
        <w:trPr>
          <w:trHeight w:val="90" w:hRule="atLeast"/>
        </w:trPr>
        <w:tc>
          <w:tcPr>
            <w:tcW w:w="750" w:type="dxa"/>
            <w:vAlign w:val="center"/>
          </w:tcPr>
          <w:p w14:paraId="0CE565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705" w:type="dxa"/>
            <w:vAlign w:val="center"/>
          </w:tcPr>
          <w:p w14:paraId="7DC2C4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包号</w:t>
            </w:r>
          </w:p>
        </w:tc>
        <w:tc>
          <w:tcPr>
            <w:tcW w:w="4595" w:type="dxa"/>
            <w:vAlign w:val="center"/>
          </w:tcPr>
          <w:p w14:paraId="764E1B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1920" w:firstLineChars="800"/>
              <w:jc w:val="both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包名称</w:t>
            </w:r>
          </w:p>
        </w:tc>
        <w:tc>
          <w:tcPr>
            <w:tcW w:w="2067" w:type="dxa"/>
            <w:vAlign w:val="center"/>
          </w:tcPr>
          <w:p w14:paraId="71FBC1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包预算（元）</w:t>
            </w:r>
          </w:p>
        </w:tc>
        <w:tc>
          <w:tcPr>
            <w:tcW w:w="1966" w:type="dxa"/>
            <w:vAlign w:val="center"/>
          </w:tcPr>
          <w:p w14:paraId="128E53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包最高限价（元）</w:t>
            </w:r>
          </w:p>
        </w:tc>
      </w:tr>
      <w:tr w14:paraId="22F0127C">
        <w:tblPrEx>
          <w:tblLayout w:type="fixed"/>
        </w:tblPrEx>
        <w:tc>
          <w:tcPr>
            <w:tcW w:w="750" w:type="dxa"/>
            <w:vAlign w:val="center"/>
          </w:tcPr>
          <w:p w14:paraId="1FEDEE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 w14:paraId="682A19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95" w:type="dxa"/>
            <w:vAlign w:val="center"/>
          </w:tcPr>
          <w:p w14:paraId="40EB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2025年陵头镇申坡村饮水工程管网项目</w:t>
            </w:r>
          </w:p>
        </w:tc>
        <w:tc>
          <w:tcPr>
            <w:tcW w:w="2067" w:type="dxa"/>
            <w:vAlign w:val="center"/>
          </w:tcPr>
          <w:p w14:paraId="6E32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192208.67</w:t>
            </w:r>
          </w:p>
        </w:tc>
        <w:tc>
          <w:tcPr>
            <w:tcW w:w="1966" w:type="dxa"/>
            <w:vAlign w:val="center"/>
          </w:tcPr>
          <w:p w14:paraId="50C5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7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192208.67</w:t>
            </w:r>
          </w:p>
        </w:tc>
      </w:tr>
    </w:tbl>
    <w:p w14:paraId="0BC69C4E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24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采购需求（包括但不限于标的的名称、数量、简要技术需求或服务要求等）</w:t>
      </w:r>
    </w:p>
    <w:p w14:paraId="7278375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建设</w:t>
      </w:r>
      <w:r>
        <w:rPr>
          <w:rFonts w:ascii="宋体" w:hAnsi="宋体" w:cs="宋体"/>
          <w:color w:val="000000"/>
          <w:sz w:val="24"/>
          <w:shd w:val="clear" w:color="auto" w:fill="FFFFFF"/>
        </w:rPr>
        <w:t>内容：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2025年陵头镇申坡村饮水工程管网项目</w:t>
      </w:r>
    </w:p>
    <w:p w14:paraId="2618246A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建设地点：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汝州市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陵头镇申坡村</w:t>
      </w:r>
    </w:p>
    <w:p w14:paraId="6E661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（3）资金来源：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财政资金</w:t>
      </w:r>
    </w:p>
    <w:p w14:paraId="16036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日历天</w:t>
      </w:r>
    </w:p>
    <w:p w14:paraId="78A07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（5）质量要求：合格</w:t>
      </w:r>
    </w:p>
    <w:p w14:paraId="7E1E18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（6）谈判范围：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工程量清单范围内所有内容（详见竞争性谈判文件）</w:t>
      </w:r>
    </w:p>
    <w:p w14:paraId="31F92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420" w:leftChars="200" w:firstLine="0" w:firstLineChars="0"/>
        <w:textAlignment w:val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（7）标段划分：本项目共划分为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个标段</w:t>
      </w:r>
    </w:p>
    <w:p w14:paraId="6D5853E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30" w:lineRule="exact"/>
        <w:ind w:firstLine="240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合同履行期限：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日历天</w:t>
      </w:r>
    </w:p>
    <w:p w14:paraId="6E5113E7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30" w:lineRule="exact"/>
        <w:ind w:firstLine="24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本项目是否接受联合体谈判申请：否</w:t>
      </w:r>
    </w:p>
    <w:p w14:paraId="2AF10A2C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30" w:lineRule="exact"/>
        <w:ind w:firstLine="24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是否接受进口产品：否</w:t>
      </w:r>
    </w:p>
    <w:p w14:paraId="51F8D4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0" w:lineRule="exact"/>
        <w:ind w:firstLine="240" w:firstLineChars="10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申请人资格要求：</w:t>
      </w:r>
    </w:p>
    <w:p w14:paraId="756B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（1）响应人须具有独立法人资格，具有有效的营业执照、税务登记证、组织机构代码证（或三证合一）。</w:t>
      </w:r>
    </w:p>
    <w:p w14:paraId="0678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textAlignment w:val="auto"/>
        <w:rPr>
          <w:rFonts w:ascii="宋体" w:hAnsi="宋体" w:cs="宋体"/>
          <w:sz w:val="24"/>
          <w:szCs w:val="40"/>
        </w:rPr>
      </w:pPr>
      <w:r>
        <w:rPr>
          <w:rFonts w:hint="eastAsia" w:ascii="宋体" w:hAnsi="宋体"/>
          <w:sz w:val="24"/>
        </w:rPr>
        <w:t>（2）响应人须具备建设行政主</w:t>
      </w:r>
      <w:r>
        <w:rPr>
          <w:rFonts w:hint="eastAsia" w:ascii="宋体" w:hAnsi="宋体" w:cs="宋体"/>
          <w:sz w:val="24"/>
          <w:szCs w:val="40"/>
        </w:rPr>
        <w:t>管部门颁发</w:t>
      </w:r>
      <w:r>
        <w:rPr>
          <w:rFonts w:hint="eastAsia" w:cs="宋体"/>
          <w:kern w:val="0"/>
          <w:sz w:val="24"/>
        </w:rPr>
        <w:t>的</w:t>
      </w:r>
      <w:r>
        <w:rPr>
          <w:rFonts w:hint="eastAsia" w:cs="宋体"/>
          <w:kern w:val="0"/>
          <w:sz w:val="24"/>
          <w:lang w:val="en-US" w:eastAsia="zh-CN"/>
        </w:rPr>
        <w:t>市政公用</w:t>
      </w:r>
      <w:r>
        <w:rPr>
          <w:rFonts w:hint="eastAsia" w:cs="宋体"/>
          <w:kern w:val="0"/>
          <w:sz w:val="24"/>
        </w:rPr>
        <w:t>工程施工总承包叁级及以上</w:t>
      </w:r>
      <w:r>
        <w:rPr>
          <w:rFonts w:hint="eastAsia" w:ascii="宋体" w:hAnsi="宋体" w:cs="宋体"/>
          <w:sz w:val="24"/>
          <w:szCs w:val="40"/>
        </w:rPr>
        <w:t>资质；并具有有效的企业安全生产许可证。</w:t>
      </w:r>
    </w:p>
    <w:p w14:paraId="7AF621A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拟派项目经理具有</w:t>
      </w:r>
      <w:r>
        <w:rPr>
          <w:rFonts w:hint="eastAsia" w:cs="宋体"/>
          <w:kern w:val="0"/>
          <w:sz w:val="24"/>
          <w:lang w:val="en-US" w:eastAsia="zh-CN"/>
        </w:rPr>
        <w:t>市政公用</w:t>
      </w:r>
      <w:r>
        <w:rPr>
          <w:rFonts w:hint="eastAsia" w:cs="宋体"/>
          <w:kern w:val="0"/>
          <w:sz w:val="24"/>
        </w:rPr>
        <w:t>工程</w:t>
      </w:r>
      <w:r>
        <w:rPr>
          <w:rFonts w:hint="eastAsia" w:ascii="宋体" w:hAnsi="宋体" w:eastAsia="宋体" w:cs="宋体"/>
          <w:bCs/>
          <w:sz w:val="24"/>
          <w:szCs w:val="24"/>
        </w:rPr>
        <w:t>贰级及以上注册建造师，有效的安全生产考核证；并出具无在建项目承诺书（格式自拟，并加盖单位公章）；</w:t>
      </w:r>
    </w:p>
    <w:p w14:paraId="7E2F47E5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拟派技术负责人具有相关专业中级及以上职称；</w:t>
      </w:r>
    </w:p>
    <w:p w14:paraId="0381390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具有良好的商业信誉和健全的财务制度(响应人无需提供证明材料，只需在响应文件格式中填写汝州市政府采购响应人信用承诺函)；</w:t>
      </w:r>
    </w:p>
    <w:p w14:paraId="68ABC0C8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具有依法缴纳税收和社会保障资金的良好记录(响应人无需提供证明材料，只需在响应文件格式中填写汝州市政府采购响应人信用承诺函)；</w:t>
      </w:r>
    </w:p>
    <w:p w14:paraId="704BDCC1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7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具有履行合同所必需的设备和专业技术能力(响应人无需提供证明材料，只需在响应文件格式中填写汝州市政府采购响应人信用承诺函)；</w:t>
      </w:r>
    </w:p>
    <w:p w14:paraId="003E9AD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参加政府采购活动近三年内，在经营活动中没有重大的违法记录和安全事故(响应人无需提供证明材料，只需在响应文件格式中填写汝州市政府采购响应人信用承诺函)；</w:t>
      </w:r>
    </w:p>
    <w:p w14:paraId="5DCF65E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未被列入“信用中国”网站（www.creditchina.gov.cn）的“失信被执行人”和“重大税收违法失信主体”及中国政府采购网（www.ccgp.gov.cn）的“政府采购严重违法失信行为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记录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名单”</w:t>
      </w:r>
      <w:r>
        <w:rPr>
          <w:rFonts w:hint="eastAsia" w:ascii="宋体" w:hAnsi="宋体" w:eastAsia="宋体" w:cs="宋体"/>
          <w:bCs/>
          <w:sz w:val="24"/>
          <w:szCs w:val="24"/>
        </w:rPr>
        <w:t>(响应人无需提供证明材料，只需在响应文件格式中填写汝州市政府采购响应人信用承诺函)；</w:t>
      </w:r>
    </w:p>
    <w:p w14:paraId="097EE2E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</w:rPr>
        <w:t>本次谈判不接受联合体谈判申请。</w:t>
      </w:r>
    </w:p>
    <w:p w14:paraId="5EF5D0AA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注：采购人有权在签订合同前要求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人提供相关证明材料以核实成交人承诺事项的真实性。 </w:t>
      </w:r>
    </w:p>
    <w:p w14:paraId="347F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color w:val="121212"/>
          <w:sz w:val="24"/>
        </w:rPr>
      </w:pPr>
      <w:r>
        <w:rPr>
          <w:rFonts w:hint="eastAsia" w:ascii="宋体" w:hAnsi="宋体"/>
          <w:sz w:val="24"/>
        </w:rPr>
        <w:t>三、获取竞</w:t>
      </w:r>
      <w:r>
        <w:rPr>
          <w:rFonts w:hint="eastAsia" w:ascii="宋体" w:hAnsi="宋体"/>
          <w:color w:val="121212"/>
          <w:sz w:val="24"/>
        </w:rPr>
        <w:t>争性谈判文件</w:t>
      </w:r>
    </w:p>
    <w:p w14:paraId="3BD6D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121212"/>
          <w:sz w:val="24"/>
        </w:rPr>
        <w:t>1、时间：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2025</w:t>
      </w:r>
      <w:r>
        <w:rPr>
          <w:rFonts w:hint="eastAsia" w:ascii="宋体" w:hAnsi="宋体" w:cs="宋体"/>
          <w:color w:val="121212"/>
          <w:sz w:val="24"/>
        </w:rPr>
        <w:t>年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121212"/>
          <w:sz w:val="24"/>
        </w:rPr>
        <w:t>月</w:t>
      </w:r>
      <w:r>
        <w:rPr>
          <w:rFonts w:hint="eastAsia" w:ascii="宋体" w:hAnsi="宋体" w:cs="宋体"/>
          <w:color w:val="121212"/>
          <w:sz w:val="24"/>
          <w:lang w:eastAsia="zh-CN"/>
        </w:rPr>
        <w:t>20</w:t>
      </w:r>
      <w:r>
        <w:rPr>
          <w:rFonts w:hint="eastAsia" w:ascii="宋体" w:hAnsi="宋体" w:cs="宋体"/>
          <w:color w:val="121212"/>
          <w:sz w:val="24"/>
        </w:rPr>
        <w:t>日至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2025</w:t>
      </w:r>
      <w:r>
        <w:rPr>
          <w:rFonts w:hint="eastAsia" w:ascii="宋体" w:hAnsi="宋体" w:cs="宋体"/>
          <w:color w:val="121212"/>
          <w:sz w:val="24"/>
        </w:rPr>
        <w:t>年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121212"/>
          <w:sz w:val="24"/>
        </w:rPr>
        <w:t>月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24</w:t>
      </w:r>
      <w:r>
        <w:rPr>
          <w:rFonts w:hint="eastAsia" w:ascii="宋体" w:hAnsi="宋体" w:cs="宋体"/>
          <w:color w:val="121212"/>
          <w:sz w:val="24"/>
        </w:rPr>
        <w:t>日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，每天上午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08:00至12:00，下午14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lang w:val="en-US" w:eastAsia="zh-CN"/>
        </w:rPr>
        <w:t>:30至17：30（北京时间，法定节假日除外。）</w:t>
      </w:r>
    </w:p>
    <w:p w14:paraId="654C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2、地点：汝州市煤山客运站向西1000米</w:t>
      </w:r>
      <w:r>
        <w:rPr>
          <w:rFonts w:hint="eastAsia" w:ascii="宋体" w:hAnsi="宋体"/>
          <w:sz w:val="24"/>
          <w:lang w:val="en-US" w:eastAsia="zh-CN"/>
        </w:rPr>
        <w:t>中国京油加油站</w:t>
      </w:r>
      <w:r>
        <w:rPr>
          <w:rFonts w:hint="eastAsia" w:ascii="宋体" w:hAnsi="宋体"/>
          <w:sz w:val="24"/>
        </w:rPr>
        <w:t>东隔壁</w:t>
      </w:r>
      <w:r>
        <w:rPr>
          <w:rFonts w:hint="eastAsia" w:ascii="宋体" w:hAnsi="宋体"/>
          <w:sz w:val="24"/>
          <w:lang w:eastAsia="zh-CN"/>
        </w:rPr>
        <w:t>河南英华咨询有限公司</w:t>
      </w:r>
      <w:r>
        <w:rPr>
          <w:rFonts w:hint="eastAsia" w:ascii="宋体" w:hAnsi="宋体"/>
          <w:sz w:val="24"/>
        </w:rPr>
        <w:t>办公室</w:t>
      </w:r>
      <w:r>
        <w:rPr>
          <w:rFonts w:hint="eastAsia" w:ascii="宋体" w:hAnsi="宋体"/>
          <w:sz w:val="24"/>
          <w:lang w:eastAsia="zh-CN"/>
        </w:rPr>
        <w:t>。</w:t>
      </w:r>
    </w:p>
    <w:p w14:paraId="3FC3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宋体" w:hAnsi="宋体"/>
          <w:sz w:val="24"/>
        </w:rPr>
        <w:t>3、方式：获取文件时提供申请人资格要求资料及法定代表人身份证明（或授权委托书）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shd w:val="clear" w:fill="FFFFFF"/>
          <w:lang w:eastAsia="zh-CN"/>
        </w:rPr>
        <w:t>。</w:t>
      </w:r>
    </w:p>
    <w:p w14:paraId="64F5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color w:val="121212"/>
          <w:sz w:val="24"/>
        </w:rPr>
      </w:pPr>
      <w:r>
        <w:rPr>
          <w:rFonts w:hint="eastAsia" w:ascii="宋体" w:hAnsi="宋体"/>
          <w:sz w:val="24"/>
        </w:rPr>
        <w:t>四、响应文件</w:t>
      </w:r>
      <w:r>
        <w:rPr>
          <w:rFonts w:hint="eastAsia" w:ascii="宋体" w:hAnsi="宋体"/>
          <w:color w:val="121212"/>
          <w:sz w:val="24"/>
        </w:rPr>
        <w:t>提交的截止时间及地点</w:t>
      </w:r>
    </w:p>
    <w:p w14:paraId="4C90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color w:val="121212"/>
          <w:sz w:val="24"/>
        </w:rPr>
        <w:t>1、时间：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2025</w:t>
      </w:r>
      <w:r>
        <w:rPr>
          <w:rFonts w:ascii="宋体" w:hAnsi="宋体" w:cs="宋体"/>
          <w:color w:val="121212"/>
          <w:sz w:val="24"/>
        </w:rPr>
        <w:t>年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11</w:t>
      </w:r>
      <w:r>
        <w:rPr>
          <w:rFonts w:ascii="宋体" w:hAnsi="宋体" w:cs="宋体"/>
          <w:color w:val="121212"/>
          <w:sz w:val="24"/>
        </w:rPr>
        <w:t>月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27</w:t>
      </w:r>
      <w:r>
        <w:rPr>
          <w:rFonts w:ascii="宋体" w:hAnsi="宋体" w:cs="宋体"/>
          <w:color w:val="121212"/>
          <w:sz w:val="24"/>
        </w:rPr>
        <w:t>日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9</w:t>
      </w:r>
      <w:r>
        <w:rPr>
          <w:rFonts w:ascii="宋体" w:hAnsi="宋体" w:cs="宋体"/>
          <w:color w:val="121212"/>
          <w:sz w:val="24"/>
        </w:rPr>
        <w:t>时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>00</w:t>
      </w:r>
      <w:r>
        <w:rPr>
          <w:rFonts w:ascii="宋体" w:hAnsi="宋体" w:cs="宋体"/>
          <w:color w:val="121212"/>
          <w:sz w:val="24"/>
        </w:rPr>
        <w:t>分</w:t>
      </w:r>
      <w:r>
        <w:rPr>
          <w:rFonts w:hint="eastAsia" w:ascii="宋体" w:hAnsi="宋体"/>
          <w:color w:val="121212"/>
          <w:sz w:val="24"/>
        </w:rPr>
        <w:t>（北京时间）</w:t>
      </w:r>
    </w:p>
    <w:p w14:paraId="3433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2、地点：</w:t>
      </w:r>
      <w:r>
        <w:rPr>
          <w:rFonts w:hint="eastAsia" w:ascii="宋体" w:hAnsi="宋体" w:cs="宋体"/>
          <w:color w:val="000000"/>
          <w:sz w:val="24"/>
          <w:lang w:eastAsia="zh-CN"/>
        </w:rPr>
        <w:t>河南英华咨询有限公司</w:t>
      </w:r>
      <w:r>
        <w:rPr>
          <w:rFonts w:hint="eastAsia" w:ascii="宋体" w:hAnsi="宋体" w:cs="宋体"/>
          <w:color w:val="000000"/>
          <w:sz w:val="24"/>
        </w:rPr>
        <w:t>汝州办事处会议室。</w:t>
      </w:r>
    </w:p>
    <w:p w14:paraId="6A39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五、响应文件的开启时间及地点</w:t>
      </w:r>
    </w:p>
    <w:p w14:paraId="30BD8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1、时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sz w:val="24"/>
        </w:rPr>
        <w:t>（北京时间）</w:t>
      </w:r>
    </w:p>
    <w:p w14:paraId="6B5C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2、地点：</w:t>
      </w:r>
      <w:r>
        <w:rPr>
          <w:rFonts w:hint="eastAsia" w:ascii="宋体" w:hAnsi="宋体" w:cs="宋体"/>
          <w:color w:val="000000"/>
          <w:sz w:val="24"/>
          <w:lang w:eastAsia="zh-CN"/>
        </w:rPr>
        <w:t>河南英华咨询有限公司</w:t>
      </w:r>
      <w:r>
        <w:rPr>
          <w:rFonts w:hint="eastAsia" w:ascii="宋体" w:hAnsi="宋体" w:cs="宋体"/>
          <w:color w:val="000000"/>
          <w:sz w:val="24"/>
        </w:rPr>
        <w:t>汝州办事处会议室。</w:t>
      </w:r>
    </w:p>
    <w:p w14:paraId="57F6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六、发布公告的媒介及公告期限</w:t>
      </w:r>
    </w:p>
    <w:p w14:paraId="1AC5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本次公告在《中国采购与招标网》上发布。</w:t>
      </w:r>
    </w:p>
    <w:p w14:paraId="0AC6FB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补充事宜</w:t>
      </w:r>
    </w:p>
    <w:p w14:paraId="2BFEB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</w:t>
      </w:r>
    </w:p>
    <w:p w14:paraId="3BDF9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八、凡对本次招标提出询问，请按照以下方式联系</w:t>
      </w:r>
    </w:p>
    <w:p w14:paraId="4F00E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1.采购人信息</w:t>
      </w:r>
    </w:p>
    <w:p w14:paraId="790A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汝州市陵头镇人民政府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</w:p>
    <w:p w14:paraId="48CA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联系人：张先生</w:t>
      </w:r>
    </w:p>
    <w:p w14:paraId="66A1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联系电话：13333752911</w:t>
      </w:r>
    </w:p>
    <w:p w14:paraId="2C4D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地址：汝州市兴陵路123号</w:t>
      </w:r>
    </w:p>
    <w:p w14:paraId="7C3F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2.采购代理机构信息</w:t>
      </w:r>
    </w:p>
    <w:p w14:paraId="1727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名称：</w:t>
      </w:r>
      <w:r>
        <w:rPr>
          <w:rFonts w:hint="eastAsia" w:ascii="宋体" w:hAnsi="宋体" w:cs="宋体"/>
          <w:color w:val="000000"/>
          <w:sz w:val="24"/>
          <w:lang w:eastAsia="zh-CN"/>
        </w:rPr>
        <w:t>河南英华咨询有限公司</w:t>
      </w:r>
    </w:p>
    <w:p w14:paraId="311A8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地址：郑州市高新技术开发区电厂路80号162幢21层64号</w:t>
      </w:r>
    </w:p>
    <w:p w14:paraId="05EA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联 系 人：闫先生</w:t>
      </w:r>
    </w:p>
    <w:p w14:paraId="004B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121212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电   </w:t>
      </w:r>
      <w:r>
        <w:rPr>
          <w:rFonts w:hint="eastAsia" w:ascii="宋体" w:hAnsi="宋体" w:cs="宋体"/>
          <w:color w:val="121212"/>
          <w:sz w:val="24"/>
          <w:lang w:val="en-US" w:eastAsia="zh-CN"/>
        </w:rPr>
        <w:t xml:space="preserve"> 话：17319799315</w:t>
      </w:r>
    </w:p>
    <w:p w14:paraId="2255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121212"/>
          <w:sz w:val="24"/>
          <w:lang w:val="en-US" w:eastAsia="zh-CN"/>
        </w:rPr>
      </w:pPr>
      <w:r>
        <w:rPr>
          <w:rFonts w:hint="eastAsia" w:ascii="宋体" w:hAnsi="宋体" w:cs="宋体"/>
          <w:color w:val="121212"/>
          <w:sz w:val="24"/>
          <w:lang w:val="en-US" w:eastAsia="zh-CN"/>
        </w:rPr>
        <w:t xml:space="preserve">3.项目联系方式 </w:t>
      </w:r>
    </w:p>
    <w:p w14:paraId="5CEE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121212"/>
          <w:sz w:val="24"/>
          <w:lang w:val="en-US" w:eastAsia="zh-CN"/>
        </w:rPr>
      </w:pPr>
      <w:r>
        <w:rPr>
          <w:rFonts w:hint="eastAsia" w:ascii="宋体" w:hAnsi="宋体" w:cs="宋体"/>
          <w:color w:val="121212"/>
          <w:sz w:val="24"/>
          <w:lang w:val="en-US" w:eastAsia="zh-CN"/>
        </w:rPr>
        <w:t>联 系 人：闫先生</w:t>
      </w:r>
    </w:p>
    <w:p w14:paraId="48F1A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0" w:lineRule="exact"/>
        <w:textAlignment w:val="auto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121212"/>
          <w:sz w:val="24"/>
          <w:lang w:val="en-US" w:eastAsia="zh-CN"/>
        </w:rPr>
        <w:t>电    话：17319799315</w:t>
      </w:r>
    </w:p>
    <w:p w14:paraId="4057D8B5">
      <w:pPr>
        <w:spacing w:line="408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</w:p>
    <w:p w14:paraId="234A0D46">
      <w:pPr>
        <w:spacing w:line="408" w:lineRule="auto"/>
        <w:ind w:firstLine="4800" w:firstLineChars="20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发布时间：2025年11月19日</w:t>
      </w:r>
    </w:p>
    <w:p w14:paraId="767C42D9">
      <w:pPr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AD0F1"/>
    <w:multiLevelType w:val="singleLevel"/>
    <w:tmpl w:val="B15AD0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BACA7A"/>
    <w:multiLevelType w:val="singleLevel"/>
    <w:tmpl w:val="D1BACA7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5014B1"/>
    <w:multiLevelType w:val="singleLevel"/>
    <w:tmpl w:val="E45014B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F506DE8"/>
    <w:multiLevelType w:val="singleLevel"/>
    <w:tmpl w:val="EF506D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ind w:firstLine="5120"/>
    </w:pPr>
    <w:rPr>
      <w:rFonts w:ascii="Calibri" w:hAnsi="Times New Roman" w:eastAsia="宋体" w:cs="Times New Roman"/>
      <w:lang w:val="en-US" w:eastAsia="zh-CN" w:bidi="ar-SA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tabs>
        <w:tab w:val="left" w:pos="945"/>
        <w:tab w:val="left" w:pos="1155"/>
      </w:tabs>
      <w:ind w:firstLine="435"/>
    </w:pPr>
    <w:rPr>
      <w:rFonts w:ascii="宋体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2025-11-19T08:08:00Z</dcterms:created>
  <dc:creator></dc:creator>
  <cp:lastModifiedBy>iPhone</cp:lastModifiedBy>
  <dcterms:modified xsi:type="dcterms:W3CDTF">2025-11-19T12:13:39Z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ICV">
    <vt:lpwstr>A67B18F1B34F4A8EA61FC12427A3ABFA_11</vt:lpwstr>
  </property>
  <property fmtid="{D5CDD505-2E9C-101B-9397-08002B2CF9AE}" pid="4" name="KSOTemplateDocerSaveRecord">
    <vt:lpwstr>eyJoZGlkIjoiMGRjZGUxZmQ1NDgxODY3NGEwNjY5NGZlY2EzOTllYTUiLCJ1c2VySWQiOiI0MjUyODc0NTEifQ==</vt:lpwstr>
  </property>
</Properties>
</file>