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2DAC1">
      <w:pPr>
        <w:pStyle w:val="4"/>
        <w:spacing w:before="0" w:after="0" w:line="360" w:lineRule="auto"/>
        <w:ind w:left="102" w:leftChars="0" w:right="102" w:rightChars="0"/>
        <w:rPr>
          <w:rFonts w:hint="eastAsia" w:ascii="宋体" w:hAnsi="宋体" w:eastAsia="宋体" w:cs="宋体"/>
          <w:b/>
          <w:bCs w:val="0"/>
          <w:color w:val="auto"/>
        </w:rPr>
      </w:pPr>
      <w:r>
        <w:rPr>
          <w:rFonts w:hint="eastAsia" w:ascii="宋体" w:hAnsi="宋体" w:eastAsia="宋体" w:cs="宋体"/>
          <w:b/>
          <w:bCs w:val="0"/>
          <w:color w:val="auto"/>
        </w:rPr>
        <w:t>技术要求</w:t>
      </w:r>
    </w:p>
    <w:p w14:paraId="49840EB3">
      <w:pPr>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lang w:val="en-US" w:eastAsia="zh-CN"/>
        </w:rPr>
        <w:t>一、</w:t>
      </w:r>
      <w:r>
        <w:rPr>
          <w:rFonts w:hint="eastAsia" w:asciiTheme="minorEastAsia" w:hAnsiTheme="minorEastAsia" w:eastAsiaTheme="minorEastAsia" w:cstheme="minorEastAsia"/>
          <w:b/>
          <w:bCs/>
          <w:color w:val="auto"/>
          <w:sz w:val="32"/>
          <w:szCs w:val="32"/>
        </w:rPr>
        <w:t>采购标的需实现的功能或者目标：</w:t>
      </w:r>
    </w:p>
    <w:p w14:paraId="0C4B4B3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本次项目针对哈尔滨工业大学二校区B06、B07公寓楼宇监控设备采购，要与原有监控平台进行对接，满足哈尔滨工业大学安防需求。基本实现哈尔滨工业大学二校区B06、B07公寓楼宇公共区域监控全面覆盖，全面对各校区进行安全管控，增加师生员工安全保障。</w:t>
      </w:r>
    </w:p>
    <w:p w14:paraId="50DD8314">
      <w:pPr>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二、采购标的明细（名称、数量、单位）：</w:t>
      </w:r>
    </w:p>
    <w:p w14:paraId="7290018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一标包：</w:t>
      </w:r>
    </w:p>
    <w:tbl>
      <w:tblPr>
        <w:tblStyle w:val="5"/>
        <w:tblW w:w="4999" w:type="pct"/>
        <w:tblInd w:w="0" w:type="dxa"/>
        <w:tblLayout w:type="autofit"/>
        <w:tblCellMar>
          <w:top w:w="0" w:type="dxa"/>
          <w:left w:w="108" w:type="dxa"/>
          <w:bottom w:w="0" w:type="dxa"/>
          <w:right w:w="108" w:type="dxa"/>
        </w:tblCellMar>
      </w:tblPr>
      <w:tblGrid>
        <w:gridCol w:w="960"/>
        <w:gridCol w:w="5448"/>
        <w:gridCol w:w="902"/>
        <w:gridCol w:w="1210"/>
      </w:tblGrid>
      <w:tr w14:paraId="47C0DD7C">
        <w:tblPrEx>
          <w:tblCellMar>
            <w:top w:w="0" w:type="dxa"/>
            <w:left w:w="108" w:type="dxa"/>
            <w:bottom w:w="0" w:type="dxa"/>
            <w:right w:w="108" w:type="dxa"/>
          </w:tblCellMar>
        </w:tblPrEx>
        <w:trPr>
          <w:trHeight w:val="312" w:hRule="atLeast"/>
        </w:trPr>
        <w:tc>
          <w:tcPr>
            <w:tcW w:w="563" w:type="pct"/>
            <w:tcBorders>
              <w:top w:val="single" w:color="auto" w:sz="4" w:space="0"/>
              <w:left w:val="single" w:color="auto" w:sz="4" w:space="0"/>
              <w:bottom w:val="single" w:color="auto" w:sz="4" w:space="0"/>
              <w:right w:val="single" w:color="auto" w:sz="4" w:space="0"/>
            </w:tcBorders>
            <w:noWrap/>
            <w:vAlign w:val="center"/>
          </w:tcPr>
          <w:p w14:paraId="1247D2F0">
            <w:pPr>
              <w:widowControl/>
              <w:jc w:val="center"/>
              <w:rPr>
                <w:rFonts w:hint="eastAsia" w:ascii="等线" w:hAnsi="等线" w:eastAsia="等线" w:cs="宋体"/>
                <w:b/>
                <w:bCs/>
                <w:color w:val="auto"/>
                <w:kern w:val="0"/>
                <w:szCs w:val="21"/>
              </w:rPr>
            </w:pPr>
            <w:r>
              <w:rPr>
                <w:rFonts w:hint="eastAsia" w:ascii="等线" w:hAnsi="等线" w:eastAsia="等线" w:cs="宋体"/>
                <w:b/>
                <w:bCs/>
                <w:color w:val="auto"/>
                <w:kern w:val="0"/>
                <w:szCs w:val="21"/>
              </w:rPr>
              <w:t>序号</w:t>
            </w:r>
          </w:p>
        </w:tc>
        <w:tc>
          <w:tcPr>
            <w:tcW w:w="3196" w:type="pct"/>
            <w:tcBorders>
              <w:top w:val="single" w:color="auto" w:sz="4" w:space="0"/>
              <w:left w:val="nil"/>
              <w:bottom w:val="single" w:color="auto" w:sz="4" w:space="0"/>
              <w:right w:val="single" w:color="auto" w:sz="4" w:space="0"/>
            </w:tcBorders>
            <w:noWrap/>
            <w:vAlign w:val="center"/>
          </w:tcPr>
          <w:p w14:paraId="6873FE7A">
            <w:pPr>
              <w:widowControl/>
              <w:jc w:val="center"/>
              <w:rPr>
                <w:rFonts w:hint="eastAsia" w:ascii="等线" w:hAnsi="等线" w:eastAsia="等线" w:cs="宋体"/>
                <w:b/>
                <w:bCs/>
                <w:color w:val="auto"/>
                <w:kern w:val="0"/>
                <w:szCs w:val="21"/>
              </w:rPr>
            </w:pPr>
            <w:r>
              <w:rPr>
                <w:rFonts w:hint="eastAsia" w:ascii="等线" w:hAnsi="等线" w:eastAsia="等线" w:cs="宋体"/>
                <w:b/>
                <w:bCs/>
                <w:color w:val="auto"/>
                <w:kern w:val="0"/>
                <w:szCs w:val="21"/>
              </w:rPr>
              <w:t>名称</w:t>
            </w:r>
          </w:p>
        </w:tc>
        <w:tc>
          <w:tcPr>
            <w:tcW w:w="529" w:type="pct"/>
            <w:tcBorders>
              <w:top w:val="single" w:color="auto" w:sz="4" w:space="0"/>
              <w:left w:val="nil"/>
              <w:bottom w:val="single" w:color="auto" w:sz="4" w:space="0"/>
              <w:right w:val="single" w:color="auto" w:sz="4" w:space="0"/>
            </w:tcBorders>
            <w:noWrap/>
            <w:vAlign w:val="center"/>
          </w:tcPr>
          <w:p w14:paraId="44F67E7D">
            <w:pPr>
              <w:widowControl/>
              <w:jc w:val="center"/>
              <w:rPr>
                <w:rFonts w:hint="eastAsia" w:ascii="等线" w:hAnsi="等线" w:eastAsia="等线" w:cs="宋体"/>
                <w:b/>
                <w:bCs/>
                <w:color w:val="auto"/>
                <w:kern w:val="0"/>
                <w:szCs w:val="21"/>
              </w:rPr>
            </w:pPr>
            <w:r>
              <w:rPr>
                <w:rFonts w:hint="eastAsia" w:ascii="等线" w:hAnsi="等线" w:eastAsia="等线" w:cs="宋体"/>
                <w:b/>
                <w:bCs/>
                <w:color w:val="auto"/>
                <w:kern w:val="0"/>
                <w:szCs w:val="21"/>
              </w:rPr>
              <w:t>数量</w:t>
            </w:r>
          </w:p>
        </w:tc>
        <w:tc>
          <w:tcPr>
            <w:tcW w:w="710" w:type="pct"/>
            <w:tcBorders>
              <w:top w:val="single" w:color="auto" w:sz="4" w:space="0"/>
              <w:left w:val="nil"/>
              <w:bottom w:val="single" w:color="auto" w:sz="4" w:space="0"/>
              <w:right w:val="single" w:color="auto" w:sz="4" w:space="0"/>
            </w:tcBorders>
            <w:noWrap/>
            <w:vAlign w:val="center"/>
          </w:tcPr>
          <w:p w14:paraId="3F5F5807">
            <w:pPr>
              <w:widowControl/>
              <w:jc w:val="center"/>
              <w:rPr>
                <w:rFonts w:hint="eastAsia" w:ascii="等线" w:hAnsi="等线" w:eastAsia="等线" w:cs="宋体"/>
                <w:b/>
                <w:bCs/>
                <w:color w:val="auto"/>
                <w:kern w:val="0"/>
                <w:szCs w:val="21"/>
              </w:rPr>
            </w:pPr>
            <w:r>
              <w:rPr>
                <w:rFonts w:hint="eastAsia" w:ascii="等线" w:hAnsi="等线" w:eastAsia="等线" w:cs="宋体"/>
                <w:b/>
                <w:bCs/>
                <w:color w:val="auto"/>
                <w:kern w:val="0"/>
                <w:szCs w:val="21"/>
              </w:rPr>
              <w:t>单位</w:t>
            </w:r>
          </w:p>
        </w:tc>
      </w:tr>
      <w:tr w14:paraId="120AAADB">
        <w:tblPrEx>
          <w:tblCellMar>
            <w:top w:w="0" w:type="dxa"/>
            <w:left w:w="108" w:type="dxa"/>
            <w:bottom w:w="0" w:type="dxa"/>
            <w:right w:w="108" w:type="dxa"/>
          </w:tblCellMar>
        </w:tblPrEx>
        <w:trPr>
          <w:trHeight w:val="312" w:hRule="atLeast"/>
        </w:trPr>
        <w:tc>
          <w:tcPr>
            <w:tcW w:w="563" w:type="pct"/>
            <w:tcBorders>
              <w:top w:val="nil"/>
              <w:left w:val="single" w:color="auto" w:sz="4" w:space="0"/>
              <w:bottom w:val="single" w:color="auto" w:sz="4" w:space="0"/>
              <w:right w:val="single" w:color="auto" w:sz="4" w:space="0"/>
            </w:tcBorders>
            <w:noWrap/>
            <w:vAlign w:val="center"/>
          </w:tcPr>
          <w:p w14:paraId="4CFDA8D3">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1</w:t>
            </w:r>
          </w:p>
        </w:tc>
        <w:tc>
          <w:tcPr>
            <w:tcW w:w="3196" w:type="pct"/>
            <w:tcBorders>
              <w:top w:val="nil"/>
              <w:left w:val="nil"/>
              <w:bottom w:val="single" w:color="auto" w:sz="4" w:space="0"/>
              <w:right w:val="single" w:color="auto" w:sz="4" w:space="0"/>
            </w:tcBorders>
            <w:noWrap/>
            <w:vAlign w:val="center"/>
          </w:tcPr>
          <w:p w14:paraId="3A428B22">
            <w:pPr>
              <w:widowControl/>
              <w:jc w:val="left"/>
              <w:rPr>
                <w:rFonts w:hint="eastAsia" w:ascii="等线" w:hAnsi="等线" w:eastAsia="等线" w:cs="宋体"/>
                <w:color w:val="auto"/>
                <w:kern w:val="0"/>
                <w:szCs w:val="21"/>
              </w:rPr>
            </w:pPr>
            <w:r>
              <w:rPr>
                <w:rFonts w:hint="eastAsia" w:ascii="等线" w:hAnsi="等线" w:eastAsia="等线" w:cs="宋体"/>
                <w:color w:val="auto"/>
                <w:kern w:val="0"/>
                <w:szCs w:val="21"/>
              </w:rPr>
              <w:t>400万智能半球网络摄像机</w:t>
            </w:r>
            <w:r>
              <w:rPr>
                <w:rFonts w:hint="eastAsia" w:cs="宋体" w:asciiTheme="majorEastAsia" w:hAnsiTheme="majorEastAsia" w:eastAsiaTheme="majorEastAsia"/>
                <w:color w:val="auto"/>
                <w:kern w:val="0"/>
                <w:szCs w:val="21"/>
                <w:lang w:eastAsia="zh-CN"/>
              </w:rPr>
              <w:t>【</w:t>
            </w:r>
            <w:r>
              <w:rPr>
                <w:rFonts w:hint="eastAsia" w:cs="宋体" w:asciiTheme="majorEastAsia" w:hAnsiTheme="majorEastAsia" w:eastAsiaTheme="majorEastAsia"/>
                <w:color w:val="auto"/>
                <w:kern w:val="0"/>
                <w:szCs w:val="21"/>
                <w:lang w:val="en-US" w:eastAsia="zh-CN"/>
              </w:rPr>
              <w:t>核心产品</w:t>
            </w:r>
            <w:r>
              <w:rPr>
                <w:rFonts w:hint="eastAsia" w:cs="宋体" w:asciiTheme="majorEastAsia" w:hAnsiTheme="majorEastAsia" w:eastAsiaTheme="majorEastAsia"/>
                <w:color w:val="auto"/>
                <w:kern w:val="0"/>
                <w:szCs w:val="21"/>
                <w:lang w:eastAsia="zh-CN"/>
              </w:rPr>
              <w:t>】</w:t>
            </w:r>
          </w:p>
        </w:tc>
        <w:tc>
          <w:tcPr>
            <w:tcW w:w="529" w:type="pct"/>
            <w:tcBorders>
              <w:top w:val="nil"/>
              <w:left w:val="nil"/>
              <w:bottom w:val="single" w:color="auto" w:sz="4" w:space="0"/>
              <w:right w:val="single" w:color="auto" w:sz="4" w:space="0"/>
            </w:tcBorders>
            <w:shd w:val="clear" w:color="000000" w:fill="FFFFFF"/>
            <w:vAlign w:val="center"/>
          </w:tcPr>
          <w:p w14:paraId="25E06115">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155</w:t>
            </w:r>
          </w:p>
        </w:tc>
        <w:tc>
          <w:tcPr>
            <w:tcW w:w="710" w:type="pct"/>
            <w:tcBorders>
              <w:top w:val="nil"/>
              <w:left w:val="nil"/>
              <w:bottom w:val="single" w:color="auto" w:sz="4" w:space="0"/>
              <w:right w:val="single" w:color="auto" w:sz="4" w:space="0"/>
            </w:tcBorders>
            <w:shd w:val="clear" w:color="000000" w:fill="FFFFFF"/>
            <w:vAlign w:val="center"/>
          </w:tcPr>
          <w:p w14:paraId="2BF93247">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台</w:t>
            </w:r>
          </w:p>
        </w:tc>
      </w:tr>
      <w:tr w14:paraId="1F9D5AF6">
        <w:tblPrEx>
          <w:tblCellMar>
            <w:top w:w="0" w:type="dxa"/>
            <w:left w:w="108" w:type="dxa"/>
            <w:bottom w:w="0" w:type="dxa"/>
            <w:right w:w="108" w:type="dxa"/>
          </w:tblCellMar>
        </w:tblPrEx>
        <w:trPr>
          <w:trHeight w:val="312" w:hRule="atLeast"/>
        </w:trPr>
        <w:tc>
          <w:tcPr>
            <w:tcW w:w="563" w:type="pct"/>
            <w:tcBorders>
              <w:top w:val="nil"/>
              <w:left w:val="single" w:color="auto" w:sz="4" w:space="0"/>
              <w:bottom w:val="single" w:color="auto" w:sz="4" w:space="0"/>
              <w:right w:val="single" w:color="auto" w:sz="4" w:space="0"/>
            </w:tcBorders>
            <w:noWrap/>
            <w:vAlign w:val="center"/>
          </w:tcPr>
          <w:p w14:paraId="3E495DF6">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2</w:t>
            </w:r>
          </w:p>
        </w:tc>
        <w:tc>
          <w:tcPr>
            <w:tcW w:w="3196" w:type="pct"/>
            <w:tcBorders>
              <w:top w:val="nil"/>
              <w:left w:val="nil"/>
              <w:bottom w:val="single" w:color="auto" w:sz="4" w:space="0"/>
              <w:right w:val="single" w:color="auto" w:sz="4" w:space="0"/>
            </w:tcBorders>
            <w:noWrap/>
            <w:vAlign w:val="center"/>
          </w:tcPr>
          <w:p w14:paraId="1FA68E5F">
            <w:pPr>
              <w:widowControl/>
              <w:jc w:val="left"/>
              <w:rPr>
                <w:rFonts w:hint="eastAsia" w:ascii="等线" w:hAnsi="等线" w:eastAsia="等线" w:cs="宋体"/>
                <w:color w:val="auto"/>
                <w:kern w:val="0"/>
                <w:szCs w:val="21"/>
              </w:rPr>
            </w:pPr>
            <w:r>
              <w:rPr>
                <w:rFonts w:hint="eastAsia" w:ascii="等线" w:hAnsi="等线" w:eastAsia="等线" w:cs="宋体"/>
                <w:color w:val="auto"/>
                <w:kern w:val="0"/>
                <w:szCs w:val="21"/>
              </w:rPr>
              <w:t>监控存储专用硬盘8TB</w:t>
            </w:r>
          </w:p>
        </w:tc>
        <w:tc>
          <w:tcPr>
            <w:tcW w:w="529" w:type="pct"/>
            <w:tcBorders>
              <w:top w:val="nil"/>
              <w:left w:val="nil"/>
              <w:bottom w:val="single" w:color="auto" w:sz="4" w:space="0"/>
              <w:right w:val="single" w:color="auto" w:sz="4" w:space="0"/>
            </w:tcBorders>
            <w:vAlign w:val="center"/>
          </w:tcPr>
          <w:p w14:paraId="53B08A7B">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48</w:t>
            </w:r>
          </w:p>
        </w:tc>
        <w:tc>
          <w:tcPr>
            <w:tcW w:w="710" w:type="pct"/>
            <w:tcBorders>
              <w:top w:val="nil"/>
              <w:left w:val="nil"/>
              <w:bottom w:val="single" w:color="auto" w:sz="4" w:space="0"/>
              <w:right w:val="single" w:color="auto" w:sz="4" w:space="0"/>
            </w:tcBorders>
            <w:vAlign w:val="center"/>
          </w:tcPr>
          <w:p w14:paraId="36BD84D3">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台</w:t>
            </w:r>
          </w:p>
        </w:tc>
      </w:tr>
      <w:tr w14:paraId="3A3A0F4F">
        <w:tblPrEx>
          <w:tblCellMar>
            <w:top w:w="0" w:type="dxa"/>
            <w:left w:w="108" w:type="dxa"/>
            <w:bottom w:w="0" w:type="dxa"/>
            <w:right w:w="108" w:type="dxa"/>
          </w:tblCellMar>
        </w:tblPrEx>
        <w:trPr>
          <w:trHeight w:val="312" w:hRule="atLeast"/>
        </w:trPr>
        <w:tc>
          <w:tcPr>
            <w:tcW w:w="563" w:type="pct"/>
            <w:tcBorders>
              <w:top w:val="nil"/>
              <w:left w:val="single" w:color="auto" w:sz="4" w:space="0"/>
              <w:bottom w:val="single" w:color="auto" w:sz="4" w:space="0"/>
              <w:right w:val="single" w:color="auto" w:sz="4" w:space="0"/>
            </w:tcBorders>
            <w:noWrap/>
            <w:vAlign w:val="center"/>
          </w:tcPr>
          <w:p w14:paraId="72B74DB4">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3</w:t>
            </w:r>
          </w:p>
        </w:tc>
        <w:tc>
          <w:tcPr>
            <w:tcW w:w="3196" w:type="pct"/>
            <w:tcBorders>
              <w:top w:val="nil"/>
              <w:left w:val="nil"/>
              <w:bottom w:val="single" w:color="auto" w:sz="4" w:space="0"/>
              <w:right w:val="single" w:color="auto" w:sz="4" w:space="0"/>
            </w:tcBorders>
            <w:noWrap/>
            <w:vAlign w:val="center"/>
          </w:tcPr>
          <w:p w14:paraId="7D2CF763">
            <w:pPr>
              <w:widowControl/>
              <w:jc w:val="left"/>
              <w:rPr>
                <w:rFonts w:hint="eastAsia" w:ascii="等线" w:hAnsi="等线" w:eastAsia="等线" w:cs="宋体"/>
                <w:color w:val="auto"/>
                <w:kern w:val="0"/>
                <w:szCs w:val="21"/>
              </w:rPr>
            </w:pPr>
            <w:r>
              <w:rPr>
                <w:rFonts w:hint="eastAsia" w:ascii="等线" w:hAnsi="等线" w:eastAsia="等线" w:cs="宋体"/>
                <w:color w:val="auto"/>
                <w:kern w:val="0"/>
                <w:szCs w:val="21"/>
              </w:rPr>
              <w:t>智能视频存储计算服务器</w:t>
            </w:r>
            <w:r>
              <w:rPr>
                <w:rFonts w:ascii="等线" w:hAnsi="等线" w:eastAsia="等线" w:cs="宋体"/>
                <w:color w:val="auto"/>
                <w:kern w:val="0"/>
                <w:szCs w:val="21"/>
              </w:rPr>
              <w:t>24</w:t>
            </w:r>
            <w:r>
              <w:rPr>
                <w:rFonts w:hint="eastAsia" w:ascii="等线" w:hAnsi="等线" w:eastAsia="等线" w:cs="宋体"/>
                <w:color w:val="auto"/>
                <w:kern w:val="0"/>
                <w:szCs w:val="21"/>
              </w:rPr>
              <w:t>盘位</w:t>
            </w:r>
            <w:r>
              <w:rPr>
                <w:rFonts w:hint="eastAsia" w:cs="宋体" w:asciiTheme="majorEastAsia" w:hAnsiTheme="majorEastAsia" w:eastAsiaTheme="majorEastAsia"/>
                <w:color w:val="auto"/>
                <w:kern w:val="0"/>
                <w:szCs w:val="21"/>
                <w:lang w:eastAsia="zh-CN"/>
              </w:rPr>
              <w:t>【</w:t>
            </w:r>
            <w:r>
              <w:rPr>
                <w:rFonts w:hint="eastAsia" w:cs="宋体" w:asciiTheme="majorEastAsia" w:hAnsiTheme="majorEastAsia" w:eastAsiaTheme="majorEastAsia"/>
                <w:color w:val="auto"/>
                <w:kern w:val="0"/>
                <w:szCs w:val="21"/>
                <w:lang w:val="en-US" w:eastAsia="zh-CN"/>
              </w:rPr>
              <w:t>核心产品</w:t>
            </w:r>
            <w:r>
              <w:rPr>
                <w:rFonts w:hint="eastAsia" w:cs="宋体" w:asciiTheme="majorEastAsia" w:hAnsiTheme="majorEastAsia" w:eastAsiaTheme="majorEastAsia"/>
                <w:color w:val="auto"/>
                <w:kern w:val="0"/>
                <w:szCs w:val="21"/>
                <w:lang w:eastAsia="zh-CN"/>
              </w:rPr>
              <w:t>】</w:t>
            </w:r>
          </w:p>
        </w:tc>
        <w:tc>
          <w:tcPr>
            <w:tcW w:w="529" w:type="pct"/>
            <w:tcBorders>
              <w:top w:val="nil"/>
              <w:left w:val="nil"/>
              <w:bottom w:val="single" w:color="auto" w:sz="4" w:space="0"/>
              <w:right w:val="single" w:color="auto" w:sz="4" w:space="0"/>
            </w:tcBorders>
            <w:shd w:val="clear" w:color="000000" w:fill="FFFFFF"/>
            <w:vAlign w:val="center"/>
          </w:tcPr>
          <w:p w14:paraId="411B7AB0">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2</w:t>
            </w:r>
          </w:p>
        </w:tc>
        <w:tc>
          <w:tcPr>
            <w:tcW w:w="710" w:type="pct"/>
            <w:tcBorders>
              <w:top w:val="nil"/>
              <w:left w:val="nil"/>
              <w:bottom w:val="single" w:color="auto" w:sz="4" w:space="0"/>
              <w:right w:val="single" w:color="auto" w:sz="4" w:space="0"/>
            </w:tcBorders>
            <w:shd w:val="clear" w:color="000000" w:fill="FFFFFF"/>
            <w:vAlign w:val="center"/>
          </w:tcPr>
          <w:p w14:paraId="563E972A">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台</w:t>
            </w:r>
          </w:p>
        </w:tc>
      </w:tr>
      <w:tr w14:paraId="30357628">
        <w:tblPrEx>
          <w:tblCellMar>
            <w:top w:w="0" w:type="dxa"/>
            <w:left w:w="108" w:type="dxa"/>
            <w:bottom w:w="0" w:type="dxa"/>
            <w:right w:w="108" w:type="dxa"/>
          </w:tblCellMar>
        </w:tblPrEx>
        <w:trPr>
          <w:trHeight w:val="312" w:hRule="atLeast"/>
        </w:trPr>
        <w:tc>
          <w:tcPr>
            <w:tcW w:w="563" w:type="pct"/>
            <w:tcBorders>
              <w:top w:val="nil"/>
              <w:left w:val="single" w:color="auto" w:sz="4" w:space="0"/>
              <w:bottom w:val="single" w:color="auto" w:sz="4" w:space="0"/>
              <w:right w:val="single" w:color="auto" w:sz="4" w:space="0"/>
            </w:tcBorders>
            <w:noWrap/>
            <w:vAlign w:val="center"/>
          </w:tcPr>
          <w:p w14:paraId="606A1680">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4</w:t>
            </w:r>
          </w:p>
        </w:tc>
        <w:tc>
          <w:tcPr>
            <w:tcW w:w="3196" w:type="pct"/>
            <w:tcBorders>
              <w:top w:val="nil"/>
              <w:left w:val="nil"/>
              <w:bottom w:val="single" w:color="auto" w:sz="4" w:space="0"/>
              <w:right w:val="single" w:color="auto" w:sz="4" w:space="0"/>
            </w:tcBorders>
            <w:noWrap/>
            <w:vAlign w:val="center"/>
          </w:tcPr>
          <w:p w14:paraId="60EE0D4E">
            <w:pPr>
              <w:widowControl/>
              <w:jc w:val="left"/>
              <w:rPr>
                <w:rFonts w:hint="eastAsia" w:ascii="等线" w:hAnsi="等线" w:eastAsia="等线" w:cs="宋体"/>
                <w:color w:val="auto"/>
                <w:kern w:val="0"/>
                <w:szCs w:val="21"/>
              </w:rPr>
            </w:pPr>
            <w:r>
              <w:rPr>
                <w:rFonts w:hint="eastAsia" w:ascii="等线" w:hAnsi="等线" w:eastAsia="等线" w:cs="宋体"/>
                <w:color w:val="auto"/>
                <w:kern w:val="0"/>
                <w:szCs w:val="21"/>
              </w:rPr>
              <w:t>视频监控专用以太网千兆可网管交换机(PoE)</w:t>
            </w:r>
          </w:p>
        </w:tc>
        <w:tc>
          <w:tcPr>
            <w:tcW w:w="529" w:type="pct"/>
            <w:tcBorders>
              <w:top w:val="nil"/>
              <w:left w:val="nil"/>
              <w:bottom w:val="single" w:color="auto" w:sz="4" w:space="0"/>
              <w:right w:val="single" w:color="auto" w:sz="4" w:space="0"/>
            </w:tcBorders>
            <w:noWrap/>
            <w:vAlign w:val="center"/>
          </w:tcPr>
          <w:p w14:paraId="27815D40">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14</w:t>
            </w:r>
          </w:p>
        </w:tc>
        <w:tc>
          <w:tcPr>
            <w:tcW w:w="710" w:type="pct"/>
            <w:tcBorders>
              <w:top w:val="nil"/>
              <w:left w:val="nil"/>
              <w:bottom w:val="single" w:color="auto" w:sz="4" w:space="0"/>
              <w:right w:val="single" w:color="auto" w:sz="4" w:space="0"/>
            </w:tcBorders>
            <w:noWrap/>
            <w:vAlign w:val="center"/>
          </w:tcPr>
          <w:p w14:paraId="28E33A04">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台</w:t>
            </w:r>
          </w:p>
        </w:tc>
      </w:tr>
      <w:tr w14:paraId="5014A456">
        <w:tblPrEx>
          <w:tblCellMar>
            <w:top w:w="0" w:type="dxa"/>
            <w:left w:w="108" w:type="dxa"/>
            <w:bottom w:w="0" w:type="dxa"/>
            <w:right w:w="108" w:type="dxa"/>
          </w:tblCellMar>
        </w:tblPrEx>
        <w:trPr>
          <w:trHeight w:val="312" w:hRule="atLeast"/>
        </w:trPr>
        <w:tc>
          <w:tcPr>
            <w:tcW w:w="563" w:type="pct"/>
            <w:tcBorders>
              <w:top w:val="nil"/>
              <w:left w:val="single" w:color="auto" w:sz="4" w:space="0"/>
              <w:bottom w:val="single" w:color="auto" w:sz="4" w:space="0"/>
              <w:right w:val="single" w:color="auto" w:sz="4" w:space="0"/>
            </w:tcBorders>
            <w:noWrap/>
            <w:vAlign w:val="center"/>
          </w:tcPr>
          <w:p w14:paraId="0E02BA0C">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5</w:t>
            </w:r>
          </w:p>
        </w:tc>
        <w:tc>
          <w:tcPr>
            <w:tcW w:w="3196" w:type="pct"/>
            <w:tcBorders>
              <w:top w:val="nil"/>
              <w:left w:val="nil"/>
              <w:bottom w:val="single" w:color="auto" w:sz="4" w:space="0"/>
              <w:right w:val="single" w:color="auto" w:sz="4" w:space="0"/>
            </w:tcBorders>
            <w:noWrap/>
            <w:vAlign w:val="center"/>
          </w:tcPr>
          <w:p w14:paraId="19A805D9">
            <w:pPr>
              <w:widowControl/>
              <w:jc w:val="left"/>
              <w:rPr>
                <w:rFonts w:hint="eastAsia" w:ascii="等线" w:hAnsi="等线" w:eastAsia="等线" w:cs="宋体"/>
                <w:color w:val="auto"/>
                <w:kern w:val="0"/>
                <w:szCs w:val="21"/>
              </w:rPr>
            </w:pPr>
            <w:r>
              <w:rPr>
                <w:rFonts w:hint="eastAsia" w:ascii="等线" w:hAnsi="等线" w:eastAsia="等线" w:cs="宋体"/>
                <w:color w:val="auto"/>
                <w:kern w:val="0"/>
                <w:szCs w:val="21"/>
              </w:rPr>
              <w:t>视频监控专用汇聚交换机</w:t>
            </w:r>
          </w:p>
        </w:tc>
        <w:tc>
          <w:tcPr>
            <w:tcW w:w="529" w:type="pct"/>
            <w:tcBorders>
              <w:top w:val="nil"/>
              <w:left w:val="nil"/>
              <w:bottom w:val="single" w:color="auto" w:sz="4" w:space="0"/>
              <w:right w:val="single" w:color="auto" w:sz="4" w:space="0"/>
            </w:tcBorders>
            <w:noWrap/>
            <w:vAlign w:val="center"/>
          </w:tcPr>
          <w:p w14:paraId="5DF5251B">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2</w:t>
            </w:r>
          </w:p>
        </w:tc>
        <w:tc>
          <w:tcPr>
            <w:tcW w:w="710" w:type="pct"/>
            <w:tcBorders>
              <w:top w:val="nil"/>
              <w:left w:val="nil"/>
              <w:bottom w:val="single" w:color="auto" w:sz="4" w:space="0"/>
              <w:right w:val="single" w:color="auto" w:sz="4" w:space="0"/>
            </w:tcBorders>
            <w:noWrap/>
            <w:vAlign w:val="center"/>
          </w:tcPr>
          <w:p w14:paraId="209D5D65">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台</w:t>
            </w:r>
          </w:p>
        </w:tc>
      </w:tr>
      <w:tr w14:paraId="4320EC5C">
        <w:tblPrEx>
          <w:tblCellMar>
            <w:top w:w="0" w:type="dxa"/>
            <w:left w:w="108" w:type="dxa"/>
            <w:bottom w:w="0" w:type="dxa"/>
            <w:right w:w="108" w:type="dxa"/>
          </w:tblCellMar>
        </w:tblPrEx>
        <w:trPr>
          <w:trHeight w:val="312" w:hRule="atLeast"/>
        </w:trPr>
        <w:tc>
          <w:tcPr>
            <w:tcW w:w="563" w:type="pct"/>
            <w:tcBorders>
              <w:top w:val="nil"/>
              <w:left w:val="single" w:color="auto" w:sz="4" w:space="0"/>
              <w:bottom w:val="single" w:color="auto" w:sz="4" w:space="0"/>
              <w:right w:val="single" w:color="auto" w:sz="4" w:space="0"/>
            </w:tcBorders>
            <w:noWrap/>
            <w:vAlign w:val="center"/>
          </w:tcPr>
          <w:p w14:paraId="42F15D5F">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6</w:t>
            </w:r>
          </w:p>
        </w:tc>
        <w:tc>
          <w:tcPr>
            <w:tcW w:w="3196" w:type="pct"/>
            <w:tcBorders>
              <w:top w:val="nil"/>
              <w:left w:val="nil"/>
              <w:bottom w:val="single" w:color="auto" w:sz="4" w:space="0"/>
              <w:right w:val="single" w:color="auto" w:sz="4" w:space="0"/>
            </w:tcBorders>
            <w:noWrap/>
            <w:vAlign w:val="center"/>
          </w:tcPr>
          <w:p w14:paraId="4097CF17">
            <w:pPr>
              <w:widowControl/>
              <w:jc w:val="left"/>
              <w:rPr>
                <w:rFonts w:hint="eastAsia" w:ascii="等线" w:hAnsi="等线" w:eastAsia="等线" w:cs="宋体"/>
                <w:color w:val="auto"/>
                <w:kern w:val="0"/>
                <w:szCs w:val="21"/>
              </w:rPr>
            </w:pPr>
            <w:r>
              <w:rPr>
                <w:rFonts w:hint="eastAsia" w:ascii="等线" w:hAnsi="等线" w:eastAsia="等线" w:cs="宋体"/>
                <w:color w:val="auto"/>
                <w:kern w:val="0"/>
                <w:szCs w:val="21"/>
              </w:rPr>
              <w:t>SFP万兆单纤单模光纤模块</w:t>
            </w:r>
          </w:p>
        </w:tc>
        <w:tc>
          <w:tcPr>
            <w:tcW w:w="529" w:type="pct"/>
            <w:tcBorders>
              <w:top w:val="nil"/>
              <w:left w:val="nil"/>
              <w:bottom w:val="single" w:color="auto" w:sz="4" w:space="0"/>
              <w:right w:val="single" w:color="auto" w:sz="4" w:space="0"/>
            </w:tcBorders>
            <w:noWrap/>
            <w:vAlign w:val="center"/>
          </w:tcPr>
          <w:p w14:paraId="1AF08D6F">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4</w:t>
            </w:r>
          </w:p>
        </w:tc>
        <w:tc>
          <w:tcPr>
            <w:tcW w:w="710" w:type="pct"/>
            <w:tcBorders>
              <w:top w:val="nil"/>
              <w:left w:val="nil"/>
              <w:bottom w:val="single" w:color="auto" w:sz="4" w:space="0"/>
              <w:right w:val="single" w:color="auto" w:sz="4" w:space="0"/>
            </w:tcBorders>
            <w:noWrap/>
            <w:vAlign w:val="center"/>
          </w:tcPr>
          <w:p w14:paraId="196E9A44">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个</w:t>
            </w:r>
          </w:p>
        </w:tc>
      </w:tr>
      <w:tr w14:paraId="178D61E6">
        <w:tblPrEx>
          <w:tblCellMar>
            <w:top w:w="0" w:type="dxa"/>
            <w:left w:w="108" w:type="dxa"/>
            <w:bottom w:w="0" w:type="dxa"/>
            <w:right w:w="108" w:type="dxa"/>
          </w:tblCellMar>
        </w:tblPrEx>
        <w:trPr>
          <w:trHeight w:val="312" w:hRule="atLeast"/>
        </w:trPr>
        <w:tc>
          <w:tcPr>
            <w:tcW w:w="563" w:type="pct"/>
            <w:tcBorders>
              <w:top w:val="nil"/>
              <w:left w:val="single" w:color="auto" w:sz="4" w:space="0"/>
              <w:bottom w:val="single" w:color="auto" w:sz="4" w:space="0"/>
              <w:right w:val="single" w:color="auto" w:sz="4" w:space="0"/>
            </w:tcBorders>
            <w:noWrap/>
            <w:vAlign w:val="center"/>
          </w:tcPr>
          <w:p w14:paraId="61184E1A">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7</w:t>
            </w:r>
          </w:p>
        </w:tc>
        <w:tc>
          <w:tcPr>
            <w:tcW w:w="3196" w:type="pct"/>
            <w:tcBorders>
              <w:top w:val="nil"/>
              <w:left w:val="nil"/>
              <w:bottom w:val="single" w:color="auto" w:sz="4" w:space="0"/>
              <w:right w:val="single" w:color="auto" w:sz="4" w:space="0"/>
            </w:tcBorders>
            <w:noWrap/>
            <w:vAlign w:val="center"/>
          </w:tcPr>
          <w:p w14:paraId="7C791CA0">
            <w:pPr>
              <w:widowControl/>
              <w:jc w:val="left"/>
              <w:rPr>
                <w:rFonts w:hint="eastAsia" w:ascii="等线" w:hAnsi="等线" w:eastAsia="等线" w:cs="宋体"/>
                <w:color w:val="auto"/>
                <w:kern w:val="0"/>
                <w:szCs w:val="21"/>
              </w:rPr>
            </w:pPr>
            <w:r>
              <w:rPr>
                <w:rFonts w:hint="eastAsia" w:ascii="等线" w:hAnsi="等线" w:eastAsia="等线" w:cs="宋体"/>
                <w:color w:val="auto"/>
                <w:kern w:val="0"/>
                <w:szCs w:val="21"/>
              </w:rPr>
              <w:t>SFP千兆单模单纤光纤模块</w:t>
            </w:r>
          </w:p>
        </w:tc>
        <w:tc>
          <w:tcPr>
            <w:tcW w:w="529" w:type="pct"/>
            <w:tcBorders>
              <w:top w:val="nil"/>
              <w:left w:val="nil"/>
              <w:bottom w:val="single" w:color="auto" w:sz="4" w:space="0"/>
              <w:right w:val="single" w:color="auto" w:sz="4" w:space="0"/>
            </w:tcBorders>
            <w:noWrap/>
            <w:vAlign w:val="center"/>
          </w:tcPr>
          <w:p w14:paraId="4D4C1684">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28</w:t>
            </w:r>
          </w:p>
        </w:tc>
        <w:tc>
          <w:tcPr>
            <w:tcW w:w="710" w:type="pct"/>
            <w:tcBorders>
              <w:top w:val="nil"/>
              <w:left w:val="nil"/>
              <w:bottom w:val="single" w:color="auto" w:sz="4" w:space="0"/>
              <w:right w:val="single" w:color="auto" w:sz="4" w:space="0"/>
            </w:tcBorders>
            <w:noWrap/>
            <w:vAlign w:val="center"/>
          </w:tcPr>
          <w:p w14:paraId="7B08B179">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个</w:t>
            </w:r>
          </w:p>
        </w:tc>
      </w:tr>
      <w:tr w14:paraId="7E596642">
        <w:tblPrEx>
          <w:tblCellMar>
            <w:top w:w="0" w:type="dxa"/>
            <w:left w:w="108" w:type="dxa"/>
            <w:bottom w:w="0" w:type="dxa"/>
            <w:right w:w="108" w:type="dxa"/>
          </w:tblCellMar>
        </w:tblPrEx>
        <w:trPr>
          <w:trHeight w:val="312" w:hRule="atLeast"/>
        </w:trPr>
        <w:tc>
          <w:tcPr>
            <w:tcW w:w="563" w:type="pct"/>
            <w:tcBorders>
              <w:top w:val="nil"/>
              <w:left w:val="single" w:color="auto" w:sz="4" w:space="0"/>
              <w:bottom w:val="single" w:color="auto" w:sz="4" w:space="0"/>
              <w:right w:val="single" w:color="auto" w:sz="4" w:space="0"/>
            </w:tcBorders>
            <w:noWrap/>
            <w:vAlign w:val="center"/>
          </w:tcPr>
          <w:p w14:paraId="25F1809C">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8</w:t>
            </w:r>
          </w:p>
        </w:tc>
        <w:tc>
          <w:tcPr>
            <w:tcW w:w="3196" w:type="pct"/>
            <w:tcBorders>
              <w:top w:val="nil"/>
              <w:left w:val="nil"/>
              <w:bottom w:val="single" w:color="auto" w:sz="4" w:space="0"/>
              <w:right w:val="single" w:color="auto" w:sz="4" w:space="0"/>
            </w:tcBorders>
            <w:noWrap/>
            <w:vAlign w:val="center"/>
          </w:tcPr>
          <w:p w14:paraId="3CDFA229">
            <w:pPr>
              <w:widowControl/>
              <w:jc w:val="left"/>
              <w:rPr>
                <w:rFonts w:hint="eastAsia" w:ascii="等线" w:hAnsi="等线" w:eastAsia="等线" w:cs="宋体"/>
                <w:color w:val="auto"/>
                <w:kern w:val="0"/>
                <w:szCs w:val="21"/>
              </w:rPr>
            </w:pPr>
            <w:r>
              <w:rPr>
                <w:rFonts w:hint="eastAsia" w:ascii="等线" w:hAnsi="等线" w:eastAsia="等线" w:cs="宋体"/>
                <w:color w:val="auto"/>
                <w:kern w:val="0"/>
                <w:szCs w:val="21"/>
              </w:rPr>
              <w:t>熔纤</w:t>
            </w:r>
          </w:p>
        </w:tc>
        <w:tc>
          <w:tcPr>
            <w:tcW w:w="529" w:type="pct"/>
            <w:tcBorders>
              <w:top w:val="nil"/>
              <w:left w:val="nil"/>
              <w:bottom w:val="single" w:color="auto" w:sz="4" w:space="0"/>
              <w:right w:val="single" w:color="auto" w:sz="4" w:space="0"/>
            </w:tcBorders>
            <w:noWrap/>
            <w:vAlign w:val="center"/>
          </w:tcPr>
          <w:p w14:paraId="6A5CCF4A">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224</w:t>
            </w:r>
          </w:p>
        </w:tc>
        <w:tc>
          <w:tcPr>
            <w:tcW w:w="710" w:type="pct"/>
            <w:tcBorders>
              <w:top w:val="nil"/>
              <w:left w:val="nil"/>
              <w:bottom w:val="single" w:color="auto" w:sz="4" w:space="0"/>
              <w:right w:val="single" w:color="auto" w:sz="4" w:space="0"/>
            </w:tcBorders>
            <w:noWrap/>
            <w:vAlign w:val="center"/>
          </w:tcPr>
          <w:p w14:paraId="05894645">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条</w:t>
            </w:r>
          </w:p>
        </w:tc>
      </w:tr>
      <w:tr w14:paraId="49517CFF">
        <w:tblPrEx>
          <w:tblCellMar>
            <w:top w:w="0" w:type="dxa"/>
            <w:left w:w="108" w:type="dxa"/>
            <w:bottom w:w="0" w:type="dxa"/>
            <w:right w:w="108" w:type="dxa"/>
          </w:tblCellMar>
        </w:tblPrEx>
        <w:trPr>
          <w:trHeight w:val="312" w:hRule="atLeast"/>
        </w:trPr>
        <w:tc>
          <w:tcPr>
            <w:tcW w:w="563" w:type="pct"/>
            <w:tcBorders>
              <w:top w:val="nil"/>
              <w:left w:val="single" w:color="auto" w:sz="4" w:space="0"/>
              <w:bottom w:val="single" w:color="auto" w:sz="4" w:space="0"/>
              <w:right w:val="single" w:color="auto" w:sz="4" w:space="0"/>
            </w:tcBorders>
            <w:noWrap/>
            <w:vAlign w:val="center"/>
          </w:tcPr>
          <w:p w14:paraId="46B4DDB9">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9</w:t>
            </w:r>
          </w:p>
        </w:tc>
        <w:tc>
          <w:tcPr>
            <w:tcW w:w="3196" w:type="pct"/>
            <w:tcBorders>
              <w:top w:val="nil"/>
              <w:left w:val="nil"/>
              <w:bottom w:val="single" w:color="auto" w:sz="4" w:space="0"/>
              <w:right w:val="single" w:color="auto" w:sz="4" w:space="0"/>
            </w:tcBorders>
            <w:noWrap/>
            <w:vAlign w:val="center"/>
          </w:tcPr>
          <w:p w14:paraId="23AAE3D7">
            <w:pPr>
              <w:widowControl/>
              <w:jc w:val="left"/>
              <w:rPr>
                <w:rFonts w:hint="eastAsia" w:ascii="等线" w:hAnsi="等线" w:eastAsia="等线" w:cs="宋体"/>
                <w:color w:val="auto"/>
                <w:kern w:val="0"/>
                <w:szCs w:val="21"/>
              </w:rPr>
            </w:pPr>
            <w:r>
              <w:rPr>
                <w:rFonts w:hint="eastAsia" w:ascii="等线" w:hAnsi="等线" w:eastAsia="等线" w:cs="宋体"/>
                <w:color w:val="auto"/>
                <w:kern w:val="0"/>
                <w:szCs w:val="21"/>
              </w:rPr>
              <w:t>法兰盘</w:t>
            </w:r>
          </w:p>
        </w:tc>
        <w:tc>
          <w:tcPr>
            <w:tcW w:w="529" w:type="pct"/>
            <w:tcBorders>
              <w:top w:val="nil"/>
              <w:left w:val="nil"/>
              <w:bottom w:val="single" w:color="auto" w:sz="4" w:space="0"/>
              <w:right w:val="single" w:color="auto" w:sz="4" w:space="0"/>
            </w:tcBorders>
            <w:noWrap/>
            <w:vAlign w:val="center"/>
          </w:tcPr>
          <w:p w14:paraId="6DF37C94">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224</w:t>
            </w:r>
          </w:p>
        </w:tc>
        <w:tc>
          <w:tcPr>
            <w:tcW w:w="710" w:type="pct"/>
            <w:tcBorders>
              <w:top w:val="nil"/>
              <w:left w:val="nil"/>
              <w:bottom w:val="single" w:color="auto" w:sz="4" w:space="0"/>
              <w:right w:val="single" w:color="auto" w:sz="4" w:space="0"/>
            </w:tcBorders>
            <w:noWrap/>
            <w:vAlign w:val="center"/>
          </w:tcPr>
          <w:p w14:paraId="30FF32ED">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个</w:t>
            </w:r>
          </w:p>
        </w:tc>
      </w:tr>
      <w:tr w14:paraId="2878E5DB">
        <w:tblPrEx>
          <w:tblCellMar>
            <w:top w:w="0" w:type="dxa"/>
            <w:left w:w="108" w:type="dxa"/>
            <w:bottom w:w="0" w:type="dxa"/>
            <w:right w:w="108" w:type="dxa"/>
          </w:tblCellMar>
        </w:tblPrEx>
        <w:trPr>
          <w:trHeight w:val="312" w:hRule="atLeast"/>
        </w:trPr>
        <w:tc>
          <w:tcPr>
            <w:tcW w:w="563" w:type="pct"/>
            <w:tcBorders>
              <w:top w:val="nil"/>
              <w:left w:val="single" w:color="auto" w:sz="4" w:space="0"/>
              <w:bottom w:val="single" w:color="auto" w:sz="4" w:space="0"/>
              <w:right w:val="single" w:color="auto" w:sz="4" w:space="0"/>
            </w:tcBorders>
            <w:noWrap/>
            <w:vAlign w:val="center"/>
          </w:tcPr>
          <w:p w14:paraId="563526BD">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10</w:t>
            </w:r>
          </w:p>
        </w:tc>
        <w:tc>
          <w:tcPr>
            <w:tcW w:w="3196" w:type="pct"/>
            <w:tcBorders>
              <w:top w:val="nil"/>
              <w:left w:val="nil"/>
              <w:bottom w:val="single" w:color="auto" w:sz="4" w:space="0"/>
              <w:right w:val="single" w:color="auto" w:sz="4" w:space="0"/>
            </w:tcBorders>
            <w:noWrap/>
            <w:vAlign w:val="center"/>
          </w:tcPr>
          <w:p w14:paraId="501C1446">
            <w:pPr>
              <w:widowControl/>
              <w:jc w:val="left"/>
              <w:rPr>
                <w:rFonts w:hint="eastAsia" w:ascii="等线" w:hAnsi="等线" w:eastAsia="等线" w:cs="宋体"/>
                <w:color w:val="auto"/>
                <w:kern w:val="0"/>
                <w:szCs w:val="21"/>
              </w:rPr>
            </w:pPr>
            <w:r>
              <w:rPr>
                <w:rFonts w:hint="eastAsia" w:ascii="等线" w:hAnsi="等线" w:eastAsia="等线" w:cs="宋体"/>
                <w:color w:val="auto"/>
                <w:kern w:val="0"/>
                <w:szCs w:val="21"/>
              </w:rPr>
              <w:t>光端盒</w:t>
            </w:r>
          </w:p>
        </w:tc>
        <w:tc>
          <w:tcPr>
            <w:tcW w:w="529" w:type="pct"/>
            <w:tcBorders>
              <w:top w:val="nil"/>
              <w:left w:val="nil"/>
              <w:bottom w:val="single" w:color="auto" w:sz="4" w:space="0"/>
              <w:right w:val="single" w:color="auto" w:sz="4" w:space="0"/>
            </w:tcBorders>
            <w:noWrap/>
            <w:vAlign w:val="center"/>
          </w:tcPr>
          <w:p w14:paraId="6042A5AF">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28</w:t>
            </w:r>
          </w:p>
        </w:tc>
        <w:tc>
          <w:tcPr>
            <w:tcW w:w="710" w:type="pct"/>
            <w:tcBorders>
              <w:top w:val="nil"/>
              <w:left w:val="nil"/>
              <w:bottom w:val="single" w:color="auto" w:sz="4" w:space="0"/>
              <w:right w:val="single" w:color="auto" w:sz="4" w:space="0"/>
            </w:tcBorders>
            <w:noWrap/>
            <w:vAlign w:val="center"/>
          </w:tcPr>
          <w:p w14:paraId="77DB05C2">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个</w:t>
            </w:r>
          </w:p>
        </w:tc>
      </w:tr>
      <w:tr w14:paraId="3E541961">
        <w:tblPrEx>
          <w:tblCellMar>
            <w:top w:w="0" w:type="dxa"/>
            <w:left w:w="108" w:type="dxa"/>
            <w:bottom w:w="0" w:type="dxa"/>
            <w:right w:w="108" w:type="dxa"/>
          </w:tblCellMar>
        </w:tblPrEx>
        <w:trPr>
          <w:trHeight w:val="312" w:hRule="atLeast"/>
        </w:trPr>
        <w:tc>
          <w:tcPr>
            <w:tcW w:w="563" w:type="pct"/>
            <w:tcBorders>
              <w:top w:val="nil"/>
              <w:left w:val="single" w:color="auto" w:sz="4" w:space="0"/>
              <w:bottom w:val="single" w:color="auto" w:sz="4" w:space="0"/>
              <w:right w:val="single" w:color="auto" w:sz="4" w:space="0"/>
            </w:tcBorders>
            <w:noWrap/>
            <w:vAlign w:val="center"/>
          </w:tcPr>
          <w:p w14:paraId="4116B822">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11</w:t>
            </w:r>
          </w:p>
        </w:tc>
        <w:tc>
          <w:tcPr>
            <w:tcW w:w="3196" w:type="pct"/>
            <w:tcBorders>
              <w:top w:val="nil"/>
              <w:left w:val="nil"/>
              <w:bottom w:val="single" w:color="auto" w:sz="4" w:space="0"/>
              <w:right w:val="single" w:color="auto" w:sz="4" w:space="0"/>
            </w:tcBorders>
            <w:noWrap/>
            <w:vAlign w:val="center"/>
          </w:tcPr>
          <w:p w14:paraId="1FA2C553">
            <w:pPr>
              <w:widowControl/>
              <w:jc w:val="left"/>
              <w:rPr>
                <w:rFonts w:hint="eastAsia" w:ascii="等线" w:hAnsi="等线" w:eastAsia="等线" w:cs="宋体"/>
                <w:color w:val="auto"/>
                <w:kern w:val="0"/>
                <w:szCs w:val="21"/>
              </w:rPr>
            </w:pPr>
            <w:r>
              <w:rPr>
                <w:rFonts w:hint="eastAsia" w:ascii="等线" w:hAnsi="等线" w:eastAsia="等线" w:cs="宋体"/>
                <w:color w:val="auto"/>
                <w:kern w:val="0"/>
                <w:szCs w:val="21"/>
              </w:rPr>
              <w:t>熔纤用尾纤</w:t>
            </w:r>
          </w:p>
        </w:tc>
        <w:tc>
          <w:tcPr>
            <w:tcW w:w="529" w:type="pct"/>
            <w:tcBorders>
              <w:top w:val="nil"/>
              <w:left w:val="nil"/>
              <w:bottom w:val="single" w:color="auto" w:sz="4" w:space="0"/>
              <w:right w:val="single" w:color="auto" w:sz="4" w:space="0"/>
            </w:tcBorders>
            <w:noWrap/>
            <w:vAlign w:val="center"/>
          </w:tcPr>
          <w:p w14:paraId="4278B3E1">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112</w:t>
            </w:r>
          </w:p>
        </w:tc>
        <w:tc>
          <w:tcPr>
            <w:tcW w:w="710" w:type="pct"/>
            <w:tcBorders>
              <w:top w:val="nil"/>
              <w:left w:val="nil"/>
              <w:bottom w:val="single" w:color="auto" w:sz="4" w:space="0"/>
              <w:right w:val="single" w:color="auto" w:sz="4" w:space="0"/>
            </w:tcBorders>
            <w:noWrap/>
            <w:vAlign w:val="center"/>
          </w:tcPr>
          <w:p w14:paraId="2B999774">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个</w:t>
            </w:r>
          </w:p>
        </w:tc>
      </w:tr>
      <w:tr w14:paraId="3877EC62">
        <w:tblPrEx>
          <w:tblCellMar>
            <w:top w:w="0" w:type="dxa"/>
            <w:left w:w="108" w:type="dxa"/>
            <w:bottom w:w="0" w:type="dxa"/>
            <w:right w:w="108" w:type="dxa"/>
          </w:tblCellMar>
        </w:tblPrEx>
        <w:trPr>
          <w:trHeight w:val="312" w:hRule="atLeast"/>
        </w:trPr>
        <w:tc>
          <w:tcPr>
            <w:tcW w:w="563" w:type="pct"/>
            <w:tcBorders>
              <w:top w:val="nil"/>
              <w:left w:val="single" w:color="auto" w:sz="4" w:space="0"/>
              <w:bottom w:val="single" w:color="auto" w:sz="4" w:space="0"/>
              <w:right w:val="single" w:color="auto" w:sz="4" w:space="0"/>
            </w:tcBorders>
            <w:noWrap/>
            <w:vAlign w:val="center"/>
          </w:tcPr>
          <w:p w14:paraId="3B5E68B8">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12</w:t>
            </w:r>
          </w:p>
        </w:tc>
        <w:tc>
          <w:tcPr>
            <w:tcW w:w="3196" w:type="pct"/>
            <w:tcBorders>
              <w:top w:val="nil"/>
              <w:left w:val="nil"/>
              <w:bottom w:val="single" w:color="auto" w:sz="4" w:space="0"/>
              <w:right w:val="single" w:color="auto" w:sz="4" w:space="0"/>
            </w:tcBorders>
            <w:noWrap/>
            <w:vAlign w:val="center"/>
          </w:tcPr>
          <w:p w14:paraId="2FE42373">
            <w:pPr>
              <w:widowControl/>
              <w:jc w:val="left"/>
              <w:rPr>
                <w:rFonts w:hint="eastAsia" w:ascii="等线" w:hAnsi="等线" w:eastAsia="等线" w:cs="宋体"/>
                <w:color w:val="auto"/>
                <w:kern w:val="0"/>
                <w:szCs w:val="21"/>
              </w:rPr>
            </w:pPr>
            <w:r>
              <w:rPr>
                <w:rFonts w:hint="eastAsia" w:ascii="等线" w:hAnsi="等线" w:eastAsia="等线" w:cs="宋体"/>
                <w:color w:val="auto"/>
                <w:kern w:val="0"/>
                <w:szCs w:val="21"/>
              </w:rPr>
              <w:t>连接设备用尾纤</w:t>
            </w:r>
          </w:p>
        </w:tc>
        <w:tc>
          <w:tcPr>
            <w:tcW w:w="529" w:type="pct"/>
            <w:tcBorders>
              <w:top w:val="nil"/>
              <w:left w:val="nil"/>
              <w:bottom w:val="single" w:color="auto" w:sz="4" w:space="0"/>
              <w:right w:val="single" w:color="auto" w:sz="4" w:space="0"/>
            </w:tcBorders>
            <w:noWrap/>
            <w:vAlign w:val="center"/>
          </w:tcPr>
          <w:p w14:paraId="5E30CCFD">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56</w:t>
            </w:r>
          </w:p>
        </w:tc>
        <w:tc>
          <w:tcPr>
            <w:tcW w:w="710" w:type="pct"/>
            <w:tcBorders>
              <w:top w:val="nil"/>
              <w:left w:val="nil"/>
              <w:bottom w:val="single" w:color="auto" w:sz="4" w:space="0"/>
              <w:right w:val="single" w:color="auto" w:sz="4" w:space="0"/>
            </w:tcBorders>
            <w:noWrap/>
            <w:vAlign w:val="center"/>
          </w:tcPr>
          <w:p w14:paraId="1134FA6D">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个</w:t>
            </w:r>
          </w:p>
        </w:tc>
      </w:tr>
      <w:tr w14:paraId="3766F8DB">
        <w:tblPrEx>
          <w:tblCellMar>
            <w:top w:w="0" w:type="dxa"/>
            <w:left w:w="108" w:type="dxa"/>
            <w:bottom w:w="0" w:type="dxa"/>
            <w:right w:w="108" w:type="dxa"/>
          </w:tblCellMar>
        </w:tblPrEx>
        <w:trPr>
          <w:trHeight w:val="312" w:hRule="atLeast"/>
        </w:trPr>
        <w:tc>
          <w:tcPr>
            <w:tcW w:w="563" w:type="pct"/>
            <w:tcBorders>
              <w:top w:val="nil"/>
              <w:left w:val="single" w:color="auto" w:sz="4" w:space="0"/>
              <w:bottom w:val="single" w:color="auto" w:sz="4" w:space="0"/>
              <w:right w:val="single" w:color="auto" w:sz="4" w:space="0"/>
            </w:tcBorders>
            <w:noWrap/>
            <w:vAlign w:val="center"/>
          </w:tcPr>
          <w:p w14:paraId="6BB43BB3">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13</w:t>
            </w:r>
          </w:p>
        </w:tc>
        <w:tc>
          <w:tcPr>
            <w:tcW w:w="3196" w:type="pct"/>
            <w:tcBorders>
              <w:top w:val="nil"/>
              <w:left w:val="nil"/>
              <w:bottom w:val="single" w:color="auto" w:sz="4" w:space="0"/>
              <w:right w:val="single" w:color="auto" w:sz="4" w:space="0"/>
            </w:tcBorders>
            <w:noWrap/>
            <w:vAlign w:val="center"/>
          </w:tcPr>
          <w:p w14:paraId="7C632288">
            <w:pPr>
              <w:widowControl/>
              <w:jc w:val="left"/>
              <w:rPr>
                <w:rFonts w:hint="eastAsia" w:ascii="等线" w:hAnsi="等线" w:eastAsia="等线" w:cs="宋体"/>
                <w:color w:val="auto"/>
                <w:kern w:val="0"/>
                <w:szCs w:val="21"/>
              </w:rPr>
            </w:pPr>
            <w:r>
              <w:rPr>
                <w:rFonts w:hint="eastAsia" w:ascii="等线" w:hAnsi="等线" w:eastAsia="等线" w:cs="宋体"/>
                <w:color w:val="auto"/>
                <w:kern w:val="0"/>
                <w:szCs w:val="21"/>
              </w:rPr>
              <w:t>9U机柜</w:t>
            </w:r>
          </w:p>
        </w:tc>
        <w:tc>
          <w:tcPr>
            <w:tcW w:w="529" w:type="pct"/>
            <w:tcBorders>
              <w:top w:val="nil"/>
              <w:left w:val="nil"/>
              <w:bottom w:val="single" w:color="auto" w:sz="4" w:space="0"/>
              <w:right w:val="single" w:color="auto" w:sz="4" w:space="0"/>
            </w:tcBorders>
            <w:noWrap/>
            <w:vAlign w:val="center"/>
          </w:tcPr>
          <w:p w14:paraId="0230B9D0">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14</w:t>
            </w:r>
          </w:p>
        </w:tc>
        <w:tc>
          <w:tcPr>
            <w:tcW w:w="710" w:type="pct"/>
            <w:tcBorders>
              <w:top w:val="nil"/>
              <w:left w:val="nil"/>
              <w:bottom w:val="single" w:color="auto" w:sz="4" w:space="0"/>
              <w:right w:val="single" w:color="auto" w:sz="4" w:space="0"/>
            </w:tcBorders>
            <w:noWrap/>
            <w:vAlign w:val="center"/>
          </w:tcPr>
          <w:p w14:paraId="22552486">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台</w:t>
            </w:r>
          </w:p>
        </w:tc>
      </w:tr>
      <w:tr w14:paraId="4053857C">
        <w:tblPrEx>
          <w:tblCellMar>
            <w:top w:w="0" w:type="dxa"/>
            <w:left w:w="108" w:type="dxa"/>
            <w:bottom w:w="0" w:type="dxa"/>
            <w:right w:w="108" w:type="dxa"/>
          </w:tblCellMar>
        </w:tblPrEx>
        <w:trPr>
          <w:trHeight w:val="312" w:hRule="atLeast"/>
        </w:trPr>
        <w:tc>
          <w:tcPr>
            <w:tcW w:w="563" w:type="pct"/>
            <w:tcBorders>
              <w:top w:val="nil"/>
              <w:left w:val="single" w:color="auto" w:sz="4" w:space="0"/>
              <w:bottom w:val="single" w:color="auto" w:sz="4" w:space="0"/>
              <w:right w:val="single" w:color="auto" w:sz="4" w:space="0"/>
            </w:tcBorders>
            <w:noWrap/>
            <w:vAlign w:val="center"/>
          </w:tcPr>
          <w:p w14:paraId="0465C1AE">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14</w:t>
            </w:r>
          </w:p>
        </w:tc>
        <w:tc>
          <w:tcPr>
            <w:tcW w:w="3196" w:type="pct"/>
            <w:tcBorders>
              <w:top w:val="nil"/>
              <w:left w:val="nil"/>
              <w:bottom w:val="single" w:color="auto" w:sz="4" w:space="0"/>
              <w:right w:val="single" w:color="auto" w:sz="4" w:space="0"/>
            </w:tcBorders>
            <w:noWrap/>
            <w:vAlign w:val="center"/>
          </w:tcPr>
          <w:p w14:paraId="4EC3D4B3">
            <w:pPr>
              <w:widowControl/>
              <w:jc w:val="left"/>
              <w:rPr>
                <w:rFonts w:hint="eastAsia" w:ascii="等线" w:hAnsi="等线" w:eastAsia="等线" w:cs="宋体"/>
                <w:color w:val="auto"/>
                <w:kern w:val="0"/>
                <w:szCs w:val="21"/>
              </w:rPr>
            </w:pPr>
            <w:r>
              <w:rPr>
                <w:rFonts w:hint="eastAsia" w:ascii="等线" w:hAnsi="等线" w:eastAsia="等线" w:cs="宋体"/>
                <w:color w:val="auto"/>
                <w:kern w:val="0"/>
                <w:szCs w:val="21"/>
              </w:rPr>
              <w:t>42U机柜</w:t>
            </w:r>
          </w:p>
        </w:tc>
        <w:tc>
          <w:tcPr>
            <w:tcW w:w="529" w:type="pct"/>
            <w:tcBorders>
              <w:top w:val="nil"/>
              <w:left w:val="nil"/>
              <w:bottom w:val="single" w:color="auto" w:sz="4" w:space="0"/>
              <w:right w:val="single" w:color="auto" w:sz="4" w:space="0"/>
            </w:tcBorders>
            <w:noWrap/>
            <w:vAlign w:val="center"/>
          </w:tcPr>
          <w:p w14:paraId="49C3C279">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1</w:t>
            </w:r>
          </w:p>
        </w:tc>
        <w:tc>
          <w:tcPr>
            <w:tcW w:w="710" w:type="pct"/>
            <w:tcBorders>
              <w:top w:val="nil"/>
              <w:left w:val="nil"/>
              <w:bottom w:val="single" w:color="auto" w:sz="4" w:space="0"/>
              <w:right w:val="single" w:color="auto" w:sz="4" w:space="0"/>
            </w:tcBorders>
            <w:noWrap/>
            <w:vAlign w:val="center"/>
          </w:tcPr>
          <w:p w14:paraId="760887ED">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条</w:t>
            </w:r>
          </w:p>
        </w:tc>
      </w:tr>
      <w:tr w14:paraId="2EF5EE8C">
        <w:tblPrEx>
          <w:tblCellMar>
            <w:top w:w="0" w:type="dxa"/>
            <w:left w:w="108" w:type="dxa"/>
            <w:bottom w:w="0" w:type="dxa"/>
            <w:right w:w="108" w:type="dxa"/>
          </w:tblCellMar>
        </w:tblPrEx>
        <w:trPr>
          <w:trHeight w:val="312" w:hRule="atLeast"/>
        </w:trPr>
        <w:tc>
          <w:tcPr>
            <w:tcW w:w="563" w:type="pct"/>
            <w:tcBorders>
              <w:top w:val="nil"/>
              <w:left w:val="single" w:color="auto" w:sz="4" w:space="0"/>
              <w:bottom w:val="single" w:color="auto" w:sz="4" w:space="0"/>
              <w:right w:val="single" w:color="auto" w:sz="4" w:space="0"/>
            </w:tcBorders>
            <w:noWrap/>
            <w:vAlign w:val="center"/>
          </w:tcPr>
          <w:p w14:paraId="5F34BF96">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15</w:t>
            </w:r>
          </w:p>
        </w:tc>
        <w:tc>
          <w:tcPr>
            <w:tcW w:w="3196" w:type="pct"/>
            <w:tcBorders>
              <w:top w:val="nil"/>
              <w:left w:val="nil"/>
              <w:bottom w:val="single" w:color="auto" w:sz="4" w:space="0"/>
              <w:right w:val="single" w:color="auto" w:sz="4" w:space="0"/>
            </w:tcBorders>
            <w:noWrap/>
            <w:vAlign w:val="center"/>
          </w:tcPr>
          <w:p w14:paraId="05A6B9A8">
            <w:pPr>
              <w:widowControl/>
              <w:jc w:val="left"/>
              <w:rPr>
                <w:rFonts w:hint="eastAsia" w:ascii="等线" w:hAnsi="等线" w:eastAsia="等线" w:cs="宋体"/>
                <w:color w:val="auto"/>
                <w:kern w:val="0"/>
                <w:szCs w:val="21"/>
              </w:rPr>
            </w:pPr>
            <w:r>
              <w:rPr>
                <w:rFonts w:hint="eastAsia" w:ascii="等线" w:hAnsi="等线" w:eastAsia="等线" w:cs="宋体"/>
                <w:color w:val="auto"/>
                <w:kern w:val="0"/>
                <w:szCs w:val="21"/>
              </w:rPr>
              <w:t>视频监控专用大型园区核心交换机</w:t>
            </w:r>
            <w:r>
              <w:rPr>
                <w:rFonts w:hint="eastAsia" w:cs="宋体" w:asciiTheme="majorEastAsia" w:hAnsiTheme="majorEastAsia" w:eastAsiaTheme="majorEastAsia"/>
                <w:color w:val="auto"/>
                <w:kern w:val="0"/>
                <w:szCs w:val="21"/>
                <w:lang w:eastAsia="zh-CN"/>
              </w:rPr>
              <w:t>【</w:t>
            </w:r>
            <w:r>
              <w:rPr>
                <w:rFonts w:hint="eastAsia" w:cs="宋体" w:asciiTheme="majorEastAsia" w:hAnsiTheme="majorEastAsia" w:eastAsiaTheme="majorEastAsia"/>
                <w:color w:val="auto"/>
                <w:kern w:val="0"/>
                <w:szCs w:val="21"/>
                <w:lang w:val="en-US" w:eastAsia="zh-CN"/>
              </w:rPr>
              <w:t>核心产品</w:t>
            </w:r>
            <w:r>
              <w:rPr>
                <w:rFonts w:hint="eastAsia" w:cs="宋体" w:asciiTheme="majorEastAsia" w:hAnsiTheme="majorEastAsia" w:eastAsiaTheme="majorEastAsia"/>
                <w:color w:val="auto"/>
                <w:kern w:val="0"/>
                <w:szCs w:val="21"/>
                <w:lang w:eastAsia="zh-CN"/>
              </w:rPr>
              <w:t>】</w:t>
            </w:r>
          </w:p>
        </w:tc>
        <w:tc>
          <w:tcPr>
            <w:tcW w:w="529" w:type="pct"/>
            <w:tcBorders>
              <w:top w:val="nil"/>
              <w:left w:val="nil"/>
              <w:bottom w:val="single" w:color="auto" w:sz="4" w:space="0"/>
              <w:right w:val="single" w:color="auto" w:sz="4" w:space="0"/>
            </w:tcBorders>
            <w:noWrap/>
            <w:vAlign w:val="center"/>
          </w:tcPr>
          <w:p w14:paraId="682D258A">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1</w:t>
            </w:r>
          </w:p>
        </w:tc>
        <w:tc>
          <w:tcPr>
            <w:tcW w:w="710" w:type="pct"/>
            <w:tcBorders>
              <w:top w:val="nil"/>
              <w:left w:val="nil"/>
              <w:bottom w:val="single" w:color="auto" w:sz="4" w:space="0"/>
              <w:right w:val="single" w:color="auto" w:sz="4" w:space="0"/>
            </w:tcBorders>
            <w:noWrap/>
            <w:vAlign w:val="center"/>
          </w:tcPr>
          <w:p w14:paraId="27061239">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台</w:t>
            </w:r>
          </w:p>
        </w:tc>
      </w:tr>
      <w:tr w14:paraId="21609C9E">
        <w:tblPrEx>
          <w:tblCellMar>
            <w:top w:w="0" w:type="dxa"/>
            <w:left w:w="108" w:type="dxa"/>
            <w:bottom w:w="0" w:type="dxa"/>
            <w:right w:w="108" w:type="dxa"/>
          </w:tblCellMar>
        </w:tblPrEx>
        <w:trPr>
          <w:trHeight w:val="312" w:hRule="atLeast"/>
        </w:trPr>
        <w:tc>
          <w:tcPr>
            <w:tcW w:w="563" w:type="pct"/>
            <w:tcBorders>
              <w:top w:val="nil"/>
              <w:left w:val="single" w:color="auto" w:sz="4" w:space="0"/>
              <w:bottom w:val="single" w:color="auto" w:sz="4" w:space="0"/>
              <w:right w:val="single" w:color="auto" w:sz="4" w:space="0"/>
            </w:tcBorders>
            <w:noWrap/>
            <w:vAlign w:val="center"/>
          </w:tcPr>
          <w:p w14:paraId="2BCD4288">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16</w:t>
            </w:r>
          </w:p>
        </w:tc>
        <w:tc>
          <w:tcPr>
            <w:tcW w:w="3196" w:type="pct"/>
            <w:tcBorders>
              <w:top w:val="nil"/>
              <w:left w:val="nil"/>
              <w:bottom w:val="single" w:color="auto" w:sz="4" w:space="0"/>
              <w:right w:val="single" w:color="auto" w:sz="4" w:space="0"/>
            </w:tcBorders>
            <w:noWrap/>
            <w:vAlign w:val="center"/>
          </w:tcPr>
          <w:p w14:paraId="7C7E34CB">
            <w:pPr>
              <w:widowControl/>
              <w:jc w:val="left"/>
              <w:rPr>
                <w:rFonts w:hint="eastAsia" w:ascii="等线" w:hAnsi="等线" w:eastAsia="等线" w:cs="宋体"/>
                <w:color w:val="auto"/>
                <w:kern w:val="0"/>
                <w:szCs w:val="21"/>
              </w:rPr>
            </w:pPr>
            <w:r>
              <w:rPr>
                <w:rFonts w:hint="eastAsia" w:ascii="等线" w:hAnsi="等线" w:eastAsia="等线" w:cs="宋体"/>
                <w:color w:val="auto"/>
                <w:kern w:val="0"/>
                <w:szCs w:val="21"/>
              </w:rPr>
              <w:t>插排</w:t>
            </w:r>
          </w:p>
        </w:tc>
        <w:tc>
          <w:tcPr>
            <w:tcW w:w="529" w:type="pct"/>
            <w:tcBorders>
              <w:top w:val="nil"/>
              <w:left w:val="nil"/>
              <w:bottom w:val="single" w:color="auto" w:sz="4" w:space="0"/>
              <w:right w:val="single" w:color="auto" w:sz="4" w:space="0"/>
            </w:tcBorders>
            <w:noWrap/>
            <w:vAlign w:val="center"/>
          </w:tcPr>
          <w:p w14:paraId="10BC4456">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15</w:t>
            </w:r>
          </w:p>
        </w:tc>
        <w:tc>
          <w:tcPr>
            <w:tcW w:w="710" w:type="pct"/>
            <w:tcBorders>
              <w:top w:val="nil"/>
              <w:left w:val="nil"/>
              <w:bottom w:val="single" w:color="auto" w:sz="4" w:space="0"/>
              <w:right w:val="single" w:color="auto" w:sz="4" w:space="0"/>
            </w:tcBorders>
            <w:noWrap/>
            <w:vAlign w:val="center"/>
          </w:tcPr>
          <w:p w14:paraId="219662FF">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个</w:t>
            </w:r>
          </w:p>
        </w:tc>
      </w:tr>
      <w:tr w14:paraId="48110642">
        <w:tblPrEx>
          <w:tblCellMar>
            <w:top w:w="0" w:type="dxa"/>
            <w:left w:w="108" w:type="dxa"/>
            <w:bottom w:w="0" w:type="dxa"/>
            <w:right w:w="108" w:type="dxa"/>
          </w:tblCellMar>
        </w:tblPrEx>
        <w:trPr>
          <w:trHeight w:val="312" w:hRule="atLeast"/>
        </w:trPr>
        <w:tc>
          <w:tcPr>
            <w:tcW w:w="563" w:type="pct"/>
            <w:tcBorders>
              <w:top w:val="nil"/>
              <w:left w:val="single" w:color="auto" w:sz="4" w:space="0"/>
              <w:bottom w:val="single" w:color="auto" w:sz="4" w:space="0"/>
              <w:right w:val="single" w:color="auto" w:sz="4" w:space="0"/>
            </w:tcBorders>
            <w:noWrap/>
            <w:vAlign w:val="center"/>
          </w:tcPr>
          <w:p w14:paraId="126513EC">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17</w:t>
            </w:r>
          </w:p>
        </w:tc>
        <w:tc>
          <w:tcPr>
            <w:tcW w:w="3196" w:type="pct"/>
            <w:tcBorders>
              <w:top w:val="nil"/>
              <w:left w:val="nil"/>
              <w:bottom w:val="single" w:color="auto" w:sz="4" w:space="0"/>
              <w:right w:val="single" w:color="auto" w:sz="4" w:space="0"/>
            </w:tcBorders>
            <w:noWrap/>
            <w:vAlign w:val="center"/>
          </w:tcPr>
          <w:p w14:paraId="4AB9F2E4">
            <w:pPr>
              <w:widowControl/>
              <w:jc w:val="left"/>
              <w:rPr>
                <w:rFonts w:hint="eastAsia" w:ascii="等线" w:hAnsi="等线" w:eastAsia="等线" w:cs="宋体"/>
                <w:color w:val="auto"/>
                <w:kern w:val="0"/>
                <w:szCs w:val="21"/>
              </w:rPr>
            </w:pPr>
            <w:r>
              <w:rPr>
                <w:rFonts w:hint="eastAsia" w:ascii="等线" w:hAnsi="等线" w:eastAsia="等线" w:cs="宋体"/>
                <w:color w:val="auto"/>
                <w:kern w:val="0"/>
                <w:szCs w:val="21"/>
              </w:rPr>
              <w:t>2*1.5电源线</w:t>
            </w:r>
          </w:p>
        </w:tc>
        <w:tc>
          <w:tcPr>
            <w:tcW w:w="529" w:type="pct"/>
            <w:tcBorders>
              <w:top w:val="nil"/>
              <w:left w:val="nil"/>
              <w:bottom w:val="single" w:color="auto" w:sz="4" w:space="0"/>
              <w:right w:val="single" w:color="auto" w:sz="4" w:space="0"/>
            </w:tcBorders>
            <w:noWrap/>
            <w:vAlign w:val="center"/>
          </w:tcPr>
          <w:p w14:paraId="5AA7EA78">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2100</w:t>
            </w:r>
          </w:p>
        </w:tc>
        <w:tc>
          <w:tcPr>
            <w:tcW w:w="710" w:type="pct"/>
            <w:tcBorders>
              <w:top w:val="nil"/>
              <w:left w:val="nil"/>
              <w:bottom w:val="single" w:color="auto" w:sz="4" w:space="0"/>
              <w:right w:val="single" w:color="auto" w:sz="4" w:space="0"/>
            </w:tcBorders>
            <w:noWrap/>
            <w:vAlign w:val="center"/>
          </w:tcPr>
          <w:p w14:paraId="76DAEF08">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米</w:t>
            </w:r>
          </w:p>
        </w:tc>
      </w:tr>
      <w:tr w14:paraId="701369FA">
        <w:tblPrEx>
          <w:tblCellMar>
            <w:top w:w="0" w:type="dxa"/>
            <w:left w:w="108" w:type="dxa"/>
            <w:bottom w:w="0" w:type="dxa"/>
            <w:right w:w="108" w:type="dxa"/>
          </w:tblCellMar>
        </w:tblPrEx>
        <w:trPr>
          <w:trHeight w:val="312" w:hRule="atLeast"/>
        </w:trPr>
        <w:tc>
          <w:tcPr>
            <w:tcW w:w="563" w:type="pct"/>
            <w:tcBorders>
              <w:top w:val="nil"/>
              <w:left w:val="single" w:color="auto" w:sz="4" w:space="0"/>
              <w:bottom w:val="single" w:color="auto" w:sz="4" w:space="0"/>
              <w:right w:val="single" w:color="auto" w:sz="4" w:space="0"/>
            </w:tcBorders>
            <w:noWrap/>
            <w:vAlign w:val="center"/>
          </w:tcPr>
          <w:p w14:paraId="5029F1A9">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18</w:t>
            </w:r>
          </w:p>
        </w:tc>
        <w:tc>
          <w:tcPr>
            <w:tcW w:w="3196" w:type="pct"/>
            <w:tcBorders>
              <w:top w:val="nil"/>
              <w:left w:val="nil"/>
              <w:bottom w:val="single" w:color="auto" w:sz="4" w:space="0"/>
              <w:right w:val="single" w:color="auto" w:sz="4" w:space="0"/>
            </w:tcBorders>
            <w:noWrap/>
            <w:vAlign w:val="center"/>
          </w:tcPr>
          <w:p w14:paraId="7428B882">
            <w:pPr>
              <w:widowControl/>
              <w:jc w:val="left"/>
              <w:rPr>
                <w:rFonts w:hint="eastAsia" w:ascii="等线" w:hAnsi="等线" w:eastAsia="等线" w:cs="宋体"/>
                <w:color w:val="auto"/>
                <w:kern w:val="0"/>
                <w:szCs w:val="21"/>
              </w:rPr>
            </w:pPr>
            <w:r>
              <w:rPr>
                <w:rFonts w:hint="eastAsia" w:ascii="等线" w:hAnsi="等线" w:eastAsia="等线" w:cs="宋体"/>
                <w:color w:val="auto"/>
                <w:kern w:val="0"/>
                <w:szCs w:val="21"/>
              </w:rPr>
              <w:t>8芯光缆</w:t>
            </w:r>
          </w:p>
        </w:tc>
        <w:tc>
          <w:tcPr>
            <w:tcW w:w="529" w:type="pct"/>
            <w:tcBorders>
              <w:top w:val="nil"/>
              <w:left w:val="nil"/>
              <w:bottom w:val="single" w:color="auto" w:sz="4" w:space="0"/>
              <w:right w:val="single" w:color="auto" w:sz="4" w:space="0"/>
            </w:tcBorders>
            <w:noWrap/>
            <w:vAlign w:val="center"/>
          </w:tcPr>
          <w:p w14:paraId="593B4471">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2100</w:t>
            </w:r>
          </w:p>
        </w:tc>
        <w:tc>
          <w:tcPr>
            <w:tcW w:w="710" w:type="pct"/>
            <w:tcBorders>
              <w:top w:val="nil"/>
              <w:left w:val="nil"/>
              <w:bottom w:val="single" w:color="auto" w:sz="4" w:space="0"/>
              <w:right w:val="single" w:color="auto" w:sz="4" w:space="0"/>
            </w:tcBorders>
            <w:noWrap/>
            <w:vAlign w:val="center"/>
          </w:tcPr>
          <w:p w14:paraId="51BD8E92">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米</w:t>
            </w:r>
          </w:p>
        </w:tc>
      </w:tr>
      <w:tr w14:paraId="29AEEF2B">
        <w:tblPrEx>
          <w:tblCellMar>
            <w:top w:w="0" w:type="dxa"/>
            <w:left w:w="108" w:type="dxa"/>
            <w:bottom w:w="0" w:type="dxa"/>
            <w:right w:w="108" w:type="dxa"/>
          </w:tblCellMar>
        </w:tblPrEx>
        <w:trPr>
          <w:trHeight w:val="287" w:hRule="atLeast"/>
        </w:trPr>
        <w:tc>
          <w:tcPr>
            <w:tcW w:w="563" w:type="pct"/>
            <w:tcBorders>
              <w:top w:val="nil"/>
              <w:left w:val="single" w:color="auto" w:sz="4" w:space="0"/>
              <w:bottom w:val="single" w:color="auto" w:sz="4" w:space="0"/>
              <w:right w:val="single" w:color="auto" w:sz="4" w:space="0"/>
            </w:tcBorders>
            <w:noWrap/>
            <w:vAlign w:val="center"/>
          </w:tcPr>
          <w:p w14:paraId="33D58E16">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19</w:t>
            </w:r>
          </w:p>
        </w:tc>
        <w:tc>
          <w:tcPr>
            <w:tcW w:w="3196" w:type="pct"/>
            <w:tcBorders>
              <w:top w:val="nil"/>
              <w:left w:val="nil"/>
              <w:bottom w:val="single" w:color="auto" w:sz="4" w:space="0"/>
              <w:right w:val="single" w:color="auto" w:sz="4" w:space="0"/>
            </w:tcBorders>
            <w:noWrap/>
            <w:vAlign w:val="center"/>
          </w:tcPr>
          <w:p w14:paraId="22B8BBFC">
            <w:pPr>
              <w:widowControl/>
              <w:jc w:val="left"/>
              <w:rPr>
                <w:rFonts w:hint="eastAsia" w:ascii="等线" w:hAnsi="等线" w:eastAsia="等线" w:cs="宋体"/>
                <w:color w:val="auto"/>
                <w:kern w:val="0"/>
                <w:szCs w:val="21"/>
              </w:rPr>
            </w:pPr>
            <w:r>
              <w:rPr>
                <w:rFonts w:hint="eastAsia" w:ascii="等线" w:hAnsi="等线" w:eastAsia="等线" w:cs="宋体"/>
                <w:color w:val="auto"/>
                <w:kern w:val="0"/>
                <w:szCs w:val="21"/>
              </w:rPr>
              <w:t>6类网线</w:t>
            </w:r>
          </w:p>
        </w:tc>
        <w:tc>
          <w:tcPr>
            <w:tcW w:w="529" w:type="pct"/>
            <w:tcBorders>
              <w:top w:val="nil"/>
              <w:left w:val="nil"/>
              <w:bottom w:val="single" w:color="auto" w:sz="4" w:space="0"/>
              <w:right w:val="single" w:color="auto" w:sz="4" w:space="0"/>
            </w:tcBorders>
            <w:noWrap/>
            <w:vAlign w:val="center"/>
          </w:tcPr>
          <w:p w14:paraId="24106BCB">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27</w:t>
            </w:r>
          </w:p>
        </w:tc>
        <w:tc>
          <w:tcPr>
            <w:tcW w:w="710" w:type="pct"/>
            <w:tcBorders>
              <w:top w:val="nil"/>
              <w:left w:val="nil"/>
              <w:bottom w:val="single" w:color="auto" w:sz="4" w:space="0"/>
              <w:right w:val="single" w:color="auto" w:sz="4" w:space="0"/>
            </w:tcBorders>
            <w:noWrap/>
            <w:vAlign w:val="center"/>
          </w:tcPr>
          <w:p w14:paraId="25041BE5">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箱</w:t>
            </w:r>
          </w:p>
        </w:tc>
      </w:tr>
      <w:tr w14:paraId="6B7E48EC">
        <w:tblPrEx>
          <w:tblCellMar>
            <w:top w:w="0" w:type="dxa"/>
            <w:left w:w="108" w:type="dxa"/>
            <w:bottom w:w="0" w:type="dxa"/>
            <w:right w:w="108" w:type="dxa"/>
          </w:tblCellMar>
        </w:tblPrEx>
        <w:trPr>
          <w:trHeight w:val="249" w:hRule="atLeast"/>
        </w:trPr>
        <w:tc>
          <w:tcPr>
            <w:tcW w:w="563" w:type="pct"/>
            <w:tcBorders>
              <w:top w:val="nil"/>
              <w:left w:val="single" w:color="auto" w:sz="4" w:space="0"/>
              <w:bottom w:val="single" w:color="auto" w:sz="4" w:space="0"/>
              <w:right w:val="single" w:color="auto" w:sz="4" w:space="0"/>
            </w:tcBorders>
            <w:noWrap/>
            <w:vAlign w:val="center"/>
          </w:tcPr>
          <w:p w14:paraId="371A0955">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20</w:t>
            </w:r>
          </w:p>
        </w:tc>
        <w:tc>
          <w:tcPr>
            <w:tcW w:w="3196" w:type="pct"/>
            <w:tcBorders>
              <w:top w:val="nil"/>
              <w:left w:val="nil"/>
              <w:bottom w:val="single" w:color="auto" w:sz="4" w:space="0"/>
              <w:right w:val="single" w:color="auto" w:sz="4" w:space="0"/>
            </w:tcBorders>
            <w:noWrap/>
            <w:vAlign w:val="center"/>
          </w:tcPr>
          <w:p w14:paraId="7CE4CB01">
            <w:pPr>
              <w:widowControl/>
              <w:jc w:val="left"/>
              <w:rPr>
                <w:rFonts w:hint="eastAsia" w:ascii="等线" w:hAnsi="等线" w:eastAsia="等线" w:cs="宋体"/>
                <w:color w:val="auto"/>
                <w:kern w:val="0"/>
                <w:szCs w:val="21"/>
              </w:rPr>
            </w:pPr>
            <w:r>
              <w:rPr>
                <w:rFonts w:hint="eastAsia" w:ascii="等线" w:hAnsi="等线" w:eastAsia="等线" w:cs="宋体"/>
                <w:color w:val="auto"/>
                <w:kern w:val="0"/>
                <w:szCs w:val="21"/>
              </w:rPr>
              <w:t>辅材</w:t>
            </w:r>
          </w:p>
        </w:tc>
        <w:tc>
          <w:tcPr>
            <w:tcW w:w="529" w:type="pct"/>
            <w:tcBorders>
              <w:top w:val="nil"/>
              <w:left w:val="nil"/>
              <w:bottom w:val="single" w:color="auto" w:sz="4" w:space="0"/>
              <w:right w:val="single" w:color="auto" w:sz="4" w:space="0"/>
            </w:tcBorders>
            <w:noWrap/>
            <w:vAlign w:val="center"/>
          </w:tcPr>
          <w:p w14:paraId="704CF05A">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1</w:t>
            </w:r>
          </w:p>
        </w:tc>
        <w:tc>
          <w:tcPr>
            <w:tcW w:w="710" w:type="pct"/>
            <w:tcBorders>
              <w:top w:val="nil"/>
              <w:left w:val="nil"/>
              <w:bottom w:val="single" w:color="auto" w:sz="4" w:space="0"/>
              <w:right w:val="single" w:color="auto" w:sz="4" w:space="0"/>
            </w:tcBorders>
            <w:noWrap/>
            <w:vAlign w:val="center"/>
          </w:tcPr>
          <w:p w14:paraId="52ADAACC">
            <w:pPr>
              <w:widowControl/>
              <w:jc w:val="center"/>
              <w:rPr>
                <w:rFonts w:hint="eastAsia" w:ascii="等线" w:hAnsi="等线" w:eastAsia="等线" w:cs="宋体"/>
                <w:color w:val="auto"/>
                <w:kern w:val="0"/>
                <w:szCs w:val="21"/>
              </w:rPr>
            </w:pPr>
            <w:r>
              <w:rPr>
                <w:rFonts w:hint="eastAsia" w:ascii="等线" w:hAnsi="等线" w:eastAsia="等线" w:cs="宋体"/>
                <w:color w:val="auto"/>
                <w:kern w:val="0"/>
                <w:szCs w:val="21"/>
              </w:rPr>
              <w:t>套</w:t>
            </w:r>
          </w:p>
        </w:tc>
      </w:tr>
    </w:tbl>
    <w:p w14:paraId="264EB816">
      <w:pP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br w:type="page"/>
      </w:r>
    </w:p>
    <w:p w14:paraId="5DEB8A1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二标包：</w:t>
      </w:r>
    </w:p>
    <w:p w14:paraId="6827EF9D">
      <w:pPr>
        <w:ind w:left="840"/>
        <w:jc w:val="left"/>
        <w:rPr>
          <w:rFonts w:hint="eastAsia" w:ascii="方正书宋简体" w:hAnsi="宋体" w:eastAsia="方正书宋简体"/>
          <w:b/>
          <w:color w:val="auto"/>
          <w:szCs w:val="21"/>
        </w:rPr>
      </w:pPr>
      <w:r>
        <w:rPr>
          <w:rFonts w:hint="eastAsia" w:ascii="方正书宋简体" w:hAnsi="宋体" w:eastAsia="方正书宋简体"/>
          <w:b/>
          <w:color w:val="auto"/>
          <w:szCs w:val="21"/>
        </w:rPr>
        <w:t xml:space="preserve">     </w:t>
      </w:r>
    </w:p>
    <w:tbl>
      <w:tblPr>
        <w:tblStyle w:val="5"/>
        <w:tblW w:w="4999" w:type="pct"/>
        <w:tblInd w:w="0" w:type="dxa"/>
        <w:tblLayout w:type="autofit"/>
        <w:tblCellMar>
          <w:top w:w="0" w:type="dxa"/>
          <w:left w:w="108" w:type="dxa"/>
          <w:bottom w:w="0" w:type="dxa"/>
          <w:right w:w="108" w:type="dxa"/>
        </w:tblCellMar>
      </w:tblPr>
      <w:tblGrid>
        <w:gridCol w:w="886"/>
        <w:gridCol w:w="5613"/>
        <w:gridCol w:w="796"/>
        <w:gridCol w:w="1225"/>
      </w:tblGrid>
      <w:tr w14:paraId="685953E7">
        <w:tblPrEx>
          <w:tblCellMar>
            <w:top w:w="0" w:type="dxa"/>
            <w:left w:w="108" w:type="dxa"/>
            <w:bottom w:w="0" w:type="dxa"/>
            <w:right w:w="108" w:type="dxa"/>
          </w:tblCellMar>
        </w:tblPrEx>
        <w:trPr>
          <w:trHeight w:val="312" w:hRule="atLeast"/>
        </w:trPr>
        <w:tc>
          <w:tcPr>
            <w:tcW w:w="520" w:type="pct"/>
            <w:tcBorders>
              <w:top w:val="single" w:color="auto" w:sz="4" w:space="0"/>
              <w:left w:val="single" w:color="auto" w:sz="4" w:space="0"/>
              <w:bottom w:val="single" w:color="auto" w:sz="4" w:space="0"/>
              <w:right w:val="single" w:color="auto" w:sz="4" w:space="0"/>
            </w:tcBorders>
            <w:noWrap/>
            <w:vAlign w:val="center"/>
          </w:tcPr>
          <w:p w14:paraId="5F204A47">
            <w:pPr>
              <w:widowControl/>
              <w:jc w:val="center"/>
              <w:rPr>
                <w:rFonts w:hint="eastAsia" w:ascii="等线" w:hAnsi="等线" w:eastAsia="等线" w:cs="宋体"/>
                <w:b/>
                <w:bCs/>
                <w:color w:val="auto"/>
                <w:kern w:val="0"/>
                <w:szCs w:val="21"/>
              </w:rPr>
            </w:pPr>
            <w:r>
              <w:rPr>
                <w:rFonts w:hint="eastAsia" w:ascii="等线" w:hAnsi="等线" w:eastAsia="等线" w:cs="宋体"/>
                <w:b/>
                <w:bCs/>
                <w:color w:val="auto"/>
                <w:kern w:val="0"/>
                <w:szCs w:val="21"/>
              </w:rPr>
              <w:t>序号</w:t>
            </w:r>
          </w:p>
        </w:tc>
        <w:tc>
          <w:tcPr>
            <w:tcW w:w="3293" w:type="pct"/>
            <w:tcBorders>
              <w:top w:val="single" w:color="auto" w:sz="4" w:space="0"/>
              <w:left w:val="nil"/>
              <w:bottom w:val="single" w:color="auto" w:sz="4" w:space="0"/>
              <w:right w:val="single" w:color="auto" w:sz="4" w:space="0"/>
            </w:tcBorders>
            <w:noWrap/>
            <w:vAlign w:val="center"/>
          </w:tcPr>
          <w:p w14:paraId="74CE6360">
            <w:pPr>
              <w:widowControl/>
              <w:jc w:val="center"/>
              <w:rPr>
                <w:rFonts w:hint="eastAsia" w:ascii="等线" w:hAnsi="等线" w:eastAsia="等线" w:cs="宋体"/>
                <w:b/>
                <w:bCs/>
                <w:color w:val="auto"/>
                <w:kern w:val="0"/>
                <w:szCs w:val="21"/>
              </w:rPr>
            </w:pPr>
            <w:r>
              <w:rPr>
                <w:rFonts w:hint="eastAsia" w:ascii="等线" w:hAnsi="等线" w:eastAsia="等线" w:cs="宋体"/>
                <w:b/>
                <w:bCs/>
                <w:color w:val="auto"/>
                <w:kern w:val="0"/>
                <w:szCs w:val="21"/>
              </w:rPr>
              <w:t>名称</w:t>
            </w:r>
          </w:p>
        </w:tc>
        <w:tc>
          <w:tcPr>
            <w:tcW w:w="467" w:type="pct"/>
            <w:tcBorders>
              <w:top w:val="single" w:color="auto" w:sz="4" w:space="0"/>
              <w:left w:val="nil"/>
              <w:bottom w:val="single" w:color="auto" w:sz="4" w:space="0"/>
              <w:right w:val="single" w:color="auto" w:sz="4" w:space="0"/>
            </w:tcBorders>
            <w:noWrap/>
            <w:vAlign w:val="center"/>
          </w:tcPr>
          <w:p w14:paraId="2CC7550F">
            <w:pPr>
              <w:widowControl/>
              <w:jc w:val="center"/>
              <w:rPr>
                <w:rFonts w:hint="eastAsia" w:ascii="等线" w:hAnsi="等线" w:eastAsia="等线" w:cs="宋体"/>
                <w:b/>
                <w:bCs/>
                <w:color w:val="auto"/>
                <w:kern w:val="0"/>
                <w:szCs w:val="21"/>
              </w:rPr>
            </w:pPr>
            <w:r>
              <w:rPr>
                <w:rFonts w:hint="eastAsia" w:ascii="等线" w:hAnsi="等线" w:eastAsia="等线" w:cs="宋体"/>
                <w:b/>
                <w:bCs/>
                <w:color w:val="auto"/>
                <w:kern w:val="0"/>
                <w:szCs w:val="21"/>
              </w:rPr>
              <w:t>数量</w:t>
            </w:r>
          </w:p>
        </w:tc>
        <w:tc>
          <w:tcPr>
            <w:tcW w:w="719" w:type="pct"/>
            <w:tcBorders>
              <w:top w:val="single" w:color="auto" w:sz="4" w:space="0"/>
              <w:left w:val="nil"/>
              <w:bottom w:val="single" w:color="auto" w:sz="4" w:space="0"/>
              <w:right w:val="single" w:color="auto" w:sz="4" w:space="0"/>
            </w:tcBorders>
            <w:noWrap/>
            <w:vAlign w:val="center"/>
          </w:tcPr>
          <w:p w14:paraId="7616EB99">
            <w:pPr>
              <w:widowControl/>
              <w:jc w:val="center"/>
              <w:rPr>
                <w:rFonts w:hint="eastAsia" w:ascii="等线" w:hAnsi="等线" w:eastAsia="等线" w:cs="宋体"/>
                <w:b/>
                <w:bCs/>
                <w:color w:val="auto"/>
                <w:kern w:val="0"/>
                <w:szCs w:val="21"/>
              </w:rPr>
            </w:pPr>
            <w:r>
              <w:rPr>
                <w:rFonts w:hint="eastAsia" w:ascii="等线" w:hAnsi="等线" w:eastAsia="等线" w:cs="宋体"/>
                <w:b/>
                <w:bCs/>
                <w:color w:val="auto"/>
                <w:kern w:val="0"/>
                <w:szCs w:val="21"/>
              </w:rPr>
              <w:t>单位</w:t>
            </w:r>
          </w:p>
        </w:tc>
      </w:tr>
      <w:tr w14:paraId="313E29F0">
        <w:tblPrEx>
          <w:tblCellMar>
            <w:top w:w="0" w:type="dxa"/>
            <w:left w:w="108" w:type="dxa"/>
            <w:bottom w:w="0" w:type="dxa"/>
            <w:right w:w="108" w:type="dxa"/>
          </w:tblCellMar>
        </w:tblPrEx>
        <w:trPr>
          <w:trHeight w:val="312" w:hRule="atLeast"/>
        </w:trPr>
        <w:tc>
          <w:tcPr>
            <w:tcW w:w="520" w:type="pct"/>
            <w:tcBorders>
              <w:top w:val="nil"/>
              <w:left w:val="single" w:color="auto" w:sz="4" w:space="0"/>
              <w:bottom w:val="single" w:color="auto" w:sz="4" w:space="0"/>
              <w:right w:val="single" w:color="auto" w:sz="4" w:space="0"/>
            </w:tcBorders>
            <w:noWrap/>
            <w:vAlign w:val="center"/>
          </w:tcPr>
          <w:p w14:paraId="45F4A08E">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1</w:t>
            </w:r>
          </w:p>
        </w:tc>
        <w:tc>
          <w:tcPr>
            <w:tcW w:w="3293" w:type="pct"/>
            <w:tcBorders>
              <w:top w:val="nil"/>
              <w:left w:val="nil"/>
              <w:bottom w:val="single" w:color="auto" w:sz="4" w:space="0"/>
              <w:right w:val="single" w:color="auto" w:sz="4" w:space="0"/>
            </w:tcBorders>
            <w:noWrap/>
            <w:vAlign w:val="center"/>
          </w:tcPr>
          <w:p w14:paraId="54C0470B">
            <w:pPr>
              <w:widowControl/>
              <w:jc w:val="left"/>
              <w:rPr>
                <w:rFonts w:hint="eastAsia" w:cs="宋体" w:asciiTheme="majorEastAsia" w:hAnsiTheme="majorEastAsia" w:eastAsiaTheme="majorEastAsia"/>
                <w:color w:val="auto"/>
                <w:kern w:val="0"/>
                <w:szCs w:val="21"/>
                <w:lang w:eastAsia="zh-CN"/>
              </w:rPr>
            </w:pPr>
            <w:r>
              <w:rPr>
                <w:rFonts w:hint="eastAsia" w:cs="宋体" w:asciiTheme="majorEastAsia" w:hAnsiTheme="majorEastAsia" w:eastAsiaTheme="majorEastAsia"/>
                <w:color w:val="auto"/>
                <w:kern w:val="0"/>
                <w:szCs w:val="21"/>
              </w:rPr>
              <w:t>400万智能半球网络摄像机</w:t>
            </w:r>
            <w:r>
              <w:rPr>
                <w:rFonts w:hint="eastAsia" w:cs="宋体" w:asciiTheme="majorEastAsia" w:hAnsiTheme="majorEastAsia" w:eastAsiaTheme="majorEastAsia"/>
                <w:color w:val="auto"/>
                <w:kern w:val="0"/>
                <w:szCs w:val="21"/>
                <w:lang w:eastAsia="zh-CN"/>
              </w:rPr>
              <w:t>【</w:t>
            </w:r>
            <w:r>
              <w:rPr>
                <w:rFonts w:hint="eastAsia" w:cs="宋体" w:asciiTheme="majorEastAsia" w:hAnsiTheme="majorEastAsia" w:eastAsiaTheme="majorEastAsia"/>
                <w:color w:val="auto"/>
                <w:kern w:val="0"/>
                <w:szCs w:val="21"/>
                <w:lang w:val="en-US" w:eastAsia="zh-CN"/>
              </w:rPr>
              <w:t>核心产品</w:t>
            </w:r>
            <w:r>
              <w:rPr>
                <w:rFonts w:hint="eastAsia" w:cs="宋体" w:asciiTheme="majorEastAsia" w:hAnsiTheme="majorEastAsia" w:eastAsiaTheme="majorEastAsia"/>
                <w:color w:val="auto"/>
                <w:kern w:val="0"/>
                <w:szCs w:val="21"/>
                <w:lang w:eastAsia="zh-CN"/>
              </w:rPr>
              <w:t>】</w:t>
            </w:r>
          </w:p>
        </w:tc>
        <w:tc>
          <w:tcPr>
            <w:tcW w:w="467" w:type="pct"/>
            <w:tcBorders>
              <w:top w:val="nil"/>
              <w:left w:val="nil"/>
              <w:bottom w:val="single" w:color="auto" w:sz="4" w:space="0"/>
              <w:right w:val="single" w:color="auto" w:sz="4" w:space="0"/>
            </w:tcBorders>
            <w:shd w:val="clear" w:color="000000" w:fill="FFFFFF"/>
            <w:vAlign w:val="center"/>
          </w:tcPr>
          <w:p w14:paraId="6F725A91">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210</w:t>
            </w:r>
          </w:p>
        </w:tc>
        <w:tc>
          <w:tcPr>
            <w:tcW w:w="719" w:type="pct"/>
            <w:tcBorders>
              <w:top w:val="nil"/>
              <w:left w:val="nil"/>
              <w:bottom w:val="single" w:color="auto" w:sz="4" w:space="0"/>
              <w:right w:val="single" w:color="auto" w:sz="4" w:space="0"/>
            </w:tcBorders>
            <w:shd w:val="clear" w:color="000000" w:fill="FFFFFF"/>
            <w:vAlign w:val="center"/>
          </w:tcPr>
          <w:p w14:paraId="11096A42">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台</w:t>
            </w:r>
          </w:p>
        </w:tc>
      </w:tr>
      <w:tr w14:paraId="074434D1">
        <w:tblPrEx>
          <w:tblCellMar>
            <w:top w:w="0" w:type="dxa"/>
            <w:left w:w="108" w:type="dxa"/>
            <w:bottom w:w="0" w:type="dxa"/>
            <w:right w:w="108" w:type="dxa"/>
          </w:tblCellMar>
        </w:tblPrEx>
        <w:trPr>
          <w:trHeight w:val="312" w:hRule="atLeast"/>
        </w:trPr>
        <w:tc>
          <w:tcPr>
            <w:tcW w:w="520" w:type="pct"/>
            <w:tcBorders>
              <w:top w:val="nil"/>
              <w:left w:val="single" w:color="auto" w:sz="4" w:space="0"/>
              <w:bottom w:val="single" w:color="auto" w:sz="4" w:space="0"/>
              <w:right w:val="single" w:color="auto" w:sz="4" w:space="0"/>
            </w:tcBorders>
            <w:noWrap/>
            <w:vAlign w:val="center"/>
          </w:tcPr>
          <w:p w14:paraId="38DBAC5D">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2</w:t>
            </w:r>
          </w:p>
        </w:tc>
        <w:tc>
          <w:tcPr>
            <w:tcW w:w="3293" w:type="pct"/>
            <w:tcBorders>
              <w:top w:val="nil"/>
              <w:left w:val="nil"/>
              <w:bottom w:val="single" w:color="auto" w:sz="4" w:space="0"/>
              <w:right w:val="single" w:color="auto" w:sz="4" w:space="0"/>
            </w:tcBorders>
            <w:noWrap/>
            <w:vAlign w:val="center"/>
          </w:tcPr>
          <w:p w14:paraId="5E702CE5">
            <w:pPr>
              <w:widowControl/>
              <w:jc w:val="left"/>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监控存储专用硬盘8TB</w:t>
            </w:r>
          </w:p>
        </w:tc>
        <w:tc>
          <w:tcPr>
            <w:tcW w:w="467" w:type="pct"/>
            <w:tcBorders>
              <w:top w:val="nil"/>
              <w:left w:val="nil"/>
              <w:bottom w:val="single" w:color="auto" w:sz="4" w:space="0"/>
              <w:right w:val="single" w:color="auto" w:sz="4" w:space="0"/>
            </w:tcBorders>
            <w:vAlign w:val="center"/>
          </w:tcPr>
          <w:p w14:paraId="1077477A">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48</w:t>
            </w:r>
          </w:p>
        </w:tc>
        <w:tc>
          <w:tcPr>
            <w:tcW w:w="719" w:type="pct"/>
            <w:tcBorders>
              <w:top w:val="nil"/>
              <w:left w:val="nil"/>
              <w:bottom w:val="single" w:color="auto" w:sz="4" w:space="0"/>
              <w:right w:val="single" w:color="auto" w:sz="4" w:space="0"/>
            </w:tcBorders>
            <w:vAlign w:val="center"/>
          </w:tcPr>
          <w:p w14:paraId="4AFDD794">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台</w:t>
            </w:r>
          </w:p>
        </w:tc>
      </w:tr>
      <w:tr w14:paraId="3A4554C4">
        <w:tblPrEx>
          <w:tblCellMar>
            <w:top w:w="0" w:type="dxa"/>
            <w:left w:w="108" w:type="dxa"/>
            <w:bottom w:w="0" w:type="dxa"/>
            <w:right w:w="108" w:type="dxa"/>
          </w:tblCellMar>
        </w:tblPrEx>
        <w:trPr>
          <w:trHeight w:val="312" w:hRule="atLeast"/>
        </w:trPr>
        <w:tc>
          <w:tcPr>
            <w:tcW w:w="520" w:type="pct"/>
            <w:tcBorders>
              <w:top w:val="nil"/>
              <w:left w:val="single" w:color="auto" w:sz="4" w:space="0"/>
              <w:bottom w:val="single" w:color="auto" w:sz="4" w:space="0"/>
              <w:right w:val="single" w:color="auto" w:sz="4" w:space="0"/>
            </w:tcBorders>
            <w:noWrap/>
            <w:vAlign w:val="center"/>
          </w:tcPr>
          <w:p w14:paraId="5EAAE68D">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3</w:t>
            </w:r>
          </w:p>
        </w:tc>
        <w:tc>
          <w:tcPr>
            <w:tcW w:w="3293" w:type="pct"/>
            <w:tcBorders>
              <w:top w:val="nil"/>
              <w:left w:val="nil"/>
              <w:bottom w:val="single" w:color="auto" w:sz="4" w:space="0"/>
              <w:right w:val="single" w:color="auto" w:sz="4" w:space="0"/>
            </w:tcBorders>
            <w:noWrap/>
            <w:vAlign w:val="center"/>
          </w:tcPr>
          <w:p w14:paraId="5D5BAB01">
            <w:pPr>
              <w:widowControl/>
              <w:jc w:val="left"/>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智能视频存储计算服务器24盘位</w:t>
            </w:r>
            <w:r>
              <w:rPr>
                <w:rFonts w:hint="eastAsia" w:cs="宋体" w:asciiTheme="majorEastAsia" w:hAnsiTheme="majorEastAsia" w:eastAsiaTheme="majorEastAsia"/>
                <w:color w:val="auto"/>
                <w:kern w:val="0"/>
                <w:szCs w:val="21"/>
                <w:lang w:eastAsia="zh-CN"/>
              </w:rPr>
              <w:t>【</w:t>
            </w:r>
            <w:r>
              <w:rPr>
                <w:rFonts w:hint="eastAsia" w:cs="宋体" w:asciiTheme="majorEastAsia" w:hAnsiTheme="majorEastAsia" w:eastAsiaTheme="majorEastAsia"/>
                <w:color w:val="auto"/>
                <w:kern w:val="0"/>
                <w:szCs w:val="21"/>
                <w:lang w:val="en-US" w:eastAsia="zh-CN"/>
              </w:rPr>
              <w:t>核心产品</w:t>
            </w:r>
            <w:r>
              <w:rPr>
                <w:rFonts w:hint="eastAsia" w:cs="宋体" w:asciiTheme="majorEastAsia" w:hAnsiTheme="majorEastAsia" w:eastAsiaTheme="majorEastAsia"/>
                <w:color w:val="auto"/>
                <w:kern w:val="0"/>
                <w:szCs w:val="21"/>
                <w:lang w:eastAsia="zh-CN"/>
              </w:rPr>
              <w:t>】</w:t>
            </w:r>
          </w:p>
        </w:tc>
        <w:tc>
          <w:tcPr>
            <w:tcW w:w="467" w:type="pct"/>
            <w:tcBorders>
              <w:top w:val="nil"/>
              <w:left w:val="nil"/>
              <w:bottom w:val="single" w:color="auto" w:sz="4" w:space="0"/>
              <w:right w:val="single" w:color="auto" w:sz="4" w:space="0"/>
            </w:tcBorders>
            <w:shd w:val="clear" w:color="000000" w:fill="FFFFFF"/>
            <w:vAlign w:val="center"/>
          </w:tcPr>
          <w:p w14:paraId="20BC21E7">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2</w:t>
            </w:r>
          </w:p>
        </w:tc>
        <w:tc>
          <w:tcPr>
            <w:tcW w:w="719" w:type="pct"/>
            <w:tcBorders>
              <w:top w:val="nil"/>
              <w:left w:val="nil"/>
              <w:bottom w:val="single" w:color="auto" w:sz="4" w:space="0"/>
              <w:right w:val="single" w:color="auto" w:sz="4" w:space="0"/>
            </w:tcBorders>
            <w:shd w:val="clear" w:color="000000" w:fill="FFFFFF"/>
            <w:vAlign w:val="center"/>
          </w:tcPr>
          <w:p w14:paraId="6C6D5AE8">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台</w:t>
            </w:r>
          </w:p>
        </w:tc>
      </w:tr>
      <w:tr w14:paraId="19D4F146">
        <w:tblPrEx>
          <w:tblCellMar>
            <w:top w:w="0" w:type="dxa"/>
            <w:left w:w="108" w:type="dxa"/>
            <w:bottom w:w="0" w:type="dxa"/>
            <w:right w:w="108" w:type="dxa"/>
          </w:tblCellMar>
        </w:tblPrEx>
        <w:trPr>
          <w:trHeight w:val="312" w:hRule="atLeast"/>
        </w:trPr>
        <w:tc>
          <w:tcPr>
            <w:tcW w:w="520" w:type="pct"/>
            <w:tcBorders>
              <w:top w:val="nil"/>
              <w:left w:val="single" w:color="auto" w:sz="4" w:space="0"/>
              <w:bottom w:val="single" w:color="auto" w:sz="4" w:space="0"/>
              <w:right w:val="single" w:color="auto" w:sz="4" w:space="0"/>
            </w:tcBorders>
            <w:noWrap/>
            <w:vAlign w:val="center"/>
          </w:tcPr>
          <w:p w14:paraId="10D1BEFE">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4</w:t>
            </w:r>
          </w:p>
        </w:tc>
        <w:tc>
          <w:tcPr>
            <w:tcW w:w="3293" w:type="pct"/>
            <w:tcBorders>
              <w:top w:val="nil"/>
              <w:left w:val="nil"/>
              <w:bottom w:val="single" w:color="auto" w:sz="4" w:space="0"/>
              <w:right w:val="single" w:color="auto" w:sz="4" w:space="0"/>
            </w:tcBorders>
            <w:noWrap/>
            <w:vAlign w:val="center"/>
          </w:tcPr>
          <w:p w14:paraId="5998DD4E">
            <w:pPr>
              <w:widowControl/>
              <w:jc w:val="left"/>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视频监控专用以太网千兆可网管交换机(PoE)</w:t>
            </w:r>
          </w:p>
        </w:tc>
        <w:tc>
          <w:tcPr>
            <w:tcW w:w="467" w:type="pct"/>
            <w:tcBorders>
              <w:top w:val="nil"/>
              <w:left w:val="nil"/>
              <w:bottom w:val="single" w:color="auto" w:sz="4" w:space="0"/>
              <w:right w:val="single" w:color="auto" w:sz="4" w:space="0"/>
            </w:tcBorders>
            <w:noWrap/>
            <w:vAlign w:val="center"/>
          </w:tcPr>
          <w:p w14:paraId="586EDAAB">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14</w:t>
            </w:r>
          </w:p>
        </w:tc>
        <w:tc>
          <w:tcPr>
            <w:tcW w:w="719" w:type="pct"/>
            <w:tcBorders>
              <w:top w:val="nil"/>
              <w:left w:val="nil"/>
              <w:bottom w:val="single" w:color="auto" w:sz="4" w:space="0"/>
              <w:right w:val="single" w:color="auto" w:sz="4" w:space="0"/>
            </w:tcBorders>
            <w:noWrap/>
            <w:vAlign w:val="center"/>
          </w:tcPr>
          <w:p w14:paraId="2FC7AA17">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台</w:t>
            </w:r>
          </w:p>
        </w:tc>
      </w:tr>
      <w:tr w14:paraId="6BD1EF68">
        <w:tblPrEx>
          <w:tblCellMar>
            <w:top w:w="0" w:type="dxa"/>
            <w:left w:w="108" w:type="dxa"/>
            <w:bottom w:w="0" w:type="dxa"/>
            <w:right w:w="108" w:type="dxa"/>
          </w:tblCellMar>
        </w:tblPrEx>
        <w:trPr>
          <w:trHeight w:val="312" w:hRule="atLeast"/>
        </w:trPr>
        <w:tc>
          <w:tcPr>
            <w:tcW w:w="520" w:type="pct"/>
            <w:tcBorders>
              <w:top w:val="nil"/>
              <w:left w:val="single" w:color="auto" w:sz="4" w:space="0"/>
              <w:bottom w:val="single" w:color="auto" w:sz="4" w:space="0"/>
              <w:right w:val="single" w:color="auto" w:sz="4" w:space="0"/>
            </w:tcBorders>
            <w:noWrap/>
            <w:vAlign w:val="center"/>
          </w:tcPr>
          <w:p w14:paraId="1938D7C2">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5</w:t>
            </w:r>
          </w:p>
        </w:tc>
        <w:tc>
          <w:tcPr>
            <w:tcW w:w="3293" w:type="pct"/>
            <w:tcBorders>
              <w:top w:val="nil"/>
              <w:left w:val="nil"/>
              <w:bottom w:val="single" w:color="auto" w:sz="4" w:space="0"/>
              <w:right w:val="single" w:color="auto" w:sz="4" w:space="0"/>
            </w:tcBorders>
            <w:noWrap/>
            <w:vAlign w:val="center"/>
          </w:tcPr>
          <w:p w14:paraId="34B9F256">
            <w:pPr>
              <w:widowControl/>
              <w:jc w:val="left"/>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视频监控专用汇聚交换机</w:t>
            </w:r>
          </w:p>
        </w:tc>
        <w:tc>
          <w:tcPr>
            <w:tcW w:w="467" w:type="pct"/>
            <w:tcBorders>
              <w:top w:val="nil"/>
              <w:left w:val="nil"/>
              <w:bottom w:val="single" w:color="auto" w:sz="4" w:space="0"/>
              <w:right w:val="single" w:color="auto" w:sz="4" w:space="0"/>
            </w:tcBorders>
            <w:noWrap/>
            <w:vAlign w:val="center"/>
          </w:tcPr>
          <w:p w14:paraId="5C92A44F">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1</w:t>
            </w:r>
          </w:p>
        </w:tc>
        <w:tc>
          <w:tcPr>
            <w:tcW w:w="719" w:type="pct"/>
            <w:tcBorders>
              <w:top w:val="nil"/>
              <w:left w:val="nil"/>
              <w:bottom w:val="single" w:color="auto" w:sz="4" w:space="0"/>
              <w:right w:val="single" w:color="auto" w:sz="4" w:space="0"/>
            </w:tcBorders>
            <w:noWrap/>
            <w:vAlign w:val="center"/>
          </w:tcPr>
          <w:p w14:paraId="00B64717">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台</w:t>
            </w:r>
          </w:p>
        </w:tc>
      </w:tr>
      <w:tr w14:paraId="2F3E584B">
        <w:tblPrEx>
          <w:tblCellMar>
            <w:top w:w="0" w:type="dxa"/>
            <w:left w:w="108" w:type="dxa"/>
            <w:bottom w:w="0" w:type="dxa"/>
            <w:right w:w="108" w:type="dxa"/>
          </w:tblCellMar>
        </w:tblPrEx>
        <w:trPr>
          <w:trHeight w:val="312" w:hRule="atLeast"/>
        </w:trPr>
        <w:tc>
          <w:tcPr>
            <w:tcW w:w="520" w:type="pct"/>
            <w:tcBorders>
              <w:top w:val="nil"/>
              <w:left w:val="single" w:color="auto" w:sz="4" w:space="0"/>
              <w:bottom w:val="single" w:color="auto" w:sz="4" w:space="0"/>
              <w:right w:val="single" w:color="auto" w:sz="4" w:space="0"/>
            </w:tcBorders>
            <w:noWrap/>
            <w:vAlign w:val="center"/>
          </w:tcPr>
          <w:p w14:paraId="6FDA4F82">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6</w:t>
            </w:r>
          </w:p>
        </w:tc>
        <w:tc>
          <w:tcPr>
            <w:tcW w:w="3293" w:type="pct"/>
            <w:tcBorders>
              <w:top w:val="nil"/>
              <w:left w:val="nil"/>
              <w:bottom w:val="single" w:color="auto" w:sz="4" w:space="0"/>
              <w:right w:val="single" w:color="auto" w:sz="4" w:space="0"/>
            </w:tcBorders>
            <w:noWrap/>
            <w:vAlign w:val="center"/>
          </w:tcPr>
          <w:p w14:paraId="252914CE">
            <w:pPr>
              <w:widowControl/>
              <w:jc w:val="left"/>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SFP万兆单纤单模光纤模块</w:t>
            </w:r>
          </w:p>
        </w:tc>
        <w:tc>
          <w:tcPr>
            <w:tcW w:w="467" w:type="pct"/>
            <w:tcBorders>
              <w:top w:val="nil"/>
              <w:left w:val="nil"/>
              <w:bottom w:val="single" w:color="auto" w:sz="4" w:space="0"/>
              <w:right w:val="single" w:color="auto" w:sz="4" w:space="0"/>
            </w:tcBorders>
            <w:noWrap/>
            <w:vAlign w:val="center"/>
          </w:tcPr>
          <w:p w14:paraId="340FEFF0">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2</w:t>
            </w:r>
          </w:p>
        </w:tc>
        <w:tc>
          <w:tcPr>
            <w:tcW w:w="719" w:type="pct"/>
            <w:tcBorders>
              <w:top w:val="nil"/>
              <w:left w:val="nil"/>
              <w:bottom w:val="single" w:color="auto" w:sz="4" w:space="0"/>
              <w:right w:val="single" w:color="auto" w:sz="4" w:space="0"/>
            </w:tcBorders>
            <w:noWrap/>
            <w:vAlign w:val="center"/>
          </w:tcPr>
          <w:p w14:paraId="6274A081">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个</w:t>
            </w:r>
          </w:p>
        </w:tc>
      </w:tr>
      <w:tr w14:paraId="415075AB">
        <w:tblPrEx>
          <w:tblCellMar>
            <w:top w:w="0" w:type="dxa"/>
            <w:left w:w="108" w:type="dxa"/>
            <w:bottom w:w="0" w:type="dxa"/>
            <w:right w:w="108" w:type="dxa"/>
          </w:tblCellMar>
        </w:tblPrEx>
        <w:trPr>
          <w:trHeight w:val="312" w:hRule="atLeast"/>
        </w:trPr>
        <w:tc>
          <w:tcPr>
            <w:tcW w:w="520" w:type="pct"/>
            <w:tcBorders>
              <w:top w:val="nil"/>
              <w:left w:val="single" w:color="auto" w:sz="4" w:space="0"/>
              <w:bottom w:val="single" w:color="auto" w:sz="4" w:space="0"/>
              <w:right w:val="single" w:color="auto" w:sz="4" w:space="0"/>
            </w:tcBorders>
            <w:noWrap/>
            <w:vAlign w:val="center"/>
          </w:tcPr>
          <w:p w14:paraId="05CE1083">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7</w:t>
            </w:r>
          </w:p>
        </w:tc>
        <w:tc>
          <w:tcPr>
            <w:tcW w:w="3293" w:type="pct"/>
            <w:tcBorders>
              <w:top w:val="nil"/>
              <w:left w:val="nil"/>
              <w:bottom w:val="single" w:color="auto" w:sz="4" w:space="0"/>
              <w:right w:val="single" w:color="auto" w:sz="4" w:space="0"/>
            </w:tcBorders>
            <w:noWrap/>
            <w:vAlign w:val="center"/>
          </w:tcPr>
          <w:p w14:paraId="4D5C2E35">
            <w:pPr>
              <w:widowControl/>
              <w:jc w:val="left"/>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SFP千兆单模单纤光纤模块</w:t>
            </w:r>
          </w:p>
        </w:tc>
        <w:tc>
          <w:tcPr>
            <w:tcW w:w="467" w:type="pct"/>
            <w:tcBorders>
              <w:top w:val="nil"/>
              <w:left w:val="nil"/>
              <w:bottom w:val="single" w:color="auto" w:sz="4" w:space="0"/>
              <w:right w:val="single" w:color="auto" w:sz="4" w:space="0"/>
            </w:tcBorders>
            <w:noWrap/>
            <w:vAlign w:val="center"/>
          </w:tcPr>
          <w:p w14:paraId="64657F11">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28</w:t>
            </w:r>
          </w:p>
        </w:tc>
        <w:tc>
          <w:tcPr>
            <w:tcW w:w="719" w:type="pct"/>
            <w:tcBorders>
              <w:top w:val="nil"/>
              <w:left w:val="nil"/>
              <w:bottom w:val="single" w:color="auto" w:sz="4" w:space="0"/>
              <w:right w:val="single" w:color="auto" w:sz="4" w:space="0"/>
            </w:tcBorders>
            <w:noWrap/>
            <w:vAlign w:val="center"/>
          </w:tcPr>
          <w:p w14:paraId="24C8AAE2">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个</w:t>
            </w:r>
          </w:p>
        </w:tc>
      </w:tr>
      <w:tr w14:paraId="6272EF73">
        <w:tblPrEx>
          <w:tblCellMar>
            <w:top w:w="0" w:type="dxa"/>
            <w:left w:w="108" w:type="dxa"/>
            <w:bottom w:w="0" w:type="dxa"/>
            <w:right w:w="108" w:type="dxa"/>
          </w:tblCellMar>
        </w:tblPrEx>
        <w:trPr>
          <w:trHeight w:val="312" w:hRule="atLeast"/>
        </w:trPr>
        <w:tc>
          <w:tcPr>
            <w:tcW w:w="520" w:type="pct"/>
            <w:tcBorders>
              <w:top w:val="nil"/>
              <w:left w:val="single" w:color="auto" w:sz="4" w:space="0"/>
              <w:bottom w:val="single" w:color="auto" w:sz="4" w:space="0"/>
              <w:right w:val="single" w:color="auto" w:sz="4" w:space="0"/>
            </w:tcBorders>
            <w:noWrap/>
            <w:vAlign w:val="center"/>
          </w:tcPr>
          <w:p w14:paraId="46BF0B98">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8</w:t>
            </w:r>
          </w:p>
        </w:tc>
        <w:tc>
          <w:tcPr>
            <w:tcW w:w="3293" w:type="pct"/>
            <w:tcBorders>
              <w:top w:val="nil"/>
              <w:left w:val="nil"/>
              <w:bottom w:val="single" w:color="auto" w:sz="4" w:space="0"/>
              <w:right w:val="single" w:color="auto" w:sz="4" w:space="0"/>
            </w:tcBorders>
            <w:noWrap/>
            <w:vAlign w:val="center"/>
          </w:tcPr>
          <w:p w14:paraId="2A2CA455">
            <w:pPr>
              <w:widowControl/>
              <w:jc w:val="left"/>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熔纤</w:t>
            </w:r>
          </w:p>
        </w:tc>
        <w:tc>
          <w:tcPr>
            <w:tcW w:w="467" w:type="pct"/>
            <w:tcBorders>
              <w:top w:val="nil"/>
              <w:left w:val="nil"/>
              <w:bottom w:val="single" w:color="auto" w:sz="4" w:space="0"/>
              <w:right w:val="single" w:color="auto" w:sz="4" w:space="0"/>
            </w:tcBorders>
            <w:noWrap/>
            <w:vAlign w:val="center"/>
          </w:tcPr>
          <w:p w14:paraId="0DA909C1">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224</w:t>
            </w:r>
          </w:p>
        </w:tc>
        <w:tc>
          <w:tcPr>
            <w:tcW w:w="719" w:type="pct"/>
            <w:tcBorders>
              <w:top w:val="nil"/>
              <w:left w:val="nil"/>
              <w:bottom w:val="single" w:color="auto" w:sz="4" w:space="0"/>
              <w:right w:val="single" w:color="auto" w:sz="4" w:space="0"/>
            </w:tcBorders>
            <w:noWrap/>
            <w:vAlign w:val="center"/>
          </w:tcPr>
          <w:p w14:paraId="28E7DF6C">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条</w:t>
            </w:r>
          </w:p>
        </w:tc>
      </w:tr>
      <w:tr w14:paraId="6C54AA39">
        <w:tblPrEx>
          <w:tblCellMar>
            <w:top w:w="0" w:type="dxa"/>
            <w:left w:w="108" w:type="dxa"/>
            <w:bottom w:w="0" w:type="dxa"/>
            <w:right w:w="108" w:type="dxa"/>
          </w:tblCellMar>
        </w:tblPrEx>
        <w:trPr>
          <w:trHeight w:val="312" w:hRule="atLeast"/>
        </w:trPr>
        <w:tc>
          <w:tcPr>
            <w:tcW w:w="520" w:type="pct"/>
            <w:tcBorders>
              <w:top w:val="nil"/>
              <w:left w:val="single" w:color="auto" w:sz="4" w:space="0"/>
              <w:bottom w:val="single" w:color="auto" w:sz="4" w:space="0"/>
              <w:right w:val="single" w:color="auto" w:sz="4" w:space="0"/>
            </w:tcBorders>
            <w:noWrap/>
            <w:vAlign w:val="center"/>
          </w:tcPr>
          <w:p w14:paraId="6E58F7F9">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9</w:t>
            </w:r>
          </w:p>
        </w:tc>
        <w:tc>
          <w:tcPr>
            <w:tcW w:w="3293" w:type="pct"/>
            <w:tcBorders>
              <w:top w:val="nil"/>
              <w:left w:val="nil"/>
              <w:bottom w:val="single" w:color="auto" w:sz="4" w:space="0"/>
              <w:right w:val="single" w:color="auto" w:sz="4" w:space="0"/>
            </w:tcBorders>
            <w:noWrap/>
            <w:vAlign w:val="center"/>
          </w:tcPr>
          <w:p w14:paraId="662E0C8E">
            <w:pPr>
              <w:widowControl/>
              <w:jc w:val="left"/>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法兰盘</w:t>
            </w:r>
          </w:p>
        </w:tc>
        <w:tc>
          <w:tcPr>
            <w:tcW w:w="467" w:type="pct"/>
            <w:tcBorders>
              <w:top w:val="nil"/>
              <w:left w:val="nil"/>
              <w:bottom w:val="single" w:color="auto" w:sz="4" w:space="0"/>
              <w:right w:val="single" w:color="auto" w:sz="4" w:space="0"/>
            </w:tcBorders>
            <w:noWrap/>
            <w:vAlign w:val="center"/>
          </w:tcPr>
          <w:p w14:paraId="0FA4A298">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224</w:t>
            </w:r>
          </w:p>
        </w:tc>
        <w:tc>
          <w:tcPr>
            <w:tcW w:w="719" w:type="pct"/>
            <w:tcBorders>
              <w:top w:val="nil"/>
              <w:left w:val="nil"/>
              <w:bottom w:val="single" w:color="auto" w:sz="4" w:space="0"/>
              <w:right w:val="single" w:color="auto" w:sz="4" w:space="0"/>
            </w:tcBorders>
            <w:noWrap/>
            <w:vAlign w:val="center"/>
          </w:tcPr>
          <w:p w14:paraId="39FE5020">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个</w:t>
            </w:r>
          </w:p>
        </w:tc>
      </w:tr>
      <w:tr w14:paraId="7F022434">
        <w:tblPrEx>
          <w:tblCellMar>
            <w:top w:w="0" w:type="dxa"/>
            <w:left w:w="108" w:type="dxa"/>
            <w:bottom w:w="0" w:type="dxa"/>
            <w:right w:w="108" w:type="dxa"/>
          </w:tblCellMar>
        </w:tblPrEx>
        <w:trPr>
          <w:trHeight w:val="312" w:hRule="atLeast"/>
        </w:trPr>
        <w:tc>
          <w:tcPr>
            <w:tcW w:w="520" w:type="pct"/>
            <w:tcBorders>
              <w:top w:val="nil"/>
              <w:left w:val="single" w:color="auto" w:sz="4" w:space="0"/>
              <w:bottom w:val="single" w:color="auto" w:sz="4" w:space="0"/>
              <w:right w:val="single" w:color="auto" w:sz="4" w:space="0"/>
            </w:tcBorders>
            <w:noWrap/>
            <w:vAlign w:val="center"/>
          </w:tcPr>
          <w:p w14:paraId="07133B4E">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10</w:t>
            </w:r>
          </w:p>
        </w:tc>
        <w:tc>
          <w:tcPr>
            <w:tcW w:w="3293" w:type="pct"/>
            <w:tcBorders>
              <w:top w:val="nil"/>
              <w:left w:val="nil"/>
              <w:bottom w:val="single" w:color="auto" w:sz="4" w:space="0"/>
              <w:right w:val="single" w:color="auto" w:sz="4" w:space="0"/>
            </w:tcBorders>
            <w:noWrap/>
            <w:vAlign w:val="center"/>
          </w:tcPr>
          <w:p w14:paraId="07D6D6B6">
            <w:pPr>
              <w:widowControl/>
              <w:jc w:val="left"/>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光端盒</w:t>
            </w:r>
          </w:p>
        </w:tc>
        <w:tc>
          <w:tcPr>
            <w:tcW w:w="467" w:type="pct"/>
            <w:tcBorders>
              <w:top w:val="nil"/>
              <w:left w:val="nil"/>
              <w:bottom w:val="single" w:color="auto" w:sz="4" w:space="0"/>
              <w:right w:val="single" w:color="auto" w:sz="4" w:space="0"/>
            </w:tcBorders>
            <w:noWrap/>
            <w:vAlign w:val="center"/>
          </w:tcPr>
          <w:p w14:paraId="57F7C082">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28</w:t>
            </w:r>
          </w:p>
        </w:tc>
        <w:tc>
          <w:tcPr>
            <w:tcW w:w="719" w:type="pct"/>
            <w:tcBorders>
              <w:top w:val="nil"/>
              <w:left w:val="nil"/>
              <w:bottom w:val="single" w:color="auto" w:sz="4" w:space="0"/>
              <w:right w:val="single" w:color="auto" w:sz="4" w:space="0"/>
            </w:tcBorders>
            <w:noWrap/>
            <w:vAlign w:val="center"/>
          </w:tcPr>
          <w:p w14:paraId="56A12480">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个</w:t>
            </w:r>
          </w:p>
        </w:tc>
      </w:tr>
      <w:tr w14:paraId="0E7FD6EE">
        <w:tblPrEx>
          <w:tblCellMar>
            <w:top w:w="0" w:type="dxa"/>
            <w:left w:w="108" w:type="dxa"/>
            <w:bottom w:w="0" w:type="dxa"/>
            <w:right w:w="108" w:type="dxa"/>
          </w:tblCellMar>
        </w:tblPrEx>
        <w:trPr>
          <w:trHeight w:val="312" w:hRule="atLeast"/>
        </w:trPr>
        <w:tc>
          <w:tcPr>
            <w:tcW w:w="520" w:type="pct"/>
            <w:tcBorders>
              <w:top w:val="nil"/>
              <w:left w:val="single" w:color="auto" w:sz="4" w:space="0"/>
              <w:bottom w:val="single" w:color="auto" w:sz="4" w:space="0"/>
              <w:right w:val="single" w:color="auto" w:sz="4" w:space="0"/>
            </w:tcBorders>
            <w:noWrap/>
            <w:vAlign w:val="center"/>
          </w:tcPr>
          <w:p w14:paraId="1033D9B4">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11</w:t>
            </w:r>
          </w:p>
        </w:tc>
        <w:tc>
          <w:tcPr>
            <w:tcW w:w="3293" w:type="pct"/>
            <w:tcBorders>
              <w:top w:val="nil"/>
              <w:left w:val="nil"/>
              <w:bottom w:val="single" w:color="auto" w:sz="4" w:space="0"/>
              <w:right w:val="single" w:color="auto" w:sz="4" w:space="0"/>
            </w:tcBorders>
            <w:noWrap/>
            <w:vAlign w:val="center"/>
          </w:tcPr>
          <w:p w14:paraId="303376C7">
            <w:pPr>
              <w:widowControl/>
              <w:jc w:val="left"/>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熔纤用尾纤</w:t>
            </w:r>
          </w:p>
        </w:tc>
        <w:tc>
          <w:tcPr>
            <w:tcW w:w="467" w:type="pct"/>
            <w:tcBorders>
              <w:top w:val="nil"/>
              <w:left w:val="nil"/>
              <w:bottom w:val="single" w:color="auto" w:sz="4" w:space="0"/>
              <w:right w:val="single" w:color="auto" w:sz="4" w:space="0"/>
            </w:tcBorders>
            <w:noWrap/>
            <w:vAlign w:val="center"/>
          </w:tcPr>
          <w:p w14:paraId="41608676">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112</w:t>
            </w:r>
          </w:p>
        </w:tc>
        <w:tc>
          <w:tcPr>
            <w:tcW w:w="719" w:type="pct"/>
            <w:tcBorders>
              <w:top w:val="nil"/>
              <w:left w:val="nil"/>
              <w:bottom w:val="single" w:color="auto" w:sz="4" w:space="0"/>
              <w:right w:val="single" w:color="auto" w:sz="4" w:space="0"/>
            </w:tcBorders>
            <w:noWrap/>
            <w:vAlign w:val="center"/>
          </w:tcPr>
          <w:p w14:paraId="2F13325D">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个</w:t>
            </w:r>
          </w:p>
        </w:tc>
      </w:tr>
      <w:tr w14:paraId="267BE6F7">
        <w:tblPrEx>
          <w:tblCellMar>
            <w:top w:w="0" w:type="dxa"/>
            <w:left w:w="108" w:type="dxa"/>
            <w:bottom w:w="0" w:type="dxa"/>
            <w:right w:w="108" w:type="dxa"/>
          </w:tblCellMar>
        </w:tblPrEx>
        <w:trPr>
          <w:trHeight w:val="312" w:hRule="atLeast"/>
        </w:trPr>
        <w:tc>
          <w:tcPr>
            <w:tcW w:w="520" w:type="pct"/>
            <w:tcBorders>
              <w:top w:val="nil"/>
              <w:left w:val="single" w:color="auto" w:sz="4" w:space="0"/>
              <w:bottom w:val="single" w:color="auto" w:sz="4" w:space="0"/>
              <w:right w:val="single" w:color="auto" w:sz="4" w:space="0"/>
            </w:tcBorders>
            <w:noWrap/>
            <w:vAlign w:val="center"/>
          </w:tcPr>
          <w:p w14:paraId="59652454">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12</w:t>
            </w:r>
          </w:p>
        </w:tc>
        <w:tc>
          <w:tcPr>
            <w:tcW w:w="3293" w:type="pct"/>
            <w:tcBorders>
              <w:top w:val="nil"/>
              <w:left w:val="nil"/>
              <w:bottom w:val="single" w:color="auto" w:sz="4" w:space="0"/>
              <w:right w:val="single" w:color="auto" w:sz="4" w:space="0"/>
            </w:tcBorders>
            <w:noWrap/>
            <w:vAlign w:val="center"/>
          </w:tcPr>
          <w:p w14:paraId="182F8961">
            <w:pPr>
              <w:widowControl/>
              <w:jc w:val="left"/>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连接设备用尾纤</w:t>
            </w:r>
          </w:p>
        </w:tc>
        <w:tc>
          <w:tcPr>
            <w:tcW w:w="467" w:type="pct"/>
            <w:tcBorders>
              <w:top w:val="nil"/>
              <w:left w:val="nil"/>
              <w:bottom w:val="single" w:color="auto" w:sz="4" w:space="0"/>
              <w:right w:val="single" w:color="auto" w:sz="4" w:space="0"/>
            </w:tcBorders>
            <w:noWrap/>
            <w:vAlign w:val="center"/>
          </w:tcPr>
          <w:p w14:paraId="72B60010">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56</w:t>
            </w:r>
          </w:p>
        </w:tc>
        <w:tc>
          <w:tcPr>
            <w:tcW w:w="719" w:type="pct"/>
            <w:tcBorders>
              <w:top w:val="nil"/>
              <w:left w:val="nil"/>
              <w:bottom w:val="single" w:color="auto" w:sz="4" w:space="0"/>
              <w:right w:val="single" w:color="auto" w:sz="4" w:space="0"/>
            </w:tcBorders>
            <w:noWrap/>
            <w:vAlign w:val="center"/>
          </w:tcPr>
          <w:p w14:paraId="4B2D5DFF">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个</w:t>
            </w:r>
          </w:p>
        </w:tc>
      </w:tr>
      <w:tr w14:paraId="12D35801">
        <w:tblPrEx>
          <w:tblCellMar>
            <w:top w:w="0" w:type="dxa"/>
            <w:left w:w="108" w:type="dxa"/>
            <w:bottom w:w="0" w:type="dxa"/>
            <w:right w:w="108" w:type="dxa"/>
          </w:tblCellMar>
        </w:tblPrEx>
        <w:trPr>
          <w:trHeight w:val="312" w:hRule="atLeast"/>
        </w:trPr>
        <w:tc>
          <w:tcPr>
            <w:tcW w:w="520" w:type="pct"/>
            <w:tcBorders>
              <w:top w:val="nil"/>
              <w:left w:val="single" w:color="auto" w:sz="4" w:space="0"/>
              <w:bottom w:val="single" w:color="auto" w:sz="4" w:space="0"/>
              <w:right w:val="single" w:color="auto" w:sz="4" w:space="0"/>
            </w:tcBorders>
            <w:noWrap/>
            <w:vAlign w:val="center"/>
          </w:tcPr>
          <w:p w14:paraId="7A5857B6">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13</w:t>
            </w:r>
          </w:p>
        </w:tc>
        <w:tc>
          <w:tcPr>
            <w:tcW w:w="3293" w:type="pct"/>
            <w:tcBorders>
              <w:top w:val="nil"/>
              <w:left w:val="nil"/>
              <w:bottom w:val="single" w:color="auto" w:sz="4" w:space="0"/>
              <w:right w:val="single" w:color="auto" w:sz="4" w:space="0"/>
            </w:tcBorders>
            <w:noWrap/>
            <w:vAlign w:val="center"/>
          </w:tcPr>
          <w:p w14:paraId="2A29D3FC">
            <w:pPr>
              <w:widowControl/>
              <w:jc w:val="left"/>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9U机柜</w:t>
            </w:r>
          </w:p>
        </w:tc>
        <w:tc>
          <w:tcPr>
            <w:tcW w:w="467" w:type="pct"/>
            <w:tcBorders>
              <w:top w:val="nil"/>
              <w:left w:val="nil"/>
              <w:bottom w:val="single" w:color="auto" w:sz="4" w:space="0"/>
              <w:right w:val="single" w:color="auto" w:sz="4" w:space="0"/>
            </w:tcBorders>
            <w:noWrap/>
            <w:vAlign w:val="center"/>
          </w:tcPr>
          <w:p w14:paraId="21B62F8F">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14</w:t>
            </w:r>
          </w:p>
        </w:tc>
        <w:tc>
          <w:tcPr>
            <w:tcW w:w="719" w:type="pct"/>
            <w:tcBorders>
              <w:top w:val="nil"/>
              <w:left w:val="nil"/>
              <w:bottom w:val="single" w:color="auto" w:sz="4" w:space="0"/>
              <w:right w:val="single" w:color="auto" w:sz="4" w:space="0"/>
            </w:tcBorders>
            <w:noWrap/>
            <w:vAlign w:val="center"/>
          </w:tcPr>
          <w:p w14:paraId="654B3F96">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台</w:t>
            </w:r>
          </w:p>
        </w:tc>
      </w:tr>
      <w:tr w14:paraId="66788DFA">
        <w:tblPrEx>
          <w:tblCellMar>
            <w:top w:w="0" w:type="dxa"/>
            <w:left w:w="108" w:type="dxa"/>
            <w:bottom w:w="0" w:type="dxa"/>
            <w:right w:w="108" w:type="dxa"/>
          </w:tblCellMar>
        </w:tblPrEx>
        <w:trPr>
          <w:trHeight w:val="312" w:hRule="atLeast"/>
        </w:trPr>
        <w:tc>
          <w:tcPr>
            <w:tcW w:w="520" w:type="pct"/>
            <w:tcBorders>
              <w:top w:val="nil"/>
              <w:left w:val="single" w:color="auto" w:sz="4" w:space="0"/>
              <w:bottom w:val="single" w:color="auto" w:sz="4" w:space="0"/>
              <w:right w:val="single" w:color="auto" w:sz="4" w:space="0"/>
            </w:tcBorders>
            <w:noWrap/>
            <w:vAlign w:val="center"/>
          </w:tcPr>
          <w:p w14:paraId="50E3D12A">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14</w:t>
            </w:r>
          </w:p>
        </w:tc>
        <w:tc>
          <w:tcPr>
            <w:tcW w:w="3293" w:type="pct"/>
            <w:tcBorders>
              <w:top w:val="nil"/>
              <w:left w:val="nil"/>
              <w:bottom w:val="single" w:color="auto" w:sz="4" w:space="0"/>
              <w:right w:val="single" w:color="auto" w:sz="4" w:space="0"/>
            </w:tcBorders>
            <w:noWrap/>
            <w:vAlign w:val="center"/>
          </w:tcPr>
          <w:p w14:paraId="4EDC17F1">
            <w:pPr>
              <w:widowControl/>
              <w:jc w:val="left"/>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42U机柜</w:t>
            </w:r>
          </w:p>
        </w:tc>
        <w:tc>
          <w:tcPr>
            <w:tcW w:w="467" w:type="pct"/>
            <w:tcBorders>
              <w:top w:val="nil"/>
              <w:left w:val="nil"/>
              <w:bottom w:val="single" w:color="auto" w:sz="4" w:space="0"/>
              <w:right w:val="single" w:color="auto" w:sz="4" w:space="0"/>
            </w:tcBorders>
            <w:noWrap/>
            <w:vAlign w:val="center"/>
          </w:tcPr>
          <w:p w14:paraId="6C8F50AA">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1</w:t>
            </w:r>
          </w:p>
        </w:tc>
        <w:tc>
          <w:tcPr>
            <w:tcW w:w="719" w:type="pct"/>
            <w:tcBorders>
              <w:top w:val="nil"/>
              <w:left w:val="nil"/>
              <w:bottom w:val="single" w:color="auto" w:sz="4" w:space="0"/>
              <w:right w:val="single" w:color="auto" w:sz="4" w:space="0"/>
            </w:tcBorders>
            <w:noWrap/>
            <w:vAlign w:val="center"/>
          </w:tcPr>
          <w:p w14:paraId="51167AF9">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条</w:t>
            </w:r>
          </w:p>
        </w:tc>
      </w:tr>
      <w:tr w14:paraId="3C1C8549">
        <w:tblPrEx>
          <w:tblCellMar>
            <w:top w:w="0" w:type="dxa"/>
            <w:left w:w="108" w:type="dxa"/>
            <w:bottom w:w="0" w:type="dxa"/>
            <w:right w:w="108" w:type="dxa"/>
          </w:tblCellMar>
        </w:tblPrEx>
        <w:trPr>
          <w:trHeight w:val="312" w:hRule="atLeast"/>
        </w:trPr>
        <w:tc>
          <w:tcPr>
            <w:tcW w:w="520" w:type="pct"/>
            <w:tcBorders>
              <w:top w:val="nil"/>
              <w:left w:val="single" w:color="auto" w:sz="4" w:space="0"/>
              <w:bottom w:val="single" w:color="auto" w:sz="4" w:space="0"/>
              <w:right w:val="single" w:color="auto" w:sz="4" w:space="0"/>
            </w:tcBorders>
            <w:noWrap/>
            <w:vAlign w:val="center"/>
          </w:tcPr>
          <w:p w14:paraId="39EBA2C3">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15</w:t>
            </w:r>
          </w:p>
        </w:tc>
        <w:tc>
          <w:tcPr>
            <w:tcW w:w="3293" w:type="pct"/>
            <w:tcBorders>
              <w:top w:val="nil"/>
              <w:left w:val="nil"/>
              <w:bottom w:val="single" w:color="auto" w:sz="4" w:space="0"/>
              <w:right w:val="single" w:color="auto" w:sz="4" w:space="0"/>
            </w:tcBorders>
            <w:noWrap/>
            <w:vAlign w:val="center"/>
          </w:tcPr>
          <w:p w14:paraId="1FCFDEBF">
            <w:pPr>
              <w:widowControl/>
              <w:jc w:val="left"/>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插排</w:t>
            </w:r>
          </w:p>
        </w:tc>
        <w:tc>
          <w:tcPr>
            <w:tcW w:w="467" w:type="pct"/>
            <w:tcBorders>
              <w:top w:val="nil"/>
              <w:left w:val="nil"/>
              <w:bottom w:val="single" w:color="auto" w:sz="4" w:space="0"/>
              <w:right w:val="single" w:color="auto" w:sz="4" w:space="0"/>
            </w:tcBorders>
            <w:noWrap/>
            <w:vAlign w:val="center"/>
          </w:tcPr>
          <w:p w14:paraId="04A0F8F1">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15</w:t>
            </w:r>
          </w:p>
        </w:tc>
        <w:tc>
          <w:tcPr>
            <w:tcW w:w="719" w:type="pct"/>
            <w:tcBorders>
              <w:top w:val="nil"/>
              <w:left w:val="nil"/>
              <w:bottom w:val="single" w:color="auto" w:sz="4" w:space="0"/>
              <w:right w:val="single" w:color="auto" w:sz="4" w:space="0"/>
            </w:tcBorders>
            <w:noWrap/>
            <w:vAlign w:val="center"/>
          </w:tcPr>
          <w:p w14:paraId="2E7AE7D4">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个</w:t>
            </w:r>
          </w:p>
        </w:tc>
      </w:tr>
      <w:tr w14:paraId="06835755">
        <w:tblPrEx>
          <w:tblCellMar>
            <w:top w:w="0" w:type="dxa"/>
            <w:left w:w="108" w:type="dxa"/>
            <w:bottom w:w="0" w:type="dxa"/>
            <w:right w:w="108" w:type="dxa"/>
          </w:tblCellMar>
        </w:tblPrEx>
        <w:trPr>
          <w:trHeight w:val="312" w:hRule="atLeast"/>
        </w:trPr>
        <w:tc>
          <w:tcPr>
            <w:tcW w:w="520" w:type="pct"/>
            <w:tcBorders>
              <w:top w:val="nil"/>
              <w:left w:val="single" w:color="auto" w:sz="4" w:space="0"/>
              <w:bottom w:val="single" w:color="auto" w:sz="4" w:space="0"/>
              <w:right w:val="single" w:color="auto" w:sz="4" w:space="0"/>
            </w:tcBorders>
            <w:noWrap/>
            <w:vAlign w:val="center"/>
          </w:tcPr>
          <w:p w14:paraId="2D32101F">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16</w:t>
            </w:r>
          </w:p>
        </w:tc>
        <w:tc>
          <w:tcPr>
            <w:tcW w:w="3293" w:type="pct"/>
            <w:tcBorders>
              <w:top w:val="nil"/>
              <w:left w:val="nil"/>
              <w:bottom w:val="single" w:color="auto" w:sz="4" w:space="0"/>
              <w:right w:val="single" w:color="auto" w:sz="4" w:space="0"/>
            </w:tcBorders>
            <w:noWrap/>
            <w:vAlign w:val="center"/>
          </w:tcPr>
          <w:p w14:paraId="74A13D7D">
            <w:pPr>
              <w:widowControl/>
              <w:jc w:val="left"/>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2*1.5电源线</w:t>
            </w:r>
          </w:p>
        </w:tc>
        <w:tc>
          <w:tcPr>
            <w:tcW w:w="467" w:type="pct"/>
            <w:tcBorders>
              <w:top w:val="nil"/>
              <w:left w:val="nil"/>
              <w:bottom w:val="single" w:color="auto" w:sz="4" w:space="0"/>
              <w:right w:val="single" w:color="auto" w:sz="4" w:space="0"/>
            </w:tcBorders>
            <w:noWrap/>
            <w:vAlign w:val="center"/>
          </w:tcPr>
          <w:p w14:paraId="68C0E882">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2100</w:t>
            </w:r>
          </w:p>
        </w:tc>
        <w:tc>
          <w:tcPr>
            <w:tcW w:w="719" w:type="pct"/>
            <w:tcBorders>
              <w:top w:val="nil"/>
              <w:left w:val="nil"/>
              <w:bottom w:val="single" w:color="auto" w:sz="4" w:space="0"/>
              <w:right w:val="single" w:color="auto" w:sz="4" w:space="0"/>
            </w:tcBorders>
            <w:noWrap/>
            <w:vAlign w:val="center"/>
          </w:tcPr>
          <w:p w14:paraId="4BA4A60E">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米</w:t>
            </w:r>
          </w:p>
        </w:tc>
      </w:tr>
      <w:tr w14:paraId="26134198">
        <w:tblPrEx>
          <w:tblCellMar>
            <w:top w:w="0" w:type="dxa"/>
            <w:left w:w="108" w:type="dxa"/>
            <w:bottom w:w="0" w:type="dxa"/>
            <w:right w:w="108" w:type="dxa"/>
          </w:tblCellMar>
        </w:tblPrEx>
        <w:trPr>
          <w:trHeight w:val="312" w:hRule="atLeast"/>
        </w:trPr>
        <w:tc>
          <w:tcPr>
            <w:tcW w:w="520" w:type="pct"/>
            <w:tcBorders>
              <w:top w:val="nil"/>
              <w:left w:val="single" w:color="auto" w:sz="4" w:space="0"/>
              <w:bottom w:val="single" w:color="auto" w:sz="4" w:space="0"/>
              <w:right w:val="single" w:color="auto" w:sz="4" w:space="0"/>
            </w:tcBorders>
            <w:noWrap/>
            <w:vAlign w:val="center"/>
          </w:tcPr>
          <w:p w14:paraId="77BA0F19">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17</w:t>
            </w:r>
          </w:p>
        </w:tc>
        <w:tc>
          <w:tcPr>
            <w:tcW w:w="3293" w:type="pct"/>
            <w:tcBorders>
              <w:top w:val="nil"/>
              <w:left w:val="nil"/>
              <w:bottom w:val="single" w:color="auto" w:sz="4" w:space="0"/>
              <w:right w:val="single" w:color="auto" w:sz="4" w:space="0"/>
            </w:tcBorders>
            <w:noWrap/>
            <w:vAlign w:val="center"/>
          </w:tcPr>
          <w:p w14:paraId="37E22D44">
            <w:pPr>
              <w:widowControl/>
              <w:jc w:val="left"/>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8芯光缆</w:t>
            </w:r>
          </w:p>
        </w:tc>
        <w:tc>
          <w:tcPr>
            <w:tcW w:w="467" w:type="pct"/>
            <w:tcBorders>
              <w:top w:val="nil"/>
              <w:left w:val="nil"/>
              <w:bottom w:val="single" w:color="auto" w:sz="4" w:space="0"/>
              <w:right w:val="single" w:color="auto" w:sz="4" w:space="0"/>
            </w:tcBorders>
            <w:noWrap/>
            <w:vAlign w:val="center"/>
          </w:tcPr>
          <w:p w14:paraId="7AEF54DA">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2100</w:t>
            </w:r>
          </w:p>
        </w:tc>
        <w:tc>
          <w:tcPr>
            <w:tcW w:w="719" w:type="pct"/>
            <w:tcBorders>
              <w:top w:val="nil"/>
              <w:left w:val="nil"/>
              <w:bottom w:val="single" w:color="auto" w:sz="4" w:space="0"/>
              <w:right w:val="single" w:color="auto" w:sz="4" w:space="0"/>
            </w:tcBorders>
            <w:noWrap/>
            <w:vAlign w:val="center"/>
          </w:tcPr>
          <w:p w14:paraId="4A973684">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米</w:t>
            </w:r>
          </w:p>
        </w:tc>
      </w:tr>
      <w:tr w14:paraId="70975DB1">
        <w:tblPrEx>
          <w:tblCellMar>
            <w:top w:w="0" w:type="dxa"/>
            <w:left w:w="108" w:type="dxa"/>
            <w:bottom w:w="0" w:type="dxa"/>
            <w:right w:w="108" w:type="dxa"/>
          </w:tblCellMar>
        </w:tblPrEx>
        <w:trPr>
          <w:trHeight w:val="312" w:hRule="atLeast"/>
        </w:trPr>
        <w:tc>
          <w:tcPr>
            <w:tcW w:w="520" w:type="pct"/>
            <w:tcBorders>
              <w:top w:val="nil"/>
              <w:left w:val="single" w:color="auto" w:sz="4" w:space="0"/>
              <w:bottom w:val="single" w:color="auto" w:sz="4" w:space="0"/>
              <w:right w:val="single" w:color="auto" w:sz="4" w:space="0"/>
            </w:tcBorders>
            <w:noWrap/>
            <w:vAlign w:val="center"/>
          </w:tcPr>
          <w:p w14:paraId="4BC81D50">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18</w:t>
            </w:r>
          </w:p>
        </w:tc>
        <w:tc>
          <w:tcPr>
            <w:tcW w:w="3293" w:type="pct"/>
            <w:tcBorders>
              <w:top w:val="nil"/>
              <w:left w:val="nil"/>
              <w:bottom w:val="single" w:color="auto" w:sz="4" w:space="0"/>
              <w:right w:val="single" w:color="auto" w:sz="4" w:space="0"/>
            </w:tcBorders>
            <w:noWrap/>
            <w:vAlign w:val="center"/>
          </w:tcPr>
          <w:p w14:paraId="57196FA3">
            <w:pPr>
              <w:widowControl/>
              <w:jc w:val="left"/>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6类网线</w:t>
            </w:r>
          </w:p>
        </w:tc>
        <w:tc>
          <w:tcPr>
            <w:tcW w:w="467" w:type="pct"/>
            <w:tcBorders>
              <w:top w:val="nil"/>
              <w:left w:val="nil"/>
              <w:bottom w:val="single" w:color="auto" w:sz="4" w:space="0"/>
              <w:right w:val="single" w:color="auto" w:sz="4" w:space="0"/>
            </w:tcBorders>
            <w:noWrap/>
            <w:vAlign w:val="center"/>
          </w:tcPr>
          <w:p w14:paraId="05DC976F">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49</w:t>
            </w:r>
          </w:p>
        </w:tc>
        <w:tc>
          <w:tcPr>
            <w:tcW w:w="719" w:type="pct"/>
            <w:tcBorders>
              <w:top w:val="nil"/>
              <w:left w:val="nil"/>
              <w:bottom w:val="single" w:color="auto" w:sz="4" w:space="0"/>
              <w:right w:val="single" w:color="auto" w:sz="4" w:space="0"/>
            </w:tcBorders>
            <w:noWrap/>
            <w:vAlign w:val="center"/>
          </w:tcPr>
          <w:p w14:paraId="7AAA4148">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箱</w:t>
            </w:r>
          </w:p>
        </w:tc>
      </w:tr>
      <w:tr w14:paraId="6942E713">
        <w:tblPrEx>
          <w:tblCellMar>
            <w:top w:w="0" w:type="dxa"/>
            <w:left w:w="108" w:type="dxa"/>
            <w:bottom w:w="0" w:type="dxa"/>
            <w:right w:w="108" w:type="dxa"/>
          </w:tblCellMar>
        </w:tblPrEx>
        <w:trPr>
          <w:trHeight w:val="312" w:hRule="atLeast"/>
        </w:trPr>
        <w:tc>
          <w:tcPr>
            <w:tcW w:w="520" w:type="pct"/>
            <w:tcBorders>
              <w:top w:val="nil"/>
              <w:left w:val="single" w:color="auto" w:sz="4" w:space="0"/>
              <w:bottom w:val="single" w:color="auto" w:sz="4" w:space="0"/>
              <w:right w:val="single" w:color="auto" w:sz="4" w:space="0"/>
            </w:tcBorders>
            <w:noWrap/>
            <w:vAlign w:val="center"/>
          </w:tcPr>
          <w:p w14:paraId="79F236EC">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19</w:t>
            </w:r>
          </w:p>
        </w:tc>
        <w:tc>
          <w:tcPr>
            <w:tcW w:w="3293" w:type="pct"/>
            <w:tcBorders>
              <w:top w:val="nil"/>
              <w:left w:val="nil"/>
              <w:bottom w:val="single" w:color="auto" w:sz="4" w:space="0"/>
              <w:right w:val="single" w:color="auto" w:sz="4" w:space="0"/>
            </w:tcBorders>
            <w:noWrap/>
            <w:vAlign w:val="center"/>
          </w:tcPr>
          <w:p w14:paraId="5C320407">
            <w:pPr>
              <w:widowControl/>
              <w:jc w:val="left"/>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国产化服务器-32G内存</w:t>
            </w:r>
          </w:p>
        </w:tc>
        <w:tc>
          <w:tcPr>
            <w:tcW w:w="467" w:type="pct"/>
            <w:tcBorders>
              <w:top w:val="nil"/>
              <w:left w:val="nil"/>
              <w:bottom w:val="single" w:color="auto" w:sz="4" w:space="0"/>
              <w:right w:val="single" w:color="auto" w:sz="4" w:space="0"/>
            </w:tcBorders>
            <w:noWrap/>
            <w:vAlign w:val="center"/>
          </w:tcPr>
          <w:p w14:paraId="05D169F9">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1</w:t>
            </w:r>
          </w:p>
        </w:tc>
        <w:tc>
          <w:tcPr>
            <w:tcW w:w="719" w:type="pct"/>
            <w:tcBorders>
              <w:top w:val="nil"/>
              <w:left w:val="nil"/>
              <w:bottom w:val="single" w:color="auto" w:sz="4" w:space="0"/>
              <w:right w:val="single" w:color="auto" w:sz="4" w:space="0"/>
            </w:tcBorders>
            <w:noWrap/>
            <w:vAlign w:val="center"/>
          </w:tcPr>
          <w:p w14:paraId="4DDB1860">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台</w:t>
            </w:r>
          </w:p>
        </w:tc>
      </w:tr>
      <w:tr w14:paraId="4EBD5573">
        <w:tblPrEx>
          <w:tblCellMar>
            <w:top w:w="0" w:type="dxa"/>
            <w:left w:w="108" w:type="dxa"/>
            <w:bottom w:w="0" w:type="dxa"/>
            <w:right w:w="108" w:type="dxa"/>
          </w:tblCellMar>
        </w:tblPrEx>
        <w:trPr>
          <w:trHeight w:val="312" w:hRule="atLeast"/>
        </w:trPr>
        <w:tc>
          <w:tcPr>
            <w:tcW w:w="520" w:type="pct"/>
            <w:tcBorders>
              <w:top w:val="nil"/>
              <w:left w:val="single" w:color="auto" w:sz="4" w:space="0"/>
              <w:bottom w:val="single" w:color="auto" w:sz="4" w:space="0"/>
              <w:right w:val="single" w:color="auto" w:sz="4" w:space="0"/>
            </w:tcBorders>
            <w:noWrap/>
            <w:vAlign w:val="center"/>
          </w:tcPr>
          <w:p w14:paraId="46A7B9B1">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20</w:t>
            </w:r>
          </w:p>
        </w:tc>
        <w:tc>
          <w:tcPr>
            <w:tcW w:w="3293" w:type="pct"/>
            <w:tcBorders>
              <w:top w:val="nil"/>
              <w:left w:val="nil"/>
              <w:bottom w:val="single" w:color="auto" w:sz="4" w:space="0"/>
              <w:right w:val="single" w:color="auto" w:sz="4" w:space="0"/>
            </w:tcBorders>
            <w:noWrap/>
            <w:vAlign w:val="center"/>
          </w:tcPr>
          <w:p w14:paraId="2B8B8375">
            <w:pPr>
              <w:widowControl/>
              <w:jc w:val="left"/>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国产化服务器-4GE网口</w:t>
            </w:r>
          </w:p>
        </w:tc>
        <w:tc>
          <w:tcPr>
            <w:tcW w:w="467" w:type="pct"/>
            <w:tcBorders>
              <w:top w:val="nil"/>
              <w:left w:val="nil"/>
              <w:bottom w:val="single" w:color="auto" w:sz="4" w:space="0"/>
              <w:right w:val="single" w:color="auto" w:sz="4" w:space="0"/>
            </w:tcBorders>
            <w:noWrap/>
            <w:vAlign w:val="center"/>
          </w:tcPr>
          <w:p w14:paraId="223EF646">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2</w:t>
            </w:r>
          </w:p>
        </w:tc>
        <w:tc>
          <w:tcPr>
            <w:tcW w:w="719" w:type="pct"/>
            <w:tcBorders>
              <w:top w:val="nil"/>
              <w:left w:val="nil"/>
              <w:bottom w:val="single" w:color="auto" w:sz="4" w:space="0"/>
              <w:right w:val="single" w:color="auto" w:sz="4" w:space="0"/>
            </w:tcBorders>
            <w:noWrap/>
            <w:vAlign w:val="center"/>
          </w:tcPr>
          <w:p w14:paraId="647A9BF1">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台</w:t>
            </w:r>
          </w:p>
        </w:tc>
      </w:tr>
      <w:tr w14:paraId="38688C06">
        <w:tblPrEx>
          <w:tblCellMar>
            <w:top w:w="0" w:type="dxa"/>
            <w:left w:w="108" w:type="dxa"/>
            <w:bottom w:w="0" w:type="dxa"/>
            <w:right w:w="108" w:type="dxa"/>
          </w:tblCellMar>
        </w:tblPrEx>
        <w:trPr>
          <w:trHeight w:val="312" w:hRule="atLeast"/>
        </w:trPr>
        <w:tc>
          <w:tcPr>
            <w:tcW w:w="520" w:type="pct"/>
            <w:tcBorders>
              <w:top w:val="nil"/>
              <w:left w:val="single" w:color="auto" w:sz="4" w:space="0"/>
              <w:bottom w:val="single" w:color="auto" w:sz="4" w:space="0"/>
              <w:right w:val="single" w:color="auto" w:sz="4" w:space="0"/>
            </w:tcBorders>
            <w:noWrap/>
            <w:vAlign w:val="center"/>
          </w:tcPr>
          <w:p w14:paraId="790570F2">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21</w:t>
            </w:r>
          </w:p>
        </w:tc>
        <w:tc>
          <w:tcPr>
            <w:tcW w:w="3293" w:type="pct"/>
            <w:tcBorders>
              <w:top w:val="nil"/>
              <w:left w:val="nil"/>
              <w:bottom w:val="single" w:color="auto" w:sz="4" w:space="0"/>
              <w:right w:val="single" w:color="auto" w:sz="4" w:space="0"/>
            </w:tcBorders>
            <w:noWrap/>
            <w:vAlign w:val="center"/>
          </w:tcPr>
          <w:p w14:paraId="60CAE55B">
            <w:pPr>
              <w:widowControl/>
              <w:jc w:val="left"/>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智能管理服务器</w:t>
            </w:r>
          </w:p>
        </w:tc>
        <w:tc>
          <w:tcPr>
            <w:tcW w:w="467" w:type="pct"/>
            <w:tcBorders>
              <w:top w:val="nil"/>
              <w:left w:val="nil"/>
              <w:bottom w:val="single" w:color="auto" w:sz="4" w:space="0"/>
              <w:right w:val="single" w:color="auto" w:sz="4" w:space="0"/>
            </w:tcBorders>
            <w:noWrap/>
            <w:vAlign w:val="center"/>
          </w:tcPr>
          <w:p w14:paraId="62CDAE32">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2</w:t>
            </w:r>
          </w:p>
        </w:tc>
        <w:tc>
          <w:tcPr>
            <w:tcW w:w="719" w:type="pct"/>
            <w:tcBorders>
              <w:top w:val="nil"/>
              <w:left w:val="nil"/>
              <w:bottom w:val="single" w:color="auto" w:sz="4" w:space="0"/>
              <w:right w:val="single" w:color="auto" w:sz="4" w:space="0"/>
            </w:tcBorders>
            <w:noWrap/>
            <w:vAlign w:val="center"/>
          </w:tcPr>
          <w:p w14:paraId="07A0A1B7">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台</w:t>
            </w:r>
          </w:p>
        </w:tc>
      </w:tr>
      <w:tr w14:paraId="62B81EF7">
        <w:tblPrEx>
          <w:tblCellMar>
            <w:top w:w="0" w:type="dxa"/>
            <w:left w:w="108" w:type="dxa"/>
            <w:bottom w:w="0" w:type="dxa"/>
            <w:right w:w="108" w:type="dxa"/>
          </w:tblCellMar>
        </w:tblPrEx>
        <w:trPr>
          <w:trHeight w:val="312" w:hRule="atLeast"/>
        </w:trPr>
        <w:tc>
          <w:tcPr>
            <w:tcW w:w="520" w:type="pct"/>
            <w:tcBorders>
              <w:top w:val="nil"/>
              <w:left w:val="single" w:color="auto" w:sz="4" w:space="0"/>
              <w:bottom w:val="single" w:color="auto" w:sz="4" w:space="0"/>
              <w:right w:val="single" w:color="auto" w:sz="4" w:space="0"/>
            </w:tcBorders>
            <w:noWrap/>
            <w:vAlign w:val="center"/>
          </w:tcPr>
          <w:p w14:paraId="1DD091E8">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22</w:t>
            </w:r>
          </w:p>
        </w:tc>
        <w:tc>
          <w:tcPr>
            <w:tcW w:w="3293" w:type="pct"/>
            <w:tcBorders>
              <w:top w:val="nil"/>
              <w:left w:val="nil"/>
              <w:bottom w:val="single" w:color="auto" w:sz="4" w:space="0"/>
              <w:right w:val="single" w:color="auto" w:sz="4" w:space="0"/>
            </w:tcBorders>
            <w:noWrap/>
            <w:vAlign w:val="center"/>
          </w:tcPr>
          <w:p w14:paraId="657A2EF2">
            <w:pPr>
              <w:widowControl/>
              <w:jc w:val="left"/>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智能诊断服务器</w:t>
            </w:r>
          </w:p>
        </w:tc>
        <w:tc>
          <w:tcPr>
            <w:tcW w:w="467" w:type="pct"/>
            <w:tcBorders>
              <w:top w:val="nil"/>
              <w:left w:val="nil"/>
              <w:bottom w:val="single" w:color="auto" w:sz="4" w:space="0"/>
              <w:right w:val="single" w:color="auto" w:sz="4" w:space="0"/>
            </w:tcBorders>
            <w:noWrap/>
            <w:vAlign w:val="center"/>
          </w:tcPr>
          <w:p w14:paraId="1B67E690">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2</w:t>
            </w:r>
          </w:p>
        </w:tc>
        <w:tc>
          <w:tcPr>
            <w:tcW w:w="719" w:type="pct"/>
            <w:tcBorders>
              <w:top w:val="nil"/>
              <w:left w:val="nil"/>
              <w:bottom w:val="single" w:color="auto" w:sz="4" w:space="0"/>
              <w:right w:val="single" w:color="auto" w:sz="4" w:space="0"/>
            </w:tcBorders>
            <w:noWrap/>
            <w:vAlign w:val="center"/>
          </w:tcPr>
          <w:p w14:paraId="7C04E452">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台</w:t>
            </w:r>
          </w:p>
        </w:tc>
      </w:tr>
      <w:tr w14:paraId="05ABA6F1">
        <w:tblPrEx>
          <w:tblCellMar>
            <w:top w:w="0" w:type="dxa"/>
            <w:left w:w="108" w:type="dxa"/>
            <w:bottom w:w="0" w:type="dxa"/>
            <w:right w:w="108" w:type="dxa"/>
          </w:tblCellMar>
        </w:tblPrEx>
        <w:trPr>
          <w:trHeight w:val="312" w:hRule="atLeast"/>
        </w:trPr>
        <w:tc>
          <w:tcPr>
            <w:tcW w:w="520" w:type="pct"/>
            <w:tcBorders>
              <w:top w:val="nil"/>
              <w:left w:val="single" w:color="auto" w:sz="4" w:space="0"/>
              <w:bottom w:val="single" w:color="auto" w:sz="4" w:space="0"/>
              <w:right w:val="single" w:color="auto" w:sz="4" w:space="0"/>
            </w:tcBorders>
            <w:noWrap/>
            <w:vAlign w:val="center"/>
          </w:tcPr>
          <w:p w14:paraId="4C88C943">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23</w:t>
            </w:r>
          </w:p>
        </w:tc>
        <w:tc>
          <w:tcPr>
            <w:tcW w:w="3293" w:type="pct"/>
            <w:tcBorders>
              <w:top w:val="nil"/>
              <w:left w:val="nil"/>
              <w:bottom w:val="single" w:color="auto" w:sz="4" w:space="0"/>
              <w:right w:val="single" w:color="auto" w:sz="4" w:space="0"/>
            </w:tcBorders>
            <w:noWrap/>
            <w:vAlign w:val="center"/>
          </w:tcPr>
          <w:p w14:paraId="369DFFE2">
            <w:pPr>
              <w:widowControl/>
              <w:jc w:val="left"/>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多维数据服务器</w:t>
            </w:r>
          </w:p>
        </w:tc>
        <w:tc>
          <w:tcPr>
            <w:tcW w:w="467" w:type="pct"/>
            <w:tcBorders>
              <w:top w:val="nil"/>
              <w:left w:val="nil"/>
              <w:bottom w:val="single" w:color="auto" w:sz="4" w:space="0"/>
              <w:right w:val="single" w:color="auto" w:sz="4" w:space="0"/>
            </w:tcBorders>
            <w:noWrap/>
            <w:vAlign w:val="center"/>
          </w:tcPr>
          <w:p w14:paraId="666E5432">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2</w:t>
            </w:r>
          </w:p>
        </w:tc>
        <w:tc>
          <w:tcPr>
            <w:tcW w:w="719" w:type="pct"/>
            <w:tcBorders>
              <w:top w:val="nil"/>
              <w:left w:val="nil"/>
              <w:bottom w:val="single" w:color="auto" w:sz="4" w:space="0"/>
              <w:right w:val="single" w:color="auto" w:sz="4" w:space="0"/>
            </w:tcBorders>
            <w:noWrap/>
            <w:vAlign w:val="center"/>
          </w:tcPr>
          <w:p w14:paraId="31A0ECDD">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台</w:t>
            </w:r>
          </w:p>
        </w:tc>
      </w:tr>
      <w:tr w14:paraId="7D0B3718">
        <w:tblPrEx>
          <w:tblCellMar>
            <w:top w:w="0" w:type="dxa"/>
            <w:left w:w="108" w:type="dxa"/>
            <w:bottom w:w="0" w:type="dxa"/>
            <w:right w:w="108" w:type="dxa"/>
          </w:tblCellMar>
        </w:tblPrEx>
        <w:trPr>
          <w:trHeight w:val="248" w:hRule="atLeast"/>
        </w:trPr>
        <w:tc>
          <w:tcPr>
            <w:tcW w:w="520" w:type="pct"/>
            <w:tcBorders>
              <w:top w:val="nil"/>
              <w:left w:val="single" w:color="auto" w:sz="4" w:space="0"/>
              <w:bottom w:val="single" w:color="auto" w:sz="4" w:space="0"/>
              <w:right w:val="single" w:color="auto" w:sz="4" w:space="0"/>
            </w:tcBorders>
            <w:noWrap/>
            <w:vAlign w:val="center"/>
          </w:tcPr>
          <w:p w14:paraId="2530180F">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24</w:t>
            </w:r>
          </w:p>
        </w:tc>
        <w:tc>
          <w:tcPr>
            <w:tcW w:w="3293" w:type="pct"/>
            <w:tcBorders>
              <w:top w:val="nil"/>
              <w:left w:val="nil"/>
              <w:bottom w:val="single" w:color="auto" w:sz="4" w:space="0"/>
              <w:right w:val="single" w:color="auto" w:sz="4" w:space="0"/>
            </w:tcBorders>
            <w:noWrap/>
            <w:vAlign w:val="center"/>
          </w:tcPr>
          <w:p w14:paraId="4117CD3E">
            <w:pPr>
              <w:widowControl/>
              <w:jc w:val="left"/>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辅材</w:t>
            </w:r>
          </w:p>
        </w:tc>
        <w:tc>
          <w:tcPr>
            <w:tcW w:w="467" w:type="pct"/>
            <w:tcBorders>
              <w:top w:val="nil"/>
              <w:left w:val="nil"/>
              <w:bottom w:val="single" w:color="auto" w:sz="4" w:space="0"/>
              <w:right w:val="single" w:color="auto" w:sz="4" w:space="0"/>
            </w:tcBorders>
            <w:noWrap/>
            <w:vAlign w:val="center"/>
          </w:tcPr>
          <w:p w14:paraId="49299C8A">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1</w:t>
            </w:r>
          </w:p>
        </w:tc>
        <w:tc>
          <w:tcPr>
            <w:tcW w:w="719" w:type="pct"/>
            <w:tcBorders>
              <w:top w:val="nil"/>
              <w:left w:val="nil"/>
              <w:bottom w:val="single" w:color="auto" w:sz="4" w:space="0"/>
              <w:right w:val="single" w:color="auto" w:sz="4" w:space="0"/>
            </w:tcBorders>
            <w:noWrap/>
            <w:vAlign w:val="center"/>
          </w:tcPr>
          <w:p w14:paraId="5C672BE1">
            <w:pPr>
              <w:widowControl/>
              <w:jc w:val="center"/>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套</w:t>
            </w:r>
          </w:p>
        </w:tc>
      </w:tr>
    </w:tbl>
    <w:p w14:paraId="51709A18">
      <w:pPr>
        <w:rPr>
          <w:rFonts w:hint="eastAsia" w:ascii="黑体" w:hAnsi="黑体" w:eastAsia="黑体"/>
          <w:b/>
          <w:bCs/>
          <w:color w:val="auto"/>
          <w:kern w:val="44"/>
          <w:sz w:val="24"/>
          <w:szCs w:val="44"/>
        </w:rPr>
      </w:pPr>
    </w:p>
    <w:p w14:paraId="6E404BD0">
      <w:pPr>
        <w:numPr>
          <w:ilvl w:val="0"/>
          <w:numId w:val="1"/>
        </w:numPr>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需执行的相关政策合规要求、执行标准和规范要求：</w:t>
      </w:r>
    </w:p>
    <w:p w14:paraId="353314F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按照国家有关标准、规范和招标文件要求达到合格标准。</w:t>
      </w:r>
    </w:p>
    <w:p w14:paraId="3E7E741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主要设备需支持接入标准:ONVIF协议、GB/T28181国标标准。</w:t>
      </w:r>
    </w:p>
    <w:p w14:paraId="0425E5F7">
      <w:pPr>
        <w:numPr>
          <w:ilvl w:val="0"/>
          <w:numId w:val="1"/>
        </w:numPr>
        <w:ind w:left="0" w:leftChars="0" w:firstLine="0" w:firstLineChars="0"/>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项目技术/服务要求</w:t>
      </w:r>
    </w:p>
    <w:p w14:paraId="3F6F7B4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一标包：</w:t>
      </w:r>
    </w:p>
    <w:tbl>
      <w:tblPr>
        <w:tblStyle w:val="5"/>
        <w:tblW w:w="5000" w:type="pct"/>
        <w:tblInd w:w="0" w:type="dxa"/>
        <w:tblLayout w:type="fixed"/>
        <w:tblCellMar>
          <w:top w:w="0" w:type="dxa"/>
          <w:left w:w="108" w:type="dxa"/>
          <w:bottom w:w="0" w:type="dxa"/>
          <w:right w:w="108" w:type="dxa"/>
        </w:tblCellMar>
      </w:tblPr>
      <w:tblGrid>
        <w:gridCol w:w="458"/>
        <w:gridCol w:w="934"/>
        <w:gridCol w:w="7131"/>
      </w:tblGrid>
      <w:tr w14:paraId="12C89A79">
        <w:tblPrEx>
          <w:tblCellMar>
            <w:top w:w="0" w:type="dxa"/>
            <w:left w:w="108" w:type="dxa"/>
            <w:bottom w:w="0" w:type="dxa"/>
            <w:right w:w="108" w:type="dxa"/>
          </w:tblCellMar>
        </w:tblPrEx>
        <w:trPr>
          <w:trHeight w:val="824" w:hRule="atLeast"/>
        </w:trPr>
        <w:tc>
          <w:tcPr>
            <w:tcW w:w="268" w:type="pct"/>
            <w:tcBorders>
              <w:top w:val="single" w:color="000000" w:sz="8" w:space="0"/>
              <w:left w:val="single" w:color="000000" w:sz="8" w:space="0"/>
              <w:bottom w:val="single" w:color="000000" w:sz="8" w:space="0"/>
              <w:right w:val="single" w:color="000000" w:sz="8" w:space="0"/>
            </w:tcBorders>
            <w:vAlign w:val="center"/>
          </w:tcPr>
          <w:p w14:paraId="4629CE62">
            <w:pPr>
              <w:widowControl/>
              <w:jc w:val="center"/>
              <w:textAlignment w:val="center"/>
              <w:rPr>
                <w:color w:val="auto"/>
                <w:sz w:val="24"/>
              </w:rPr>
            </w:pPr>
            <w:r>
              <w:rPr>
                <w:color w:val="auto"/>
                <w:kern w:val="0"/>
                <w:sz w:val="24"/>
                <w:lang w:bidi="ar"/>
              </w:rPr>
              <w:t>1</w:t>
            </w:r>
          </w:p>
        </w:tc>
        <w:tc>
          <w:tcPr>
            <w:tcW w:w="547" w:type="pct"/>
            <w:tcBorders>
              <w:top w:val="single" w:color="000000" w:sz="8" w:space="0"/>
              <w:left w:val="nil"/>
              <w:bottom w:val="single" w:color="000000" w:sz="8" w:space="0"/>
              <w:right w:val="nil"/>
            </w:tcBorders>
            <w:vAlign w:val="center"/>
          </w:tcPr>
          <w:p w14:paraId="4CDF5ED7">
            <w:pPr>
              <w:widowControl/>
              <w:jc w:val="center"/>
              <w:textAlignment w:val="center"/>
              <w:rPr>
                <w:color w:val="auto"/>
                <w:sz w:val="24"/>
              </w:rPr>
            </w:pPr>
            <w:r>
              <w:rPr>
                <w:color w:val="auto"/>
                <w:kern w:val="0"/>
                <w:sz w:val="24"/>
                <w:lang w:bidi="ar"/>
              </w:rPr>
              <w:t>400</w:t>
            </w:r>
            <w:r>
              <w:rPr>
                <w:rFonts w:hint="eastAsia" w:ascii="宋体" w:hAnsi="宋体" w:cs="宋体"/>
                <w:color w:val="auto"/>
                <w:kern w:val="0"/>
                <w:sz w:val="24"/>
                <w:lang w:bidi="ar"/>
              </w:rPr>
              <w:t>万智能半球网络摄像机</w:t>
            </w:r>
          </w:p>
        </w:tc>
        <w:tc>
          <w:tcPr>
            <w:tcW w:w="4183" w:type="pct"/>
            <w:tcBorders>
              <w:top w:val="single" w:color="000000" w:sz="4" w:space="0"/>
              <w:left w:val="single" w:color="000000" w:sz="4" w:space="0"/>
              <w:bottom w:val="single" w:color="000000" w:sz="4" w:space="0"/>
              <w:right w:val="single" w:color="000000" w:sz="4" w:space="0"/>
            </w:tcBorders>
            <w:vAlign w:val="center"/>
          </w:tcPr>
          <w:p w14:paraId="304644C2">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1.半球摄像机像素≥400万；</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2.半球摄像机分辨率≥2688×1520，分辨力≥1500TVL；</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3.半球摄像机传感器靶面尺寸：≥1/1.8"；</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4.为保证弱光成像效果，摄像机像元尺寸需≥2.9um×2.9um；</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5.摄像机内置麦克风需≥1个；</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6.为保证在低光照条件下仍能摄取清晰图像，摄像机最低照度：彩色≤0.001lx，黑白≤0.0001lx；</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7.针对走廊明暗反差较大的环境，为保证在非常强烈的对比光线下可以捕捉清晰的影像，半球摄像机宽动态能力需≥120dB；</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8.因环境不同，需要使用电动变焦镜头，镜头焦距需覆盖2.7mm～12mm；</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9.在夜间或其它光线不足情况下需要补光满足应用需求看清物体、人脸等，红外补光距离需≥50m；</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10.半球摄像机视频编码格式需支持H.265;H.264;MJPEG；</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11.▲人脸识别能力需支持检出两眼瞳距20像素点以上的人脸图片；</w:t>
            </w:r>
            <w:bookmarkStart w:id="0" w:name="OLE_LINK1"/>
            <w:r>
              <w:rPr>
                <w:rFonts w:hint="eastAsia" w:ascii="宋体" w:hAnsi="宋体" w:cs="宋体"/>
                <w:color w:val="auto"/>
                <w:kern w:val="0"/>
                <w:sz w:val="24"/>
                <w:lang w:bidi="ar"/>
              </w:rPr>
              <w:t>（需提供第三方权威机构带章全套检测报告复印件证明并在检测报告中明确标明该项所在位置、页码）</w:t>
            </w:r>
            <w:bookmarkEnd w:id="0"/>
            <w:r>
              <w:rPr>
                <w:rFonts w:hint="eastAsia" w:ascii="宋体" w:hAnsi="宋体" w:cs="宋体"/>
                <w:color w:val="auto"/>
                <w:kern w:val="0"/>
                <w:sz w:val="24"/>
                <w:lang w:bidi="ar"/>
              </w:rPr>
              <w:br w:type="textWrapping"/>
            </w:r>
            <w:r>
              <w:rPr>
                <w:rFonts w:hint="eastAsia" w:ascii="宋体" w:hAnsi="宋体" w:cs="宋体"/>
                <w:color w:val="auto"/>
                <w:kern w:val="0"/>
                <w:sz w:val="24"/>
                <w:lang w:bidi="ar"/>
              </w:rPr>
              <w:t>12.半球摄像机采用耐用又安全的金属外壳；</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13.为确保摄像机在遇到外界冲击时，其外壳能够保护内部组件不受损坏，摄像机防爆等级需≥IK10；</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14.支持本地SD卡存储，支持≥128G；当出现网络异常时可实现本地存储录像；</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15.具有≥1个RJ45网络接口，≥1路音频输入，≥1路音频输出，≥1个DC12V输出接口；</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16.供电方式：支持DC12V及POE供电，本项目采用POE供电；</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17.▲半球摄像机软件升级过程中断电,重新加电后可恢复到升级前的软件版本，保证摄像机不会因升级中途断电而导致无法使用；（需提供第三方权威机构带章全套检测报告复印件证明并在检测报告中明确标明该项所在位置、页码）</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18.由于走廊环境光线不均匀，半球摄像机需支持检出面部过曝、面部欠曝、阴阳脸、逆光等不同光照条件下的人脸；</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19.▲因所需监控核心设备均属于行业级设备，为了区别于民用级设备保证项目顺利交付，供应商需具备所投产品售后服务能力，所投产品需要提供三年质保说明及所投产品合法来源渠道说明并加盖厂家公章。</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20.★为满足平台对不同品牌接入，设备需支持接入标准:ONVIF协议、GB/T28181国标标准。</w:t>
            </w:r>
            <w:bookmarkStart w:id="1" w:name="OLE_LINK2"/>
            <w:r>
              <w:rPr>
                <w:rFonts w:hint="eastAsia" w:ascii="宋体" w:hAnsi="宋体" w:cs="宋体"/>
                <w:color w:val="auto"/>
                <w:kern w:val="0"/>
                <w:sz w:val="24"/>
                <w:lang w:bidi="ar"/>
              </w:rPr>
              <w:t>（需供应商提供保证书并加盖公章）</w:t>
            </w:r>
            <w:bookmarkEnd w:id="1"/>
          </w:p>
        </w:tc>
      </w:tr>
      <w:tr w14:paraId="743E290B">
        <w:tblPrEx>
          <w:tblCellMar>
            <w:top w:w="0" w:type="dxa"/>
            <w:left w:w="108" w:type="dxa"/>
            <w:bottom w:w="0" w:type="dxa"/>
            <w:right w:w="108" w:type="dxa"/>
          </w:tblCellMar>
        </w:tblPrEx>
        <w:trPr>
          <w:trHeight w:val="2010" w:hRule="atLeast"/>
        </w:trPr>
        <w:tc>
          <w:tcPr>
            <w:tcW w:w="268" w:type="pct"/>
            <w:tcBorders>
              <w:top w:val="nil"/>
              <w:left w:val="single" w:color="000000" w:sz="8" w:space="0"/>
              <w:bottom w:val="single" w:color="000000" w:sz="8" w:space="0"/>
              <w:right w:val="single" w:color="000000" w:sz="8" w:space="0"/>
            </w:tcBorders>
            <w:vAlign w:val="center"/>
          </w:tcPr>
          <w:p w14:paraId="34DADF30">
            <w:pPr>
              <w:widowControl/>
              <w:jc w:val="center"/>
              <w:textAlignment w:val="center"/>
              <w:rPr>
                <w:color w:val="auto"/>
                <w:sz w:val="24"/>
              </w:rPr>
            </w:pPr>
            <w:r>
              <w:rPr>
                <w:rFonts w:hint="eastAsia"/>
                <w:color w:val="auto"/>
                <w:kern w:val="0"/>
                <w:sz w:val="24"/>
                <w:lang w:bidi="ar"/>
              </w:rPr>
              <w:t>2</w:t>
            </w:r>
          </w:p>
        </w:tc>
        <w:tc>
          <w:tcPr>
            <w:tcW w:w="547" w:type="pct"/>
            <w:tcBorders>
              <w:top w:val="nil"/>
              <w:left w:val="nil"/>
              <w:bottom w:val="single" w:color="000000" w:sz="8" w:space="0"/>
              <w:right w:val="nil"/>
            </w:tcBorders>
            <w:vAlign w:val="center"/>
          </w:tcPr>
          <w:p w14:paraId="4BB0F600">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监控存储专用硬盘</w:t>
            </w:r>
            <w:r>
              <w:rPr>
                <w:color w:val="auto"/>
                <w:kern w:val="0"/>
                <w:sz w:val="24"/>
                <w:lang w:bidi="ar"/>
              </w:rPr>
              <w:t>8TB</w:t>
            </w:r>
          </w:p>
        </w:tc>
        <w:tc>
          <w:tcPr>
            <w:tcW w:w="4183" w:type="pct"/>
            <w:tcBorders>
              <w:top w:val="single" w:color="000000" w:sz="4" w:space="0"/>
              <w:left w:val="single" w:color="000000" w:sz="4" w:space="0"/>
              <w:bottom w:val="single" w:color="000000" w:sz="4" w:space="0"/>
              <w:right w:val="single" w:color="000000" w:sz="4" w:space="0"/>
            </w:tcBorders>
            <w:vAlign w:val="center"/>
          </w:tcPr>
          <w:p w14:paraId="5EDA355D">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1.容量：≥8TB；</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2.接口：SATA 6Gb/s;</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3.规格：3.5英寸；</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4.缓存：≥512MB;</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5.性能级别：7200RPM；</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6.MTBF:≥250万小时；</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7.工作负载率：≥550TB/年。</w:t>
            </w:r>
          </w:p>
        </w:tc>
      </w:tr>
      <w:tr w14:paraId="2456EB23">
        <w:tblPrEx>
          <w:tblCellMar>
            <w:top w:w="0" w:type="dxa"/>
            <w:left w:w="108" w:type="dxa"/>
            <w:bottom w:w="0" w:type="dxa"/>
            <w:right w:w="108" w:type="dxa"/>
          </w:tblCellMar>
        </w:tblPrEx>
        <w:trPr>
          <w:trHeight w:val="4860" w:hRule="atLeast"/>
        </w:trPr>
        <w:tc>
          <w:tcPr>
            <w:tcW w:w="268" w:type="pct"/>
            <w:tcBorders>
              <w:top w:val="nil"/>
              <w:left w:val="single" w:color="000000" w:sz="8" w:space="0"/>
              <w:bottom w:val="single" w:color="000000" w:sz="8" w:space="0"/>
              <w:right w:val="single" w:color="000000" w:sz="8" w:space="0"/>
            </w:tcBorders>
            <w:vAlign w:val="center"/>
          </w:tcPr>
          <w:p w14:paraId="0FB9794B">
            <w:pPr>
              <w:widowControl/>
              <w:jc w:val="center"/>
              <w:textAlignment w:val="center"/>
              <w:rPr>
                <w:color w:val="auto"/>
                <w:sz w:val="24"/>
              </w:rPr>
            </w:pPr>
            <w:r>
              <w:rPr>
                <w:rFonts w:hint="eastAsia"/>
                <w:color w:val="auto"/>
                <w:kern w:val="0"/>
                <w:sz w:val="24"/>
                <w:lang w:bidi="ar"/>
              </w:rPr>
              <w:t>3</w:t>
            </w:r>
          </w:p>
        </w:tc>
        <w:tc>
          <w:tcPr>
            <w:tcW w:w="547" w:type="pct"/>
            <w:tcBorders>
              <w:top w:val="nil"/>
              <w:left w:val="nil"/>
              <w:bottom w:val="single" w:color="000000" w:sz="8" w:space="0"/>
              <w:right w:val="nil"/>
            </w:tcBorders>
            <w:vAlign w:val="center"/>
          </w:tcPr>
          <w:p w14:paraId="596EF41B">
            <w:pPr>
              <w:widowControl/>
              <w:jc w:val="center"/>
              <w:textAlignment w:val="center"/>
              <w:rPr>
                <w:rFonts w:hint="eastAsia" w:ascii="宋体" w:hAnsi="宋体" w:cs="宋体"/>
                <w:color w:val="auto"/>
                <w:sz w:val="24"/>
              </w:rPr>
            </w:pPr>
            <w:bookmarkStart w:id="2" w:name="OLE_LINK3"/>
            <w:r>
              <w:rPr>
                <w:rFonts w:hint="eastAsia" w:ascii="宋体" w:hAnsi="宋体" w:cs="宋体"/>
                <w:color w:val="auto"/>
                <w:kern w:val="0"/>
                <w:sz w:val="24"/>
                <w:lang w:bidi="ar"/>
              </w:rPr>
              <w:t>智能视频存储计算服务器</w:t>
            </w:r>
            <w:r>
              <w:rPr>
                <w:color w:val="auto"/>
                <w:kern w:val="0"/>
                <w:sz w:val="24"/>
                <w:lang w:bidi="ar"/>
              </w:rPr>
              <w:t>24</w:t>
            </w:r>
            <w:r>
              <w:rPr>
                <w:rFonts w:hint="eastAsia" w:ascii="宋体" w:hAnsi="宋体" w:cs="宋体"/>
                <w:color w:val="auto"/>
                <w:kern w:val="0"/>
                <w:sz w:val="24"/>
                <w:lang w:bidi="ar"/>
              </w:rPr>
              <w:t>盘位</w:t>
            </w:r>
            <w:bookmarkEnd w:id="2"/>
          </w:p>
        </w:tc>
        <w:tc>
          <w:tcPr>
            <w:tcW w:w="4183" w:type="pct"/>
            <w:tcBorders>
              <w:top w:val="single" w:color="000000" w:sz="4" w:space="0"/>
              <w:left w:val="single" w:color="000000" w:sz="4" w:space="0"/>
              <w:bottom w:val="single" w:color="000000" w:sz="4" w:space="0"/>
              <w:right w:val="single" w:color="000000" w:sz="4" w:space="0"/>
            </w:tcBorders>
            <w:vAlign w:val="center"/>
          </w:tcPr>
          <w:p w14:paraId="1097A30D">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1.存储接口及容量：≥24个SATA接口硬盘，可接入单盘≥20TB容量的SATA接口硬盘，支持硬盘热插拔；</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2.可接入≥200路网络视频信号；</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3.▲支持最大接入带宽768Mbps，最大存储带宽768Mbps，最大转发带宽768Mbps；（需提供第三方权威机构带章全套检测报告复印件证明并在检测报告中明确标明该项所在位置、页码）</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4.解码能力：≥12×1080P；</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5.显示能力：≥4K输出；</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6.RAID模式：RAID0、RAID1、RAID5、RAID6、RAID10；</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7.网口:≥2个，RJ4510M/100M/1000M自适应以太网电口；</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8.支持HDMI、VGA等视频信号输出；</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9.支持eSATA接口；</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10.设备支持分组管理，支持将接入的视频通道按分组管理；支持以分组方式进行预览、回放和检索；自定义视图支持以分组方式拖动通道进行配置；</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11.支持≥64个分屏预览；用户可自定义画面分屏；</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12.支持可插拔式电源模块，并且冗余电源模块可热插拔；</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13. ▲因所需监控核心设备均属于行业级设备，为了区别于民用级设备保证项目顺利交付，供应商需具备所投产品售后服务能力，所投产品需要提供三年质保说明及所投产品合法来源渠道说明并加盖厂家公章。</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14.★可接入支持ONVIF协议、GB/T28181协议的设备。（需供应商提供保证书并加盖公章）</w:t>
            </w:r>
          </w:p>
        </w:tc>
      </w:tr>
      <w:tr w14:paraId="16FAE4F8">
        <w:tblPrEx>
          <w:tblCellMar>
            <w:top w:w="0" w:type="dxa"/>
            <w:left w:w="108" w:type="dxa"/>
            <w:bottom w:w="0" w:type="dxa"/>
            <w:right w:w="108" w:type="dxa"/>
          </w:tblCellMar>
        </w:tblPrEx>
        <w:trPr>
          <w:trHeight w:val="2295" w:hRule="atLeast"/>
        </w:trPr>
        <w:tc>
          <w:tcPr>
            <w:tcW w:w="268" w:type="pct"/>
            <w:tcBorders>
              <w:top w:val="nil"/>
              <w:left w:val="single" w:color="000000" w:sz="8" w:space="0"/>
              <w:bottom w:val="single" w:color="auto" w:sz="4" w:space="0"/>
              <w:right w:val="single" w:color="000000" w:sz="8" w:space="0"/>
            </w:tcBorders>
            <w:vAlign w:val="center"/>
          </w:tcPr>
          <w:p w14:paraId="35876725">
            <w:pPr>
              <w:widowControl/>
              <w:jc w:val="center"/>
              <w:textAlignment w:val="center"/>
              <w:rPr>
                <w:color w:val="auto"/>
                <w:sz w:val="24"/>
              </w:rPr>
            </w:pPr>
            <w:r>
              <w:rPr>
                <w:rFonts w:hint="eastAsia"/>
                <w:color w:val="auto"/>
                <w:kern w:val="0"/>
                <w:sz w:val="24"/>
                <w:lang w:bidi="ar"/>
              </w:rPr>
              <w:t>4</w:t>
            </w:r>
          </w:p>
        </w:tc>
        <w:tc>
          <w:tcPr>
            <w:tcW w:w="547" w:type="pct"/>
            <w:tcBorders>
              <w:top w:val="nil"/>
              <w:left w:val="nil"/>
              <w:bottom w:val="single" w:color="auto" w:sz="4" w:space="0"/>
              <w:right w:val="nil"/>
            </w:tcBorders>
            <w:vAlign w:val="center"/>
          </w:tcPr>
          <w:p w14:paraId="268CD095">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视频监控专用以太网千兆可网管交换机(PoE)</w:t>
            </w:r>
          </w:p>
        </w:tc>
        <w:tc>
          <w:tcPr>
            <w:tcW w:w="4183" w:type="pct"/>
            <w:tcBorders>
              <w:top w:val="single" w:color="000000" w:sz="4" w:space="0"/>
              <w:left w:val="single" w:color="000000" w:sz="4" w:space="0"/>
              <w:bottom w:val="single" w:color="auto" w:sz="4" w:space="0"/>
              <w:right w:val="single" w:color="000000" w:sz="4" w:space="0"/>
            </w:tcBorders>
            <w:vAlign w:val="center"/>
          </w:tcPr>
          <w:p w14:paraId="032AAB51">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1.性能：整机交换容量 ≥432Gbps；转发性能 ≥126Mpps ；</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2.端口：≥24个千兆电，≥4个千兆SFP；</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3.需支持PoE+，PoE供电≥375W；</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4.MAC地址表≥16K，IPv4路由表容量≥512，ARP≥1K；</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5.需支持IPv4/IPv6静态路由、支持RIP/RIPng、OSPFV2/V3，支持VLAN虚接口；</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6.交换机堆叠台数≥9；</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7.需支持网管功能；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8.需内置防雷技术，支持≥10KV业务端口防雷能力。</w:t>
            </w:r>
          </w:p>
        </w:tc>
      </w:tr>
      <w:tr w14:paraId="18F9DC55">
        <w:tblPrEx>
          <w:tblCellMar>
            <w:top w:w="0" w:type="dxa"/>
            <w:left w:w="108" w:type="dxa"/>
            <w:bottom w:w="0" w:type="dxa"/>
            <w:right w:w="108" w:type="dxa"/>
          </w:tblCellMar>
        </w:tblPrEx>
        <w:trPr>
          <w:trHeight w:val="979" w:hRule="atLeast"/>
        </w:trPr>
        <w:tc>
          <w:tcPr>
            <w:tcW w:w="268" w:type="pct"/>
            <w:tcBorders>
              <w:top w:val="single" w:color="auto" w:sz="4" w:space="0"/>
              <w:left w:val="single" w:color="auto" w:sz="4" w:space="0"/>
              <w:bottom w:val="single" w:color="auto" w:sz="4" w:space="0"/>
              <w:right w:val="single" w:color="000000" w:sz="8" w:space="0"/>
            </w:tcBorders>
            <w:vAlign w:val="center"/>
          </w:tcPr>
          <w:p w14:paraId="322ECDD2">
            <w:pPr>
              <w:widowControl/>
              <w:jc w:val="center"/>
              <w:textAlignment w:val="center"/>
              <w:rPr>
                <w:color w:val="auto"/>
                <w:sz w:val="24"/>
              </w:rPr>
            </w:pPr>
            <w:r>
              <w:rPr>
                <w:rFonts w:hint="eastAsia"/>
                <w:color w:val="auto"/>
                <w:kern w:val="0"/>
                <w:sz w:val="24"/>
                <w:lang w:bidi="ar"/>
              </w:rPr>
              <w:t>5</w:t>
            </w:r>
          </w:p>
        </w:tc>
        <w:tc>
          <w:tcPr>
            <w:tcW w:w="547" w:type="pct"/>
            <w:tcBorders>
              <w:top w:val="single" w:color="auto" w:sz="4" w:space="0"/>
              <w:left w:val="nil"/>
              <w:bottom w:val="single" w:color="auto" w:sz="4" w:space="0"/>
              <w:right w:val="nil"/>
            </w:tcBorders>
            <w:vAlign w:val="center"/>
          </w:tcPr>
          <w:p w14:paraId="489AC5F5">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视频监控专用汇聚交换机</w:t>
            </w:r>
          </w:p>
        </w:tc>
        <w:tc>
          <w:tcPr>
            <w:tcW w:w="4183" w:type="pct"/>
            <w:tcBorders>
              <w:top w:val="single" w:color="auto" w:sz="4" w:space="0"/>
              <w:left w:val="single" w:color="000000" w:sz="4" w:space="0"/>
              <w:bottom w:val="single" w:color="auto" w:sz="4" w:space="0"/>
              <w:right w:val="single" w:color="auto" w:sz="4" w:space="0"/>
            </w:tcBorders>
            <w:vAlign w:val="center"/>
          </w:tcPr>
          <w:p w14:paraId="74A92B95">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1.交换容量≥598Gbps、包转发率≥252Mpps；</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2.接口要求：≥24个10/100/1000光口，≥4个万兆光接口；</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3.支持L2～L4包过滤功能，提供基于源MAC地址、目的MAC地址、源IP地址、目的IP地址、端口、协议、IP ToS、802.1P优先级、VLAN ID、SVLAN ID、VLAN范围等过滤；</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4.支持静态路由、RIP、OSPF、BGP、IS-IS等路由协议；</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5.支持MAC地址自动学习和老化，支持静态、动态和黑洞MAC地址表项；MAC地址≥16K；</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6.支持端口聚合，最多支持≥124个聚合组，每个聚合组最大支持≥8个端口聚合；</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7.VLAN特性 最大VLAN数(不是VLAN ID)≥4094；</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8.支持IGMP Snooping、Proxy、Filter和Fast Leave；支持跨组播VLAN复制；支持三层组播协议PIM-SM和PIM-DM；</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9.支持STP、RSTP、MSTP；支持BPDU保护、跟保护、环路保护和BPDU Tunnel；支持跨设备链路聚合；支持G.8032、R-link、VRRP，50ms级保护倒换；</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10.支持端口镜像和远程端口；支持SNMP；</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11.工作环境：工作温度：-5~55℃；相对湿度：（10~90）%（无凝结）。</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12.需支持网管功能</w:t>
            </w:r>
          </w:p>
        </w:tc>
      </w:tr>
      <w:tr w14:paraId="2F88E3E3">
        <w:tblPrEx>
          <w:tblCellMar>
            <w:top w:w="0" w:type="dxa"/>
            <w:left w:w="108" w:type="dxa"/>
            <w:bottom w:w="0" w:type="dxa"/>
            <w:right w:w="108" w:type="dxa"/>
          </w:tblCellMar>
        </w:tblPrEx>
        <w:trPr>
          <w:trHeight w:val="870" w:hRule="atLeast"/>
        </w:trPr>
        <w:tc>
          <w:tcPr>
            <w:tcW w:w="268" w:type="pct"/>
            <w:tcBorders>
              <w:top w:val="single" w:color="auto" w:sz="4" w:space="0"/>
              <w:left w:val="single" w:color="000000" w:sz="8" w:space="0"/>
              <w:bottom w:val="single" w:color="000000" w:sz="8" w:space="0"/>
              <w:right w:val="single" w:color="000000" w:sz="8" w:space="0"/>
            </w:tcBorders>
            <w:vAlign w:val="center"/>
          </w:tcPr>
          <w:p w14:paraId="44865D41">
            <w:pPr>
              <w:widowControl/>
              <w:jc w:val="center"/>
              <w:textAlignment w:val="center"/>
              <w:rPr>
                <w:color w:val="auto"/>
                <w:sz w:val="24"/>
              </w:rPr>
            </w:pPr>
            <w:r>
              <w:rPr>
                <w:rFonts w:hint="eastAsia"/>
                <w:color w:val="auto"/>
                <w:kern w:val="0"/>
                <w:sz w:val="24"/>
                <w:lang w:bidi="ar"/>
              </w:rPr>
              <w:t>6</w:t>
            </w:r>
          </w:p>
        </w:tc>
        <w:tc>
          <w:tcPr>
            <w:tcW w:w="547" w:type="pct"/>
            <w:tcBorders>
              <w:top w:val="single" w:color="auto" w:sz="4" w:space="0"/>
              <w:left w:val="nil"/>
              <w:bottom w:val="single" w:color="000000" w:sz="8" w:space="0"/>
              <w:right w:val="nil"/>
            </w:tcBorders>
            <w:vAlign w:val="center"/>
          </w:tcPr>
          <w:p w14:paraId="71B45F2D">
            <w:pPr>
              <w:widowControl/>
              <w:jc w:val="center"/>
              <w:textAlignment w:val="center"/>
              <w:rPr>
                <w:color w:val="auto"/>
                <w:sz w:val="24"/>
              </w:rPr>
            </w:pPr>
            <w:r>
              <w:rPr>
                <w:color w:val="auto"/>
                <w:kern w:val="0"/>
                <w:sz w:val="24"/>
                <w:lang w:bidi="ar"/>
              </w:rPr>
              <w:t>SFP</w:t>
            </w:r>
            <w:r>
              <w:rPr>
                <w:rFonts w:hint="eastAsia" w:ascii="宋体" w:hAnsi="宋体" w:cs="宋体"/>
                <w:color w:val="auto"/>
                <w:kern w:val="0"/>
                <w:sz w:val="24"/>
                <w:lang w:bidi="ar"/>
              </w:rPr>
              <w:t>万兆单模单纤光纤模块</w:t>
            </w:r>
          </w:p>
        </w:tc>
        <w:tc>
          <w:tcPr>
            <w:tcW w:w="4183" w:type="pct"/>
            <w:tcBorders>
              <w:top w:val="single" w:color="auto" w:sz="4" w:space="0"/>
              <w:left w:val="single" w:color="000000" w:sz="4" w:space="0"/>
              <w:bottom w:val="single" w:color="000000" w:sz="4" w:space="0"/>
              <w:right w:val="single" w:color="000000" w:sz="4" w:space="0"/>
            </w:tcBorders>
            <w:vAlign w:val="center"/>
          </w:tcPr>
          <w:p w14:paraId="2FB43603">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 ≥20公里万兆单模单纤模块；</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 传输速率：10G；</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 接口：LC。</w:t>
            </w:r>
          </w:p>
        </w:tc>
      </w:tr>
      <w:tr w14:paraId="3B52C851">
        <w:tblPrEx>
          <w:tblCellMar>
            <w:top w:w="0" w:type="dxa"/>
            <w:left w:w="108" w:type="dxa"/>
            <w:bottom w:w="0" w:type="dxa"/>
            <w:right w:w="108" w:type="dxa"/>
          </w:tblCellMar>
        </w:tblPrEx>
        <w:trPr>
          <w:trHeight w:val="870" w:hRule="atLeast"/>
        </w:trPr>
        <w:tc>
          <w:tcPr>
            <w:tcW w:w="268" w:type="pct"/>
            <w:tcBorders>
              <w:top w:val="nil"/>
              <w:left w:val="single" w:color="000000" w:sz="8" w:space="0"/>
              <w:bottom w:val="single" w:color="000000" w:sz="8" w:space="0"/>
              <w:right w:val="single" w:color="000000" w:sz="8" w:space="0"/>
            </w:tcBorders>
            <w:vAlign w:val="center"/>
          </w:tcPr>
          <w:p w14:paraId="319B4A4A">
            <w:pPr>
              <w:widowControl/>
              <w:jc w:val="center"/>
              <w:textAlignment w:val="center"/>
              <w:rPr>
                <w:color w:val="auto"/>
                <w:sz w:val="24"/>
              </w:rPr>
            </w:pPr>
            <w:r>
              <w:rPr>
                <w:rFonts w:hint="eastAsia"/>
                <w:color w:val="auto"/>
                <w:kern w:val="0"/>
                <w:sz w:val="24"/>
                <w:lang w:bidi="ar"/>
              </w:rPr>
              <w:t>7</w:t>
            </w:r>
          </w:p>
        </w:tc>
        <w:tc>
          <w:tcPr>
            <w:tcW w:w="547" w:type="pct"/>
            <w:tcBorders>
              <w:top w:val="nil"/>
              <w:left w:val="nil"/>
              <w:bottom w:val="single" w:color="000000" w:sz="8" w:space="0"/>
              <w:right w:val="nil"/>
            </w:tcBorders>
            <w:vAlign w:val="center"/>
          </w:tcPr>
          <w:p w14:paraId="2D7DD605">
            <w:pPr>
              <w:widowControl/>
              <w:jc w:val="center"/>
              <w:textAlignment w:val="center"/>
              <w:rPr>
                <w:color w:val="auto"/>
                <w:sz w:val="24"/>
              </w:rPr>
            </w:pPr>
            <w:r>
              <w:rPr>
                <w:color w:val="auto"/>
                <w:kern w:val="0"/>
                <w:sz w:val="24"/>
                <w:lang w:bidi="ar"/>
              </w:rPr>
              <w:t>SFP</w:t>
            </w:r>
            <w:r>
              <w:rPr>
                <w:rFonts w:hint="eastAsia" w:ascii="宋体" w:hAnsi="宋体" w:cs="宋体"/>
                <w:color w:val="auto"/>
                <w:kern w:val="0"/>
                <w:sz w:val="24"/>
                <w:lang w:bidi="ar"/>
              </w:rPr>
              <w:t>千兆单模单纤光纤模块</w:t>
            </w:r>
          </w:p>
        </w:tc>
        <w:tc>
          <w:tcPr>
            <w:tcW w:w="4183" w:type="pct"/>
            <w:tcBorders>
              <w:top w:val="single" w:color="000000" w:sz="4" w:space="0"/>
              <w:left w:val="single" w:color="000000" w:sz="4" w:space="0"/>
              <w:bottom w:val="single" w:color="000000" w:sz="4" w:space="0"/>
              <w:right w:val="single" w:color="000000" w:sz="4" w:space="0"/>
            </w:tcBorders>
            <w:vAlign w:val="center"/>
          </w:tcPr>
          <w:p w14:paraId="4F884F30">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 ≥20公里千兆单模单纤模块；</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2.传输速率：1.25G；</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 接口：LC。</w:t>
            </w:r>
          </w:p>
        </w:tc>
      </w:tr>
      <w:tr w14:paraId="6603D2FA">
        <w:tblPrEx>
          <w:tblCellMar>
            <w:top w:w="0" w:type="dxa"/>
            <w:left w:w="108" w:type="dxa"/>
            <w:bottom w:w="0" w:type="dxa"/>
            <w:right w:w="108" w:type="dxa"/>
          </w:tblCellMar>
        </w:tblPrEx>
        <w:trPr>
          <w:trHeight w:val="1440" w:hRule="atLeast"/>
        </w:trPr>
        <w:tc>
          <w:tcPr>
            <w:tcW w:w="268" w:type="pct"/>
            <w:tcBorders>
              <w:top w:val="nil"/>
              <w:left w:val="single" w:color="000000" w:sz="8" w:space="0"/>
              <w:bottom w:val="single" w:color="000000" w:sz="8" w:space="0"/>
              <w:right w:val="single" w:color="000000" w:sz="8" w:space="0"/>
            </w:tcBorders>
            <w:vAlign w:val="center"/>
          </w:tcPr>
          <w:p w14:paraId="71DBAA22">
            <w:pPr>
              <w:widowControl/>
              <w:jc w:val="center"/>
              <w:textAlignment w:val="center"/>
              <w:rPr>
                <w:color w:val="auto"/>
                <w:sz w:val="24"/>
              </w:rPr>
            </w:pPr>
            <w:r>
              <w:rPr>
                <w:rFonts w:hint="eastAsia"/>
                <w:color w:val="auto"/>
                <w:kern w:val="0"/>
                <w:sz w:val="24"/>
                <w:lang w:bidi="ar"/>
              </w:rPr>
              <w:t>8</w:t>
            </w:r>
          </w:p>
        </w:tc>
        <w:tc>
          <w:tcPr>
            <w:tcW w:w="547" w:type="pct"/>
            <w:tcBorders>
              <w:top w:val="nil"/>
              <w:left w:val="nil"/>
              <w:bottom w:val="single" w:color="000000" w:sz="8" w:space="0"/>
              <w:right w:val="nil"/>
            </w:tcBorders>
            <w:vAlign w:val="center"/>
          </w:tcPr>
          <w:p w14:paraId="131ACAF9">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连接设备用尾纤</w:t>
            </w:r>
          </w:p>
        </w:tc>
        <w:tc>
          <w:tcPr>
            <w:tcW w:w="4183" w:type="pct"/>
            <w:tcBorders>
              <w:top w:val="single" w:color="000000" w:sz="4" w:space="0"/>
              <w:left w:val="single" w:color="000000" w:sz="4" w:space="0"/>
              <w:bottom w:val="single" w:color="000000" w:sz="4" w:space="0"/>
              <w:right w:val="single" w:color="000000" w:sz="4" w:space="0"/>
            </w:tcBorders>
            <w:vAlign w:val="center"/>
          </w:tcPr>
          <w:p w14:paraId="05E9663D">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1.≥5米FC-LC；</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2.电信级；</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3.回波损耗：≥50dB;</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4.插入损耗：≤0.2dB；</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5.可插拔次数：＞1000次。</w:t>
            </w:r>
          </w:p>
        </w:tc>
      </w:tr>
      <w:tr w14:paraId="5655E2E4">
        <w:tblPrEx>
          <w:tblCellMar>
            <w:top w:w="0" w:type="dxa"/>
            <w:left w:w="108" w:type="dxa"/>
            <w:bottom w:w="0" w:type="dxa"/>
            <w:right w:w="108" w:type="dxa"/>
          </w:tblCellMar>
        </w:tblPrEx>
        <w:trPr>
          <w:trHeight w:val="335" w:hRule="atLeast"/>
        </w:trPr>
        <w:tc>
          <w:tcPr>
            <w:tcW w:w="268" w:type="pct"/>
            <w:tcBorders>
              <w:top w:val="nil"/>
              <w:left w:val="single" w:color="000000" w:sz="8" w:space="0"/>
              <w:bottom w:val="single" w:color="000000" w:sz="8" w:space="0"/>
              <w:right w:val="single" w:color="000000" w:sz="8" w:space="0"/>
            </w:tcBorders>
            <w:vAlign w:val="center"/>
          </w:tcPr>
          <w:p w14:paraId="3BC1B017">
            <w:pPr>
              <w:widowControl/>
              <w:jc w:val="center"/>
              <w:textAlignment w:val="center"/>
              <w:rPr>
                <w:color w:val="auto"/>
                <w:sz w:val="24"/>
              </w:rPr>
            </w:pPr>
            <w:r>
              <w:rPr>
                <w:rFonts w:hint="eastAsia"/>
                <w:color w:val="auto"/>
                <w:kern w:val="0"/>
                <w:sz w:val="24"/>
                <w:lang w:bidi="ar"/>
              </w:rPr>
              <w:t>9</w:t>
            </w:r>
          </w:p>
        </w:tc>
        <w:tc>
          <w:tcPr>
            <w:tcW w:w="547" w:type="pct"/>
            <w:tcBorders>
              <w:top w:val="nil"/>
              <w:left w:val="nil"/>
              <w:bottom w:val="single" w:color="000000" w:sz="8" w:space="0"/>
              <w:right w:val="nil"/>
            </w:tcBorders>
            <w:vAlign w:val="center"/>
          </w:tcPr>
          <w:p w14:paraId="108D3215">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熔纤用尾纤</w:t>
            </w:r>
          </w:p>
        </w:tc>
        <w:tc>
          <w:tcPr>
            <w:tcW w:w="4183" w:type="pct"/>
            <w:tcBorders>
              <w:top w:val="single" w:color="000000" w:sz="4" w:space="0"/>
              <w:left w:val="single" w:color="000000" w:sz="4" w:space="0"/>
              <w:bottom w:val="single" w:color="000000" w:sz="4" w:space="0"/>
              <w:right w:val="single" w:color="000000" w:sz="4" w:space="0"/>
            </w:tcBorders>
            <w:vAlign w:val="center"/>
          </w:tcPr>
          <w:p w14:paraId="13C70D4C">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1.≥3米LC-LC；</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2.电信级；</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3.回波损耗：≥50dB;</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4.插入损耗：≤0.2dB；</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5.可插拔次数：＞1000次。</w:t>
            </w:r>
          </w:p>
        </w:tc>
      </w:tr>
      <w:tr w14:paraId="408F3447">
        <w:tblPrEx>
          <w:tblCellMar>
            <w:top w:w="0" w:type="dxa"/>
            <w:left w:w="108" w:type="dxa"/>
            <w:bottom w:w="0" w:type="dxa"/>
            <w:right w:w="108" w:type="dxa"/>
          </w:tblCellMar>
        </w:tblPrEx>
        <w:trPr>
          <w:trHeight w:val="300" w:hRule="atLeast"/>
        </w:trPr>
        <w:tc>
          <w:tcPr>
            <w:tcW w:w="268" w:type="pct"/>
            <w:tcBorders>
              <w:top w:val="nil"/>
              <w:left w:val="single" w:color="000000" w:sz="8" w:space="0"/>
              <w:bottom w:val="single" w:color="000000" w:sz="8" w:space="0"/>
              <w:right w:val="single" w:color="000000" w:sz="8" w:space="0"/>
            </w:tcBorders>
            <w:vAlign w:val="center"/>
          </w:tcPr>
          <w:p w14:paraId="37EE2D34">
            <w:pPr>
              <w:widowControl/>
              <w:jc w:val="center"/>
              <w:textAlignment w:val="center"/>
              <w:rPr>
                <w:color w:val="auto"/>
                <w:sz w:val="24"/>
              </w:rPr>
            </w:pPr>
            <w:r>
              <w:rPr>
                <w:rFonts w:hint="eastAsia"/>
                <w:color w:val="auto"/>
                <w:kern w:val="0"/>
                <w:sz w:val="24"/>
                <w:lang w:bidi="ar"/>
              </w:rPr>
              <w:t>10</w:t>
            </w:r>
          </w:p>
        </w:tc>
        <w:tc>
          <w:tcPr>
            <w:tcW w:w="547" w:type="pct"/>
            <w:tcBorders>
              <w:top w:val="nil"/>
              <w:left w:val="nil"/>
              <w:bottom w:val="single" w:color="000000" w:sz="8" w:space="0"/>
              <w:right w:val="nil"/>
            </w:tcBorders>
            <w:vAlign w:val="center"/>
          </w:tcPr>
          <w:p w14:paraId="4748FEB4">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熔纤</w:t>
            </w:r>
          </w:p>
        </w:tc>
        <w:tc>
          <w:tcPr>
            <w:tcW w:w="4183" w:type="pct"/>
            <w:tcBorders>
              <w:top w:val="single" w:color="000000" w:sz="4" w:space="0"/>
              <w:left w:val="single" w:color="000000" w:sz="4" w:space="0"/>
              <w:bottom w:val="single" w:color="000000" w:sz="4" w:space="0"/>
              <w:right w:val="single" w:color="000000" w:sz="4" w:space="0"/>
            </w:tcBorders>
            <w:vAlign w:val="center"/>
          </w:tcPr>
          <w:p w14:paraId="56601EEC">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1.光纤熔接。</w:t>
            </w:r>
          </w:p>
        </w:tc>
      </w:tr>
      <w:tr w14:paraId="06508185">
        <w:tblPrEx>
          <w:tblCellMar>
            <w:top w:w="0" w:type="dxa"/>
            <w:left w:w="108" w:type="dxa"/>
            <w:bottom w:w="0" w:type="dxa"/>
            <w:right w:w="108" w:type="dxa"/>
          </w:tblCellMar>
        </w:tblPrEx>
        <w:trPr>
          <w:trHeight w:val="870" w:hRule="atLeast"/>
        </w:trPr>
        <w:tc>
          <w:tcPr>
            <w:tcW w:w="268" w:type="pct"/>
            <w:tcBorders>
              <w:top w:val="nil"/>
              <w:left w:val="single" w:color="000000" w:sz="8" w:space="0"/>
              <w:bottom w:val="single" w:color="000000" w:sz="8" w:space="0"/>
              <w:right w:val="single" w:color="000000" w:sz="8" w:space="0"/>
            </w:tcBorders>
            <w:vAlign w:val="center"/>
          </w:tcPr>
          <w:p w14:paraId="50D55AE3">
            <w:pPr>
              <w:widowControl/>
              <w:jc w:val="center"/>
              <w:textAlignment w:val="center"/>
              <w:rPr>
                <w:color w:val="auto"/>
                <w:sz w:val="24"/>
              </w:rPr>
            </w:pPr>
            <w:r>
              <w:rPr>
                <w:rFonts w:hint="eastAsia"/>
                <w:color w:val="auto"/>
                <w:kern w:val="0"/>
                <w:sz w:val="24"/>
                <w:lang w:bidi="ar"/>
              </w:rPr>
              <w:t>11</w:t>
            </w:r>
          </w:p>
        </w:tc>
        <w:tc>
          <w:tcPr>
            <w:tcW w:w="547" w:type="pct"/>
            <w:tcBorders>
              <w:top w:val="nil"/>
              <w:left w:val="nil"/>
              <w:bottom w:val="single" w:color="000000" w:sz="8" w:space="0"/>
              <w:right w:val="nil"/>
            </w:tcBorders>
            <w:vAlign w:val="center"/>
          </w:tcPr>
          <w:p w14:paraId="240CA12A">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法兰盘</w:t>
            </w:r>
          </w:p>
        </w:tc>
        <w:tc>
          <w:tcPr>
            <w:tcW w:w="4183" w:type="pct"/>
            <w:tcBorders>
              <w:top w:val="single" w:color="000000" w:sz="4" w:space="0"/>
              <w:left w:val="single" w:color="000000" w:sz="4" w:space="0"/>
              <w:bottom w:val="single" w:color="000000" w:sz="4" w:space="0"/>
              <w:right w:val="single" w:color="000000" w:sz="4" w:space="0"/>
            </w:tcBorders>
            <w:vAlign w:val="center"/>
          </w:tcPr>
          <w:p w14:paraId="138F94EA">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 光纤法兰盘；</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 电信级；</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 插损≤0.2db。</w:t>
            </w:r>
          </w:p>
        </w:tc>
      </w:tr>
      <w:tr w14:paraId="340F62B1">
        <w:tblPrEx>
          <w:tblCellMar>
            <w:top w:w="0" w:type="dxa"/>
            <w:left w:w="108" w:type="dxa"/>
            <w:bottom w:w="0" w:type="dxa"/>
            <w:right w:w="108" w:type="dxa"/>
          </w:tblCellMar>
        </w:tblPrEx>
        <w:trPr>
          <w:trHeight w:val="1725" w:hRule="atLeast"/>
        </w:trPr>
        <w:tc>
          <w:tcPr>
            <w:tcW w:w="268" w:type="pct"/>
            <w:tcBorders>
              <w:top w:val="nil"/>
              <w:left w:val="single" w:color="000000" w:sz="8" w:space="0"/>
              <w:bottom w:val="single" w:color="000000" w:sz="8" w:space="0"/>
              <w:right w:val="single" w:color="000000" w:sz="8" w:space="0"/>
            </w:tcBorders>
            <w:vAlign w:val="center"/>
          </w:tcPr>
          <w:p w14:paraId="59857ABF">
            <w:pPr>
              <w:widowControl/>
              <w:jc w:val="center"/>
              <w:textAlignment w:val="center"/>
              <w:rPr>
                <w:color w:val="auto"/>
                <w:sz w:val="24"/>
              </w:rPr>
            </w:pPr>
            <w:r>
              <w:rPr>
                <w:color w:val="auto"/>
                <w:kern w:val="0"/>
                <w:sz w:val="24"/>
                <w:lang w:bidi="ar"/>
              </w:rPr>
              <w:t>1</w:t>
            </w:r>
            <w:r>
              <w:rPr>
                <w:rFonts w:hint="eastAsia"/>
                <w:color w:val="auto"/>
                <w:kern w:val="0"/>
                <w:sz w:val="24"/>
                <w:lang w:bidi="ar"/>
              </w:rPr>
              <w:t>2</w:t>
            </w:r>
          </w:p>
        </w:tc>
        <w:tc>
          <w:tcPr>
            <w:tcW w:w="547" w:type="pct"/>
            <w:tcBorders>
              <w:top w:val="nil"/>
              <w:left w:val="nil"/>
              <w:bottom w:val="single" w:color="000000" w:sz="8" w:space="0"/>
              <w:right w:val="nil"/>
            </w:tcBorders>
            <w:vAlign w:val="center"/>
          </w:tcPr>
          <w:p w14:paraId="70C2CA66">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光端盒</w:t>
            </w:r>
          </w:p>
        </w:tc>
        <w:tc>
          <w:tcPr>
            <w:tcW w:w="4183" w:type="pct"/>
            <w:tcBorders>
              <w:top w:val="single" w:color="000000" w:sz="4" w:space="0"/>
              <w:left w:val="single" w:color="000000" w:sz="4" w:space="0"/>
              <w:bottom w:val="single" w:color="000000" w:sz="4" w:space="0"/>
              <w:right w:val="single" w:color="000000" w:sz="4" w:space="0"/>
            </w:tcBorders>
            <w:vAlign w:val="center"/>
          </w:tcPr>
          <w:p w14:paraId="7BDBA329">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1.19英寸机架式；</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2.高度1U光纤配线架；</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3.12芯；</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3.电信级；</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4.材质：冷轧板；</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5.开启方式：抽拉式开启。</w:t>
            </w:r>
          </w:p>
        </w:tc>
      </w:tr>
      <w:tr w14:paraId="0122E6C9">
        <w:tblPrEx>
          <w:tblCellMar>
            <w:top w:w="0" w:type="dxa"/>
            <w:left w:w="108" w:type="dxa"/>
            <w:bottom w:w="0" w:type="dxa"/>
            <w:right w:w="108" w:type="dxa"/>
          </w:tblCellMar>
        </w:tblPrEx>
        <w:trPr>
          <w:trHeight w:val="585" w:hRule="atLeast"/>
        </w:trPr>
        <w:tc>
          <w:tcPr>
            <w:tcW w:w="268" w:type="pct"/>
            <w:tcBorders>
              <w:top w:val="nil"/>
              <w:left w:val="single" w:color="000000" w:sz="8" w:space="0"/>
              <w:bottom w:val="single" w:color="000000" w:sz="8" w:space="0"/>
              <w:right w:val="single" w:color="000000" w:sz="8" w:space="0"/>
            </w:tcBorders>
            <w:vAlign w:val="center"/>
          </w:tcPr>
          <w:p w14:paraId="4D49F173">
            <w:pPr>
              <w:widowControl/>
              <w:jc w:val="center"/>
              <w:textAlignment w:val="center"/>
              <w:rPr>
                <w:color w:val="auto"/>
                <w:sz w:val="24"/>
              </w:rPr>
            </w:pPr>
            <w:r>
              <w:rPr>
                <w:color w:val="auto"/>
                <w:kern w:val="0"/>
                <w:sz w:val="24"/>
                <w:lang w:bidi="ar"/>
              </w:rPr>
              <w:t>1</w:t>
            </w:r>
            <w:r>
              <w:rPr>
                <w:rFonts w:hint="eastAsia"/>
                <w:color w:val="auto"/>
                <w:kern w:val="0"/>
                <w:sz w:val="24"/>
                <w:lang w:bidi="ar"/>
              </w:rPr>
              <w:t>3</w:t>
            </w:r>
          </w:p>
        </w:tc>
        <w:tc>
          <w:tcPr>
            <w:tcW w:w="547" w:type="pct"/>
            <w:tcBorders>
              <w:top w:val="nil"/>
              <w:left w:val="nil"/>
              <w:bottom w:val="single" w:color="000000" w:sz="8" w:space="0"/>
              <w:right w:val="nil"/>
            </w:tcBorders>
            <w:vAlign w:val="center"/>
          </w:tcPr>
          <w:p w14:paraId="28C097C1">
            <w:pPr>
              <w:widowControl/>
              <w:jc w:val="center"/>
              <w:textAlignment w:val="center"/>
              <w:rPr>
                <w:color w:val="auto"/>
                <w:sz w:val="24"/>
              </w:rPr>
            </w:pPr>
            <w:r>
              <w:rPr>
                <w:color w:val="auto"/>
                <w:kern w:val="0"/>
                <w:sz w:val="24"/>
                <w:lang w:bidi="ar"/>
              </w:rPr>
              <w:t>9U</w:t>
            </w:r>
            <w:r>
              <w:rPr>
                <w:rFonts w:hint="eastAsia" w:ascii="宋体" w:hAnsi="宋体" w:cs="宋体"/>
                <w:color w:val="auto"/>
                <w:kern w:val="0"/>
                <w:sz w:val="24"/>
                <w:lang w:bidi="ar"/>
              </w:rPr>
              <w:t>机柜</w:t>
            </w:r>
          </w:p>
        </w:tc>
        <w:tc>
          <w:tcPr>
            <w:tcW w:w="4183" w:type="pct"/>
            <w:tcBorders>
              <w:top w:val="single" w:color="000000" w:sz="4" w:space="0"/>
              <w:left w:val="single" w:color="000000" w:sz="4" w:space="0"/>
              <w:bottom w:val="single" w:color="000000" w:sz="4" w:space="0"/>
              <w:right w:val="single" w:color="000000" w:sz="4" w:space="0"/>
            </w:tcBorders>
            <w:vAlign w:val="center"/>
          </w:tcPr>
          <w:p w14:paraId="7F8A8BD2">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1.19英寸；</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2.9U。</w:t>
            </w:r>
          </w:p>
        </w:tc>
      </w:tr>
      <w:tr w14:paraId="59D1AF6D">
        <w:tblPrEx>
          <w:tblCellMar>
            <w:top w:w="0" w:type="dxa"/>
            <w:left w:w="108" w:type="dxa"/>
            <w:bottom w:w="0" w:type="dxa"/>
            <w:right w:w="108" w:type="dxa"/>
          </w:tblCellMar>
        </w:tblPrEx>
        <w:trPr>
          <w:trHeight w:val="870" w:hRule="atLeast"/>
        </w:trPr>
        <w:tc>
          <w:tcPr>
            <w:tcW w:w="268" w:type="pct"/>
            <w:tcBorders>
              <w:top w:val="nil"/>
              <w:left w:val="single" w:color="000000" w:sz="8" w:space="0"/>
              <w:bottom w:val="single" w:color="000000" w:sz="8" w:space="0"/>
              <w:right w:val="single" w:color="000000" w:sz="8" w:space="0"/>
            </w:tcBorders>
            <w:vAlign w:val="center"/>
          </w:tcPr>
          <w:p w14:paraId="32FC6B49">
            <w:pPr>
              <w:widowControl/>
              <w:jc w:val="center"/>
              <w:textAlignment w:val="center"/>
              <w:rPr>
                <w:color w:val="auto"/>
                <w:sz w:val="24"/>
              </w:rPr>
            </w:pPr>
            <w:r>
              <w:rPr>
                <w:color w:val="auto"/>
                <w:kern w:val="0"/>
                <w:sz w:val="24"/>
                <w:lang w:bidi="ar"/>
              </w:rPr>
              <w:t>1</w:t>
            </w:r>
            <w:r>
              <w:rPr>
                <w:rFonts w:hint="eastAsia"/>
                <w:color w:val="auto"/>
                <w:kern w:val="0"/>
                <w:sz w:val="24"/>
                <w:lang w:bidi="ar"/>
              </w:rPr>
              <w:t>4</w:t>
            </w:r>
          </w:p>
        </w:tc>
        <w:tc>
          <w:tcPr>
            <w:tcW w:w="547" w:type="pct"/>
            <w:tcBorders>
              <w:top w:val="nil"/>
              <w:left w:val="nil"/>
              <w:bottom w:val="single" w:color="000000" w:sz="8" w:space="0"/>
              <w:right w:val="nil"/>
            </w:tcBorders>
            <w:vAlign w:val="center"/>
          </w:tcPr>
          <w:p w14:paraId="18ACA731">
            <w:pPr>
              <w:widowControl/>
              <w:jc w:val="center"/>
              <w:textAlignment w:val="center"/>
              <w:rPr>
                <w:color w:val="auto"/>
                <w:sz w:val="24"/>
              </w:rPr>
            </w:pPr>
            <w:r>
              <w:rPr>
                <w:color w:val="auto"/>
                <w:kern w:val="0"/>
                <w:sz w:val="24"/>
                <w:lang w:bidi="ar"/>
              </w:rPr>
              <w:t>42U</w:t>
            </w:r>
            <w:r>
              <w:rPr>
                <w:rFonts w:hint="eastAsia" w:ascii="宋体" w:hAnsi="宋体" w:cs="宋体"/>
                <w:color w:val="auto"/>
                <w:kern w:val="0"/>
                <w:sz w:val="24"/>
                <w:lang w:bidi="ar"/>
              </w:rPr>
              <w:t>机柜</w:t>
            </w:r>
          </w:p>
        </w:tc>
        <w:tc>
          <w:tcPr>
            <w:tcW w:w="4183" w:type="pct"/>
            <w:tcBorders>
              <w:top w:val="single" w:color="000000" w:sz="4" w:space="0"/>
              <w:left w:val="single" w:color="000000" w:sz="4" w:space="0"/>
              <w:bottom w:val="single" w:color="000000" w:sz="4" w:space="0"/>
              <w:right w:val="single" w:color="000000" w:sz="4" w:space="0"/>
            </w:tcBorders>
            <w:vAlign w:val="center"/>
          </w:tcPr>
          <w:p w14:paraId="3296AF59">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1.42U网络机柜;</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2.至少1个8位10APDU插排；</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3.固定板至少3块。</w:t>
            </w:r>
          </w:p>
        </w:tc>
      </w:tr>
      <w:tr w14:paraId="202E3EFF">
        <w:tblPrEx>
          <w:tblCellMar>
            <w:top w:w="0" w:type="dxa"/>
            <w:left w:w="108" w:type="dxa"/>
            <w:bottom w:w="0" w:type="dxa"/>
            <w:right w:w="108" w:type="dxa"/>
          </w:tblCellMar>
        </w:tblPrEx>
        <w:trPr>
          <w:trHeight w:val="585" w:hRule="atLeast"/>
        </w:trPr>
        <w:tc>
          <w:tcPr>
            <w:tcW w:w="268" w:type="pct"/>
            <w:tcBorders>
              <w:top w:val="nil"/>
              <w:left w:val="single" w:color="000000" w:sz="8" w:space="0"/>
              <w:bottom w:val="single" w:color="000000" w:sz="8" w:space="0"/>
              <w:right w:val="single" w:color="000000" w:sz="8" w:space="0"/>
            </w:tcBorders>
            <w:vAlign w:val="center"/>
          </w:tcPr>
          <w:p w14:paraId="5C43D2BB">
            <w:pPr>
              <w:widowControl/>
              <w:jc w:val="center"/>
              <w:textAlignment w:val="center"/>
              <w:rPr>
                <w:color w:val="auto"/>
                <w:sz w:val="24"/>
              </w:rPr>
            </w:pPr>
            <w:r>
              <w:rPr>
                <w:rFonts w:hint="eastAsia"/>
                <w:color w:val="auto"/>
                <w:kern w:val="0"/>
                <w:sz w:val="24"/>
                <w:lang w:bidi="ar"/>
              </w:rPr>
              <w:t>15</w:t>
            </w:r>
          </w:p>
        </w:tc>
        <w:tc>
          <w:tcPr>
            <w:tcW w:w="547" w:type="pct"/>
            <w:tcBorders>
              <w:top w:val="nil"/>
              <w:left w:val="nil"/>
              <w:bottom w:val="single" w:color="000000" w:sz="8" w:space="0"/>
              <w:right w:val="nil"/>
            </w:tcBorders>
            <w:vAlign w:val="center"/>
          </w:tcPr>
          <w:p w14:paraId="30F84845">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插排</w:t>
            </w:r>
          </w:p>
        </w:tc>
        <w:tc>
          <w:tcPr>
            <w:tcW w:w="4183" w:type="pct"/>
            <w:tcBorders>
              <w:top w:val="single" w:color="000000" w:sz="4" w:space="0"/>
              <w:left w:val="single" w:color="000000" w:sz="4" w:space="0"/>
              <w:bottom w:val="single" w:color="000000" w:sz="4" w:space="0"/>
              <w:right w:val="single" w:color="000000" w:sz="4" w:space="0"/>
            </w:tcBorders>
            <w:vAlign w:val="center"/>
          </w:tcPr>
          <w:p w14:paraId="3FF94DF7">
            <w:pPr>
              <w:widowControl/>
              <w:numPr>
                <w:ilvl w:val="0"/>
                <w:numId w:val="2"/>
              </w:numPr>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≥6孔；</w:t>
            </w:r>
          </w:p>
          <w:p w14:paraId="5A30E0D5">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2.≥10A。</w:t>
            </w:r>
          </w:p>
        </w:tc>
      </w:tr>
      <w:tr w14:paraId="2C45E08C">
        <w:tblPrEx>
          <w:tblCellMar>
            <w:top w:w="0" w:type="dxa"/>
            <w:left w:w="108" w:type="dxa"/>
            <w:bottom w:w="0" w:type="dxa"/>
            <w:right w:w="108" w:type="dxa"/>
          </w:tblCellMar>
        </w:tblPrEx>
        <w:trPr>
          <w:trHeight w:val="585" w:hRule="atLeast"/>
        </w:trPr>
        <w:tc>
          <w:tcPr>
            <w:tcW w:w="268" w:type="pct"/>
            <w:tcBorders>
              <w:top w:val="nil"/>
              <w:left w:val="single" w:color="000000" w:sz="8" w:space="0"/>
              <w:bottom w:val="single" w:color="auto" w:sz="4" w:space="0"/>
              <w:right w:val="single" w:color="000000" w:sz="8" w:space="0"/>
            </w:tcBorders>
            <w:vAlign w:val="center"/>
          </w:tcPr>
          <w:p w14:paraId="29337A87">
            <w:pPr>
              <w:widowControl/>
              <w:jc w:val="center"/>
              <w:textAlignment w:val="center"/>
              <w:rPr>
                <w:color w:val="auto"/>
                <w:kern w:val="0"/>
                <w:sz w:val="24"/>
                <w:lang w:bidi="ar"/>
              </w:rPr>
            </w:pPr>
            <w:r>
              <w:rPr>
                <w:rFonts w:hint="eastAsia"/>
                <w:color w:val="auto"/>
                <w:kern w:val="0"/>
                <w:sz w:val="24"/>
                <w:lang w:bidi="ar"/>
              </w:rPr>
              <w:t>16</w:t>
            </w:r>
          </w:p>
        </w:tc>
        <w:tc>
          <w:tcPr>
            <w:tcW w:w="547" w:type="pct"/>
            <w:tcBorders>
              <w:top w:val="nil"/>
              <w:left w:val="nil"/>
              <w:bottom w:val="single" w:color="auto" w:sz="4" w:space="0"/>
              <w:right w:val="nil"/>
            </w:tcBorders>
            <w:vAlign w:val="center"/>
          </w:tcPr>
          <w:p w14:paraId="36F0683B">
            <w:pPr>
              <w:widowControl/>
              <w:jc w:val="center"/>
              <w:textAlignment w:val="center"/>
              <w:rPr>
                <w:rFonts w:hint="eastAsia" w:ascii="宋体" w:hAnsi="宋体" w:cs="宋体"/>
                <w:color w:val="auto"/>
                <w:kern w:val="0"/>
                <w:sz w:val="24"/>
                <w:lang w:bidi="ar"/>
              </w:rPr>
            </w:pPr>
            <w:r>
              <w:rPr>
                <w:rFonts w:hint="eastAsia" w:ascii="宋体" w:hAnsi="宋体" w:cs="宋体"/>
                <w:color w:val="auto"/>
                <w:kern w:val="0"/>
                <w:sz w:val="24"/>
                <w:lang w:bidi="ar"/>
              </w:rPr>
              <w:t>2*1.5电源线</w:t>
            </w:r>
          </w:p>
        </w:tc>
        <w:tc>
          <w:tcPr>
            <w:tcW w:w="4183" w:type="pct"/>
            <w:tcBorders>
              <w:top w:val="single" w:color="000000" w:sz="4" w:space="0"/>
              <w:left w:val="single" w:color="000000" w:sz="4" w:space="0"/>
              <w:bottom w:val="single" w:color="auto" w:sz="4" w:space="0"/>
              <w:right w:val="single" w:color="000000" w:sz="4" w:space="0"/>
            </w:tcBorders>
            <w:vAlign w:val="center"/>
          </w:tcPr>
          <w:p w14:paraId="3FDB7B72">
            <w:pPr>
              <w:widowControl/>
              <w:tabs>
                <w:tab w:val="left" w:pos="312"/>
              </w:tabs>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导体规格：2 芯设计，单芯导体截面 1.5mm²， 24/0.25mm 铜丝绞合</w:t>
            </w:r>
          </w:p>
          <w:p w14:paraId="621BA059">
            <w:pPr>
              <w:widowControl/>
              <w:tabs>
                <w:tab w:val="left" w:pos="312"/>
              </w:tabs>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额定电压：常规为 450/750V（交流）</w:t>
            </w:r>
          </w:p>
          <w:p w14:paraId="58E371AA">
            <w:pPr>
              <w:widowControl/>
              <w:tabs>
                <w:tab w:val="left" w:pos="312"/>
              </w:tabs>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载流量：明敷（25℃环境）约 20-25A，穿管敷设（多根并列）约 14-18A</w:t>
            </w:r>
          </w:p>
          <w:p w14:paraId="288C5FD9">
            <w:pPr>
              <w:widowControl/>
              <w:tabs>
                <w:tab w:val="left" w:pos="312"/>
              </w:tabs>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 xml:space="preserve">直流电阻：20℃时，单芯导体直流电阻≤12.1Ω/km </w:t>
            </w:r>
          </w:p>
        </w:tc>
      </w:tr>
      <w:tr w14:paraId="266B5754">
        <w:tblPrEx>
          <w:tblCellMar>
            <w:top w:w="0" w:type="dxa"/>
            <w:left w:w="108" w:type="dxa"/>
            <w:bottom w:w="0" w:type="dxa"/>
            <w:right w:w="108" w:type="dxa"/>
          </w:tblCellMar>
        </w:tblPrEx>
        <w:trPr>
          <w:trHeight w:val="585" w:hRule="atLeast"/>
        </w:trPr>
        <w:tc>
          <w:tcPr>
            <w:tcW w:w="268" w:type="pct"/>
            <w:tcBorders>
              <w:top w:val="single" w:color="auto" w:sz="4" w:space="0"/>
              <w:left w:val="single" w:color="auto" w:sz="4" w:space="0"/>
              <w:bottom w:val="single" w:color="auto" w:sz="4" w:space="0"/>
              <w:right w:val="single" w:color="000000" w:sz="8" w:space="0"/>
            </w:tcBorders>
            <w:vAlign w:val="center"/>
          </w:tcPr>
          <w:p w14:paraId="0FC43719">
            <w:pPr>
              <w:widowControl/>
              <w:jc w:val="center"/>
              <w:textAlignment w:val="center"/>
              <w:rPr>
                <w:color w:val="auto"/>
                <w:kern w:val="0"/>
                <w:sz w:val="24"/>
                <w:lang w:bidi="ar"/>
              </w:rPr>
            </w:pPr>
            <w:r>
              <w:rPr>
                <w:rFonts w:hint="eastAsia"/>
                <w:color w:val="auto"/>
                <w:kern w:val="0"/>
                <w:sz w:val="24"/>
                <w:lang w:bidi="ar"/>
              </w:rPr>
              <w:t>17</w:t>
            </w:r>
          </w:p>
        </w:tc>
        <w:tc>
          <w:tcPr>
            <w:tcW w:w="547" w:type="pct"/>
            <w:tcBorders>
              <w:top w:val="single" w:color="auto" w:sz="4" w:space="0"/>
              <w:left w:val="nil"/>
              <w:bottom w:val="single" w:color="auto" w:sz="4" w:space="0"/>
              <w:right w:val="nil"/>
            </w:tcBorders>
            <w:vAlign w:val="center"/>
          </w:tcPr>
          <w:p w14:paraId="7582848F">
            <w:pPr>
              <w:widowControl/>
              <w:jc w:val="center"/>
              <w:textAlignment w:val="center"/>
              <w:rPr>
                <w:rFonts w:hint="eastAsia" w:ascii="宋体" w:hAnsi="宋体" w:cs="宋体"/>
                <w:color w:val="auto"/>
                <w:kern w:val="0"/>
                <w:sz w:val="24"/>
                <w:lang w:bidi="ar"/>
              </w:rPr>
            </w:pPr>
            <w:r>
              <w:rPr>
                <w:rFonts w:hint="eastAsia" w:ascii="宋体" w:hAnsi="宋体" w:cs="宋体"/>
                <w:color w:val="auto"/>
                <w:kern w:val="0"/>
                <w:sz w:val="24"/>
                <w:lang w:bidi="ar"/>
              </w:rPr>
              <w:t>8芯光缆</w:t>
            </w:r>
          </w:p>
        </w:tc>
        <w:tc>
          <w:tcPr>
            <w:tcW w:w="4183" w:type="pct"/>
            <w:tcBorders>
              <w:top w:val="single" w:color="auto" w:sz="4" w:space="0"/>
              <w:left w:val="single" w:color="000000" w:sz="4" w:space="0"/>
              <w:bottom w:val="single" w:color="auto" w:sz="4" w:space="0"/>
              <w:right w:val="single" w:color="auto" w:sz="4" w:space="0"/>
            </w:tcBorders>
            <w:vAlign w:val="center"/>
          </w:tcPr>
          <w:p w14:paraId="2B2450EB">
            <w:pPr>
              <w:widowControl/>
              <w:tabs>
                <w:tab w:val="left" w:pos="312"/>
              </w:tabs>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1.光纤类型： G.652D，纤芯直径 9μm，包层直径 125μm，即 9/125μm 标准规格。</w:t>
            </w:r>
          </w:p>
          <w:p w14:paraId="2B4121A9">
            <w:pPr>
              <w:widowControl/>
              <w:tabs>
                <w:tab w:val="left" w:pos="312"/>
              </w:tabs>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 xml:space="preserve">2.工作波长： ≥1310nm </w:t>
            </w:r>
          </w:p>
          <w:p w14:paraId="7CB52582">
            <w:pPr>
              <w:widowControl/>
              <w:tabs>
                <w:tab w:val="left" w:pos="312"/>
              </w:tabs>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衰减系数：1310nm 窗口≤0.36dB/km</w:t>
            </w:r>
          </w:p>
          <w:p w14:paraId="4C6CF99E">
            <w:pPr>
              <w:widowControl/>
              <w:tabs>
                <w:tab w:val="left" w:pos="312"/>
              </w:tabs>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色散系数：</w:t>
            </w:r>
            <w:r>
              <w:rPr>
                <w:rFonts w:ascii="宋体" w:hAnsi="宋体" w:cs="宋体"/>
                <w:color w:val="auto"/>
                <w:kern w:val="0"/>
                <w:sz w:val="24"/>
                <w:lang w:bidi="ar"/>
              </w:rPr>
              <w:t xml:space="preserve">1310nm </w:t>
            </w:r>
            <w:r>
              <w:rPr>
                <w:rFonts w:hint="eastAsia" w:ascii="宋体" w:hAnsi="宋体" w:cs="宋体"/>
                <w:color w:val="auto"/>
                <w:kern w:val="0"/>
                <w:sz w:val="24"/>
                <w:lang w:bidi="ar"/>
              </w:rPr>
              <w:t xml:space="preserve">窗口零色散 </w:t>
            </w:r>
          </w:p>
          <w:p w14:paraId="0BB0F2F3">
            <w:pPr>
              <w:widowControl/>
              <w:tabs>
                <w:tab w:val="left" w:pos="312"/>
              </w:tabs>
              <w:jc w:val="left"/>
              <w:textAlignment w:val="center"/>
              <w:rPr>
                <w:rFonts w:hint="eastAsia" w:ascii="宋体" w:hAnsi="宋体" w:cs="宋体"/>
                <w:color w:val="auto"/>
                <w:kern w:val="0"/>
                <w:sz w:val="24"/>
                <w:lang w:bidi="ar"/>
              </w:rPr>
            </w:pPr>
            <w:r>
              <w:rPr>
                <w:rFonts w:ascii="宋体" w:hAnsi="宋体" w:cs="宋体"/>
                <w:color w:val="auto"/>
                <w:kern w:val="0"/>
                <w:sz w:val="24"/>
                <w:lang w:bidi="ar"/>
              </w:rPr>
              <w:t>工作温度：室内光缆 - 20℃~+60℃。</w:t>
            </w:r>
          </w:p>
          <w:p w14:paraId="1E6511DF">
            <w:pPr>
              <w:widowControl/>
              <w:tabs>
                <w:tab w:val="left" w:pos="312"/>
              </w:tabs>
              <w:jc w:val="left"/>
              <w:textAlignment w:val="center"/>
              <w:rPr>
                <w:rFonts w:hint="eastAsia" w:ascii="宋体" w:hAnsi="宋体" w:cs="宋体"/>
                <w:color w:val="auto"/>
                <w:kern w:val="0"/>
                <w:sz w:val="24"/>
                <w:lang w:bidi="ar"/>
              </w:rPr>
            </w:pPr>
          </w:p>
        </w:tc>
      </w:tr>
      <w:tr w14:paraId="5267CD00">
        <w:tblPrEx>
          <w:tblCellMar>
            <w:top w:w="0" w:type="dxa"/>
            <w:left w:w="108" w:type="dxa"/>
            <w:bottom w:w="0" w:type="dxa"/>
            <w:right w:w="108" w:type="dxa"/>
          </w:tblCellMar>
        </w:tblPrEx>
        <w:trPr>
          <w:trHeight w:val="585" w:hRule="atLeast"/>
        </w:trPr>
        <w:tc>
          <w:tcPr>
            <w:tcW w:w="268" w:type="pct"/>
            <w:tcBorders>
              <w:top w:val="single" w:color="auto" w:sz="4" w:space="0"/>
              <w:left w:val="single" w:color="000000" w:sz="8" w:space="0"/>
              <w:bottom w:val="single" w:color="000000" w:sz="8" w:space="0"/>
              <w:right w:val="single" w:color="000000" w:sz="8" w:space="0"/>
            </w:tcBorders>
            <w:vAlign w:val="center"/>
          </w:tcPr>
          <w:p w14:paraId="7F01F7A5">
            <w:pPr>
              <w:widowControl/>
              <w:jc w:val="center"/>
              <w:textAlignment w:val="center"/>
              <w:rPr>
                <w:color w:val="auto"/>
                <w:kern w:val="0"/>
                <w:sz w:val="24"/>
                <w:lang w:bidi="ar"/>
              </w:rPr>
            </w:pPr>
            <w:r>
              <w:rPr>
                <w:rFonts w:hint="eastAsia"/>
                <w:color w:val="auto"/>
                <w:kern w:val="0"/>
                <w:sz w:val="24"/>
                <w:lang w:bidi="ar"/>
              </w:rPr>
              <w:t>18</w:t>
            </w:r>
          </w:p>
        </w:tc>
        <w:tc>
          <w:tcPr>
            <w:tcW w:w="547" w:type="pct"/>
            <w:tcBorders>
              <w:top w:val="single" w:color="auto" w:sz="4" w:space="0"/>
              <w:left w:val="nil"/>
              <w:bottom w:val="single" w:color="000000" w:sz="8" w:space="0"/>
              <w:right w:val="nil"/>
            </w:tcBorders>
            <w:vAlign w:val="center"/>
          </w:tcPr>
          <w:p w14:paraId="098675BF">
            <w:pPr>
              <w:widowControl/>
              <w:jc w:val="center"/>
              <w:textAlignment w:val="center"/>
              <w:rPr>
                <w:rFonts w:hint="eastAsia" w:ascii="宋体" w:hAnsi="宋体" w:cs="宋体"/>
                <w:color w:val="auto"/>
                <w:kern w:val="0"/>
                <w:sz w:val="24"/>
                <w:lang w:bidi="ar"/>
              </w:rPr>
            </w:pPr>
            <w:r>
              <w:rPr>
                <w:rFonts w:hint="eastAsia" w:ascii="宋体" w:hAnsi="宋体" w:cs="宋体"/>
                <w:color w:val="auto"/>
                <w:kern w:val="0"/>
                <w:sz w:val="24"/>
                <w:lang w:bidi="ar"/>
              </w:rPr>
              <w:t>6类网线</w:t>
            </w:r>
          </w:p>
        </w:tc>
        <w:tc>
          <w:tcPr>
            <w:tcW w:w="4183" w:type="pct"/>
            <w:tcBorders>
              <w:top w:val="single" w:color="auto" w:sz="4" w:space="0"/>
              <w:left w:val="single" w:color="000000" w:sz="4" w:space="0"/>
              <w:bottom w:val="single" w:color="000000" w:sz="4" w:space="0"/>
              <w:right w:val="single" w:color="000000" w:sz="4" w:space="0"/>
            </w:tcBorders>
            <w:vAlign w:val="center"/>
          </w:tcPr>
          <w:p w14:paraId="065FDD28">
            <w:pPr>
              <w:widowControl/>
              <w:tabs>
                <w:tab w:val="left" w:pos="312"/>
              </w:tabs>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带宽：支持 250MHz，满足千兆以太网（1000Base-T）需求。</w:t>
            </w:r>
          </w:p>
          <w:p w14:paraId="26B406EC">
            <w:pPr>
              <w:widowControl/>
              <w:tabs>
                <w:tab w:val="left" w:pos="312"/>
              </w:tabs>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传输速率：最高支持 1000Mbps（千兆）</w:t>
            </w:r>
          </w:p>
          <w:p w14:paraId="637A58D5">
            <w:pPr>
              <w:widowControl/>
              <w:tabs>
                <w:tab w:val="left" w:pos="312"/>
              </w:tabs>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衰减：250MHz 下，100 米链路衰减≤24.0dB（20℃标准环境）。</w:t>
            </w:r>
          </w:p>
          <w:p w14:paraId="67AEE00F">
            <w:pPr>
              <w:widowControl/>
              <w:tabs>
                <w:tab w:val="left" w:pos="312"/>
              </w:tabs>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串扰：近端串扰（NEXT）≥39.9dB，远端串扰（FEXT）≥36.6dB（250MHz 时），抗干扰能力优于五类。</w:t>
            </w:r>
          </w:p>
          <w:p w14:paraId="3AD682E1">
            <w:pPr>
              <w:widowControl/>
              <w:tabs>
                <w:tab w:val="left" w:pos="312"/>
              </w:tabs>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回波损耗：≥12.0dB（250MHz 时），减少信号反射影响。</w:t>
            </w:r>
          </w:p>
        </w:tc>
      </w:tr>
      <w:tr w14:paraId="446A0A89">
        <w:tblPrEx>
          <w:tblCellMar>
            <w:top w:w="0" w:type="dxa"/>
            <w:left w:w="108" w:type="dxa"/>
            <w:bottom w:w="0" w:type="dxa"/>
            <w:right w:w="108" w:type="dxa"/>
          </w:tblCellMar>
        </w:tblPrEx>
        <w:trPr>
          <w:trHeight w:val="585" w:hRule="atLeast"/>
        </w:trPr>
        <w:tc>
          <w:tcPr>
            <w:tcW w:w="268" w:type="pct"/>
            <w:tcBorders>
              <w:top w:val="nil"/>
              <w:left w:val="single" w:color="000000" w:sz="8" w:space="0"/>
              <w:bottom w:val="single" w:color="000000" w:sz="8" w:space="0"/>
              <w:right w:val="single" w:color="000000" w:sz="8" w:space="0"/>
            </w:tcBorders>
            <w:vAlign w:val="center"/>
          </w:tcPr>
          <w:p w14:paraId="73305BFA">
            <w:pPr>
              <w:widowControl/>
              <w:jc w:val="center"/>
              <w:textAlignment w:val="center"/>
              <w:rPr>
                <w:color w:val="auto"/>
                <w:kern w:val="0"/>
                <w:sz w:val="24"/>
                <w:lang w:bidi="ar"/>
              </w:rPr>
            </w:pPr>
            <w:r>
              <w:rPr>
                <w:rFonts w:hint="eastAsia"/>
                <w:color w:val="auto"/>
                <w:kern w:val="0"/>
                <w:sz w:val="24"/>
                <w:lang w:bidi="ar"/>
              </w:rPr>
              <w:t>19</w:t>
            </w:r>
          </w:p>
        </w:tc>
        <w:tc>
          <w:tcPr>
            <w:tcW w:w="547" w:type="pct"/>
            <w:tcBorders>
              <w:top w:val="nil"/>
              <w:left w:val="nil"/>
              <w:bottom w:val="single" w:color="000000" w:sz="8" w:space="0"/>
              <w:right w:val="nil"/>
            </w:tcBorders>
            <w:vAlign w:val="center"/>
          </w:tcPr>
          <w:p w14:paraId="21458400">
            <w:pPr>
              <w:widowControl/>
              <w:jc w:val="center"/>
              <w:textAlignment w:val="center"/>
              <w:rPr>
                <w:rFonts w:hint="eastAsia" w:ascii="宋体" w:hAnsi="宋体" w:cs="宋体"/>
                <w:color w:val="auto"/>
                <w:kern w:val="0"/>
                <w:sz w:val="24"/>
                <w:lang w:bidi="ar"/>
              </w:rPr>
            </w:pPr>
            <w:r>
              <w:rPr>
                <w:rFonts w:hint="eastAsia" w:ascii="宋体" w:hAnsi="宋体" w:cs="宋体"/>
                <w:color w:val="auto"/>
                <w:kern w:val="0"/>
                <w:sz w:val="24"/>
                <w:lang w:bidi="ar"/>
              </w:rPr>
              <w:t>辅材</w:t>
            </w:r>
          </w:p>
        </w:tc>
        <w:tc>
          <w:tcPr>
            <w:tcW w:w="4183" w:type="pct"/>
            <w:tcBorders>
              <w:top w:val="single" w:color="000000" w:sz="4" w:space="0"/>
              <w:left w:val="single" w:color="000000" w:sz="4" w:space="0"/>
              <w:bottom w:val="single" w:color="000000" w:sz="4" w:space="0"/>
              <w:right w:val="single" w:color="000000" w:sz="4" w:space="0"/>
            </w:tcBorders>
            <w:vAlign w:val="center"/>
          </w:tcPr>
          <w:p w14:paraId="02E5C959">
            <w:pPr>
              <w:widowControl/>
              <w:tabs>
                <w:tab w:val="left" w:pos="312"/>
              </w:tabs>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包含胀塞、软管、线槽、网头、自攻钉等一切辅材。</w:t>
            </w:r>
          </w:p>
        </w:tc>
      </w:tr>
      <w:tr w14:paraId="579EF1F9">
        <w:tblPrEx>
          <w:tblCellMar>
            <w:top w:w="0" w:type="dxa"/>
            <w:left w:w="108" w:type="dxa"/>
            <w:bottom w:w="0" w:type="dxa"/>
            <w:right w:w="108" w:type="dxa"/>
          </w:tblCellMar>
        </w:tblPrEx>
        <w:trPr>
          <w:trHeight w:val="1344" w:hRule="atLeast"/>
        </w:trPr>
        <w:tc>
          <w:tcPr>
            <w:tcW w:w="268" w:type="pct"/>
            <w:tcBorders>
              <w:top w:val="single" w:color="000000" w:sz="8" w:space="0"/>
              <w:left w:val="single" w:color="000000" w:sz="8" w:space="0"/>
              <w:bottom w:val="single" w:color="000000" w:sz="8" w:space="0"/>
              <w:right w:val="single" w:color="000000" w:sz="8" w:space="0"/>
            </w:tcBorders>
            <w:noWrap/>
            <w:vAlign w:val="center"/>
          </w:tcPr>
          <w:p w14:paraId="3323143F">
            <w:pPr>
              <w:widowControl/>
              <w:jc w:val="center"/>
              <w:textAlignment w:val="center"/>
              <w:rPr>
                <w:color w:val="auto"/>
                <w:sz w:val="24"/>
              </w:rPr>
            </w:pPr>
            <w:r>
              <w:rPr>
                <w:rFonts w:hint="eastAsia"/>
                <w:color w:val="auto"/>
                <w:kern w:val="0"/>
                <w:sz w:val="24"/>
                <w:lang w:bidi="ar"/>
              </w:rPr>
              <w:t>20</w:t>
            </w:r>
          </w:p>
        </w:tc>
        <w:tc>
          <w:tcPr>
            <w:tcW w:w="547" w:type="pct"/>
            <w:tcBorders>
              <w:top w:val="single" w:color="000000" w:sz="8" w:space="0"/>
              <w:left w:val="single" w:color="000000" w:sz="8" w:space="0"/>
              <w:bottom w:val="single" w:color="000000" w:sz="8" w:space="0"/>
              <w:right w:val="single" w:color="000000" w:sz="8" w:space="0"/>
            </w:tcBorders>
            <w:noWrap/>
            <w:vAlign w:val="center"/>
          </w:tcPr>
          <w:p w14:paraId="63CC83A2">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视频监控专用大型园区核心交换机</w:t>
            </w:r>
          </w:p>
        </w:tc>
        <w:tc>
          <w:tcPr>
            <w:tcW w:w="4183" w:type="pct"/>
            <w:tcBorders>
              <w:top w:val="single" w:color="000000" w:sz="8" w:space="0"/>
              <w:left w:val="nil"/>
              <w:bottom w:val="single" w:color="000000" w:sz="8" w:space="0"/>
              <w:right w:val="single" w:color="000000" w:sz="8" w:space="0"/>
            </w:tcBorders>
            <w:noWrap/>
            <w:vAlign w:val="center"/>
          </w:tcPr>
          <w:p w14:paraId="37E2DA62">
            <w:pPr>
              <w:widowControl/>
              <w:textAlignment w:val="center"/>
              <w:rPr>
                <w:rFonts w:hint="eastAsia" w:ascii="宋体" w:hAnsi="宋体" w:cs="宋体"/>
                <w:color w:val="auto"/>
                <w:kern w:val="0"/>
                <w:sz w:val="24"/>
                <w:lang w:bidi="ar"/>
              </w:rPr>
            </w:pPr>
            <w:r>
              <w:rPr>
                <w:rFonts w:hint="eastAsia" w:ascii="宋体" w:hAnsi="宋体" w:cs="宋体"/>
                <w:color w:val="auto"/>
                <w:kern w:val="0"/>
                <w:sz w:val="24"/>
                <w:lang w:bidi="ar"/>
              </w:rPr>
              <w:t>1.交换容量：≥645Tbps/1935Tbps；包转发率：≥230400Mpps；</w:t>
            </w:r>
          </w:p>
          <w:p w14:paraId="14E0B719">
            <w:pPr>
              <w:widowControl/>
              <w:textAlignment w:val="center"/>
              <w:rPr>
                <w:rFonts w:hint="eastAsia" w:ascii="宋体" w:hAnsi="宋体" w:cs="宋体"/>
                <w:color w:val="auto"/>
                <w:sz w:val="24"/>
              </w:rPr>
            </w:pPr>
            <w:r>
              <w:rPr>
                <w:rFonts w:hint="eastAsia" w:ascii="宋体" w:hAnsi="宋体" w:cs="宋体"/>
                <w:color w:val="auto"/>
                <w:kern w:val="0"/>
                <w:sz w:val="24"/>
                <w:lang w:bidi="ar"/>
              </w:rPr>
              <w:t>2.整机槽位≥19个槽位，业务板槽位≥8，独立交换网板槽位≥6；</w:t>
            </w:r>
          </w:p>
          <w:p w14:paraId="0BDCF73A">
            <w:pPr>
              <w:widowControl/>
              <w:textAlignment w:val="center"/>
              <w:rPr>
                <w:rFonts w:hint="eastAsia" w:ascii="宋体" w:hAnsi="宋体" w:cs="宋体"/>
                <w:color w:val="auto"/>
                <w:sz w:val="24"/>
              </w:rPr>
            </w:pPr>
            <w:r>
              <w:rPr>
                <w:rFonts w:hint="eastAsia" w:ascii="宋体" w:hAnsi="宋体" w:cs="宋体"/>
                <w:color w:val="auto"/>
                <w:kern w:val="0"/>
                <w:sz w:val="24"/>
                <w:lang w:bidi="ar"/>
              </w:rPr>
              <w:t>3.本次配置电源板≥2、主控板≥2、风扇≥3；交换网板≥1；</w:t>
            </w:r>
          </w:p>
          <w:p w14:paraId="370527F0">
            <w:pPr>
              <w:widowControl/>
              <w:textAlignment w:val="center"/>
              <w:rPr>
                <w:rFonts w:hint="eastAsia" w:ascii="宋体" w:hAnsi="宋体" w:cs="宋体"/>
                <w:color w:val="auto"/>
                <w:sz w:val="24"/>
              </w:rPr>
            </w:pPr>
            <w:r>
              <w:rPr>
                <w:rFonts w:hint="eastAsia" w:ascii="宋体" w:hAnsi="宋体" w:cs="宋体"/>
                <w:color w:val="auto"/>
                <w:kern w:val="0"/>
                <w:sz w:val="24"/>
                <w:lang w:bidi="ar"/>
              </w:rPr>
              <w:t>4.本次配置≥2块≥48个千兆电口，≥4个万兆光口；</w:t>
            </w:r>
          </w:p>
          <w:p w14:paraId="5BDA010C">
            <w:pPr>
              <w:widowControl/>
              <w:textAlignment w:val="center"/>
              <w:rPr>
                <w:rFonts w:hint="eastAsia" w:ascii="宋体" w:hAnsi="宋体" w:cs="宋体"/>
                <w:color w:val="auto"/>
                <w:sz w:val="24"/>
              </w:rPr>
            </w:pPr>
            <w:r>
              <w:rPr>
                <w:rFonts w:hint="eastAsia" w:ascii="宋体" w:hAnsi="宋体" w:cs="宋体"/>
                <w:color w:val="auto"/>
                <w:kern w:val="0"/>
                <w:sz w:val="24"/>
                <w:lang w:bidi="ar"/>
              </w:rPr>
              <w:t>5.本次配置≥1块≥24个千兆电口，≥16个千兆光口，≥12个万兆光口</w:t>
            </w:r>
          </w:p>
          <w:p w14:paraId="5567018D">
            <w:pPr>
              <w:widowControl/>
              <w:textAlignment w:val="center"/>
              <w:rPr>
                <w:rFonts w:hint="eastAsia" w:ascii="宋体" w:hAnsi="宋体" w:cs="宋体"/>
                <w:color w:val="auto"/>
                <w:sz w:val="24"/>
              </w:rPr>
            </w:pPr>
            <w:r>
              <w:rPr>
                <w:rFonts w:hint="eastAsia" w:ascii="宋体" w:hAnsi="宋体" w:cs="宋体"/>
                <w:color w:val="auto"/>
                <w:kern w:val="0"/>
                <w:sz w:val="24"/>
                <w:lang w:bidi="ar"/>
              </w:rPr>
              <w:t>6.本次配置≥1块≥48个万兆光口；</w:t>
            </w:r>
          </w:p>
          <w:p w14:paraId="6BB3500B">
            <w:pPr>
              <w:widowControl/>
              <w:textAlignment w:val="center"/>
              <w:rPr>
                <w:rFonts w:hint="eastAsia" w:ascii="宋体" w:hAnsi="宋体" w:cs="宋体"/>
                <w:color w:val="auto"/>
                <w:sz w:val="24"/>
              </w:rPr>
            </w:pPr>
            <w:r>
              <w:rPr>
                <w:rFonts w:hint="eastAsia" w:ascii="宋体" w:hAnsi="宋体" w:cs="宋体"/>
                <w:color w:val="auto"/>
                <w:kern w:val="0"/>
                <w:sz w:val="24"/>
                <w:lang w:bidi="ar"/>
              </w:rPr>
              <w:t>7.▲支持千兆电口，千兆光口，万兆光口，25G光口，40G光口，100G光口（需提供第三方权威机构带章全套检测报告复印件证明并在检测报告中明确标明该项所在位置、页码）</w:t>
            </w:r>
          </w:p>
          <w:p w14:paraId="59129D52">
            <w:pPr>
              <w:widowControl/>
              <w:textAlignment w:val="center"/>
              <w:rPr>
                <w:rFonts w:hint="eastAsia" w:ascii="宋体" w:hAnsi="宋体" w:cs="宋体"/>
                <w:color w:val="auto"/>
                <w:sz w:val="24"/>
              </w:rPr>
            </w:pPr>
            <w:r>
              <w:rPr>
                <w:rFonts w:hint="eastAsia" w:ascii="宋体" w:hAnsi="宋体" w:cs="宋体"/>
                <w:color w:val="auto"/>
                <w:kern w:val="0"/>
                <w:sz w:val="24"/>
                <w:lang w:bidi="ar"/>
              </w:rPr>
              <w:t>8.支持正交无中板 CLOS 架构设计，支持主控、交换网板、业务板独立</w:t>
            </w:r>
          </w:p>
          <w:p w14:paraId="3A2A3F36">
            <w:pPr>
              <w:widowControl/>
              <w:textAlignment w:val="center"/>
              <w:rPr>
                <w:rFonts w:hint="eastAsia" w:ascii="宋体" w:hAnsi="宋体" w:cs="宋体"/>
                <w:color w:val="auto"/>
                <w:kern w:val="0"/>
                <w:sz w:val="24"/>
                <w:lang w:bidi="ar"/>
              </w:rPr>
            </w:pPr>
            <w:r>
              <w:rPr>
                <w:rFonts w:hint="eastAsia" w:ascii="宋体" w:hAnsi="宋体" w:cs="宋体"/>
                <w:color w:val="auto"/>
                <w:kern w:val="0"/>
                <w:sz w:val="24"/>
                <w:lang w:bidi="ar"/>
              </w:rPr>
              <w:t>9.10G/25G/40G/100G端口时延平均≤1us</w:t>
            </w:r>
          </w:p>
          <w:p w14:paraId="01C7CE17">
            <w:pPr>
              <w:widowControl/>
              <w:textAlignment w:val="center"/>
              <w:rPr>
                <w:rFonts w:hint="eastAsia" w:ascii="宋体" w:hAnsi="宋体" w:cs="宋体"/>
                <w:color w:val="auto"/>
                <w:sz w:val="24"/>
              </w:rPr>
            </w:pPr>
            <w:r>
              <w:rPr>
                <w:rFonts w:hint="eastAsia" w:ascii="宋体" w:hAnsi="宋体" w:cs="宋体"/>
                <w:color w:val="auto"/>
                <w:kern w:val="0"/>
                <w:sz w:val="24"/>
                <w:lang w:bidi="ar"/>
              </w:rPr>
              <w:t>10.单板40G端口数≥16；单板100G端口数≥16；单板可同时提供25G端口数和100G光口，且实际可用端口总数≥52</w:t>
            </w:r>
          </w:p>
          <w:p w14:paraId="693A092B">
            <w:pPr>
              <w:widowControl/>
              <w:textAlignment w:val="center"/>
              <w:rPr>
                <w:rFonts w:hint="eastAsia" w:ascii="宋体" w:hAnsi="宋体" w:cs="宋体"/>
                <w:color w:val="auto"/>
                <w:sz w:val="24"/>
              </w:rPr>
            </w:pPr>
            <w:r>
              <w:rPr>
                <w:rFonts w:hint="eastAsia" w:ascii="宋体" w:hAnsi="宋体" w:cs="宋体"/>
                <w:color w:val="auto"/>
                <w:kern w:val="0"/>
                <w:sz w:val="24"/>
                <w:lang w:bidi="ar"/>
              </w:rPr>
              <w:t>11.▲支持虚拟化功能，支持统一管理、故障收敛时间0ms等特性； 堆叠带宽能达到双向3.2Tbps，跨框转发平均时延≤2us</w:t>
            </w:r>
          </w:p>
          <w:p w14:paraId="727E9508">
            <w:pPr>
              <w:widowControl/>
              <w:textAlignment w:val="center"/>
              <w:rPr>
                <w:rFonts w:hint="eastAsia" w:ascii="宋体" w:hAnsi="宋体" w:cs="宋体"/>
                <w:color w:val="auto"/>
                <w:sz w:val="24"/>
              </w:rPr>
            </w:pPr>
            <w:r>
              <w:rPr>
                <w:rFonts w:hint="eastAsia" w:ascii="宋体" w:hAnsi="宋体" w:cs="宋体"/>
                <w:color w:val="auto"/>
                <w:kern w:val="0"/>
                <w:sz w:val="24"/>
                <w:lang w:bidi="ar"/>
              </w:rPr>
              <w:t>支持 MDC 虚拟化功能，通过该功能可以实现创建、删除、单板划入、划出虚拟交换机的特性，并且最大支持 9个虚拟交换机、规格表项叠加的特性（需提供第三方权威机构带章全套检测报告复印件证明并在检测报告中明确标明该项所在位置、页码）</w:t>
            </w:r>
          </w:p>
          <w:p w14:paraId="7D283FA6">
            <w:pPr>
              <w:widowControl/>
              <w:textAlignment w:val="center"/>
              <w:rPr>
                <w:rFonts w:hint="eastAsia" w:ascii="宋体" w:hAnsi="宋体" w:cs="宋体"/>
                <w:color w:val="auto"/>
                <w:sz w:val="24"/>
              </w:rPr>
            </w:pPr>
            <w:r>
              <w:rPr>
                <w:rFonts w:hint="eastAsia" w:ascii="宋体" w:hAnsi="宋体" w:cs="宋体"/>
                <w:color w:val="auto"/>
                <w:kern w:val="0"/>
                <w:sz w:val="24"/>
                <w:lang w:bidi="ar"/>
              </w:rPr>
              <w:t>12.支持VxLAN功能，支持VXLAN二三层互通，支持VxLAN OAM ping和tracert</w:t>
            </w:r>
          </w:p>
          <w:p w14:paraId="0C1ECB4E">
            <w:pPr>
              <w:widowControl/>
              <w:textAlignment w:val="center"/>
              <w:rPr>
                <w:rFonts w:hint="eastAsia" w:ascii="宋体" w:hAnsi="宋体" w:cs="宋体"/>
                <w:color w:val="auto"/>
                <w:sz w:val="24"/>
              </w:rPr>
            </w:pPr>
            <w:r>
              <w:rPr>
                <w:rFonts w:hint="eastAsia" w:ascii="宋体" w:hAnsi="宋体" w:cs="宋体"/>
                <w:color w:val="auto"/>
                <w:kern w:val="0"/>
                <w:sz w:val="24"/>
                <w:lang w:bidi="ar"/>
              </w:rPr>
              <w:t>13.支持IPv4\IPv6 BFD功能，支持与OSPF/v2/v3、VRRP联动，BFD 3ms最小探测间隔测试，平均收敛性能≤12ms</w:t>
            </w:r>
          </w:p>
          <w:p w14:paraId="146A1687">
            <w:pPr>
              <w:widowControl/>
              <w:textAlignment w:val="center"/>
              <w:rPr>
                <w:rFonts w:hint="eastAsia" w:ascii="宋体" w:hAnsi="宋体" w:cs="宋体"/>
                <w:color w:val="auto"/>
                <w:sz w:val="24"/>
              </w:rPr>
            </w:pPr>
            <w:r>
              <w:rPr>
                <w:rFonts w:hint="eastAsia" w:ascii="宋体" w:hAnsi="宋体" w:cs="宋体"/>
                <w:color w:val="auto"/>
                <w:kern w:val="0"/>
                <w:sz w:val="24"/>
                <w:lang w:bidi="ar"/>
              </w:rPr>
              <w:t>14.支持IPv6协议，支持IPv4和IPv6双协议栈；支持6over4 隧道，4over6 隧道。支持IPV4/IPv6策略路由</w:t>
            </w:r>
          </w:p>
          <w:p w14:paraId="44EEEC72">
            <w:pPr>
              <w:widowControl/>
              <w:textAlignment w:val="center"/>
              <w:rPr>
                <w:rFonts w:hint="eastAsia" w:ascii="宋体" w:hAnsi="宋体" w:cs="宋体"/>
                <w:color w:val="auto"/>
                <w:sz w:val="24"/>
              </w:rPr>
            </w:pPr>
            <w:r>
              <w:rPr>
                <w:rFonts w:hint="eastAsia" w:ascii="宋体" w:hAnsi="宋体" w:cs="宋体"/>
                <w:color w:val="auto"/>
                <w:kern w:val="0"/>
                <w:sz w:val="24"/>
                <w:lang w:bidi="ar"/>
              </w:rPr>
              <w:t>15.▲支持DRNI(M-LAG)跨设备链路聚合功能（需提供第三方权威机构带章全套检测报告复印件证明并在检测报告中明确标明该项所在位置、页码）</w:t>
            </w:r>
          </w:p>
          <w:p w14:paraId="1CF19C1F">
            <w:pPr>
              <w:widowControl/>
              <w:textAlignment w:val="center"/>
              <w:rPr>
                <w:rFonts w:hint="eastAsia" w:ascii="宋体" w:hAnsi="宋体" w:cs="宋体"/>
                <w:color w:val="auto"/>
                <w:sz w:val="24"/>
              </w:rPr>
            </w:pPr>
            <w:r>
              <w:rPr>
                <w:rFonts w:hint="eastAsia" w:ascii="宋体" w:hAnsi="宋体" w:cs="宋体"/>
                <w:color w:val="auto"/>
                <w:kern w:val="0"/>
                <w:sz w:val="24"/>
                <w:lang w:bidi="ar"/>
              </w:rPr>
              <w:t>16.支持NQA、iNQA(IPCA)功能。通过直接对业务报文进行标记的方法，实现对网络级和设备级的丢包统计</w:t>
            </w:r>
          </w:p>
          <w:p w14:paraId="7BFF0868">
            <w:pPr>
              <w:widowControl/>
              <w:textAlignment w:val="center"/>
              <w:rPr>
                <w:rFonts w:hint="eastAsia" w:ascii="宋体" w:hAnsi="宋体" w:cs="宋体"/>
                <w:color w:val="auto"/>
                <w:sz w:val="24"/>
              </w:rPr>
            </w:pPr>
            <w:r>
              <w:rPr>
                <w:rFonts w:hint="eastAsia" w:ascii="宋体" w:hAnsi="宋体" w:cs="宋体"/>
                <w:color w:val="auto"/>
                <w:kern w:val="0"/>
                <w:sz w:val="24"/>
                <w:lang w:bidi="ar"/>
              </w:rPr>
              <w:t>17.▲主控引擎支持集成硬件监控功能，能集中监控板卡、风扇、电源、环境等，无需单独配置硬件监控板卡（需提供第三方权威机构带章全套检测报告复印件证明并在检测报告中明确标明该项所在位置、页码）</w:t>
            </w:r>
          </w:p>
          <w:p w14:paraId="01F27200">
            <w:pPr>
              <w:widowControl/>
              <w:textAlignment w:val="center"/>
              <w:rPr>
                <w:rFonts w:hint="eastAsia" w:ascii="宋体" w:hAnsi="宋体" w:cs="宋体"/>
                <w:color w:val="auto"/>
                <w:sz w:val="24"/>
              </w:rPr>
            </w:pPr>
            <w:r>
              <w:rPr>
                <w:rFonts w:hint="eastAsia" w:ascii="宋体" w:hAnsi="宋体" w:cs="宋体"/>
                <w:color w:val="auto"/>
                <w:kern w:val="0"/>
                <w:sz w:val="24"/>
                <w:lang w:bidi="ar"/>
              </w:rPr>
              <w:t>18.ARP容量≥96K个，ARP学习速率≥1.6K个每秒</w:t>
            </w:r>
          </w:p>
          <w:p w14:paraId="4D0C12FC">
            <w:pPr>
              <w:widowControl/>
              <w:textAlignment w:val="center"/>
              <w:rPr>
                <w:rFonts w:hint="eastAsia" w:ascii="宋体" w:hAnsi="宋体" w:cs="宋体"/>
                <w:color w:val="auto"/>
                <w:sz w:val="24"/>
              </w:rPr>
            </w:pPr>
            <w:r>
              <w:rPr>
                <w:rFonts w:hint="eastAsia" w:ascii="宋体" w:hAnsi="宋体" w:cs="宋体"/>
                <w:color w:val="auto"/>
                <w:kern w:val="0"/>
                <w:sz w:val="24"/>
                <w:lang w:bidi="ar"/>
              </w:rPr>
              <w:t>19.支持的MAC容量≥500K个，MAC学习速率≥5.7K个每秒，支持的ACL条目容量≥26K</w:t>
            </w:r>
          </w:p>
          <w:p w14:paraId="63413519">
            <w:pPr>
              <w:widowControl/>
              <w:textAlignment w:val="center"/>
              <w:rPr>
                <w:rFonts w:hint="eastAsia" w:ascii="宋体" w:hAnsi="宋体" w:cs="宋体"/>
                <w:color w:val="auto"/>
                <w:sz w:val="24"/>
              </w:rPr>
            </w:pPr>
            <w:r>
              <w:rPr>
                <w:rFonts w:hint="eastAsia" w:ascii="宋体" w:hAnsi="宋体" w:cs="宋体"/>
                <w:color w:val="auto"/>
                <w:kern w:val="0"/>
                <w:sz w:val="24"/>
                <w:lang w:bidi="ar"/>
              </w:rPr>
              <w:t>20.支持的IPv4 FIB容量≥780K，支持IPv6 FIB容量≥260K，支持的IPv4组播路由容量≥4K个，支持的ND容量≥80K，支持的端口缓存≥27Mbytes</w:t>
            </w:r>
          </w:p>
        </w:tc>
      </w:tr>
    </w:tbl>
    <w:p w14:paraId="07B5BAE5">
      <w:pPr>
        <w:rPr>
          <w:color w:val="auto"/>
        </w:rPr>
      </w:pPr>
    </w:p>
    <w:p w14:paraId="2D6C79E6">
      <w:pP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br w:type="page"/>
      </w:r>
    </w:p>
    <w:p w14:paraId="3E4F8AC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二标包：</w:t>
      </w: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410"/>
        <w:gridCol w:w="6409"/>
      </w:tblGrid>
      <w:tr w14:paraId="129CF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trPr>
        <w:tc>
          <w:tcPr>
            <w:tcW w:w="411" w:type="pct"/>
            <w:vAlign w:val="center"/>
          </w:tcPr>
          <w:p w14:paraId="73E2284A">
            <w:pPr>
              <w:widowControl/>
              <w:jc w:val="center"/>
              <w:textAlignment w:val="center"/>
              <w:rPr>
                <w:color w:val="auto"/>
                <w:sz w:val="24"/>
              </w:rPr>
            </w:pPr>
            <w:bookmarkStart w:id="3" w:name="_Hlk213507326"/>
            <w:r>
              <w:rPr>
                <w:color w:val="auto"/>
                <w:kern w:val="0"/>
                <w:sz w:val="24"/>
                <w:lang w:bidi="ar"/>
              </w:rPr>
              <w:t>1</w:t>
            </w:r>
          </w:p>
        </w:tc>
        <w:tc>
          <w:tcPr>
            <w:tcW w:w="827" w:type="pct"/>
            <w:vAlign w:val="center"/>
          </w:tcPr>
          <w:p w14:paraId="46309904">
            <w:pPr>
              <w:widowControl/>
              <w:jc w:val="center"/>
              <w:textAlignment w:val="center"/>
              <w:rPr>
                <w:color w:val="auto"/>
                <w:sz w:val="24"/>
              </w:rPr>
            </w:pPr>
            <w:r>
              <w:rPr>
                <w:color w:val="auto"/>
                <w:kern w:val="0"/>
                <w:sz w:val="24"/>
                <w:lang w:bidi="ar"/>
              </w:rPr>
              <w:t>400</w:t>
            </w:r>
            <w:r>
              <w:rPr>
                <w:rFonts w:hint="eastAsia" w:ascii="宋体" w:hAnsi="宋体" w:cs="宋体"/>
                <w:color w:val="auto"/>
                <w:kern w:val="0"/>
                <w:sz w:val="24"/>
                <w:lang w:bidi="ar"/>
              </w:rPr>
              <w:t>万智能半球网络摄像机</w:t>
            </w:r>
          </w:p>
        </w:tc>
        <w:tc>
          <w:tcPr>
            <w:tcW w:w="3760" w:type="pct"/>
            <w:vAlign w:val="center"/>
          </w:tcPr>
          <w:p w14:paraId="516B0B4A">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1.半球摄像机像素≥400万；</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2.半球摄像机分辨率≥2688×1520，分辨力≥1500TVL；</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3.半球摄像机传感器靶面尺寸：≥1/1.8"；</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4.为保证弱光成像效果，摄像机像元尺寸需≥2.9um×2.9um；</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5.摄像机内置麦克风需≥1个；</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6.为保证在低光照条件下仍能摄取清晰图像，摄像机最低照度：彩色≤0.001lx，黑白≤0.0001lx；</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7.针对走廊明暗反差较大的环境，为保证在非常强烈的对比光线下可以捕捉清晰的影像，半球摄像机宽动态能力需≥120dB；</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8.因环境不同，需要使用电动变焦镜头，镜头焦距需覆盖2.7mm～12mm；</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9.在夜间或其它光线不足情况下需要补光满足应用需求看清物体、人脸等，红外补光距离需≥50m；</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10.半球摄像机视频编码格式需支持H.265;H.264;MJPEG；</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11.▲人脸识别能力需支持检出两眼瞳距20像素点以上的人脸图片；（需提供第三方权威机构带章全套检测报告复印件证明并在检测报告中明确标明该项所在位置、页码）</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12.半球摄像机采用耐用又安全的金属外壳；</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13.为确保摄像机在遇到外界冲击时，其外壳能够保护内部组件不受损坏，摄像机防爆等级需≥IK10；</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14.支持本地SD卡存储，支持≥128G；当出现网络异常时可实现本地存储录像；</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15.具有≥1个RJ45网络接口，≥1路音频输入，≥1路音频输出，≥1个DC12V输出接口；</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16.供电方式：支持DC12V及POE供电，本项目采用POE供电；</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17.▲半球摄像机软件升级过程中断电,重新加电后可恢复到升级前的软件版本，保证摄像机不会因升级中途断电而导致无法使用；（需提供第三方权威机构带章全套检测报告复印件证明并在检测报告中明确标明该项所在位置、页码）</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18.由于走廊环境光线不均匀，半球摄像机需支持检出面部过曝、面部欠曝、阴阳脸、逆光等不同光照条件下的人脸；</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19.▲因所需监控核心设备均属于行业级设备，为了区别于民用级设备保证项目顺利交付，供应商需具备所投产品售后服务能力，所投产品需要提供三年质保说明及所投产品合法来源渠道说明并加盖厂家公章。</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20.★为满足平台对不同品牌接入，设备需支持接入标准:ONVIF协议、GB/T28181国标标准。（需供应商提供保证书并加盖公章）</w:t>
            </w:r>
          </w:p>
        </w:tc>
      </w:tr>
      <w:tr w14:paraId="557E2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411" w:type="pct"/>
            <w:vAlign w:val="center"/>
          </w:tcPr>
          <w:p w14:paraId="29F2FA64">
            <w:pPr>
              <w:widowControl/>
              <w:jc w:val="center"/>
              <w:textAlignment w:val="center"/>
              <w:rPr>
                <w:color w:val="auto"/>
                <w:sz w:val="24"/>
              </w:rPr>
            </w:pPr>
            <w:r>
              <w:rPr>
                <w:rFonts w:hint="eastAsia"/>
                <w:color w:val="auto"/>
                <w:kern w:val="0"/>
                <w:sz w:val="24"/>
                <w:lang w:bidi="ar"/>
              </w:rPr>
              <w:t>2</w:t>
            </w:r>
          </w:p>
        </w:tc>
        <w:tc>
          <w:tcPr>
            <w:tcW w:w="827" w:type="pct"/>
            <w:vAlign w:val="center"/>
          </w:tcPr>
          <w:p w14:paraId="697C852C">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监控存储专用硬盘</w:t>
            </w:r>
            <w:r>
              <w:rPr>
                <w:color w:val="auto"/>
                <w:kern w:val="0"/>
                <w:sz w:val="24"/>
                <w:lang w:bidi="ar"/>
              </w:rPr>
              <w:t>8TB</w:t>
            </w:r>
          </w:p>
        </w:tc>
        <w:tc>
          <w:tcPr>
            <w:tcW w:w="3760" w:type="pct"/>
            <w:vAlign w:val="center"/>
          </w:tcPr>
          <w:p w14:paraId="690DE7B0">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1.容量：≥8TB；</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2.接口：SATA 6Gb/s;</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3.规格：3.5英寸；</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4.缓存：≥512MB;</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5.性能级别：7200RPM；</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6.MTBF:≥250万小时；</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7.工作负载率：≥550TB/年。</w:t>
            </w:r>
          </w:p>
        </w:tc>
      </w:tr>
      <w:tr w14:paraId="5D1ED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0" w:hRule="atLeast"/>
        </w:trPr>
        <w:tc>
          <w:tcPr>
            <w:tcW w:w="411" w:type="pct"/>
            <w:vAlign w:val="center"/>
          </w:tcPr>
          <w:p w14:paraId="6438CDBF">
            <w:pPr>
              <w:widowControl/>
              <w:jc w:val="center"/>
              <w:textAlignment w:val="center"/>
              <w:rPr>
                <w:color w:val="auto"/>
                <w:sz w:val="24"/>
              </w:rPr>
            </w:pPr>
            <w:r>
              <w:rPr>
                <w:rFonts w:hint="eastAsia"/>
                <w:color w:val="auto"/>
                <w:kern w:val="0"/>
                <w:sz w:val="24"/>
                <w:lang w:bidi="ar"/>
              </w:rPr>
              <w:t>3</w:t>
            </w:r>
          </w:p>
        </w:tc>
        <w:tc>
          <w:tcPr>
            <w:tcW w:w="827" w:type="pct"/>
            <w:vAlign w:val="center"/>
          </w:tcPr>
          <w:p w14:paraId="723A057B">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智能视频存储计算服务器</w:t>
            </w:r>
            <w:r>
              <w:rPr>
                <w:color w:val="auto"/>
                <w:kern w:val="0"/>
                <w:sz w:val="24"/>
                <w:lang w:bidi="ar"/>
              </w:rPr>
              <w:t>24</w:t>
            </w:r>
            <w:r>
              <w:rPr>
                <w:rFonts w:hint="eastAsia" w:ascii="宋体" w:hAnsi="宋体" w:cs="宋体"/>
                <w:color w:val="auto"/>
                <w:kern w:val="0"/>
                <w:sz w:val="24"/>
                <w:lang w:bidi="ar"/>
              </w:rPr>
              <w:t>盘位</w:t>
            </w:r>
          </w:p>
        </w:tc>
        <w:tc>
          <w:tcPr>
            <w:tcW w:w="3760" w:type="pct"/>
            <w:vAlign w:val="center"/>
          </w:tcPr>
          <w:p w14:paraId="36F12B82">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1.存储接口及容量：≥24个SATA接口硬盘，可接入单盘≥20TB容量的SATA接口硬盘，支持硬盘热插拔；</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2.可接入≥200路网络视频信号；</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3.▲支持最大接入带宽768Mbps，最大存储带宽768Mbps，最大转发带宽768Mbps；（需提供第三方权威机构带章全套检测报告复印件证明并在检测报告中明确标明该项所在位置、页码）</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4.解码能力：≥12×1080P；</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5.显示能力：≥4K输出；</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6.RAID模式：RAID0、RAID1、RAID5、RAID6、RAID10；</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7.网口:≥2个，RJ4510M/100M/1000M自适应以太网电口；</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8.支持HDMI、VGA等视频信号输出；</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9.支持eSATA接口；</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10.设备支持分组管理，支持将接入的视频通道按分组管理；支持以分组方式进行预览、回放和检索；自定义视图支持以分组方式拖动通道进行配置；</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11.支持≥64个分屏预览；用户可自定义画面分屏；</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12.支持可插拔式电源模块，并且冗余电源模块可热插拔；</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13. ▲因所需监控核心设备均属于行业级设备，为了区别于民用级设备保证项目顺利交付，供应商需具备所投产品售后服务能力，所投产品需要提供三年质保说明及所投产品合法来源渠道说明并加盖厂家公章。</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14.★可接入支持ONVIF协议、GB/T28181协议的设备。（需供应商提供保证书并加盖公章）</w:t>
            </w:r>
          </w:p>
        </w:tc>
      </w:tr>
      <w:tr w14:paraId="0EE28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411" w:type="pct"/>
            <w:vAlign w:val="center"/>
          </w:tcPr>
          <w:p w14:paraId="03F9AAB8">
            <w:pPr>
              <w:widowControl/>
              <w:jc w:val="center"/>
              <w:textAlignment w:val="center"/>
              <w:rPr>
                <w:color w:val="auto"/>
                <w:sz w:val="24"/>
              </w:rPr>
            </w:pPr>
            <w:r>
              <w:rPr>
                <w:rFonts w:hint="eastAsia"/>
                <w:color w:val="auto"/>
                <w:kern w:val="0"/>
                <w:sz w:val="24"/>
                <w:lang w:bidi="ar"/>
              </w:rPr>
              <w:t>4</w:t>
            </w:r>
          </w:p>
        </w:tc>
        <w:tc>
          <w:tcPr>
            <w:tcW w:w="827" w:type="pct"/>
            <w:vAlign w:val="center"/>
          </w:tcPr>
          <w:p w14:paraId="1C1705C6">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视频监控专用以太网千兆可网管交换机(PoE)</w:t>
            </w:r>
            <w:r>
              <w:rPr>
                <w:color w:val="auto"/>
                <w:kern w:val="0"/>
                <w:sz w:val="24"/>
                <w:lang w:bidi="ar"/>
              </w:rPr>
              <w:t>)</w:t>
            </w:r>
          </w:p>
        </w:tc>
        <w:tc>
          <w:tcPr>
            <w:tcW w:w="3760" w:type="pct"/>
            <w:vAlign w:val="center"/>
          </w:tcPr>
          <w:p w14:paraId="3A4547DC">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1.性能：整机交换容量 ≥432Gbps；转发性能 ≥126Mpps ；</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2.端口：≥24个千兆电，≥4个千兆SFP；</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3.需支持PoE+，PoE供电≥375W；</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4.MAC地址表≥16K，IPv4路由表容量≥512，ARP≥1K；</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5.需支持IPv4/IPv6静态路由、支持RIP/RIPng、OSPFV2/V3，支持VLAN虚接口；</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6.交换机堆叠台数≥9；</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7.需支持网管功能；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8.需内置防雷技术，支持≥10KV业务端口防雷能力。</w:t>
            </w:r>
          </w:p>
        </w:tc>
      </w:tr>
      <w:tr w14:paraId="72ADF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9" w:hRule="atLeast"/>
        </w:trPr>
        <w:tc>
          <w:tcPr>
            <w:tcW w:w="411" w:type="pct"/>
            <w:vAlign w:val="center"/>
          </w:tcPr>
          <w:p w14:paraId="2493CE4F">
            <w:pPr>
              <w:widowControl/>
              <w:jc w:val="center"/>
              <w:textAlignment w:val="center"/>
              <w:rPr>
                <w:color w:val="auto"/>
                <w:sz w:val="24"/>
              </w:rPr>
            </w:pPr>
            <w:r>
              <w:rPr>
                <w:rFonts w:hint="eastAsia"/>
                <w:color w:val="auto"/>
                <w:kern w:val="0"/>
                <w:sz w:val="24"/>
                <w:lang w:bidi="ar"/>
              </w:rPr>
              <w:t>5</w:t>
            </w:r>
          </w:p>
        </w:tc>
        <w:tc>
          <w:tcPr>
            <w:tcW w:w="827" w:type="pct"/>
            <w:vAlign w:val="center"/>
          </w:tcPr>
          <w:p w14:paraId="555E7D19">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视频监控专用汇聚交换机</w:t>
            </w:r>
          </w:p>
        </w:tc>
        <w:tc>
          <w:tcPr>
            <w:tcW w:w="3760" w:type="pct"/>
            <w:vAlign w:val="center"/>
          </w:tcPr>
          <w:p w14:paraId="24F1FE1A">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1.交换容量≥598Gbps、包转发率≥252Mpps；</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2.接口要求：≥24个10/100/1000光口，≥4个万兆光接口；</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3.支持L2～L4包过滤功能，提供基于源MAC地址、目的MAC地址、源IP地址、目的IP地址、端口、协议、IP ToS、802.1P优先级、VLAN ID、SVLAN ID、VLAN范围等过滤；</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4.支持静态路由、RIP、OSPF、BGP、IS-IS等路由协议；</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5.支持MAC地址自动学习和老化，支持静态、动态和黑洞MAC地址表项；MAC地址≥16K；</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6.支持端口聚合，最多支持≥124个聚合组，每个聚合组最大支持≥8个端口聚合；</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7.VLAN特性 最大VLAN数(不是VLAN ID)≥4094；</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8.支持IGMP Snooping、Proxy、Filter和Fast Leave；支持跨组播VLAN复制；支持三层组播协议PIM-SM和PIM-DM；</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9.支持STP、RSTP、MSTP；支持BPDU保护、跟保护、环路保护和BPDU Tunnel；支持跨设备链路聚合；支持G.8032、R-link、VRRP，50ms级保护倒换；</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10.支持端口镜像和远程端口；支持SNMP；</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11.工作环境：工作温度：-5~55℃；相对湿度：（10~90）%（无凝结）。</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12.需支持网管功能</w:t>
            </w:r>
          </w:p>
        </w:tc>
      </w:tr>
      <w:tr w14:paraId="75668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11" w:type="pct"/>
            <w:vAlign w:val="center"/>
          </w:tcPr>
          <w:p w14:paraId="165032C0">
            <w:pPr>
              <w:widowControl/>
              <w:jc w:val="center"/>
              <w:textAlignment w:val="center"/>
              <w:rPr>
                <w:color w:val="auto"/>
                <w:sz w:val="24"/>
              </w:rPr>
            </w:pPr>
            <w:r>
              <w:rPr>
                <w:rFonts w:hint="eastAsia"/>
                <w:color w:val="auto"/>
                <w:kern w:val="0"/>
                <w:sz w:val="24"/>
                <w:lang w:bidi="ar"/>
              </w:rPr>
              <w:t>6</w:t>
            </w:r>
          </w:p>
        </w:tc>
        <w:tc>
          <w:tcPr>
            <w:tcW w:w="827" w:type="pct"/>
            <w:vAlign w:val="center"/>
          </w:tcPr>
          <w:p w14:paraId="1DB7AB05">
            <w:pPr>
              <w:widowControl/>
              <w:jc w:val="center"/>
              <w:textAlignment w:val="center"/>
              <w:rPr>
                <w:color w:val="auto"/>
                <w:sz w:val="24"/>
              </w:rPr>
            </w:pPr>
            <w:r>
              <w:rPr>
                <w:color w:val="auto"/>
                <w:kern w:val="0"/>
                <w:sz w:val="24"/>
                <w:lang w:bidi="ar"/>
              </w:rPr>
              <w:t>SFP</w:t>
            </w:r>
            <w:r>
              <w:rPr>
                <w:rFonts w:hint="eastAsia" w:ascii="宋体" w:hAnsi="宋体" w:cs="宋体"/>
                <w:color w:val="auto"/>
                <w:kern w:val="0"/>
                <w:sz w:val="24"/>
                <w:lang w:bidi="ar"/>
              </w:rPr>
              <w:t>万兆单模单纤光纤模块</w:t>
            </w:r>
          </w:p>
        </w:tc>
        <w:tc>
          <w:tcPr>
            <w:tcW w:w="3760" w:type="pct"/>
            <w:vAlign w:val="center"/>
          </w:tcPr>
          <w:p w14:paraId="2A28AC4B">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 ≥20公里万兆单模单纤模块；</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 传输速率：10G；</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 接口：LC。</w:t>
            </w:r>
          </w:p>
        </w:tc>
      </w:tr>
      <w:tr w14:paraId="4CF40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11" w:type="pct"/>
            <w:vAlign w:val="center"/>
          </w:tcPr>
          <w:p w14:paraId="7A1750D1">
            <w:pPr>
              <w:widowControl/>
              <w:jc w:val="center"/>
              <w:textAlignment w:val="center"/>
              <w:rPr>
                <w:color w:val="auto"/>
                <w:sz w:val="24"/>
              </w:rPr>
            </w:pPr>
            <w:r>
              <w:rPr>
                <w:rFonts w:hint="eastAsia"/>
                <w:color w:val="auto"/>
                <w:kern w:val="0"/>
                <w:sz w:val="24"/>
                <w:lang w:bidi="ar"/>
              </w:rPr>
              <w:t>7</w:t>
            </w:r>
          </w:p>
        </w:tc>
        <w:tc>
          <w:tcPr>
            <w:tcW w:w="827" w:type="pct"/>
            <w:vAlign w:val="center"/>
          </w:tcPr>
          <w:p w14:paraId="6B84656C">
            <w:pPr>
              <w:widowControl/>
              <w:jc w:val="center"/>
              <w:textAlignment w:val="center"/>
              <w:rPr>
                <w:color w:val="auto"/>
                <w:sz w:val="24"/>
              </w:rPr>
            </w:pPr>
            <w:r>
              <w:rPr>
                <w:color w:val="auto"/>
                <w:kern w:val="0"/>
                <w:sz w:val="24"/>
                <w:lang w:bidi="ar"/>
              </w:rPr>
              <w:t>SFP</w:t>
            </w:r>
            <w:r>
              <w:rPr>
                <w:rFonts w:hint="eastAsia" w:ascii="宋体" w:hAnsi="宋体" w:cs="宋体"/>
                <w:color w:val="auto"/>
                <w:kern w:val="0"/>
                <w:sz w:val="24"/>
                <w:lang w:bidi="ar"/>
              </w:rPr>
              <w:t>千兆单模单纤光纤模块</w:t>
            </w:r>
          </w:p>
        </w:tc>
        <w:tc>
          <w:tcPr>
            <w:tcW w:w="3760" w:type="pct"/>
            <w:vAlign w:val="center"/>
          </w:tcPr>
          <w:p w14:paraId="5133D80B">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 ≥20公里千兆单模单纤模块；</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2.传输速率：1.25G；</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 接口：LC。</w:t>
            </w:r>
          </w:p>
        </w:tc>
      </w:tr>
      <w:tr w14:paraId="7938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411" w:type="pct"/>
            <w:vAlign w:val="center"/>
          </w:tcPr>
          <w:p w14:paraId="490700ED">
            <w:pPr>
              <w:widowControl/>
              <w:jc w:val="center"/>
              <w:textAlignment w:val="center"/>
              <w:rPr>
                <w:color w:val="auto"/>
                <w:sz w:val="24"/>
              </w:rPr>
            </w:pPr>
            <w:r>
              <w:rPr>
                <w:rFonts w:hint="eastAsia"/>
                <w:color w:val="auto"/>
                <w:kern w:val="0"/>
                <w:sz w:val="24"/>
                <w:lang w:bidi="ar"/>
              </w:rPr>
              <w:t>8</w:t>
            </w:r>
          </w:p>
        </w:tc>
        <w:tc>
          <w:tcPr>
            <w:tcW w:w="827" w:type="pct"/>
            <w:vAlign w:val="center"/>
          </w:tcPr>
          <w:p w14:paraId="2CBB70F8">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连接设备用尾纤</w:t>
            </w:r>
          </w:p>
        </w:tc>
        <w:tc>
          <w:tcPr>
            <w:tcW w:w="3760" w:type="pct"/>
            <w:vAlign w:val="center"/>
          </w:tcPr>
          <w:p w14:paraId="2DE9B103">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1.≥5米FC-LC；</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2.电信级；</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3.回波损耗：≥50dB;</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4.插入损耗：≤0.2dB；</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5.可插拔次数：＞1000次。</w:t>
            </w:r>
          </w:p>
        </w:tc>
      </w:tr>
      <w:tr w14:paraId="4F45A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11" w:type="pct"/>
            <w:vAlign w:val="center"/>
          </w:tcPr>
          <w:p w14:paraId="09C124CB">
            <w:pPr>
              <w:widowControl/>
              <w:jc w:val="center"/>
              <w:textAlignment w:val="center"/>
              <w:rPr>
                <w:color w:val="auto"/>
                <w:sz w:val="24"/>
              </w:rPr>
            </w:pPr>
            <w:r>
              <w:rPr>
                <w:rFonts w:hint="eastAsia"/>
                <w:color w:val="auto"/>
                <w:kern w:val="0"/>
                <w:sz w:val="24"/>
                <w:lang w:bidi="ar"/>
              </w:rPr>
              <w:t>9</w:t>
            </w:r>
          </w:p>
        </w:tc>
        <w:tc>
          <w:tcPr>
            <w:tcW w:w="827" w:type="pct"/>
            <w:vAlign w:val="center"/>
          </w:tcPr>
          <w:p w14:paraId="51AD3F82">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熔纤用尾纤</w:t>
            </w:r>
          </w:p>
        </w:tc>
        <w:tc>
          <w:tcPr>
            <w:tcW w:w="3760" w:type="pct"/>
            <w:vAlign w:val="center"/>
          </w:tcPr>
          <w:p w14:paraId="7E6A4E2A">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1.≥3米LC-LC；</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2.电信级；</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3.回波损耗：≥50dB;</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4.插入损耗：≤0.2dB；</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5.可插拔次数：＞1000次。</w:t>
            </w:r>
          </w:p>
        </w:tc>
      </w:tr>
      <w:tr w14:paraId="448F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 w:type="pct"/>
            <w:vAlign w:val="center"/>
          </w:tcPr>
          <w:p w14:paraId="3F72250B">
            <w:pPr>
              <w:widowControl/>
              <w:jc w:val="center"/>
              <w:textAlignment w:val="center"/>
              <w:rPr>
                <w:color w:val="auto"/>
                <w:sz w:val="24"/>
              </w:rPr>
            </w:pPr>
            <w:r>
              <w:rPr>
                <w:rFonts w:hint="eastAsia"/>
                <w:color w:val="auto"/>
                <w:kern w:val="0"/>
                <w:sz w:val="24"/>
                <w:lang w:bidi="ar"/>
              </w:rPr>
              <w:t>10</w:t>
            </w:r>
          </w:p>
        </w:tc>
        <w:tc>
          <w:tcPr>
            <w:tcW w:w="827" w:type="pct"/>
            <w:vAlign w:val="center"/>
          </w:tcPr>
          <w:p w14:paraId="1903E79F">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熔纤</w:t>
            </w:r>
          </w:p>
        </w:tc>
        <w:tc>
          <w:tcPr>
            <w:tcW w:w="3760" w:type="pct"/>
            <w:vAlign w:val="center"/>
          </w:tcPr>
          <w:p w14:paraId="45D98352">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1.光纤熔接。</w:t>
            </w:r>
          </w:p>
        </w:tc>
      </w:tr>
      <w:tr w14:paraId="55191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11" w:type="pct"/>
            <w:vAlign w:val="center"/>
          </w:tcPr>
          <w:p w14:paraId="5A1F96D7">
            <w:pPr>
              <w:widowControl/>
              <w:jc w:val="center"/>
              <w:textAlignment w:val="center"/>
              <w:rPr>
                <w:color w:val="auto"/>
                <w:sz w:val="24"/>
              </w:rPr>
            </w:pPr>
            <w:r>
              <w:rPr>
                <w:rFonts w:hint="eastAsia"/>
                <w:color w:val="auto"/>
                <w:kern w:val="0"/>
                <w:sz w:val="24"/>
                <w:lang w:bidi="ar"/>
              </w:rPr>
              <w:t>11</w:t>
            </w:r>
          </w:p>
        </w:tc>
        <w:tc>
          <w:tcPr>
            <w:tcW w:w="827" w:type="pct"/>
            <w:vAlign w:val="center"/>
          </w:tcPr>
          <w:p w14:paraId="08EA8D07">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法兰盘</w:t>
            </w:r>
          </w:p>
        </w:tc>
        <w:tc>
          <w:tcPr>
            <w:tcW w:w="3760" w:type="pct"/>
            <w:vAlign w:val="center"/>
          </w:tcPr>
          <w:p w14:paraId="2930EDA2">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 光纤法兰盘；</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 电信级；</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 插损≤0.2db。</w:t>
            </w:r>
          </w:p>
        </w:tc>
      </w:tr>
      <w:tr w14:paraId="00407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411" w:type="pct"/>
            <w:vAlign w:val="center"/>
          </w:tcPr>
          <w:p w14:paraId="3F0CE36B">
            <w:pPr>
              <w:widowControl/>
              <w:jc w:val="center"/>
              <w:textAlignment w:val="center"/>
              <w:rPr>
                <w:color w:val="auto"/>
                <w:sz w:val="24"/>
              </w:rPr>
            </w:pPr>
            <w:r>
              <w:rPr>
                <w:color w:val="auto"/>
                <w:kern w:val="0"/>
                <w:sz w:val="24"/>
                <w:lang w:bidi="ar"/>
              </w:rPr>
              <w:t>1</w:t>
            </w:r>
            <w:r>
              <w:rPr>
                <w:rFonts w:hint="eastAsia"/>
                <w:color w:val="auto"/>
                <w:kern w:val="0"/>
                <w:sz w:val="24"/>
                <w:lang w:bidi="ar"/>
              </w:rPr>
              <w:t>2</w:t>
            </w:r>
          </w:p>
        </w:tc>
        <w:tc>
          <w:tcPr>
            <w:tcW w:w="827" w:type="pct"/>
            <w:vAlign w:val="center"/>
          </w:tcPr>
          <w:p w14:paraId="6C7D61E0">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光端盒</w:t>
            </w:r>
          </w:p>
        </w:tc>
        <w:tc>
          <w:tcPr>
            <w:tcW w:w="3760" w:type="pct"/>
            <w:vAlign w:val="center"/>
          </w:tcPr>
          <w:p w14:paraId="2120BEB2">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1.19英寸机架式；</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2.高度1U光纤配线架；</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3.12芯；</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3.电信级；</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4.材质：冷轧板；</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5.开启方式：抽拉式开启。</w:t>
            </w:r>
          </w:p>
        </w:tc>
      </w:tr>
      <w:tr w14:paraId="3121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11" w:type="pct"/>
            <w:vAlign w:val="center"/>
          </w:tcPr>
          <w:p w14:paraId="43393221">
            <w:pPr>
              <w:widowControl/>
              <w:jc w:val="center"/>
              <w:textAlignment w:val="center"/>
              <w:rPr>
                <w:color w:val="auto"/>
                <w:sz w:val="24"/>
              </w:rPr>
            </w:pPr>
            <w:r>
              <w:rPr>
                <w:color w:val="auto"/>
                <w:kern w:val="0"/>
                <w:sz w:val="24"/>
                <w:lang w:bidi="ar"/>
              </w:rPr>
              <w:t>1</w:t>
            </w:r>
            <w:r>
              <w:rPr>
                <w:rFonts w:hint="eastAsia"/>
                <w:color w:val="auto"/>
                <w:kern w:val="0"/>
                <w:sz w:val="24"/>
                <w:lang w:bidi="ar"/>
              </w:rPr>
              <w:t>3</w:t>
            </w:r>
          </w:p>
        </w:tc>
        <w:tc>
          <w:tcPr>
            <w:tcW w:w="827" w:type="pct"/>
            <w:vAlign w:val="center"/>
          </w:tcPr>
          <w:p w14:paraId="0444E366">
            <w:pPr>
              <w:widowControl/>
              <w:jc w:val="center"/>
              <w:textAlignment w:val="center"/>
              <w:rPr>
                <w:color w:val="auto"/>
                <w:sz w:val="24"/>
              </w:rPr>
            </w:pPr>
            <w:r>
              <w:rPr>
                <w:color w:val="auto"/>
                <w:kern w:val="0"/>
                <w:sz w:val="24"/>
                <w:lang w:bidi="ar"/>
              </w:rPr>
              <w:t>9U</w:t>
            </w:r>
            <w:r>
              <w:rPr>
                <w:rFonts w:hint="eastAsia" w:ascii="宋体" w:hAnsi="宋体" w:cs="宋体"/>
                <w:color w:val="auto"/>
                <w:kern w:val="0"/>
                <w:sz w:val="24"/>
                <w:lang w:bidi="ar"/>
              </w:rPr>
              <w:t>机柜</w:t>
            </w:r>
          </w:p>
        </w:tc>
        <w:tc>
          <w:tcPr>
            <w:tcW w:w="3760" w:type="pct"/>
            <w:vAlign w:val="center"/>
          </w:tcPr>
          <w:p w14:paraId="61D485E3">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1.19英寸；</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2.9U。</w:t>
            </w:r>
          </w:p>
        </w:tc>
      </w:tr>
      <w:tr w14:paraId="4C30D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11" w:type="pct"/>
            <w:vAlign w:val="center"/>
          </w:tcPr>
          <w:p w14:paraId="62CA01DE">
            <w:pPr>
              <w:widowControl/>
              <w:jc w:val="center"/>
              <w:textAlignment w:val="center"/>
              <w:rPr>
                <w:color w:val="auto"/>
                <w:sz w:val="24"/>
              </w:rPr>
            </w:pPr>
            <w:r>
              <w:rPr>
                <w:color w:val="auto"/>
                <w:kern w:val="0"/>
                <w:sz w:val="24"/>
                <w:lang w:bidi="ar"/>
              </w:rPr>
              <w:t>1</w:t>
            </w:r>
            <w:r>
              <w:rPr>
                <w:rFonts w:hint="eastAsia"/>
                <w:color w:val="auto"/>
                <w:kern w:val="0"/>
                <w:sz w:val="24"/>
                <w:lang w:bidi="ar"/>
              </w:rPr>
              <w:t>4</w:t>
            </w:r>
          </w:p>
        </w:tc>
        <w:tc>
          <w:tcPr>
            <w:tcW w:w="827" w:type="pct"/>
            <w:vAlign w:val="center"/>
          </w:tcPr>
          <w:p w14:paraId="7AB67EEE">
            <w:pPr>
              <w:widowControl/>
              <w:jc w:val="center"/>
              <w:textAlignment w:val="center"/>
              <w:rPr>
                <w:color w:val="auto"/>
                <w:sz w:val="24"/>
              </w:rPr>
            </w:pPr>
            <w:r>
              <w:rPr>
                <w:color w:val="auto"/>
                <w:kern w:val="0"/>
                <w:sz w:val="24"/>
                <w:lang w:bidi="ar"/>
              </w:rPr>
              <w:t>42U</w:t>
            </w:r>
            <w:r>
              <w:rPr>
                <w:rFonts w:hint="eastAsia" w:ascii="宋体" w:hAnsi="宋体" w:cs="宋体"/>
                <w:color w:val="auto"/>
                <w:kern w:val="0"/>
                <w:sz w:val="24"/>
                <w:lang w:bidi="ar"/>
              </w:rPr>
              <w:t>机柜</w:t>
            </w:r>
          </w:p>
        </w:tc>
        <w:tc>
          <w:tcPr>
            <w:tcW w:w="3760" w:type="pct"/>
            <w:vAlign w:val="center"/>
          </w:tcPr>
          <w:p w14:paraId="46307622">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1.42U网络机柜;</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2.至少1个8位10APDU插排；</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3.固定板至少3块。</w:t>
            </w:r>
          </w:p>
        </w:tc>
      </w:tr>
      <w:tr w14:paraId="7B54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11" w:type="pct"/>
            <w:vAlign w:val="center"/>
          </w:tcPr>
          <w:p w14:paraId="07F4B65F">
            <w:pPr>
              <w:widowControl/>
              <w:jc w:val="center"/>
              <w:textAlignment w:val="center"/>
              <w:rPr>
                <w:color w:val="auto"/>
                <w:sz w:val="24"/>
              </w:rPr>
            </w:pPr>
            <w:r>
              <w:rPr>
                <w:rFonts w:hint="eastAsia"/>
                <w:color w:val="auto"/>
                <w:kern w:val="0"/>
                <w:sz w:val="24"/>
                <w:lang w:bidi="ar"/>
              </w:rPr>
              <w:t>15</w:t>
            </w:r>
          </w:p>
        </w:tc>
        <w:tc>
          <w:tcPr>
            <w:tcW w:w="827" w:type="pct"/>
            <w:vAlign w:val="center"/>
          </w:tcPr>
          <w:p w14:paraId="52051DB9">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插排</w:t>
            </w:r>
          </w:p>
        </w:tc>
        <w:tc>
          <w:tcPr>
            <w:tcW w:w="3760" w:type="pct"/>
            <w:vAlign w:val="center"/>
          </w:tcPr>
          <w:p w14:paraId="2952196D">
            <w:pPr>
              <w:widowControl/>
              <w:numPr>
                <w:ilvl w:val="0"/>
                <w:numId w:val="2"/>
              </w:numPr>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≥6孔；</w:t>
            </w:r>
          </w:p>
          <w:p w14:paraId="4DA62E8F">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2.≥10A。</w:t>
            </w:r>
          </w:p>
        </w:tc>
      </w:tr>
      <w:tr w14:paraId="66BA7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11" w:type="pct"/>
            <w:vAlign w:val="center"/>
          </w:tcPr>
          <w:p w14:paraId="052630BE">
            <w:pPr>
              <w:widowControl/>
              <w:jc w:val="center"/>
              <w:textAlignment w:val="center"/>
              <w:rPr>
                <w:color w:val="auto"/>
                <w:kern w:val="0"/>
                <w:sz w:val="24"/>
                <w:lang w:bidi="ar"/>
              </w:rPr>
            </w:pPr>
            <w:r>
              <w:rPr>
                <w:rFonts w:hint="eastAsia"/>
                <w:color w:val="auto"/>
                <w:kern w:val="0"/>
                <w:sz w:val="24"/>
                <w:lang w:bidi="ar"/>
              </w:rPr>
              <w:t>16</w:t>
            </w:r>
          </w:p>
        </w:tc>
        <w:tc>
          <w:tcPr>
            <w:tcW w:w="827" w:type="pct"/>
            <w:vAlign w:val="center"/>
          </w:tcPr>
          <w:p w14:paraId="252896A8">
            <w:pPr>
              <w:widowControl/>
              <w:jc w:val="center"/>
              <w:textAlignment w:val="center"/>
              <w:rPr>
                <w:rFonts w:hint="eastAsia" w:ascii="宋体" w:hAnsi="宋体" w:cs="宋体"/>
                <w:color w:val="auto"/>
                <w:kern w:val="0"/>
                <w:sz w:val="24"/>
                <w:lang w:bidi="ar"/>
              </w:rPr>
            </w:pPr>
            <w:r>
              <w:rPr>
                <w:rFonts w:hint="eastAsia" w:ascii="宋体" w:hAnsi="宋体" w:cs="宋体"/>
                <w:color w:val="auto"/>
                <w:kern w:val="0"/>
                <w:sz w:val="24"/>
                <w:lang w:bidi="ar"/>
              </w:rPr>
              <w:t>2*1.5电源线</w:t>
            </w:r>
          </w:p>
        </w:tc>
        <w:tc>
          <w:tcPr>
            <w:tcW w:w="3760" w:type="pct"/>
            <w:vAlign w:val="center"/>
          </w:tcPr>
          <w:p w14:paraId="21287643">
            <w:pPr>
              <w:widowControl/>
              <w:tabs>
                <w:tab w:val="left" w:pos="312"/>
              </w:tabs>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导体规格：2 芯设计，单芯导体截面 1.5mm²，常用 24/0.25mm 铜丝绞合（总根数 24 根，单丝直径 0.25mm），部分为实心铜导体。</w:t>
            </w:r>
          </w:p>
          <w:p w14:paraId="284DA9E7">
            <w:pPr>
              <w:widowControl/>
              <w:tabs>
                <w:tab w:val="left" w:pos="312"/>
              </w:tabs>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额定电压：常规为 450/750V（交流）</w:t>
            </w:r>
          </w:p>
          <w:p w14:paraId="467BDA49">
            <w:pPr>
              <w:widowControl/>
              <w:tabs>
                <w:tab w:val="left" w:pos="312"/>
              </w:tabs>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载流量：明敷（25℃环境）约 20-25A，穿管敷设（多根并列）约 14-18A</w:t>
            </w:r>
          </w:p>
          <w:p w14:paraId="1871F46B">
            <w:pPr>
              <w:widowControl/>
              <w:tabs>
                <w:tab w:val="left" w:pos="312"/>
              </w:tabs>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 xml:space="preserve">直流电阻：20℃时，单芯导体直流电阻≤12.1Ω/km </w:t>
            </w:r>
          </w:p>
        </w:tc>
      </w:tr>
      <w:tr w14:paraId="754C4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11" w:type="pct"/>
            <w:vAlign w:val="center"/>
          </w:tcPr>
          <w:p w14:paraId="1A1FC4B3">
            <w:pPr>
              <w:widowControl/>
              <w:jc w:val="center"/>
              <w:textAlignment w:val="center"/>
              <w:rPr>
                <w:color w:val="auto"/>
                <w:kern w:val="0"/>
                <w:sz w:val="24"/>
                <w:lang w:bidi="ar"/>
              </w:rPr>
            </w:pPr>
            <w:r>
              <w:rPr>
                <w:rFonts w:hint="eastAsia"/>
                <w:color w:val="auto"/>
                <w:kern w:val="0"/>
                <w:sz w:val="24"/>
                <w:lang w:bidi="ar"/>
              </w:rPr>
              <w:t>17</w:t>
            </w:r>
          </w:p>
        </w:tc>
        <w:tc>
          <w:tcPr>
            <w:tcW w:w="827" w:type="pct"/>
            <w:vAlign w:val="center"/>
          </w:tcPr>
          <w:p w14:paraId="4FC9D3E7">
            <w:pPr>
              <w:widowControl/>
              <w:jc w:val="center"/>
              <w:textAlignment w:val="center"/>
              <w:rPr>
                <w:rFonts w:hint="eastAsia" w:ascii="宋体" w:hAnsi="宋体" w:cs="宋体"/>
                <w:color w:val="auto"/>
                <w:kern w:val="0"/>
                <w:sz w:val="24"/>
                <w:lang w:bidi="ar"/>
              </w:rPr>
            </w:pPr>
            <w:r>
              <w:rPr>
                <w:rFonts w:hint="eastAsia" w:ascii="宋体" w:hAnsi="宋体" w:cs="宋体"/>
                <w:color w:val="auto"/>
                <w:kern w:val="0"/>
                <w:sz w:val="24"/>
                <w:lang w:bidi="ar"/>
              </w:rPr>
              <w:t>8芯光缆</w:t>
            </w:r>
          </w:p>
        </w:tc>
        <w:tc>
          <w:tcPr>
            <w:tcW w:w="3760" w:type="pct"/>
            <w:vAlign w:val="center"/>
          </w:tcPr>
          <w:p w14:paraId="0CD32CB2">
            <w:pPr>
              <w:widowControl/>
              <w:tabs>
                <w:tab w:val="left" w:pos="312"/>
              </w:tabs>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1.光纤类型： G.652D，纤芯直径 9μm，包层直径 125μm，即 9/125μm 标准规格。</w:t>
            </w:r>
          </w:p>
          <w:p w14:paraId="1C667219">
            <w:pPr>
              <w:widowControl/>
              <w:tabs>
                <w:tab w:val="left" w:pos="312"/>
              </w:tabs>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 xml:space="preserve">2.工作波长： ≥1310nm </w:t>
            </w:r>
          </w:p>
          <w:p w14:paraId="2133DCDC">
            <w:pPr>
              <w:widowControl/>
              <w:tabs>
                <w:tab w:val="left" w:pos="312"/>
              </w:tabs>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衰减系数：1310nm 窗口≤0.36dB/km</w:t>
            </w:r>
          </w:p>
          <w:p w14:paraId="5DACAB1A">
            <w:pPr>
              <w:widowControl/>
              <w:tabs>
                <w:tab w:val="left" w:pos="312"/>
              </w:tabs>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色散系数：</w:t>
            </w:r>
            <w:r>
              <w:rPr>
                <w:rFonts w:ascii="宋体" w:hAnsi="宋体" w:cs="宋体"/>
                <w:color w:val="auto"/>
                <w:kern w:val="0"/>
                <w:sz w:val="24"/>
                <w:lang w:bidi="ar"/>
              </w:rPr>
              <w:t xml:space="preserve">1310nm </w:t>
            </w:r>
            <w:r>
              <w:rPr>
                <w:rFonts w:hint="eastAsia" w:ascii="宋体" w:hAnsi="宋体" w:cs="宋体"/>
                <w:color w:val="auto"/>
                <w:kern w:val="0"/>
                <w:sz w:val="24"/>
                <w:lang w:bidi="ar"/>
              </w:rPr>
              <w:t xml:space="preserve">窗口零色散 </w:t>
            </w:r>
          </w:p>
          <w:p w14:paraId="442CF3B7">
            <w:pPr>
              <w:widowControl/>
              <w:tabs>
                <w:tab w:val="left" w:pos="312"/>
              </w:tabs>
              <w:jc w:val="left"/>
              <w:textAlignment w:val="center"/>
              <w:rPr>
                <w:rFonts w:hint="eastAsia" w:ascii="宋体" w:hAnsi="宋体" w:cs="宋体"/>
                <w:color w:val="auto"/>
                <w:kern w:val="0"/>
                <w:sz w:val="24"/>
                <w:lang w:bidi="ar"/>
              </w:rPr>
            </w:pPr>
            <w:r>
              <w:rPr>
                <w:rFonts w:ascii="宋体" w:hAnsi="宋体" w:cs="宋体"/>
                <w:color w:val="auto"/>
                <w:kern w:val="0"/>
                <w:sz w:val="24"/>
                <w:lang w:bidi="ar"/>
              </w:rPr>
              <w:t>工作温度：室内光缆 - 20℃~+60℃。</w:t>
            </w:r>
          </w:p>
          <w:p w14:paraId="0B8E8335">
            <w:pPr>
              <w:widowControl/>
              <w:tabs>
                <w:tab w:val="left" w:pos="312"/>
              </w:tabs>
              <w:jc w:val="left"/>
              <w:textAlignment w:val="center"/>
              <w:rPr>
                <w:rFonts w:hint="eastAsia" w:ascii="宋体" w:hAnsi="宋体" w:cs="宋体"/>
                <w:color w:val="auto"/>
                <w:kern w:val="0"/>
                <w:sz w:val="24"/>
                <w:lang w:bidi="ar"/>
              </w:rPr>
            </w:pPr>
          </w:p>
        </w:tc>
      </w:tr>
      <w:tr w14:paraId="59351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11" w:type="pct"/>
            <w:vAlign w:val="center"/>
          </w:tcPr>
          <w:p w14:paraId="0A233505">
            <w:pPr>
              <w:widowControl/>
              <w:jc w:val="center"/>
              <w:textAlignment w:val="center"/>
              <w:rPr>
                <w:color w:val="auto"/>
                <w:kern w:val="0"/>
                <w:sz w:val="24"/>
                <w:lang w:bidi="ar"/>
              </w:rPr>
            </w:pPr>
            <w:r>
              <w:rPr>
                <w:rFonts w:hint="eastAsia"/>
                <w:color w:val="auto"/>
                <w:kern w:val="0"/>
                <w:sz w:val="24"/>
                <w:lang w:bidi="ar"/>
              </w:rPr>
              <w:t>18</w:t>
            </w:r>
          </w:p>
        </w:tc>
        <w:tc>
          <w:tcPr>
            <w:tcW w:w="827" w:type="pct"/>
            <w:vAlign w:val="center"/>
          </w:tcPr>
          <w:p w14:paraId="03B5C2FB">
            <w:pPr>
              <w:widowControl/>
              <w:jc w:val="center"/>
              <w:textAlignment w:val="center"/>
              <w:rPr>
                <w:rFonts w:hint="eastAsia" w:ascii="宋体" w:hAnsi="宋体" w:cs="宋体"/>
                <w:color w:val="auto"/>
                <w:kern w:val="0"/>
                <w:sz w:val="24"/>
                <w:lang w:bidi="ar"/>
              </w:rPr>
            </w:pPr>
            <w:r>
              <w:rPr>
                <w:rFonts w:hint="eastAsia" w:ascii="宋体" w:hAnsi="宋体" w:cs="宋体"/>
                <w:color w:val="auto"/>
                <w:kern w:val="0"/>
                <w:sz w:val="24"/>
                <w:lang w:bidi="ar"/>
              </w:rPr>
              <w:t>6类网线</w:t>
            </w:r>
          </w:p>
        </w:tc>
        <w:tc>
          <w:tcPr>
            <w:tcW w:w="3760" w:type="pct"/>
            <w:vAlign w:val="center"/>
          </w:tcPr>
          <w:p w14:paraId="6F05D991">
            <w:pPr>
              <w:widowControl/>
              <w:tabs>
                <w:tab w:val="left" w:pos="312"/>
              </w:tabs>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带宽：支持 250MHz，满足千兆以太网（1000Base-T）需求。</w:t>
            </w:r>
          </w:p>
          <w:p w14:paraId="4E788D54">
            <w:pPr>
              <w:widowControl/>
              <w:tabs>
                <w:tab w:val="left" w:pos="312"/>
              </w:tabs>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传输速率：最高支持 1000Mbps（千兆）</w:t>
            </w:r>
          </w:p>
          <w:p w14:paraId="01D2C0E3">
            <w:pPr>
              <w:widowControl/>
              <w:tabs>
                <w:tab w:val="left" w:pos="312"/>
              </w:tabs>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衰减：250MHz 下，100 米链路衰减≤24.0dB（20℃标准环境）。</w:t>
            </w:r>
          </w:p>
          <w:p w14:paraId="0D3E7120">
            <w:pPr>
              <w:widowControl/>
              <w:tabs>
                <w:tab w:val="left" w:pos="312"/>
              </w:tabs>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串扰：近端串扰（NEXT）≥39.9dB，远端串扰（FEXT）≥36.6dB（250MHz 时），抗干扰能力优于五类。</w:t>
            </w:r>
          </w:p>
          <w:p w14:paraId="2F8695FF">
            <w:pPr>
              <w:widowControl/>
              <w:tabs>
                <w:tab w:val="left" w:pos="312"/>
              </w:tabs>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回波损耗：≥12.0dB（250MHz 时），减少信号反射影响。</w:t>
            </w:r>
          </w:p>
        </w:tc>
      </w:tr>
      <w:tr w14:paraId="6DD02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11" w:type="pct"/>
            <w:vAlign w:val="center"/>
          </w:tcPr>
          <w:p w14:paraId="650E752D">
            <w:pPr>
              <w:widowControl/>
              <w:jc w:val="center"/>
              <w:textAlignment w:val="center"/>
              <w:rPr>
                <w:color w:val="auto"/>
                <w:kern w:val="0"/>
                <w:sz w:val="24"/>
                <w:lang w:bidi="ar"/>
              </w:rPr>
            </w:pPr>
            <w:r>
              <w:rPr>
                <w:rFonts w:hint="eastAsia"/>
                <w:color w:val="auto"/>
                <w:kern w:val="0"/>
                <w:sz w:val="24"/>
                <w:lang w:bidi="ar"/>
              </w:rPr>
              <w:t>19</w:t>
            </w:r>
          </w:p>
        </w:tc>
        <w:tc>
          <w:tcPr>
            <w:tcW w:w="827" w:type="pct"/>
            <w:vAlign w:val="center"/>
          </w:tcPr>
          <w:p w14:paraId="76B22E17">
            <w:pPr>
              <w:widowControl/>
              <w:jc w:val="center"/>
              <w:textAlignment w:val="center"/>
              <w:rPr>
                <w:rFonts w:hint="eastAsia" w:ascii="宋体" w:hAnsi="宋体" w:cs="宋体"/>
                <w:color w:val="auto"/>
                <w:kern w:val="0"/>
                <w:sz w:val="24"/>
                <w:lang w:bidi="ar"/>
              </w:rPr>
            </w:pPr>
            <w:r>
              <w:rPr>
                <w:rFonts w:hint="eastAsia" w:ascii="宋体" w:hAnsi="宋体" w:cs="宋体"/>
                <w:color w:val="auto"/>
                <w:kern w:val="0"/>
                <w:sz w:val="24"/>
                <w:lang w:bidi="ar"/>
              </w:rPr>
              <w:t>辅材</w:t>
            </w:r>
          </w:p>
        </w:tc>
        <w:tc>
          <w:tcPr>
            <w:tcW w:w="3760" w:type="pct"/>
            <w:vAlign w:val="center"/>
          </w:tcPr>
          <w:p w14:paraId="2C9F1407">
            <w:pPr>
              <w:widowControl/>
              <w:tabs>
                <w:tab w:val="left" w:pos="312"/>
              </w:tabs>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包含胀塞、软管、线槽、网头、自攻钉等一切辅材。</w:t>
            </w:r>
          </w:p>
        </w:tc>
      </w:tr>
      <w:tr w14:paraId="02DA8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11" w:type="pct"/>
          </w:tcPr>
          <w:p w14:paraId="661381FA">
            <w:pPr>
              <w:widowControl/>
              <w:jc w:val="center"/>
              <w:textAlignment w:val="center"/>
              <w:rPr>
                <w:color w:val="auto"/>
                <w:kern w:val="0"/>
                <w:sz w:val="24"/>
                <w:lang w:bidi="ar"/>
              </w:rPr>
            </w:pPr>
            <w:r>
              <w:rPr>
                <w:rFonts w:hint="eastAsia"/>
                <w:b/>
                <w:bCs/>
                <w:color w:val="auto"/>
              </w:rPr>
              <w:t>20</w:t>
            </w:r>
          </w:p>
        </w:tc>
        <w:tc>
          <w:tcPr>
            <w:tcW w:w="827" w:type="pct"/>
          </w:tcPr>
          <w:p w14:paraId="156E50BB">
            <w:pPr>
              <w:widowControl/>
              <w:jc w:val="center"/>
              <w:textAlignment w:val="center"/>
              <w:rPr>
                <w:rFonts w:hint="eastAsia" w:ascii="宋体" w:hAnsi="宋体" w:cs="宋体"/>
                <w:color w:val="auto"/>
                <w:kern w:val="0"/>
                <w:sz w:val="24"/>
                <w:lang w:bidi="ar"/>
              </w:rPr>
            </w:pPr>
            <w:r>
              <w:rPr>
                <w:rFonts w:hint="eastAsia"/>
                <w:b/>
                <w:bCs/>
                <w:color w:val="auto"/>
              </w:rPr>
              <w:t>国产化监控平台服务器</w:t>
            </w:r>
            <w:r>
              <w:rPr>
                <w:b/>
                <w:bCs/>
                <w:color w:val="auto"/>
              </w:rPr>
              <w:t>-32G</w:t>
            </w:r>
            <w:r>
              <w:rPr>
                <w:rFonts w:hint="eastAsia"/>
                <w:b/>
                <w:bCs/>
                <w:color w:val="auto"/>
              </w:rPr>
              <w:t>内存</w:t>
            </w:r>
          </w:p>
        </w:tc>
        <w:tc>
          <w:tcPr>
            <w:tcW w:w="3760" w:type="pct"/>
          </w:tcPr>
          <w:p w14:paraId="441BC18B">
            <w:pPr>
              <w:rPr>
                <w:color w:val="auto"/>
              </w:rPr>
            </w:pPr>
            <w:r>
              <w:rPr>
                <w:rFonts w:hint="eastAsia"/>
                <w:color w:val="auto"/>
              </w:rPr>
              <w:t xml:space="preserve">1、处理器类型：国产化，规格不低于1*Hygon 3350 (8核16线程，3.0GHz) </w:t>
            </w:r>
          </w:p>
          <w:p w14:paraId="77DCC064">
            <w:pPr>
              <w:rPr>
                <w:color w:val="auto"/>
              </w:rPr>
            </w:pPr>
            <w:r>
              <w:rPr>
                <w:rFonts w:hint="eastAsia"/>
                <w:color w:val="auto"/>
              </w:rPr>
              <w:t>2、内存:≥1*32GB</w:t>
            </w:r>
          </w:p>
          <w:p w14:paraId="6ACDC6CB">
            <w:pPr>
              <w:rPr>
                <w:color w:val="auto"/>
              </w:rPr>
            </w:pPr>
            <w:r>
              <w:rPr>
                <w:rFonts w:hint="eastAsia"/>
                <w:color w:val="auto"/>
              </w:rPr>
              <w:t>3、内存插槽数:≥4个</w:t>
            </w:r>
          </w:p>
          <w:p w14:paraId="73504D5C">
            <w:pPr>
              <w:rPr>
                <w:color w:val="auto"/>
              </w:rPr>
            </w:pPr>
            <w:r>
              <w:rPr>
                <w:rFonts w:hint="eastAsia"/>
                <w:color w:val="auto"/>
              </w:rPr>
              <w:t>4、标配硬盘:≥1*【3.5寸 7.2K SATA】 4TB；硬盘扩展:≥4个3.5英寸硬盘槽位</w:t>
            </w:r>
          </w:p>
          <w:p w14:paraId="6AB4A6C0">
            <w:pPr>
              <w:rPr>
                <w:color w:val="auto"/>
              </w:rPr>
            </w:pPr>
            <w:r>
              <w:rPr>
                <w:rFonts w:hint="eastAsia"/>
                <w:color w:val="auto"/>
              </w:rPr>
              <w:t>5、管理网口:≥1*GE；业务网口:≥2*GE</w:t>
            </w:r>
          </w:p>
          <w:p w14:paraId="2F6DF5FB">
            <w:pPr>
              <w:rPr>
                <w:color w:val="auto"/>
              </w:rPr>
            </w:pPr>
            <w:r>
              <w:rPr>
                <w:rFonts w:hint="eastAsia"/>
                <w:color w:val="auto"/>
              </w:rPr>
              <w:t>6、GPU卡:支持不少于2张单宽半高半长GPU卡</w:t>
            </w:r>
          </w:p>
          <w:p w14:paraId="28827D0B">
            <w:pPr>
              <w:rPr>
                <w:color w:val="auto"/>
              </w:rPr>
            </w:pPr>
            <w:r>
              <w:rPr>
                <w:rFonts w:hint="eastAsia"/>
                <w:color w:val="auto"/>
              </w:rPr>
              <w:t>7、PCI-E插槽:≥2个</w:t>
            </w:r>
          </w:p>
          <w:p w14:paraId="3103E730">
            <w:pPr>
              <w:rPr>
                <w:color w:val="auto"/>
              </w:rPr>
            </w:pPr>
            <w:r>
              <w:rPr>
                <w:rFonts w:hint="eastAsia"/>
                <w:color w:val="auto"/>
              </w:rPr>
              <w:t>8、USB接口:≥2个前置USB接口+2个后置USB接口</w:t>
            </w:r>
          </w:p>
          <w:p w14:paraId="7DC8EE41">
            <w:pPr>
              <w:rPr>
                <w:color w:val="auto"/>
              </w:rPr>
            </w:pPr>
            <w:r>
              <w:rPr>
                <w:rFonts w:hint="eastAsia"/>
                <w:color w:val="auto"/>
              </w:rPr>
              <w:t>9、视频输出接口:≥1个后置VGA接口</w:t>
            </w:r>
          </w:p>
          <w:p w14:paraId="2069414E">
            <w:pPr>
              <w:rPr>
                <w:color w:val="auto"/>
              </w:rPr>
            </w:pPr>
            <w:r>
              <w:rPr>
                <w:rFonts w:hint="eastAsia"/>
                <w:color w:val="auto"/>
              </w:rPr>
              <w:t>10、机柜要求:机柜深度≥0.8m</w:t>
            </w:r>
          </w:p>
          <w:p w14:paraId="00FB1366">
            <w:pPr>
              <w:rPr>
                <w:color w:val="auto"/>
              </w:rPr>
            </w:pPr>
            <w:r>
              <w:rPr>
                <w:rFonts w:hint="eastAsia"/>
                <w:color w:val="auto"/>
              </w:rPr>
              <w:t>11、电源功率:≤500W</w:t>
            </w:r>
          </w:p>
          <w:p w14:paraId="3B23DD2A">
            <w:pPr>
              <w:rPr>
                <w:color w:val="auto"/>
              </w:rPr>
            </w:pPr>
            <w:r>
              <w:rPr>
                <w:rFonts w:hint="eastAsia"/>
                <w:color w:val="auto"/>
              </w:rPr>
              <w:t>12、电源输入:AC:110V/220V</w:t>
            </w:r>
          </w:p>
          <w:p w14:paraId="69E85512">
            <w:pPr>
              <w:rPr>
                <w:color w:val="auto"/>
              </w:rPr>
            </w:pPr>
            <w:r>
              <w:rPr>
                <w:rFonts w:hint="eastAsia"/>
                <w:color w:val="auto"/>
              </w:rPr>
              <w:t>13、工作环境温度:5℃～35℃</w:t>
            </w:r>
          </w:p>
          <w:p w14:paraId="11147D6A">
            <w:pPr>
              <w:rPr>
                <w:color w:val="auto"/>
              </w:rPr>
            </w:pPr>
            <w:r>
              <w:rPr>
                <w:rFonts w:hint="eastAsia"/>
                <w:color w:val="auto"/>
              </w:rPr>
              <w:t>14、工作环境湿度:20%～80%，无冷凝</w:t>
            </w:r>
          </w:p>
          <w:p w14:paraId="5A1C183C">
            <w:pPr>
              <w:widowControl/>
              <w:tabs>
                <w:tab w:val="left" w:pos="312"/>
              </w:tabs>
              <w:jc w:val="left"/>
              <w:textAlignment w:val="center"/>
              <w:rPr>
                <w:rFonts w:hint="eastAsia" w:ascii="宋体" w:hAnsi="宋体" w:cs="宋体"/>
                <w:color w:val="auto"/>
                <w:kern w:val="0"/>
                <w:sz w:val="24"/>
                <w:lang w:bidi="ar"/>
              </w:rPr>
            </w:pPr>
            <w:r>
              <w:rPr>
                <w:rFonts w:hint="eastAsia"/>
                <w:color w:val="auto"/>
              </w:rPr>
              <w:t>15、★保证可被校园现有平台软件识别，包含现有监控平台数据与软件调试实施，并完成数据信息迁移，确保平台数据不丢失，确保系统迁移后现有功能均可复原。（需供应商提供保证书并加盖公章）</w:t>
            </w:r>
          </w:p>
        </w:tc>
      </w:tr>
      <w:tr w14:paraId="4CCAF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11" w:type="pct"/>
          </w:tcPr>
          <w:p w14:paraId="15C531E4">
            <w:pPr>
              <w:widowControl/>
              <w:jc w:val="center"/>
              <w:textAlignment w:val="center"/>
              <w:rPr>
                <w:color w:val="auto"/>
                <w:kern w:val="0"/>
                <w:sz w:val="24"/>
                <w:lang w:bidi="ar"/>
              </w:rPr>
            </w:pPr>
            <w:r>
              <w:rPr>
                <w:rFonts w:hint="eastAsia"/>
                <w:b/>
                <w:bCs/>
                <w:color w:val="auto"/>
              </w:rPr>
              <w:t>21</w:t>
            </w:r>
          </w:p>
        </w:tc>
        <w:tc>
          <w:tcPr>
            <w:tcW w:w="827" w:type="pct"/>
          </w:tcPr>
          <w:p w14:paraId="4917AADB">
            <w:pPr>
              <w:widowControl/>
              <w:jc w:val="center"/>
              <w:textAlignment w:val="center"/>
              <w:rPr>
                <w:rFonts w:hint="eastAsia" w:ascii="宋体" w:hAnsi="宋体" w:cs="宋体"/>
                <w:color w:val="auto"/>
                <w:kern w:val="0"/>
                <w:sz w:val="24"/>
                <w:lang w:bidi="ar"/>
              </w:rPr>
            </w:pPr>
            <w:r>
              <w:rPr>
                <w:rFonts w:hint="eastAsia"/>
                <w:b/>
                <w:bCs/>
                <w:color w:val="auto"/>
              </w:rPr>
              <w:t>国产化监控平台服务器</w:t>
            </w:r>
            <w:r>
              <w:rPr>
                <w:b/>
                <w:bCs/>
                <w:color w:val="auto"/>
              </w:rPr>
              <w:t>-4GE</w:t>
            </w:r>
            <w:r>
              <w:rPr>
                <w:rFonts w:hint="eastAsia"/>
                <w:b/>
                <w:bCs/>
                <w:color w:val="auto"/>
              </w:rPr>
              <w:t>网口</w:t>
            </w:r>
          </w:p>
        </w:tc>
        <w:tc>
          <w:tcPr>
            <w:tcW w:w="3760" w:type="pct"/>
          </w:tcPr>
          <w:p w14:paraId="2C0278CA">
            <w:pPr>
              <w:rPr>
                <w:color w:val="auto"/>
              </w:rPr>
            </w:pPr>
            <w:r>
              <w:rPr>
                <w:rFonts w:hint="eastAsia"/>
                <w:color w:val="auto"/>
              </w:rPr>
              <w:t xml:space="preserve">1、1、处理器类型：国产化，规格不低于1*Hygon 3350 (8核16线程，3.0GHz) </w:t>
            </w:r>
          </w:p>
          <w:p w14:paraId="75E0A011">
            <w:pPr>
              <w:rPr>
                <w:color w:val="auto"/>
              </w:rPr>
            </w:pPr>
            <w:r>
              <w:rPr>
                <w:rFonts w:hint="eastAsia"/>
                <w:color w:val="auto"/>
              </w:rPr>
              <w:t>2、内存:≥1*16GB</w:t>
            </w:r>
          </w:p>
          <w:p w14:paraId="45699F57">
            <w:pPr>
              <w:rPr>
                <w:color w:val="auto"/>
              </w:rPr>
            </w:pPr>
            <w:r>
              <w:rPr>
                <w:rFonts w:hint="eastAsia"/>
                <w:color w:val="auto"/>
              </w:rPr>
              <w:t>3、内存插槽数:≥4个</w:t>
            </w:r>
          </w:p>
          <w:p w14:paraId="0012AD7E">
            <w:pPr>
              <w:rPr>
                <w:color w:val="auto"/>
              </w:rPr>
            </w:pPr>
            <w:r>
              <w:rPr>
                <w:rFonts w:hint="eastAsia"/>
                <w:color w:val="auto"/>
              </w:rPr>
              <w:t>4、标配硬盘:≥1*【3.5寸 7.2K SATA】 4TB；硬盘扩展:≥4个3.5英寸硬盘槽位</w:t>
            </w:r>
          </w:p>
          <w:p w14:paraId="679668ED">
            <w:pPr>
              <w:rPr>
                <w:color w:val="auto"/>
              </w:rPr>
            </w:pPr>
            <w:r>
              <w:rPr>
                <w:rFonts w:hint="eastAsia"/>
                <w:color w:val="auto"/>
              </w:rPr>
              <w:t>5、管理网口:≥1*GE；业务网口:板载≥2*GE+双口千兆网卡*1（共计不少于4*GE）</w:t>
            </w:r>
          </w:p>
          <w:p w14:paraId="1044481C">
            <w:pPr>
              <w:rPr>
                <w:color w:val="auto"/>
              </w:rPr>
            </w:pPr>
            <w:r>
              <w:rPr>
                <w:rFonts w:hint="eastAsia"/>
                <w:color w:val="auto"/>
              </w:rPr>
              <w:t>6、GPU卡:支持不少于2张单宽半高半长GPU卡</w:t>
            </w:r>
          </w:p>
          <w:p w14:paraId="268F0C87">
            <w:pPr>
              <w:rPr>
                <w:color w:val="auto"/>
              </w:rPr>
            </w:pPr>
            <w:r>
              <w:rPr>
                <w:rFonts w:hint="eastAsia"/>
                <w:color w:val="auto"/>
              </w:rPr>
              <w:t>7、USB接口:≥2个前置USB接口+2个后置USB接口</w:t>
            </w:r>
          </w:p>
          <w:p w14:paraId="58E04CEA">
            <w:pPr>
              <w:rPr>
                <w:color w:val="auto"/>
              </w:rPr>
            </w:pPr>
            <w:r>
              <w:rPr>
                <w:rFonts w:hint="eastAsia"/>
                <w:color w:val="auto"/>
              </w:rPr>
              <w:t>8、视频输出接口:≥1个后置VGA接口</w:t>
            </w:r>
          </w:p>
          <w:p w14:paraId="2FF39DDA">
            <w:pPr>
              <w:rPr>
                <w:color w:val="auto"/>
              </w:rPr>
            </w:pPr>
            <w:r>
              <w:rPr>
                <w:rFonts w:hint="eastAsia"/>
                <w:color w:val="auto"/>
              </w:rPr>
              <w:t>9、机柜要求:机柜深度≥0.8m</w:t>
            </w:r>
          </w:p>
          <w:p w14:paraId="2FFB7CCD">
            <w:pPr>
              <w:rPr>
                <w:color w:val="auto"/>
              </w:rPr>
            </w:pPr>
            <w:r>
              <w:rPr>
                <w:rFonts w:hint="eastAsia"/>
                <w:color w:val="auto"/>
              </w:rPr>
              <w:t>10、电源功率:≤500W</w:t>
            </w:r>
          </w:p>
          <w:p w14:paraId="5DEF9EAF">
            <w:pPr>
              <w:rPr>
                <w:color w:val="auto"/>
              </w:rPr>
            </w:pPr>
            <w:r>
              <w:rPr>
                <w:rFonts w:hint="eastAsia"/>
                <w:color w:val="auto"/>
              </w:rPr>
              <w:t>11、电源输入:AC:110V/220V</w:t>
            </w:r>
          </w:p>
          <w:p w14:paraId="4CA79416">
            <w:pPr>
              <w:rPr>
                <w:color w:val="auto"/>
              </w:rPr>
            </w:pPr>
            <w:r>
              <w:rPr>
                <w:rFonts w:hint="eastAsia"/>
                <w:color w:val="auto"/>
              </w:rPr>
              <w:t>12、工作环境温度:5℃～35℃</w:t>
            </w:r>
          </w:p>
          <w:p w14:paraId="53E8FB24">
            <w:pPr>
              <w:rPr>
                <w:color w:val="auto"/>
              </w:rPr>
            </w:pPr>
            <w:r>
              <w:rPr>
                <w:rFonts w:hint="eastAsia"/>
                <w:color w:val="auto"/>
              </w:rPr>
              <w:t>13、工作环境湿度:20%～80%，无冷凝</w:t>
            </w:r>
          </w:p>
          <w:p w14:paraId="2BF7642E">
            <w:pPr>
              <w:widowControl/>
              <w:tabs>
                <w:tab w:val="left" w:pos="312"/>
              </w:tabs>
              <w:jc w:val="left"/>
              <w:textAlignment w:val="center"/>
              <w:rPr>
                <w:rFonts w:hint="eastAsia" w:ascii="宋体" w:hAnsi="宋体" w:cs="宋体"/>
                <w:color w:val="auto"/>
                <w:kern w:val="0"/>
                <w:sz w:val="24"/>
                <w:lang w:bidi="ar"/>
              </w:rPr>
            </w:pPr>
            <w:r>
              <w:rPr>
                <w:rFonts w:hint="eastAsia"/>
                <w:color w:val="auto"/>
              </w:rPr>
              <w:t>14、★保证可被校园现有平台软件识别，包含现有监控平台数据与软件调试实施，并完成数据信息迁移，确保平台数据不丢失，确保系统迁移后现有功能均可复原。（需供应商提供保证书并加盖公章）</w:t>
            </w:r>
          </w:p>
        </w:tc>
      </w:tr>
      <w:tr w14:paraId="0D949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11" w:type="pct"/>
          </w:tcPr>
          <w:p w14:paraId="20D3939A">
            <w:pPr>
              <w:widowControl/>
              <w:jc w:val="center"/>
              <w:textAlignment w:val="center"/>
              <w:rPr>
                <w:color w:val="auto"/>
                <w:kern w:val="0"/>
                <w:sz w:val="24"/>
                <w:lang w:bidi="ar"/>
              </w:rPr>
            </w:pPr>
            <w:r>
              <w:rPr>
                <w:rFonts w:hint="eastAsia"/>
                <w:b/>
                <w:bCs/>
                <w:color w:val="auto"/>
              </w:rPr>
              <w:t>22</w:t>
            </w:r>
          </w:p>
        </w:tc>
        <w:tc>
          <w:tcPr>
            <w:tcW w:w="827" w:type="pct"/>
          </w:tcPr>
          <w:p w14:paraId="6FD23ED4">
            <w:pPr>
              <w:widowControl/>
              <w:jc w:val="center"/>
              <w:textAlignment w:val="center"/>
              <w:rPr>
                <w:rFonts w:hint="eastAsia" w:ascii="宋体" w:hAnsi="宋体" w:cs="宋体"/>
                <w:color w:val="auto"/>
                <w:kern w:val="0"/>
                <w:sz w:val="24"/>
                <w:lang w:bidi="ar"/>
              </w:rPr>
            </w:pPr>
            <w:r>
              <w:rPr>
                <w:rFonts w:hint="eastAsia"/>
                <w:color w:val="auto"/>
              </w:rPr>
              <w:t>智能管理服务器</w:t>
            </w:r>
          </w:p>
        </w:tc>
        <w:tc>
          <w:tcPr>
            <w:tcW w:w="3760" w:type="pct"/>
          </w:tcPr>
          <w:p w14:paraId="6FC13A95">
            <w:pPr>
              <w:spacing w:line="278" w:lineRule="auto"/>
              <w:rPr>
                <w:color w:val="auto"/>
              </w:rPr>
            </w:pPr>
            <w:r>
              <w:rPr>
                <w:rFonts w:hint="eastAsia"/>
                <w:color w:val="auto"/>
              </w:rPr>
              <w:t>业务规格:设备管理和资产管理</w:t>
            </w:r>
          </w:p>
          <w:p w14:paraId="62F151CD">
            <w:pPr>
              <w:spacing w:line="278" w:lineRule="auto"/>
              <w:rPr>
                <w:color w:val="auto"/>
              </w:rPr>
            </w:pPr>
            <w:r>
              <w:rPr>
                <w:rFonts w:hint="eastAsia"/>
                <w:color w:val="auto"/>
              </w:rPr>
              <w:t xml:space="preserve"> </w:t>
            </w:r>
            <w:r>
              <w:rPr>
                <w:rFonts w:hint="eastAsia"/>
                <w:color w:val="auto"/>
              </w:rPr>
              <w:tab/>
            </w:r>
            <w:r>
              <w:rPr>
                <w:rFonts w:hint="eastAsia"/>
                <w:color w:val="auto"/>
              </w:rPr>
              <w:t>支持全网设备管理并可自定义添加属性</w:t>
            </w:r>
          </w:p>
          <w:p w14:paraId="5EDC000F">
            <w:pPr>
              <w:spacing w:line="278" w:lineRule="auto"/>
              <w:rPr>
                <w:color w:val="auto"/>
              </w:rPr>
            </w:pPr>
            <w:r>
              <w:rPr>
                <w:rFonts w:hint="eastAsia"/>
                <w:color w:val="auto"/>
              </w:rPr>
              <w:t xml:space="preserve"> </w:t>
            </w:r>
            <w:r>
              <w:rPr>
                <w:rFonts w:hint="eastAsia"/>
                <w:color w:val="auto"/>
              </w:rPr>
              <w:tab/>
            </w:r>
            <w:r>
              <w:rPr>
                <w:rFonts w:hint="eastAsia"/>
                <w:color w:val="auto"/>
              </w:rPr>
              <w:t>支持全网设备状态巡检</w:t>
            </w:r>
          </w:p>
          <w:p w14:paraId="38FB3071">
            <w:pPr>
              <w:spacing w:line="278" w:lineRule="auto"/>
              <w:rPr>
                <w:color w:val="auto"/>
              </w:rPr>
            </w:pPr>
            <w:r>
              <w:rPr>
                <w:rFonts w:hint="eastAsia"/>
                <w:color w:val="auto"/>
              </w:rPr>
              <w:t xml:space="preserve"> </w:t>
            </w:r>
            <w:r>
              <w:rPr>
                <w:rFonts w:hint="eastAsia"/>
                <w:color w:val="auto"/>
              </w:rPr>
              <w:tab/>
            </w:r>
            <w:r>
              <w:rPr>
                <w:rFonts w:hint="eastAsia"/>
                <w:color w:val="auto"/>
              </w:rPr>
              <w:t>支持全网设备运行状况的实时更新</w:t>
            </w:r>
          </w:p>
          <w:p w14:paraId="177E3599">
            <w:pPr>
              <w:spacing w:line="278" w:lineRule="auto"/>
              <w:rPr>
                <w:color w:val="auto"/>
              </w:rPr>
            </w:pPr>
            <w:r>
              <w:rPr>
                <w:rFonts w:hint="eastAsia"/>
                <w:color w:val="auto"/>
              </w:rPr>
              <w:t xml:space="preserve"> </w:t>
            </w:r>
            <w:r>
              <w:rPr>
                <w:rFonts w:hint="eastAsia"/>
                <w:color w:val="auto"/>
              </w:rPr>
              <w:tab/>
            </w:r>
            <w:r>
              <w:rPr>
                <w:rFonts w:hint="eastAsia"/>
                <w:color w:val="auto"/>
              </w:rPr>
              <w:t>支持SNMP标准网管协议</w:t>
            </w:r>
          </w:p>
          <w:p w14:paraId="5FDADA30">
            <w:pPr>
              <w:spacing w:line="278" w:lineRule="auto"/>
              <w:rPr>
                <w:color w:val="auto"/>
              </w:rPr>
            </w:pPr>
            <w:r>
              <w:rPr>
                <w:rFonts w:hint="eastAsia"/>
                <w:color w:val="auto"/>
              </w:rPr>
              <w:t xml:space="preserve"> </w:t>
            </w:r>
            <w:r>
              <w:rPr>
                <w:rFonts w:hint="eastAsia"/>
                <w:color w:val="auto"/>
              </w:rPr>
              <w:tab/>
            </w:r>
            <w:r>
              <w:rPr>
                <w:rFonts w:hint="eastAsia"/>
                <w:color w:val="auto"/>
              </w:rPr>
              <w:t>支持资产同步</w:t>
            </w:r>
          </w:p>
          <w:p w14:paraId="69F158B3">
            <w:pPr>
              <w:spacing w:line="278" w:lineRule="auto"/>
              <w:rPr>
                <w:color w:val="auto"/>
              </w:rPr>
            </w:pPr>
            <w:r>
              <w:rPr>
                <w:rFonts w:hint="eastAsia"/>
                <w:color w:val="auto"/>
              </w:rPr>
              <w:t xml:space="preserve"> </w:t>
            </w:r>
            <w:r>
              <w:rPr>
                <w:rFonts w:hint="eastAsia"/>
                <w:color w:val="auto"/>
              </w:rPr>
              <w:tab/>
            </w:r>
            <w:r>
              <w:rPr>
                <w:rFonts w:hint="eastAsia"/>
                <w:color w:val="auto"/>
              </w:rPr>
              <w:t>全网资产统计</w:t>
            </w:r>
          </w:p>
          <w:p w14:paraId="6AE4AF21">
            <w:pPr>
              <w:spacing w:line="278" w:lineRule="auto"/>
              <w:rPr>
                <w:color w:val="auto"/>
              </w:rPr>
            </w:pPr>
            <w:r>
              <w:rPr>
                <w:rFonts w:hint="eastAsia"/>
                <w:color w:val="auto"/>
              </w:rPr>
              <w:t xml:space="preserve"> </w:t>
            </w:r>
            <w:r>
              <w:rPr>
                <w:rFonts w:hint="eastAsia"/>
                <w:color w:val="auto"/>
              </w:rPr>
              <w:tab/>
            </w:r>
            <w:r>
              <w:rPr>
                <w:rFonts w:hint="eastAsia"/>
                <w:color w:val="auto"/>
              </w:rPr>
              <w:t>支持对服务器CPU、内存、硬盘、关键进程、数据库服务器关键进程等的检查和阀值告警</w:t>
            </w:r>
          </w:p>
          <w:p w14:paraId="621F789A">
            <w:pPr>
              <w:spacing w:line="278" w:lineRule="auto"/>
              <w:rPr>
                <w:color w:val="auto"/>
              </w:rPr>
            </w:pPr>
            <w:r>
              <w:rPr>
                <w:rFonts w:hint="eastAsia"/>
                <w:color w:val="auto"/>
              </w:rPr>
              <w:t>录像状态检测管理</w:t>
            </w:r>
          </w:p>
          <w:p w14:paraId="6C629046">
            <w:pPr>
              <w:spacing w:line="278" w:lineRule="auto"/>
              <w:rPr>
                <w:color w:val="auto"/>
              </w:rPr>
            </w:pPr>
            <w:r>
              <w:rPr>
                <w:rFonts w:hint="eastAsia"/>
                <w:color w:val="auto"/>
              </w:rPr>
              <w:t xml:space="preserve"> </w:t>
            </w:r>
            <w:r>
              <w:rPr>
                <w:rFonts w:hint="eastAsia"/>
                <w:color w:val="auto"/>
              </w:rPr>
              <w:tab/>
            </w:r>
            <w:r>
              <w:rPr>
                <w:rFonts w:hint="eastAsia"/>
                <w:color w:val="auto"/>
              </w:rPr>
              <w:t>支持管理海量前端的录像检测</w:t>
            </w:r>
          </w:p>
          <w:p w14:paraId="1C45AF97">
            <w:pPr>
              <w:spacing w:line="278" w:lineRule="auto"/>
              <w:rPr>
                <w:color w:val="auto"/>
              </w:rPr>
            </w:pPr>
            <w:r>
              <w:rPr>
                <w:rFonts w:hint="eastAsia"/>
                <w:color w:val="auto"/>
              </w:rPr>
              <w:t xml:space="preserve"> </w:t>
            </w:r>
            <w:r>
              <w:rPr>
                <w:rFonts w:hint="eastAsia"/>
                <w:color w:val="auto"/>
              </w:rPr>
              <w:tab/>
            </w:r>
            <w:r>
              <w:rPr>
                <w:rFonts w:hint="eastAsia"/>
                <w:color w:val="auto"/>
              </w:rPr>
              <w:t>支持根据录像计划智能判断前端录像状态</w:t>
            </w:r>
          </w:p>
          <w:p w14:paraId="386DE589">
            <w:pPr>
              <w:spacing w:line="278" w:lineRule="auto"/>
              <w:rPr>
                <w:color w:val="auto"/>
              </w:rPr>
            </w:pPr>
            <w:r>
              <w:rPr>
                <w:rFonts w:hint="eastAsia"/>
                <w:color w:val="auto"/>
              </w:rPr>
              <w:t xml:space="preserve"> </w:t>
            </w:r>
            <w:r>
              <w:rPr>
                <w:rFonts w:hint="eastAsia"/>
                <w:color w:val="auto"/>
              </w:rPr>
              <w:tab/>
            </w:r>
            <w:r>
              <w:rPr>
                <w:rFonts w:hint="eastAsia"/>
                <w:color w:val="auto"/>
              </w:rPr>
              <w:t>对未按计划录像的摄像机进行告警上报</w:t>
            </w:r>
          </w:p>
          <w:p w14:paraId="6B0B7CA7">
            <w:pPr>
              <w:spacing w:line="278" w:lineRule="auto"/>
              <w:rPr>
                <w:color w:val="auto"/>
              </w:rPr>
            </w:pPr>
            <w:r>
              <w:rPr>
                <w:rFonts w:hint="eastAsia"/>
                <w:color w:val="auto"/>
              </w:rPr>
              <w:t xml:space="preserve"> </w:t>
            </w:r>
            <w:r>
              <w:rPr>
                <w:rFonts w:hint="eastAsia"/>
                <w:color w:val="auto"/>
              </w:rPr>
              <w:tab/>
            </w:r>
            <w:r>
              <w:rPr>
                <w:rFonts w:hint="eastAsia"/>
                <w:color w:val="auto"/>
              </w:rPr>
              <w:t>支持录像分析结果分类统计、查询</w:t>
            </w:r>
          </w:p>
          <w:p w14:paraId="32BA023D">
            <w:pPr>
              <w:spacing w:line="278" w:lineRule="auto"/>
              <w:rPr>
                <w:color w:val="auto"/>
              </w:rPr>
            </w:pPr>
            <w:r>
              <w:rPr>
                <w:rFonts w:hint="eastAsia"/>
                <w:color w:val="auto"/>
              </w:rPr>
              <w:t>视频质量诊断管理</w:t>
            </w:r>
          </w:p>
          <w:p w14:paraId="24F4A379">
            <w:pPr>
              <w:spacing w:line="278" w:lineRule="auto"/>
              <w:rPr>
                <w:color w:val="auto"/>
              </w:rPr>
            </w:pPr>
            <w:r>
              <w:rPr>
                <w:rFonts w:hint="eastAsia"/>
                <w:color w:val="auto"/>
              </w:rPr>
              <w:t xml:space="preserve"> </w:t>
            </w:r>
            <w:r>
              <w:rPr>
                <w:rFonts w:hint="eastAsia"/>
                <w:color w:val="auto"/>
              </w:rPr>
              <w:tab/>
            </w:r>
            <w:r>
              <w:rPr>
                <w:rFonts w:hint="eastAsia"/>
                <w:color w:val="auto"/>
              </w:rPr>
              <w:t>支持管理海量的视频诊断分析</w:t>
            </w:r>
          </w:p>
          <w:p w14:paraId="58300D1B">
            <w:pPr>
              <w:spacing w:line="278" w:lineRule="auto"/>
              <w:rPr>
                <w:color w:val="auto"/>
              </w:rPr>
            </w:pPr>
            <w:r>
              <w:rPr>
                <w:rFonts w:hint="eastAsia"/>
                <w:color w:val="auto"/>
              </w:rPr>
              <w:t xml:space="preserve"> </w:t>
            </w:r>
            <w:r>
              <w:rPr>
                <w:rFonts w:hint="eastAsia"/>
                <w:color w:val="auto"/>
              </w:rPr>
              <w:tab/>
            </w:r>
            <w:r>
              <w:rPr>
                <w:rFonts w:hint="eastAsia"/>
                <w:color w:val="auto"/>
              </w:rPr>
              <w:t>支持分析结果分类统计、查询</w:t>
            </w:r>
          </w:p>
          <w:p w14:paraId="4673AED5">
            <w:pPr>
              <w:spacing w:line="278" w:lineRule="auto"/>
              <w:rPr>
                <w:color w:val="auto"/>
              </w:rPr>
            </w:pPr>
            <w:r>
              <w:rPr>
                <w:rFonts w:hint="eastAsia"/>
                <w:color w:val="auto"/>
              </w:rPr>
              <w:t xml:space="preserve"> </w:t>
            </w:r>
            <w:r>
              <w:rPr>
                <w:rFonts w:hint="eastAsia"/>
                <w:color w:val="auto"/>
              </w:rPr>
              <w:tab/>
            </w:r>
            <w:r>
              <w:rPr>
                <w:rFonts w:hint="eastAsia"/>
                <w:color w:val="auto"/>
              </w:rPr>
              <w:t>支持视频质量异常的告警上报</w:t>
            </w:r>
          </w:p>
          <w:p w14:paraId="5F06FC0A">
            <w:pPr>
              <w:spacing w:line="278" w:lineRule="auto"/>
              <w:rPr>
                <w:color w:val="auto"/>
              </w:rPr>
            </w:pPr>
            <w:r>
              <w:rPr>
                <w:rFonts w:hint="eastAsia"/>
                <w:color w:val="auto"/>
              </w:rPr>
              <w:t>图片诊断</w:t>
            </w:r>
          </w:p>
          <w:p w14:paraId="2A000398">
            <w:pPr>
              <w:spacing w:line="278" w:lineRule="auto"/>
              <w:rPr>
                <w:color w:val="auto"/>
              </w:rPr>
            </w:pPr>
            <w:r>
              <w:rPr>
                <w:rFonts w:hint="eastAsia"/>
                <w:color w:val="auto"/>
              </w:rPr>
              <w:t xml:space="preserve"> </w:t>
            </w:r>
            <w:r>
              <w:rPr>
                <w:rFonts w:hint="eastAsia"/>
                <w:color w:val="auto"/>
              </w:rPr>
              <w:tab/>
            </w:r>
            <w:r>
              <w:rPr>
                <w:rFonts w:hint="eastAsia"/>
                <w:color w:val="auto"/>
              </w:rPr>
              <w:t>支持人脸、过车、车牌等图片质量检测</w:t>
            </w:r>
          </w:p>
          <w:p w14:paraId="5D96B0A3">
            <w:pPr>
              <w:spacing w:line="278" w:lineRule="auto"/>
              <w:rPr>
                <w:color w:val="auto"/>
              </w:rPr>
            </w:pPr>
            <w:r>
              <w:rPr>
                <w:rFonts w:hint="eastAsia"/>
                <w:color w:val="auto"/>
              </w:rPr>
              <w:t xml:space="preserve"> </w:t>
            </w:r>
            <w:r>
              <w:rPr>
                <w:rFonts w:hint="eastAsia"/>
                <w:color w:val="auto"/>
              </w:rPr>
              <w:tab/>
            </w:r>
            <w:r>
              <w:rPr>
                <w:rFonts w:hint="eastAsia"/>
                <w:color w:val="auto"/>
              </w:rPr>
              <w:t>高效算法自动打分，快速、准确</w:t>
            </w:r>
          </w:p>
          <w:p w14:paraId="790355EC">
            <w:pPr>
              <w:spacing w:line="278" w:lineRule="auto"/>
              <w:rPr>
                <w:color w:val="auto"/>
              </w:rPr>
            </w:pPr>
            <w:r>
              <w:rPr>
                <w:rFonts w:hint="eastAsia"/>
                <w:color w:val="auto"/>
              </w:rPr>
              <w:t xml:space="preserve"> </w:t>
            </w:r>
            <w:r>
              <w:rPr>
                <w:rFonts w:hint="eastAsia"/>
                <w:color w:val="auto"/>
              </w:rPr>
              <w:tab/>
            </w:r>
            <w:r>
              <w:rPr>
                <w:rFonts w:hint="eastAsia"/>
                <w:color w:val="auto"/>
              </w:rPr>
              <w:t>自定义诊断分数、合格率、抽检规格</w:t>
            </w:r>
          </w:p>
          <w:p w14:paraId="1004307B">
            <w:pPr>
              <w:spacing w:line="278" w:lineRule="auto"/>
              <w:rPr>
                <w:color w:val="auto"/>
              </w:rPr>
            </w:pPr>
            <w:r>
              <w:rPr>
                <w:rFonts w:hint="eastAsia"/>
                <w:color w:val="auto"/>
              </w:rPr>
              <w:t xml:space="preserve"> </w:t>
            </w:r>
            <w:r>
              <w:rPr>
                <w:rFonts w:hint="eastAsia"/>
                <w:color w:val="auto"/>
              </w:rPr>
              <w:tab/>
            </w:r>
            <w:r>
              <w:rPr>
                <w:rFonts w:hint="eastAsia"/>
                <w:color w:val="auto"/>
              </w:rPr>
              <w:t xml:space="preserve"> 支持省市县三级行政区划的OSD诊断，识别异常标注</w:t>
            </w:r>
          </w:p>
          <w:p w14:paraId="0BC487F9">
            <w:pPr>
              <w:spacing w:line="278" w:lineRule="auto"/>
              <w:rPr>
                <w:color w:val="auto"/>
              </w:rPr>
            </w:pPr>
            <w:r>
              <w:rPr>
                <w:rFonts w:hint="eastAsia"/>
                <w:color w:val="auto"/>
              </w:rPr>
              <w:t xml:space="preserve"> </w:t>
            </w:r>
            <w:r>
              <w:rPr>
                <w:rFonts w:hint="eastAsia"/>
                <w:color w:val="auto"/>
              </w:rPr>
              <w:tab/>
            </w:r>
            <w:r>
              <w:rPr>
                <w:rFonts w:hint="eastAsia"/>
                <w:color w:val="auto"/>
              </w:rPr>
              <w:t>支持时间戳诊断，保证设备时间同步</w:t>
            </w:r>
          </w:p>
          <w:p w14:paraId="0DA11228">
            <w:pPr>
              <w:spacing w:line="278" w:lineRule="auto"/>
              <w:rPr>
                <w:color w:val="auto"/>
              </w:rPr>
            </w:pPr>
            <w:r>
              <w:rPr>
                <w:rFonts w:hint="eastAsia"/>
                <w:color w:val="auto"/>
              </w:rPr>
              <w:t>NVR管理</w:t>
            </w:r>
          </w:p>
          <w:p w14:paraId="774252EF">
            <w:pPr>
              <w:spacing w:line="278" w:lineRule="auto"/>
              <w:rPr>
                <w:color w:val="auto"/>
              </w:rPr>
            </w:pPr>
            <w:r>
              <w:rPr>
                <w:rFonts w:hint="eastAsia"/>
                <w:color w:val="auto"/>
              </w:rPr>
              <w:t xml:space="preserve"> </w:t>
            </w:r>
            <w:r>
              <w:rPr>
                <w:rFonts w:hint="eastAsia"/>
                <w:color w:val="auto"/>
              </w:rPr>
              <w:tab/>
            </w:r>
            <w:r>
              <w:rPr>
                <w:rFonts w:hint="eastAsia"/>
                <w:color w:val="auto"/>
              </w:rPr>
              <w:t>支持查看NVR在离线状态、硬盘数量、硬盘存储总容量、硬盘剩余容量、阵列数的统计</w:t>
            </w:r>
          </w:p>
          <w:p w14:paraId="467482D3">
            <w:pPr>
              <w:spacing w:line="278" w:lineRule="auto"/>
              <w:rPr>
                <w:color w:val="auto"/>
              </w:rPr>
            </w:pPr>
            <w:r>
              <w:rPr>
                <w:rFonts w:hint="eastAsia"/>
                <w:color w:val="auto"/>
              </w:rPr>
              <w:t>网络诊断</w:t>
            </w:r>
          </w:p>
          <w:p w14:paraId="7ECBB6FC">
            <w:pPr>
              <w:spacing w:line="278" w:lineRule="auto"/>
              <w:rPr>
                <w:color w:val="auto"/>
              </w:rPr>
            </w:pPr>
            <w:r>
              <w:rPr>
                <w:rFonts w:hint="eastAsia"/>
                <w:color w:val="auto"/>
              </w:rPr>
              <w:t xml:space="preserve"> </w:t>
            </w:r>
            <w:r>
              <w:rPr>
                <w:rFonts w:hint="eastAsia"/>
                <w:color w:val="auto"/>
              </w:rPr>
              <w:tab/>
            </w:r>
            <w:r>
              <w:rPr>
                <w:rFonts w:hint="eastAsia"/>
                <w:color w:val="auto"/>
              </w:rPr>
              <w:t>支持流量阀值告警</w:t>
            </w:r>
          </w:p>
          <w:p w14:paraId="6837D5AF">
            <w:pPr>
              <w:spacing w:line="278" w:lineRule="auto"/>
              <w:rPr>
                <w:color w:val="auto"/>
              </w:rPr>
            </w:pPr>
            <w:r>
              <w:rPr>
                <w:rFonts w:hint="eastAsia"/>
                <w:color w:val="auto"/>
              </w:rPr>
              <w:t xml:space="preserve"> </w:t>
            </w:r>
            <w:r>
              <w:rPr>
                <w:rFonts w:hint="eastAsia"/>
                <w:color w:val="auto"/>
              </w:rPr>
              <w:tab/>
            </w:r>
            <w:r>
              <w:rPr>
                <w:rFonts w:hint="eastAsia"/>
                <w:color w:val="auto"/>
              </w:rPr>
              <w:t>支持自动发现</w:t>
            </w:r>
          </w:p>
          <w:p w14:paraId="410D8965">
            <w:pPr>
              <w:spacing w:line="278" w:lineRule="auto"/>
              <w:rPr>
                <w:color w:val="auto"/>
              </w:rPr>
            </w:pPr>
            <w:r>
              <w:rPr>
                <w:rFonts w:hint="eastAsia"/>
                <w:color w:val="auto"/>
              </w:rPr>
              <w:t xml:space="preserve"> </w:t>
            </w:r>
            <w:r>
              <w:rPr>
                <w:rFonts w:hint="eastAsia"/>
                <w:color w:val="auto"/>
              </w:rPr>
              <w:tab/>
            </w:r>
            <w:r>
              <w:rPr>
                <w:rFonts w:hint="eastAsia"/>
                <w:color w:val="auto"/>
              </w:rPr>
              <w:t>支持通过全局资产、资产扫描，自动绘制网络拓扑</w:t>
            </w:r>
          </w:p>
          <w:p w14:paraId="3F5CB3F8">
            <w:pPr>
              <w:spacing w:line="278" w:lineRule="auto"/>
              <w:rPr>
                <w:color w:val="auto"/>
              </w:rPr>
            </w:pPr>
            <w:r>
              <w:rPr>
                <w:rFonts w:hint="eastAsia"/>
                <w:color w:val="auto"/>
              </w:rPr>
              <w:t>统计和报表</w:t>
            </w:r>
          </w:p>
          <w:p w14:paraId="6271077C">
            <w:pPr>
              <w:spacing w:line="278" w:lineRule="auto"/>
              <w:rPr>
                <w:color w:val="auto"/>
              </w:rPr>
            </w:pPr>
            <w:r>
              <w:rPr>
                <w:rFonts w:hint="eastAsia"/>
                <w:color w:val="auto"/>
              </w:rPr>
              <w:t xml:space="preserve"> </w:t>
            </w:r>
            <w:r>
              <w:rPr>
                <w:rFonts w:hint="eastAsia"/>
                <w:color w:val="auto"/>
              </w:rPr>
              <w:tab/>
            </w:r>
            <w:r>
              <w:rPr>
                <w:rFonts w:hint="eastAsia"/>
                <w:color w:val="auto"/>
              </w:rPr>
              <w:t>支持设备故障率统计、设备故障时长统计</w:t>
            </w:r>
          </w:p>
          <w:p w14:paraId="25390A72">
            <w:pPr>
              <w:spacing w:line="278" w:lineRule="auto"/>
              <w:rPr>
                <w:color w:val="auto"/>
              </w:rPr>
            </w:pPr>
            <w:r>
              <w:rPr>
                <w:rFonts w:hint="eastAsia"/>
                <w:color w:val="auto"/>
              </w:rPr>
              <w:t xml:space="preserve"> </w:t>
            </w:r>
            <w:r>
              <w:rPr>
                <w:rFonts w:hint="eastAsia"/>
                <w:color w:val="auto"/>
              </w:rPr>
              <w:tab/>
            </w:r>
            <w:r>
              <w:rPr>
                <w:rFonts w:hint="eastAsia"/>
                <w:color w:val="auto"/>
              </w:rPr>
              <w:t>可配置自动报表统计功能（每月、每周的报表统计）</w:t>
            </w:r>
          </w:p>
          <w:p w14:paraId="18528E8F">
            <w:pPr>
              <w:spacing w:line="278" w:lineRule="auto"/>
              <w:rPr>
                <w:color w:val="auto"/>
              </w:rPr>
            </w:pPr>
            <w:r>
              <w:rPr>
                <w:rFonts w:hint="eastAsia"/>
                <w:color w:val="auto"/>
              </w:rPr>
              <w:t xml:space="preserve"> </w:t>
            </w:r>
            <w:r>
              <w:rPr>
                <w:rFonts w:hint="eastAsia"/>
                <w:color w:val="auto"/>
              </w:rPr>
              <w:tab/>
            </w:r>
            <w:r>
              <w:rPr>
                <w:rFonts w:hint="eastAsia"/>
                <w:color w:val="auto"/>
              </w:rPr>
              <w:t>支持结合视频诊断结论的资源可用性统计报表</w:t>
            </w:r>
          </w:p>
          <w:p w14:paraId="3233C0F1">
            <w:pPr>
              <w:spacing w:line="278" w:lineRule="auto"/>
              <w:rPr>
                <w:color w:val="auto"/>
              </w:rPr>
            </w:pPr>
            <w:r>
              <w:rPr>
                <w:rFonts w:hint="eastAsia"/>
                <w:color w:val="auto"/>
              </w:rPr>
              <w:t xml:space="preserve"> </w:t>
            </w:r>
            <w:r>
              <w:rPr>
                <w:rFonts w:hint="eastAsia"/>
                <w:color w:val="auto"/>
              </w:rPr>
              <w:tab/>
            </w:r>
            <w:r>
              <w:rPr>
                <w:rFonts w:hint="eastAsia"/>
                <w:color w:val="auto"/>
              </w:rPr>
              <w:t>支持报表数据的图形化显示</w:t>
            </w:r>
          </w:p>
          <w:p w14:paraId="067DB1D9">
            <w:pPr>
              <w:spacing w:line="278" w:lineRule="auto"/>
              <w:rPr>
                <w:color w:val="auto"/>
              </w:rPr>
            </w:pPr>
            <w:r>
              <w:rPr>
                <w:rFonts w:hint="eastAsia"/>
                <w:color w:val="auto"/>
              </w:rPr>
              <w:t xml:space="preserve"> </w:t>
            </w:r>
            <w:r>
              <w:rPr>
                <w:rFonts w:hint="eastAsia"/>
                <w:color w:val="auto"/>
              </w:rPr>
              <w:tab/>
            </w:r>
            <w:r>
              <w:rPr>
                <w:rFonts w:hint="eastAsia"/>
                <w:color w:val="auto"/>
              </w:rPr>
              <w:t>支持统计报表导出功能</w:t>
            </w:r>
          </w:p>
          <w:p w14:paraId="1F1C9293">
            <w:pPr>
              <w:spacing w:line="278" w:lineRule="auto"/>
              <w:rPr>
                <w:color w:val="auto"/>
              </w:rPr>
            </w:pPr>
            <w:r>
              <w:rPr>
                <w:rFonts w:hint="eastAsia"/>
                <w:color w:val="auto"/>
              </w:rPr>
              <w:t>故障报修</w:t>
            </w:r>
          </w:p>
          <w:p w14:paraId="262FC27B">
            <w:pPr>
              <w:spacing w:line="278" w:lineRule="auto"/>
              <w:rPr>
                <w:color w:val="auto"/>
              </w:rPr>
            </w:pPr>
            <w:r>
              <w:rPr>
                <w:rFonts w:hint="eastAsia"/>
                <w:color w:val="auto"/>
              </w:rPr>
              <w:t xml:space="preserve"> </w:t>
            </w:r>
            <w:r>
              <w:rPr>
                <w:rFonts w:hint="eastAsia"/>
                <w:color w:val="auto"/>
              </w:rPr>
              <w:tab/>
            </w:r>
            <w:r>
              <w:rPr>
                <w:rFonts w:hint="eastAsia"/>
                <w:color w:val="auto"/>
              </w:rPr>
              <w:t>支持自动报修</w:t>
            </w:r>
          </w:p>
          <w:p w14:paraId="1144C18D">
            <w:pPr>
              <w:spacing w:line="278" w:lineRule="auto"/>
              <w:rPr>
                <w:color w:val="auto"/>
              </w:rPr>
            </w:pPr>
            <w:r>
              <w:rPr>
                <w:rFonts w:hint="eastAsia"/>
                <w:color w:val="auto"/>
              </w:rPr>
              <w:t xml:space="preserve"> </w:t>
            </w:r>
            <w:r>
              <w:rPr>
                <w:rFonts w:hint="eastAsia"/>
                <w:color w:val="auto"/>
              </w:rPr>
              <w:tab/>
            </w:r>
            <w:r>
              <w:rPr>
                <w:rFonts w:hint="eastAsia"/>
                <w:color w:val="auto"/>
              </w:rPr>
              <w:t>支持报修工单处理</w:t>
            </w:r>
          </w:p>
          <w:p w14:paraId="15C20209">
            <w:pPr>
              <w:spacing w:line="278" w:lineRule="auto"/>
              <w:rPr>
                <w:color w:val="auto"/>
              </w:rPr>
            </w:pPr>
            <w:r>
              <w:rPr>
                <w:rFonts w:hint="eastAsia"/>
                <w:color w:val="auto"/>
              </w:rPr>
              <w:t xml:space="preserve"> </w:t>
            </w:r>
            <w:r>
              <w:rPr>
                <w:rFonts w:hint="eastAsia"/>
                <w:color w:val="auto"/>
              </w:rPr>
              <w:tab/>
            </w:r>
            <w:r>
              <w:rPr>
                <w:rFonts w:hint="eastAsia"/>
                <w:color w:val="auto"/>
              </w:rPr>
              <w:t>支持工单跟踪</w:t>
            </w:r>
          </w:p>
          <w:p w14:paraId="4ED4D581">
            <w:pPr>
              <w:spacing w:line="278" w:lineRule="auto"/>
              <w:rPr>
                <w:color w:val="auto"/>
              </w:rPr>
            </w:pPr>
            <w:r>
              <w:rPr>
                <w:rFonts w:hint="eastAsia"/>
                <w:color w:val="auto"/>
              </w:rPr>
              <w:t>设备运维</w:t>
            </w:r>
          </w:p>
          <w:p w14:paraId="560FA595">
            <w:pPr>
              <w:spacing w:line="278" w:lineRule="auto"/>
              <w:rPr>
                <w:color w:val="auto"/>
              </w:rPr>
            </w:pPr>
            <w:r>
              <w:rPr>
                <w:rFonts w:hint="eastAsia"/>
                <w:color w:val="auto"/>
              </w:rPr>
              <w:t xml:space="preserve"> </w:t>
            </w:r>
            <w:r>
              <w:rPr>
                <w:rFonts w:hint="eastAsia"/>
                <w:color w:val="auto"/>
              </w:rPr>
              <w:tab/>
            </w:r>
            <w:r>
              <w:rPr>
                <w:rFonts w:hint="eastAsia"/>
                <w:color w:val="auto"/>
              </w:rPr>
              <w:t>支持云存储运维</w:t>
            </w:r>
          </w:p>
          <w:p w14:paraId="3150184D">
            <w:pPr>
              <w:spacing w:line="278" w:lineRule="auto"/>
              <w:rPr>
                <w:color w:val="auto"/>
              </w:rPr>
            </w:pPr>
            <w:r>
              <w:rPr>
                <w:rFonts w:hint="eastAsia"/>
                <w:color w:val="auto"/>
              </w:rPr>
              <w:t xml:space="preserve"> </w:t>
            </w:r>
            <w:r>
              <w:rPr>
                <w:rFonts w:hint="eastAsia"/>
                <w:color w:val="auto"/>
              </w:rPr>
              <w:tab/>
            </w:r>
            <w:r>
              <w:rPr>
                <w:rFonts w:hint="eastAsia"/>
                <w:color w:val="auto"/>
              </w:rPr>
              <w:t>支持存储留存期检测并提示</w:t>
            </w:r>
          </w:p>
          <w:p w14:paraId="68C10D46">
            <w:pPr>
              <w:spacing w:line="278" w:lineRule="auto"/>
              <w:rPr>
                <w:color w:val="auto"/>
              </w:rPr>
            </w:pPr>
            <w:r>
              <w:rPr>
                <w:rFonts w:hint="eastAsia"/>
                <w:color w:val="auto"/>
              </w:rPr>
              <w:t>知识库</w:t>
            </w:r>
          </w:p>
          <w:p w14:paraId="51272553">
            <w:pPr>
              <w:spacing w:line="278" w:lineRule="auto"/>
              <w:rPr>
                <w:color w:val="auto"/>
              </w:rPr>
            </w:pPr>
            <w:r>
              <w:rPr>
                <w:rFonts w:hint="eastAsia"/>
                <w:color w:val="auto"/>
              </w:rPr>
              <w:t xml:space="preserve"> </w:t>
            </w:r>
            <w:r>
              <w:rPr>
                <w:rFonts w:hint="eastAsia"/>
                <w:color w:val="auto"/>
              </w:rPr>
              <w:tab/>
            </w:r>
            <w:r>
              <w:rPr>
                <w:rFonts w:hint="eastAsia"/>
                <w:color w:val="auto"/>
              </w:rPr>
              <w:t>支持发布常见运维知识和关键字检索</w:t>
            </w:r>
          </w:p>
          <w:p w14:paraId="65CFB465">
            <w:pPr>
              <w:spacing w:line="278" w:lineRule="auto"/>
              <w:rPr>
                <w:color w:val="auto"/>
              </w:rPr>
            </w:pPr>
            <w:r>
              <w:rPr>
                <w:rFonts w:hint="eastAsia"/>
                <w:color w:val="auto"/>
              </w:rPr>
              <w:t xml:space="preserve"> </w:t>
            </w:r>
            <w:r>
              <w:rPr>
                <w:rFonts w:hint="eastAsia"/>
                <w:color w:val="auto"/>
              </w:rPr>
              <w:tab/>
            </w:r>
            <w:r>
              <w:rPr>
                <w:rFonts w:hint="eastAsia"/>
                <w:color w:val="auto"/>
              </w:rPr>
              <w:t>支持发布问题并查看答复</w:t>
            </w:r>
          </w:p>
          <w:p w14:paraId="6C487F53">
            <w:pPr>
              <w:spacing w:line="278" w:lineRule="auto"/>
              <w:rPr>
                <w:color w:val="auto"/>
              </w:rPr>
            </w:pPr>
            <w:r>
              <w:rPr>
                <w:rFonts w:hint="eastAsia"/>
                <w:color w:val="auto"/>
              </w:rPr>
              <w:t>安全防护</w:t>
            </w:r>
          </w:p>
          <w:p w14:paraId="34497DED">
            <w:pPr>
              <w:spacing w:line="278" w:lineRule="auto"/>
              <w:rPr>
                <w:color w:val="auto"/>
              </w:rPr>
            </w:pPr>
            <w:r>
              <w:rPr>
                <w:rFonts w:hint="eastAsia"/>
                <w:color w:val="auto"/>
              </w:rPr>
              <w:t xml:space="preserve"> </w:t>
            </w:r>
            <w:r>
              <w:rPr>
                <w:rFonts w:hint="eastAsia"/>
                <w:color w:val="auto"/>
              </w:rPr>
              <w:tab/>
            </w:r>
            <w:r>
              <w:rPr>
                <w:rFonts w:hint="eastAsia"/>
                <w:color w:val="auto"/>
              </w:rPr>
              <w:t>支持管理安全设备</w:t>
            </w:r>
          </w:p>
          <w:p w14:paraId="0270C0CC">
            <w:pPr>
              <w:spacing w:line="278" w:lineRule="auto"/>
              <w:rPr>
                <w:color w:val="auto"/>
              </w:rPr>
            </w:pPr>
            <w:r>
              <w:rPr>
                <w:rFonts w:hint="eastAsia"/>
                <w:color w:val="auto"/>
              </w:rPr>
              <w:t xml:space="preserve"> </w:t>
            </w:r>
            <w:r>
              <w:rPr>
                <w:rFonts w:hint="eastAsia"/>
                <w:color w:val="auto"/>
              </w:rPr>
              <w:tab/>
            </w:r>
            <w:r>
              <w:rPr>
                <w:rFonts w:hint="eastAsia"/>
                <w:color w:val="auto"/>
              </w:rPr>
              <w:t>支持统一呈现安全上报的活跃设备列表</w:t>
            </w:r>
          </w:p>
          <w:p w14:paraId="3AA10177">
            <w:pPr>
              <w:spacing w:line="278" w:lineRule="auto"/>
              <w:rPr>
                <w:color w:val="auto"/>
              </w:rPr>
            </w:pPr>
            <w:r>
              <w:rPr>
                <w:rFonts w:hint="eastAsia"/>
                <w:color w:val="auto"/>
              </w:rPr>
              <w:t xml:space="preserve"> </w:t>
            </w:r>
            <w:r>
              <w:rPr>
                <w:rFonts w:hint="eastAsia"/>
                <w:color w:val="auto"/>
              </w:rPr>
              <w:tab/>
            </w:r>
            <w:r>
              <w:rPr>
                <w:rFonts w:hint="eastAsia"/>
                <w:color w:val="auto"/>
              </w:rPr>
              <w:t>支持自动下发白名单</w:t>
            </w:r>
          </w:p>
          <w:p w14:paraId="4DC20447">
            <w:pPr>
              <w:spacing w:line="278" w:lineRule="auto"/>
              <w:rPr>
                <w:color w:val="auto"/>
              </w:rPr>
            </w:pPr>
            <w:r>
              <w:rPr>
                <w:rFonts w:hint="eastAsia"/>
                <w:color w:val="auto"/>
              </w:rPr>
              <w:t xml:space="preserve"> </w:t>
            </w:r>
            <w:r>
              <w:rPr>
                <w:rFonts w:hint="eastAsia"/>
                <w:color w:val="auto"/>
              </w:rPr>
              <w:tab/>
            </w:r>
            <w:r>
              <w:rPr>
                <w:rFonts w:hint="eastAsia"/>
                <w:color w:val="auto"/>
              </w:rPr>
              <w:t>支持统一呈现攻击事件</w:t>
            </w:r>
          </w:p>
          <w:p w14:paraId="272B04AA">
            <w:pPr>
              <w:spacing w:line="278" w:lineRule="auto"/>
              <w:rPr>
                <w:color w:val="auto"/>
              </w:rPr>
            </w:pPr>
            <w:r>
              <w:rPr>
                <w:rFonts w:hint="eastAsia"/>
                <w:color w:val="auto"/>
              </w:rPr>
              <w:t>视图库运维</w:t>
            </w:r>
          </w:p>
          <w:p w14:paraId="385EC4AD">
            <w:pPr>
              <w:spacing w:line="278" w:lineRule="auto"/>
              <w:rPr>
                <w:color w:val="auto"/>
              </w:rPr>
            </w:pPr>
            <w:r>
              <w:rPr>
                <w:rFonts w:hint="eastAsia"/>
                <w:color w:val="auto"/>
              </w:rPr>
              <w:t xml:space="preserve"> </w:t>
            </w:r>
            <w:r>
              <w:rPr>
                <w:rFonts w:hint="eastAsia"/>
                <w:color w:val="auto"/>
              </w:rPr>
              <w:tab/>
            </w:r>
            <w:r>
              <w:rPr>
                <w:rFonts w:hint="eastAsia"/>
                <w:color w:val="auto"/>
              </w:rPr>
              <w:t>支持按照视图库平台和行政区划统计视图库抓拍数据</w:t>
            </w:r>
          </w:p>
          <w:p w14:paraId="26ABEF4D">
            <w:pPr>
              <w:spacing w:line="278" w:lineRule="auto"/>
              <w:rPr>
                <w:color w:val="auto"/>
              </w:rPr>
            </w:pPr>
            <w:r>
              <w:rPr>
                <w:rFonts w:hint="eastAsia"/>
                <w:color w:val="auto"/>
              </w:rPr>
              <w:t xml:space="preserve"> </w:t>
            </w:r>
            <w:r>
              <w:rPr>
                <w:rFonts w:hint="eastAsia"/>
                <w:color w:val="auto"/>
              </w:rPr>
              <w:tab/>
            </w:r>
            <w:r>
              <w:rPr>
                <w:rFonts w:hint="eastAsia"/>
                <w:color w:val="auto"/>
              </w:rPr>
              <w:t>支持视图库设备抓拍数据和无图片时长统计</w:t>
            </w:r>
          </w:p>
          <w:p w14:paraId="2D081745">
            <w:pPr>
              <w:spacing w:line="278" w:lineRule="auto"/>
              <w:rPr>
                <w:color w:val="auto"/>
              </w:rPr>
            </w:pPr>
            <w:r>
              <w:rPr>
                <w:rFonts w:hint="eastAsia"/>
                <w:color w:val="auto"/>
              </w:rPr>
              <w:t xml:space="preserve"> </w:t>
            </w:r>
            <w:r>
              <w:rPr>
                <w:rFonts w:hint="eastAsia"/>
                <w:color w:val="auto"/>
              </w:rPr>
              <w:tab/>
            </w:r>
            <w:r>
              <w:rPr>
                <w:rFonts w:hint="eastAsia"/>
                <w:color w:val="auto"/>
              </w:rPr>
              <w:t>支持视图库抓拍URL可用性检测</w:t>
            </w:r>
          </w:p>
          <w:p w14:paraId="2A7171AF">
            <w:pPr>
              <w:spacing w:line="278" w:lineRule="auto"/>
              <w:rPr>
                <w:color w:val="auto"/>
              </w:rPr>
            </w:pPr>
            <w:r>
              <w:rPr>
                <w:rFonts w:hint="eastAsia"/>
                <w:color w:val="auto"/>
              </w:rPr>
              <w:t xml:space="preserve"> </w:t>
            </w:r>
            <w:r>
              <w:rPr>
                <w:rFonts w:hint="eastAsia"/>
                <w:color w:val="auto"/>
              </w:rPr>
              <w:tab/>
            </w:r>
            <w:r>
              <w:rPr>
                <w:rFonts w:hint="eastAsia"/>
                <w:color w:val="auto"/>
              </w:rPr>
              <w:t>支持视图库设备字段规范统计</w:t>
            </w:r>
          </w:p>
          <w:p w14:paraId="5D230237">
            <w:pPr>
              <w:spacing w:line="278" w:lineRule="auto"/>
              <w:rPr>
                <w:color w:val="auto"/>
              </w:rPr>
            </w:pPr>
            <w:r>
              <w:rPr>
                <w:rFonts w:hint="eastAsia"/>
                <w:color w:val="auto"/>
              </w:rPr>
              <w:t>2、</w:t>
            </w:r>
            <w:r>
              <w:rPr>
                <w:color w:val="auto"/>
              </w:rPr>
              <w:t>▲</w:t>
            </w:r>
            <w:r>
              <w:rPr>
                <w:rFonts w:hint="eastAsia"/>
                <w:color w:val="auto"/>
              </w:rPr>
              <w:t>因所需监控核心显示设备属于行业级设备，为了区别于民用级设备保证项目顺利交付，投标人需具备所投产品售后服务能力，所投产品需要提供三年质保说明及所投产品合法来源渠道说明并加盖厂家公章。</w:t>
            </w:r>
          </w:p>
          <w:p w14:paraId="2318E84D">
            <w:pPr>
              <w:widowControl/>
              <w:tabs>
                <w:tab w:val="left" w:pos="312"/>
              </w:tabs>
              <w:jc w:val="left"/>
              <w:textAlignment w:val="center"/>
              <w:rPr>
                <w:rFonts w:hint="eastAsia" w:ascii="宋体" w:hAnsi="宋体" w:cs="宋体"/>
                <w:color w:val="auto"/>
                <w:kern w:val="0"/>
                <w:sz w:val="24"/>
                <w:lang w:bidi="ar"/>
              </w:rPr>
            </w:pPr>
            <w:r>
              <w:rPr>
                <w:rFonts w:hint="eastAsia"/>
                <w:color w:val="auto"/>
              </w:rPr>
              <w:t>3、★保证可顺利接入校园监控平台。（需供应商提供保证书并加盖公章）</w:t>
            </w:r>
          </w:p>
        </w:tc>
      </w:tr>
      <w:tr w14:paraId="18389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11" w:type="pct"/>
          </w:tcPr>
          <w:p w14:paraId="176B6BF5">
            <w:pPr>
              <w:widowControl/>
              <w:jc w:val="center"/>
              <w:textAlignment w:val="center"/>
              <w:rPr>
                <w:color w:val="auto"/>
                <w:kern w:val="0"/>
                <w:sz w:val="24"/>
                <w:lang w:bidi="ar"/>
              </w:rPr>
            </w:pPr>
            <w:r>
              <w:rPr>
                <w:rFonts w:hint="eastAsia"/>
                <w:b/>
                <w:bCs/>
                <w:color w:val="auto"/>
              </w:rPr>
              <w:t>23</w:t>
            </w:r>
          </w:p>
        </w:tc>
        <w:tc>
          <w:tcPr>
            <w:tcW w:w="827" w:type="pct"/>
          </w:tcPr>
          <w:p w14:paraId="0F196189">
            <w:pPr>
              <w:widowControl/>
              <w:jc w:val="center"/>
              <w:textAlignment w:val="center"/>
              <w:rPr>
                <w:rFonts w:hint="eastAsia" w:ascii="宋体" w:hAnsi="宋体" w:cs="宋体"/>
                <w:color w:val="auto"/>
                <w:kern w:val="0"/>
                <w:sz w:val="24"/>
                <w:lang w:bidi="ar"/>
              </w:rPr>
            </w:pPr>
            <w:r>
              <w:rPr>
                <w:rFonts w:hint="eastAsia"/>
                <w:color w:val="auto"/>
              </w:rPr>
              <w:t>智能诊断服务器</w:t>
            </w:r>
          </w:p>
        </w:tc>
        <w:tc>
          <w:tcPr>
            <w:tcW w:w="3760" w:type="pct"/>
          </w:tcPr>
          <w:p w14:paraId="5BBF7BD7">
            <w:pPr>
              <w:spacing w:line="278" w:lineRule="auto"/>
              <w:rPr>
                <w:color w:val="auto"/>
              </w:rPr>
            </w:pPr>
            <w:r>
              <w:rPr>
                <w:rFonts w:hint="eastAsia"/>
                <w:color w:val="auto"/>
              </w:rPr>
              <w:t>视频诊断路数:</w:t>
            </w:r>
            <w:r>
              <w:rPr>
                <w:rFonts w:hint="eastAsia" w:ascii="宋体" w:hAnsi="宋体"/>
                <w:color w:val="auto"/>
              </w:rPr>
              <w:t>≥</w:t>
            </w:r>
            <w:r>
              <w:rPr>
                <w:rFonts w:hint="eastAsia"/>
                <w:color w:val="auto"/>
              </w:rPr>
              <w:t>10000路</w:t>
            </w:r>
          </w:p>
          <w:p w14:paraId="5BFED459">
            <w:pPr>
              <w:spacing w:line="278" w:lineRule="auto"/>
              <w:rPr>
                <w:color w:val="auto"/>
              </w:rPr>
            </w:pPr>
            <w:r>
              <w:rPr>
                <w:rFonts w:hint="eastAsia"/>
                <w:color w:val="auto"/>
              </w:rPr>
              <w:t>视频诊断性能:</w:t>
            </w:r>
            <w:r>
              <w:rPr>
                <w:rFonts w:hint="eastAsia" w:ascii="宋体" w:hAnsi="宋体"/>
                <w:color w:val="auto"/>
              </w:rPr>
              <w:t xml:space="preserve"> ≥</w:t>
            </w:r>
            <w:r>
              <w:rPr>
                <w:rFonts w:hint="eastAsia"/>
                <w:color w:val="auto"/>
              </w:rPr>
              <w:t>4000路/小时</w:t>
            </w:r>
          </w:p>
          <w:p w14:paraId="5A255417">
            <w:pPr>
              <w:spacing w:line="278" w:lineRule="auto"/>
              <w:rPr>
                <w:color w:val="auto"/>
              </w:rPr>
            </w:pPr>
            <w:r>
              <w:rPr>
                <w:rFonts w:hint="eastAsia"/>
                <w:color w:val="auto"/>
              </w:rPr>
              <w:t>业务规格:视频质量诊断</w:t>
            </w:r>
          </w:p>
          <w:p w14:paraId="6517D690">
            <w:pPr>
              <w:spacing w:line="278" w:lineRule="auto"/>
              <w:rPr>
                <w:color w:val="auto"/>
              </w:rPr>
            </w:pPr>
            <w:r>
              <w:rPr>
                <w:rFonts w:hint="eastAsia"/>
                <w:color w:val="auto"/>
              </w:rPr>
              <w:t xml:space="preserve"> </w:t>
            </w:r>
            <w:r>
              <w:rPr>
                <w:rFonts w:hint="eastAsia"/>
                <w:color w:val="auto"/>
              </w:rPr>
              <w:tab/>
            </w:r>
            <w:r>
              <w:rPr>
                <w:rFonts w:hint="eastAsia"/>
                <w:color w:val="auto"/>
              </w:rPr>
              <w:t>支持视频亮度异常检测、偏色检测、视频信号丢失检测、遮挡检测、</w:t>
            </w:r>
          </w:p>
          <w:p w14:paraId="5E8F34D7">
            <w:pPr>
              <w:spacing w:line="278" w:lineRule="auto"/>
              <w:rPr>
                <w:color w:val="auto"/>
              </w:rPr>
            </w:pPr>
            <w:r>
              <w:rPr>
                <w:rFonts w:hint="eastAsia"/>
                <w:color w:val="auto"/>
              </w:rPr>
              <w:t>对比度异常检测、画面冻结检测、场景变换检测</w:t>
            </w:r>
          </w:p>
          <w:p w14:paraId="36EB16D7">
            <w:pPr>
              <w:spacing w:line="278" w:lineRule="auto"/>
              <w:rPr>
                <w:color w:val="auto"/>
              </w:rPr>
            </w:pPr>
            <w:r>
              <w:rPr>
                <w:rFonts w:hint="eastAsia"/>
                <w:color w:val="auto"/>
              </w:rPr>
              <w:t xml:space="preserve"> </w:t>
            </w:r>
            <w:r>
              <w:rPr>
                <w:rFonts w:hint="eastAsia"/>
                <w:color w:val="auto"/>
              </w:rPr>
              <w:tab/>
            </w:r>
            <w:r>
              <w:rPr>
                <w:rFonts w:hint="eastAsia"/>
                <w:color w:val="auto"/>
              </w:rPr>
              <w:t>图像噪声检测，横纹检测、滚屏检测</w:t>
            </w:r>
          </w:p>
          <w:p w14:paraId="73D7FDCF">
            <w:pPr>
              <w:spacing w:line="278" w:lineRule="auto"/>
              <w:rPr>
                <w:color w:val="auto"/>
              </w:rPr>
            </w:pPr>
            <w:r>
              <w:rPr>
                <w:rFonts w:hint="eastAsia"/>
                <w:color w:val="auto"/>
              </w:rPr>
              <w:t xml:space="preserve"> </w:t>
            </w:r>
            <w:r>
              <w:rPr>
                <w:rFonts w:hint="eastAsia"/>
                <w:color w:val="auto"/>
              </w:rPr>
              <w:tab/>
            </w:r>
            <w:r>
              <w:rPr>
                <w:rFonts w:hint="eastAsia"/>
                <w:color w:val="auto"/>
              </w:rPr>
              <w:t>先进高效的视频诊断算法、准确率高、速度快</w:t>
            </w:r>
          </w:p>
          <w:p w14:paraId="4030E7E2">
            <w:pPr>
              <w:spacing w:line="278" w:lineRule="auto"/>
              <w:rPr>
                <w:color w:val="auto"/>
              </w:rPr>
            </w:pPr>
            <w:r>
              <w:rPr>
                <w:rFonts w:hint="eastAsia"/>
                <w:color w:val="auto"/>
              </w:rPr>
              <w:t xml:space="preserve"> </w:t>
            </w:r>
            <w:r>
              <w:rPr>
                <w:rFonts w:hint="eastAsia"/>
                <w:color w:val="auto"/>
              </w:rPr>
              <w:tab/>
            </w:r>
            <w:r>
              <w:rPr>
                <w:rFonts w:hint="eastAsia"/>
                <w:color w:val="auto"/>
              </w:rPr>
              <w:t>支持实况用时检测、丢包率检测</w:t>
            </w:r>
          </w:p>
          <w:p w14:paraId="2F3CA258">
            <w:pPr>
              <w:spacing w:line="278" w:lineRule="auto"/>
              <w:rPr>
                <w:color w:val="auto"/>
              </w:rPr>
            </w:pPr>
            <w:r>
              <w:rPr>
                <w:rFonts w:hint="eastAsia"/>
                <w:color w:val="auto"/>
              </w:rPr>
              <w:t>录像状态侦测</w:t>
            </w:r>
          </w:p>
          <w:p w14:paraId="442CCA42">
            <w:pPr>
              <w:spacing w:line="278" w:lineRule="auto"/>
              <w:rPr>
                <w:color w:val="auto"/>
              </w:rPr>
            </w:pPr>
            <w:r>
              <w:rPr>
                <w:rFonts w:hint="eastAsia"/>
                <w:color w:val="auto"/>
              </w:rPr>
              <w:t xml:space="preserve"> </w:t>
            </w:r>
            <w:r>
              <w:rPr>
                <w:rFonts w:hint="eastAsia"/>
                <w:color w:val="auto"/>
              </w:rPr>
              <w:tab/>
            </w:r>
            <w:r>
              <w:rPr>
                <w:rFonts w:hint="eastAsia"/>
                <w:color w:val="auto"/>
              </w:rPr>
              <w:t>支持前端的录像状态检测</w:t>
            </w:r>
          </w:p>
          <w:p w14:paraId="055819FA">
            <w:pPr>
              <w:spacing w:line="278" w:lineRule="auto"/>
              <w:rPr>
                <w:color w:val="auto"/>
              </w:rPr>
            </w:pPr>
            <w:r>
              <w:rPr>
                <w:rFonts w:hint="eastAsia"/>
                <w:color w:val="auto"/>
              </w:rPr>
              <w:t xml:space="preserve"> </w:t>
            </w:r>
            <w:r>
              <w:rPr>
                <w:rFonts w:hint="eastAsia"/>
                <w:color w:val="auto"/>
              </w:rPr>
              <w:tab/>
            </w:r>
            <w:r>
              <w:rPr>
                <w:rFonts w:hint="eastAsia"/>
                <w:color w:val="auto"/>
              </w:rPr>
              <w:t>支持平台接入的第三方前端的录像状态检测</w:t>
            </w:r>
          </w:p>
          <w:p w14:paraId="1FE930B0">
            <w:pPr>
              <w:spacing w:line="278" w:lineRule="auto"/>
              <w:rPr>
                <w:color w:val="auto"/>
              </w:rPr>
            </w:pPr>
            <w:r>
              <w:rPr>
                <w:rFonts w:hint="eastAsia"/>
                <w:color w:val="auto"/>
              </w:rPr>
              <w:t xml:space="preserve"> </w:t>
            </w:r>
            <w:r>
              <w:rPr>
                <w:rFonts w:hint="eastAsia"/>
                <w:color w:val="auto"/>
              </w:rPr>
              <w:tab/>
            </w:r>
            <w:r>
              <w:rPr>
                <w:rFonts w:hint="eastAsia"/>
                <w:color w:val="auto"/>
              </w:rPr>
              <w:t>支持高速的录像巡检</w:t>
            </w:r>
          </w:p>
          <w:p w14:paraId="4FFD9180">
            <w:pPr>
              <w:spacing w:line="278" w:lineRule="auto"/>
              <w:rPr>
                <w:color w:val="auto"/>
              </w:rPr>
            </w:pPr>
            <w:r>
              <w:rPr>
                <w:rFonts w:hint="eastAsia"/>
                <w:color w:val="auto"/>
              </w:rPr>
              <w:t>图片诊断</w:t>
            </w:r>
          </w:p>
          <w:p w14:paraId="4DC3B2DE">
            <w:pPr>
              <w:spacing w:line="278" w:lineRule="auto"/>
              <w:rPr>
                <w:color w:val="auto"/>
              </w:rPr>
            </w:pPr>
            <w:r>
              <w:rPr>
                <w:rFonts w:hint="eastAsia"/>
                <w:color w:val="auto"/>
              </w:rPr>
              <w:t xml:space="preserve"> </w:t>
            </w:r>
            <w:r>
              <w:rPr>
                <w:rFonts w:hint="eastAsia"/>
                <w:color w:val="auto"/>
              </w:rPr>
              <w:tab/>
            </w:r>
            <w:r>
              <w:rPr>
                <w:rFonts w:hint="eastAsia"/>
                <w:color w:val="auto"/>
              </w:rPr>
              <w:t>支持人脸、过车、车牌等图片质量检测</w:t>
            </w:r>
          </w:p>
          <w:p w14:paraId="67B1C08B">
            <w:pPr>
              <w:spacing w:line="278" w:lineRule="auto"/>
              <w:rPr>
                <w:color w:val="auto"/>
              </w:rPr>
            </w:pPr>
            <w:r>
              <w:rPr>
                <w:rFonts w:hint="eastAsia"/>
                <w:color w:val="auto"/>
              </w:rPr>
              <w:t xml:space="preserve"> </w:t>
            </w:r>
            <w:r>
              <w:rPr>
                <w:rFonts w:hint="eastAsia"/>
                <w:color w:val="auto"/>
              </w:rPr>
              <w:tab/>
            </w:r>
            <w:r>
              <w:rPr>
                <w:rFonts w:hint="eastAsia"/>
                <w:color w:val="auto"/>
              </w:rPr>
              <w:t>高效算法自动打分，快速、准确</w:t>
            </w:r>
          </w:p>
          <w:p w14:paraId="293482CB">
            <w:pPr>
              <w:spacing w:line="278" w:lineRule="auto"/>
              <w:rPr>
                <w:color w:val="auto"/>
              </w:rPr>
            </w:pPr>
            <w:r>
              <w:rPr>
                <w:rFonts w:hint="eastAsia"/>
                <w:color w:val="auto"/>
              </w:rPr>
              <w:t xml:space="preserve"> </w:t>
            </w:r>
            <w:r>
              <w:rPr>
                <w:rFonts w:hint="eastAsia"/>
                <w:color w:val="auto"/>
              </w:rPr>
              <w:tab/>
            </w:r>
            <w:r>
              <w:rPr>
                <w:rFonts w:hint="eastAsia"/>
                <w:color w:val="auto"/>
              </w:rPr>
              <w:t>自定义诊断分数、合格率、抽检规格</w:t>
            </w:r>
          </w:p>
          <w:p w14:paraId="5E8A679B">
            <w:pPr>
              <w:spacing w:line="278" w:lineRule="auto"/>
              <w:rPr>
                <w:color w:val="auto"/>
              </w:rPr>
            </w:pPr>
            <w:r>
              <w:rPr>
                <w:rFonts w:hint="eastAsia"/>
                <w:color w:val="auto"/>
              </w:rPr>
              <w:t xml:space="preserve"> </w:t>
            </w:r>
            <w:r>
              <w:rPr>
                <w:rFonts w:hint="eastAsia"/>
                <w:color w:val="auto"/>
              </w:rPr>
              <w:tab/>
            </w:r>
            <w:r>
              <w:rPr>
                <w:rFonts w:hint="eastAsia"/>
                <w:color w:val="auto"/>
              </w:rPr>
              <w:t>支持省市县行政区OSD诊断，识别异常标注</w:t>
            </w:r>
          </w:p>
          <w:p w14:paraId="7EB5988B">
            <w:pPr>
              <w:spacing w:line="278" w:lineRule="auto"/>
              <w:rPr>
                <w:color w:val="auto"/>
              </w:rPr>
            </w:pPr>
            <w:r>
              <w:rPr>
                <w:rFonts w:hint="eastAsia"/>
                <w:color w:val="auto"/>
              </w:rPr>
              <w:t xml:space="preserve"> </w:t>
            </w:r>
            <w:r>
              <w:rPr>
                <w:rFonts w:hint="eastAsia"/>
                <w:color w:val="auto"/>
              </w:rPr>
              <w:tab/>
            </w:r>
            <w:r>
              <w:rPr>
                <w:rFonts w:hint="eastAsia"/>
                <w:color w:val="auto"/>
              </w:rPr>
              <w:t>支持时间戳诊断，保证设备时间同步</w:t>
            </w:r>
          </w:p>
          <w:p w14:paraId="17AA1AA3">
            <w:pPr>
              <w:spacing w:line="278" w:lineRule="auto"/>
              <w:rPr>
                <w:color w:val="auto"/>
              </w:rPr>
            </w:pPr>
            <w:r>
              <w:rPr>
                <w:rFonts w:hint="eastAsia"/>
                <w:color w:val="auto"/>
              </w:rPr>
              <w:t>统计查询</w:t>
            </w:r>
          </w:p>
          <w:p w14:paraId="73CCA8B7">
            <w:pPr>
              <w:spacing w:line="278" w:lineRule="auto"/>
              <w:rPr>
                <w:color w:val="auto"/>
              </w:rPr>
            </w:pPr>
            <w:r>
              <w:rPr>
                <w:rFonts w:hint="eastAsia"/>
                <w:color w:val="auto"/>
              </w:rPr>
              <w:t xml:space="preserve"> </w:t>
            </w:r>
            <w:r>
              <w:rPr>
                <w:rFonts w:hint="eastAsia"/>
                <w:color w:val="auto"/>
              </w:rPr>
              <w:tab/>
            </w:r>
            <w:r>
              <w:rPr>
                <w:rFonts w:hint="eastAsia"/>
                <w:color w:val="auto"/>
              </w:rPr>
              <w:t>支持视频诊断结果的实时查询</w:t>
            </w:r>
          </w:p>
          <w:p w14:paraId="0D717BF4">
            <w:pPr>
              <w:spacing w:line="278" w:lineRule="auto"/>
              <w:rPr>
                <w:color w:val="auto"/>
              </w:rPr>
            </w:pPr>
            <w:r>
              <w:rPr>
                <w:rFonts w:hint="eastAsia"/>
                <w:color w:val="auto"/>
              </w:rPr>
              <w:t xml:space="preserve"> </w:t>
            </w:r>
            <w:r>
              <w:rPr>
                <w:rFonts w:hint="eastAsia"/>
                <w:color w:val="auto"/>
              </w:rPr>
              <w:tab/>
            </w:r>
            <w:r>
              <w:rPr>
                <w:rFonts w:hint="eastAsia"/>
                <w:color w:val="auto"/>
              </w:rPr>
              <w:t>支持录像状态侦测结果的实时查询</w:t>
            </w:r>
          </w:p>
          <w:p w14:paraId="55AD02B3">
            <w:pPr>
              <w:spacing w:line="278" w:lineRule="auto"/>
              <w:rPr>
                <w:color w:val="auto"/>
              </w:rPr>
            </w:pPr>
            <w:r>
              <w:rPr>
                <w:rFonts w:hint="eastAsia"/>
                <w:color w:val="auto"/>
              </w:rPr>
              <w:t xml:space="preserve"> </w:t>
            </w:r>
            <w:r>
              <w:rPr>
                <w:rFonts w:hint="eastAsia"/>
                <w:color w:val="auto"/>
              </w:rPr>
              <w:tab/>
            </w:r>
            <w:r>
              <w:rPr>
                <w:rFonts w:hint="eastAsia"/>
                <w:color w:val="auto"/>
              </w:rPr>
              <w:t>支持ssh、snmp采集设备性能并统计</w:t>
            </w:r>
          </w:p>
          <w:p w14:paraId="694D7CAB">
            <w:pPr>
              <w:spacing w:line="278" w:lineRule="auto"/>
              <w:rPr>
                <w:color w:val="auto"/>
              </w:rPr>
            </w:pPr>
            <w:r>
              <w:rPr>
                <w:rFonts w:hint="eastAsia"/>
                <w:color w:val="auto"/>
              </w:rPr>
              <w:t>2、</w:t>
            </w:r>
            <w:r>
              <w:rPr>
                <w:color w:val="auto"/>
              </w:rPr>
              <w:t>▲</w:t>
            </w:r>
            <w:r>
              <w:rPr>
                <w:rFonts w:hint="eastAsia"/>
                <w:color w:val="auto"/>
              </w:rPr>
              <w:t>因所需监控核心显示设备属于行业级设备，为了区别于民用级设备保证项目顺利交付，投标人需具备所投产品售后服务能力，所投产品需要提供三年质保说明及所投产品合法来源渠道说明并加盖厂家公章。</w:t>
            </w:r>
          </w:p>
          <w:p w14:paraId="5CB49EAF">
            <w:pPr>
              <w:widowControl/>
              <w:tabs>
                <w:tab w:val="left" w:pos="312"/>
              </w:tabs>
              <w:jc w:val="left"/>
              <w:textAlignment w:val="center"/>
              <w:rPr>
                <w:rFonts w:hint="eastAsia" w:ascii="宋体" w:hAnsi="宋体" w:cs="宋体"/>
                <w:color w:val="auto"/>
                <w:kern w:val="0"/>
                <w:sz w:val="24"/>
                <w:lang w:bidi="ar"/>
              </w:rPr>
            </w:pPr>
            <w:r>
              <w:rPr>
                <w:rFonts w:hint="eastAsia"/>
                <w:color w:val="auto"/>
              </w:rPr>
              <w:t>3、★保证可顺利接入校园监控平台。（需供应商提供保证书并加盖公章）</w:t>
            </w:r>
          </w:p>
        </w:tc>
      </w:tr>
      <w:tr w14:paraId="7737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11" w:type="pct"/>
          </w:tcPr>
          <w:p w14:paraId="4DC6D8F1">
            <w:pPr>
              <w:widowControl/>
              <w:jc w:val="center"/>
              <w:textAlignment w:val="center"/>
              <w:rPr>
                <w:color w:val="auto"/>
                <w:kern w:val="0"/>
                <w:sz w:val="24"/>
                <w:lang w:bidi="ar"/>
              </w:rPr>
            </w:pPr>
            <w:r>
              <w:rPr>
                <w:rFonts w:hint="eastAsia"/>
                <w:b/>
                <w:bCs/>
                <w:color w:val="auto"/>
              </w:rPr>
              <w:t>24</w:t>
            </w:r>
          </w:p>
        </w:tc>
        <w:tc>
          <w:tcPr>
            <w:tcW w:w="827" w:type="pct"/>
          </w:tcPr>
          <w:p w14:paraId="607D6C51">
            <w:pPr>
              <w:widowControl/>
              <w:jc w:val="center"/>
              <w:textAlignment w:val="center"/>
              <w:rPr>
                <w:rFonts w:hint="eastAsia" w:ascii="宋体" w:hAnsi="宋体" w:cs="宋体"/>
                <w:color w:val="auto"/>
                <w:kern w:val="0"/>
                <w:sz w:val="24"/>
                <w:lang w:bidi="ar"/>
              </w:rPr>
            </w:pPr>
            <w:r>
              <w:rPr>
                <w:rFonts w:hint="eastAsia"/>
                <w:color w:val="auto"/>
              </w:rPr>
              <w:t>多维数据服务器</w:t>
            </w:r>
          </w:p>
        </w:tc>
        <w:tc>
          <w:tcPr>
            <w:tcW w:w="3760" w:type="pct"/>
          </w:tcPr>
          <w:p w14:paraId="46B1464D">
            <w:pPr>
              <w:spacing w:line="278" w:lineRule="auto"/>
              <w:rPr>
                <w:color w:val="auto"/>
              </w:rPr>
            </w:pPr>
            <w:r>
              <w:rPr>
                <w:rFonts w:hint="eastAsia"/>
                <w:color w:val="auto"/>
              </w:rPr>
              <w:t>人脸/车辆图片接入:</w:t>
            </w:r>
            <w:r>
              <w:rPr>
                <w:rFonts w:hint="eastAsia" w:ascii="宋体" w:hAnsi="宋体"/>
                <w:color w:val="auto"/>
              </w:rPr>
              <w:t xml:space="preserve"> ≥</w:t>
            </w:r>
            <w:r>
              <w:rPr>
                <w:rFonts w:hint="eastAsia"/>
                <w:color w:val="auto"/>
              </w:rPr>
              <w:t>512Mbps</w:t>
            </w:r>
          </w:p>
          <w:p w14:paraId="19E2E0E0">
            <w:pPr>
              <w:spacing w:line="278" w:lineRule="auto"/>
              <w:rPr>
                <w:color w:val="auto"/>
              </w:rPr>
            </w:pPr>
            <w:r>
              <w:rPr>
                <w:rFonts w:hint="eastAsia"/>
                <w:color w:val="auto"/>
              </w:rPr>
              <w:t>人脸/车辆图片转发:</w:t>
            </w:r>
            <w:r>
              <w:rPr>
                <w:rFonts w:hint="eastAsia" w:ascii="宋体" w:hAnsi="宋体"/>
                <w:color w:val="auto"/>
              </w:rPr>
              <w:t xml:space="preserve"> ≥</w:t>
            </w:r>
            <w:r>
              <w:rPr>
                <w:rFonts w:hint="eastAsia"/>
                <w:color w:val="auto"/>
              </w:rPr>
              <w:t>1024Mbps</w:t>
            </w:r>
          </w:p>
          <w:p w14:paraId="2FD9B03E">
            <w:pPr>
              <w:spacing w:line="278" w:lineRule="auto"/>
              <w:rPr>
                <w:color w:val="auto"/>
              </w:rPr>
            </w:pPr>
            <w:r>
              <w:rPr>
                <w:rFonts w:hint="eastAsia"/>
                <w:color w:val="auto"/>
              </w:rPr>
              <w:t>人脸/车辆小图+大图URL+结构化数据接入转发:</w:t>
            </w:r>
            <w:r>
              <w:rPr>
                <w:rFonts w:hint="eastAsia" w:ascii="宋体" w:hAnsi="宋体"/>
                <w:color w:val="auto"/>
              </w:rPr>
              <w:t xml:space="preserve"> ≥</w:t>
            </w:r>
            <w:r>
              <w:rPr>
                <w:rFonts w:hint="eastAsia"/>
                <w:color w:val="auto"/>
              </w:rPr>
              <w:t>500条/s</w:t>
            </w:r>
          </w:p>
          <w:p w14:paraId="4D4AFD36">
            <w:pPr>
              <w:spacing w:line="278" w:lineRule="auto"/>
              <w:rPr>
                <w:color w:val="auto"/>
              </w:rPr>
            </w:pPr>
            <w:r>
              <w:rPr>
                <w:rFonts w:hint="eastAsia"/>
                <w:color w:val="auto"/>
              </w:rPr>
              <w:t>URL、MAC/RFID数据接入及转发:</w:t>
            </w:r>
            <w:r>
              <w:rPr>
                <w:rFonts w:hint="eastAsia" w:ascii="宋体" w:hAnsi="宋体"/>
                <w:color w:val="auto"/>
              </w:rPr>
              <w:t xml:space="preserve"> ≥</w:t>
            </w:r>
            <w:r>
              <w:rPr>
                <w:rFonts w:hint="eastAsia"/>
                <w:color w:val="auto"/>
              </w:rPr>
              <w:t>1500条/s</w:t>
            </w:r>
          </w:p>
          <w:p w14:paraId="50E0CD6B">
            <w:pPr>
              <w:spacing w:line="278" w:lineRule="auto"/>
              <w:rPr>
                <w:color w:val="auto"/>
              </w:rPr>
            </w:pPr>
            <w:r>
              <w:rPr>
                <w:rFonts w:hint="eastAsia"/>
                <w:color w:val="auto"/>
              </w:rPr>
              <w:t>采集前端接入数量:</w:t>
            </w:r>
            <w:r>
              <w:rPr>
                <w:rFonts w:hint="eastAsia" w:ascii="宋体" w:hAnsi="宋体"/>
                <w:color w:val="auto"/>
              </w:rPr>
              <w:t xml:space="preserve"> ≥</w:t>
            </w:r>
            <w:r>
              <w:rPr>
                <w:rFonts w:hint="eastAsia"/>
                <w:color w:val="auto"/>
              </w:rPr>
              <w:t>5000个</w:t>
            </w:r>
          </w:p>
          <w:p w14:paraId="5B3562AD">
            <w:pPr>
              <w:spacing w:line="278" w:lineRule="auto"/>
              <w:rPr>
                <w:color w:val="auto"/>
              </w:rPr>
            </w:pPr>
            <w:r>
              <w:rPr>
                <w:rFonts w:hint="eastAsia"/>
                <w:color w:val="auto"/>
              </w:rPr>
              <w:t>CPU:不低于Intel Xeon E3-1275 v6</w:t>
            </w:r>
          </w:p>
          <w:p w14:paraId="2A177AC3">
            <w:pPr>
              <w:spacing w:line="278" w:lineRule="auto"/>
              <w:rPr>
                <w:color w:val="auto"/>
              </w:rPr>
            </w:pPr>
            <w:r>
              <w:rPr>
                <w:rFonts w:hint="eastAsia"/>
                <w:color w:val="auto"/>
              </w:rPr>
              <w:t>操作系统:不低于欧拉 openEuler22.03</w:t>
            </w:r>
          </w:p>
          <w:p w14:paraId="61CD649A">
            <w:pPr>
              <w:spacing w:line="278" w:lineRule="auto"/>
              <w:rPr>
                <w:color w:val="auto"/>
              </w:rPr>
            </w:pPr>
            <w:r>
              <w:rPr>
                <w:rFonts w:hint="eastAsia"/>
                <w:color w:val="auto"/>
              </w:rPr>
              <w:t>内存:</w:t>
            </w:r>
            <w:r>
              <w:rPr>
                <w:rFonts w:hint="eastAsia" w:ascii="宋体" w:hAnsi="宋体"/>
                <w:color w:val="auto"/>
              </w:rPr>
              <w:t xml:space="preserve"> ≥</w:t>
            </w:r>
            <w:r>
              <w:rPr>
                <w:rFonts w:hint="eastAsia"/>
                <w:color w:val="auto"/>
              </w:rPr>
              <w:t>32GB</w:t>
            </w:r>
          </w:p>
          <w:p w14:paraId="1F995904">
            <w:pPr>
              <w:spacing w:line="278" w:lineRule="auto"/>
              <w:rPr>
                <w:color w:val="auto"/>
              </w:rPr>
            </w:pPr>
            <w:r>
              <w:rPr>
                <w:rFonts w:hint="eastAsia"/>
                <w:color w:val="auto"/>
              </w:rPr>
              <w:t>网口:</w:t>
            </w:r>
            <w:r>
              <w:rPr>
                <w:rFonts w:hint="eastAsia" w:ascii="宋体" w:hAnsi="宋体"/>
                <w:color w:val="auto"/>
              </w:rPr>
              <w:t xml:space="preserve"> ≥</w:t>
            </w:r>
            <w:r>
              <w:rPr>
                <w:rFonts w:hint="eastAsia"/>
                <w:color w:val="auto"/>
              </w:rPr>
              <w:t>GE*3</w:t>
            </w:r>
          </w:p>
          <w:p w14:paraId="58F8A599">
            <w:pPr>
              <w:spacing w:line="278" w:lineRule="auto"/>
              <w:rPr>
                <w:color w:val="auto"/>
              </w:rPr>
            </w:pPr>
            <w:r>
              <w:rPr>
                <w:rFonts w:hint="eastAsia"/>
                <w:color w:val="auto"/>
              </w:rPr>
              <w:t>串口:</w:t>
            </w:r>
            <w:r>
              <w:rPr>
                <w:rFonts w:hint="eastAsia" w:ascii="宋体" w:hAnsi="宋体"/>
                <w:color w:val="auto"/>
              </w:rPr>
              <w:t xml:space="preserve"> ≥</w:t>
            </w:r>
            <w:r>
              <w:rPr>
                <w:rFonts w:hint="eastAsia"/>
                <w:color w:val="auto"/>
              </w:rPr>
              <w:t>1个RS232口，1个RS232/RS485复用口</w:t>
            </w:r>
          </w:p>
          <w:p w14:paraId="55F5D2CB">
            <w:pPr>
              <w:spacing w:line="278" w:lineRule="auto"/>
              <w:rPr>
                <w:color w:val="auto"/>
              </w:rPr>
            </w:pPr>
            <w:r>
              <w:rPr>
                <w:rFonts w:hint="eastAsia"/>
                <w:color w:val="auto"/>
              </w:rPr>
              <w:t>USB接口:</w:t>
            </w:r>
            <w:r>
              <w:rPr>
                <w:rFonts w:hint="eastAsia" w:ascii="宋体" w:hAnsi="宋体"/>
                <w:color w:val="auto"/>
              </w:rPr>
              <w:t xml:space="preserve"> ≥</w:t>
            </w:r>
            <w:r>
              <w:rPr>
                <w:rFonts w:hint="eastAsia"/>
                <w:color w:val="auto"/>
              </w:rPr>
              <w:t>4个</w:t>
            </w:r>
          </w:p>
          <w:p w14:paraId="52A4AB62">
            <w:pPr>
              <w:spacing w:line="278" w:lineRule="auto"/>
              <w:rPr>
                <w:color w:val="auto"/>
              </w:rPr>
            </w:pPr>
            <w:r>
              <w:rPr>
                <w:rFonts w:hint="eastAsia"/>
                <w:color w:val="auto"/>
              </w:rPr>
              <w:t>HDMI接口:</w:t>
            </w:r>
            <w:r>
              <w:rPr>
                <w:rFonts w:hint="eastAsia" w:ascii="宋体" w:hAnsi="宋体"/>
                <w:color w:val="auto"/>
              </w:rPr>
              <w:t xml:space="preserve"> ≥</w:t>
            </w:r>
            <w:r>
              <w:rPr>
                <w:rFonts w:hint="eastAsia"/>
                <w:color w:val="auto"/>
              </w:rPr>
              <w:t>1个</w:t>
            </w:r>
          </w:p>
          <w:p w14:paraId="124FAF30">
            <w:pPr>
              <w:spacing w:line="278" w:lineRule="auto"/>
              <w:rPr>
                <w:color w:val="auto"/>
              </w:rPr>
            </w:pPr>
            <w:r>
              <w:rPr>
                <w:rFonts w:hint="eastAsia"/>
                <w:color w:val="auto"/>
              </w:rPr>
              <w:t>VGA接口:</w:t>
            </w:r>
            <w:r>
              <w:rPr>
                <w:rFonts w:hint="eastAsia" w:ascii="宋体" w:hAnsi="宋体"/>
                <w:color w:val="auto"/>
              </w:rPr>
              <w:t xml:space="preserve"> ≥</w:t>
            </w:r>
            <w:r>
              <w:rPr>
                <w:rFonts w:hint="eastAsia"/>
                <w:color w:val="auto"/>
              </w:rPr>
              <w:t>1个</w:t>
            </w:r>
          </w:p>
          <w:p w14:paraId="16007D16">
            <w:pPr>
              <w:spacing w:line="278" w:lineRule="auto"/>
              <w:rPr>
                <w:color w:val="auto"/>
              </w:rPr>
            </w:pPr>
            <w:r>
              <w:rPr>
                <w:rFonts w:hint="eastAsia"/>
                <w:color w:val="auto"/>
              </w:rPr>
              <w:t>交流电源输入:交流电源输入：100～240V AC；50Hz/60Hz</w:t>
            </w:r>
          </w:p>
          <w:p w14:paraId="2BCB74C2">
            <w:pPr>
              <w:spacing w:line="278" w:lineRule="auto"/>
              <w:rPr>
                <w:color w:val="auto"/>
              </w:rPr>
            </w:pPr>
            <w:r>
              <w:rPr>
                <w:rFonts w:hint="eastAsia"/>
                <w:color w:val="auto"/>
              </w:rPr>
              <w:t>电源槽位:标配1个300W电源，可扩展1+1双电源冗余</w:t>
            </w:r>
          </w:p>
          <w:p w14:paraId="374B000F">
            <w:pPr>
              <w:spacing w:line="278" w:lineRule="auto"/>
              <w:rPr>
                <w:color w:val="auto"/>
              </w:rPr>
            </w:pPr>
            <w:r>
              <w:rPr>
                <w:rFonts w:hint="eastAsia"/>
                <w:color w:val="auto"/>
              </w:rPr>
              <w:t>重量:标配≤12kg；最大≤14kg</w:t>
            </w:r>
          </w:p>
          <w:p w14:paraId="534E0129">
            <w:pPr>
              <w:spacing w:line="278" w:lineRule="auto"/>
              <w:rPr>
                <w:color w:val="auto"/>
              </w:rPr>
            </w:pPr>
            <w:r>
              <w:rPr>
                <w:rFonts w:hint="eastAsia"/>
                <w:color w:val="auto"/>
              </w:rPr>
              <w:t>工作温度:0°C～40°C</w:t>
            </w:r>
          </w:p>
          <w:p w14:paraId="728F6732">
            <w:pPr>
              <w:spacing w:line="278" w:lineRule="auto"/>
              <w:rPr>
                <w:color w:val="auto"/>
              </w:rPr>
            </w:pPr>
            <w:r>
              <w:rPr>
                <w:rFonts w:hint="eastAsia"/>
                <w:color w:val="auto"/>
              </w:rPr>
              <w:t>工作湿度:20RH%～80RH%（非凝结）</w:t>
            </w:r>
          </w:p>
          <w:p w14:paraId="0276D930">
            <w:pPr>
              <w:spacing w:line="278" w:lineRule="auto"/>
              <w:rPr>
                <w:color w:val="auto"/>
              </w:rPr>
            </w:pPr>
            <w:r>
              <w:rPr>
                <w:rFonts w:hint="eastAsia"/>
                <w:color w:val="auto"/>
              </w:rPr>
              <w:t>2、</w:t>
            </w:r>
            <w:r>
              <w:rPr>
                <w:color w:val="auto"/>
              </w:rPr>
              <w:t>▲</w:t>
            </w:r>
            <w:r>
              <w:rPr>
                <w:rFonts w:hint="eastAsia"/>
                <w:color w:val="auto"/>
              </w:rPr>
              <w:t>因所需监控核心显示设备属于行业级设备，为了区别于民用级设备保证项目顺利交付，投标人需具备所投产品售后服务能力，所投产品需要提供三年质保说明及所投产品合法来源渠道说明并加盖厂家公章。</w:t>
            </w:r>
          </w:p>
          <w:p w14:paraId="2476A8D5">
            <w:pPr>
              <w:widowControl/>
              <w:tabs>
                <w:tab w:val="left" w:pos="312"/>
              </w:tabs>
              <w:jc w:val="left"/>
              <w:textAlignment w:val="center"/>
              <w:rPr>
                <w:rFonts w:hint="eastAsia" w:ascii="宋体" w:hAnsi="宋体" w:cs="宋体"/>
                <w:color w:val="auto"/>
                <w:kern w:val="0"/>
                <w:sz w:val="24"/>
                <w:lang w:bidi="ar"/>
              </w:rPr>
            </w:pPr>
            <w:r>
              <w:rPr>
                <w:rFonts w:hint="eastAsia"/>
                <w:color w:val="auto"/>
              </w:rPr>
              <w:t>3、★保证可顺利接入校园监控平台。（需供应商提供保证书并加盖公章）</w:t>
            </w:r>
          </w:p>
        </w:tc>
      </w:tr>
      <w:bookmarkEnd w:id="3"/>
    </w:tbl>
    <w:p w14:paraId="09373B67">
      <w:pPr>
        <w:numPr>
          <w:ilvl w:val="0"/>
          <w:numId w:val="1"/>
        </w:numPr>
        <w:ind w:left="0" w:leftChars="0" w:firstLine="0" w:firstLineChars="0"/>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项目实施要求</w:t>
      </w:r>
    </w:p>
    <w:p w14:paraId="5605722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安装调试后立即运行无故障，质保期内出现非人为故障立即更换新品。</w:t>
      </w:r>
    </w:p>
    <w:p w14:paraId="03879425">
      <w:pPr>
        <w:numPr>
          <w:ilvl w:val="0"/>
          <w:numId w:val="1"/>
        </w:numPr>
        <w:ind w:left="0" w:leftChars="0" w:firstLine="0" w:firstLineChars="0"/>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验收方式</w:t>
      </w:r>
    </w:p>
    <w:p w14:paraId="2B263C6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按照监控设备安装验收监管理办法执行，详见《监控设备安装验收监管理办法》。</w:t>
      </w:r>
    </w:p>
    <w:p w14:paraId="6445384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竣工验收须达到以下标准：设备连续运行72小时故障率≤1%，网络传输稳定，1小时内丢包率≤1%，监控画面分辨率误差≤5%。</w:t>
      </w:r>
    </w:p>
    <w:p w14:paraId="63A662D9">
      <w:pPr>
        <w:numPr>
          <w:ilvl w:val="0"/>
          <w:numId w:val="1"/>
        </w:numPr>
        <w:ind w:left="0" w:leftChars="0" w:firstLine="0" w:firstLineChars="0"/>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其他技术、服务相关要求。</w:t>
      </w:r>
    </w:p>
    <w:p w14:paraId="7A32B4A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1、按照国家有关标准、规范和招标文件要求达到合格标准；</w:t>
      </w:r>
    </w:p>
    <w:p w14:paraId="784DCBC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2、合同签订后需提供针对本项目所使用的相关监控类设备的检测报告并加盖制造厂商公章及投标人公章备查。</w:t>
      </w:r>
    </w:p>
    <w:p w14:paraId="40EF8A2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3、满足哈尔滨工业大学安防要求；</w:t>
      </w:r>
    </w:p>
    <w:p w14:paraId="189DF96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4、项目验收合之日起36个月质保期。</w:t>
      </w:r>
    </w:p>
    <w:p w14:paraId="143979C2">
      <w:pPr>
        <w:numPr>
          <w:ilvl w:val="0"/>
          <w:numId w:val="0"/>
        </w:numPr>
        <w:ind w:leftChars="0"/>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八、监控设备安装验收监管理办法</w:t>
      </w:r>
    </w:p>
    <w:p w14:paraId="64E7A32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为明确保卫处在监控设备安装验收过程中的监管职责、流程和标准，确保监控系统稳定、可靠运行，满足安全防范管理要求。特制定本监管办法。 </w:t>
      </w:r>
    </w:p>
    <w:p w14:paraId="256ADCA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监管人员由交通安防科指派两名及以上人员对全过程进行现场监管：</w:t>
      </w:r>
    </w:p>
    <w:p w14:paraId="0F9F78B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一、设备到货监管</w:t>
      </w:r>
    </w:p>
    <w:p w14:paraId="73E7B97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会同安装单位、设备供应商共同对设备进行开箱检查。核对设备的品牌、型号、规格、数量是否与合同约定一致，检查设备外观是否完好，有无损坏、变形、受潮等情况；查看设备的产品合格证、质量检验报告、使用说明书等资料是否齐全。</w:t>
      </w:r>
    </w:p>
    <w:p w14:paraId="1BC3A72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二、安装过程监管</w:t>
      </w:r>
    </w:p>
    <w:p w14:paraId="3BF1878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每周定期巡查或不定期抽查，检查安装施工进度是否按照计划进行，安装质量是否符合要求，施工人员是否遵守安全操作规程等。在巡查过程中，填写《监控设备安装现场巡查记录表》，详细记录巡查情况。</w:t>
      </w:r>
    </w:p>
    <w:p w14:paraId="3BE8E42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三、验收过程监管</w:t>
      </w:r>
    </w:p>
    <w:p w14:paraId="7085F9D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设备验收：对设备的性能指标进行测试，如摄像机的清晰度、色彩还原度、夜视功能，图像的分辨率能够清晰显示监控目标的细节，硬盘录像机的存储容量、读写速度、录像回放功能等，确保符合合同和技术要求。</w:t>
      </w:r>
    </w:p>
    <w:p w14:paraId="5ECEC47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安装验收：检查监控设备的安装位置、角度是否符合设计要求，安装是否牢固，支架、线缆等安装配件是否齐全、规范。检查线缆敷设是否整齐、规范，标识是否清晰，接地是否可靠。对安装工艺进行评估，确保符合相关标准。</w:t>
      </w:r>
    </w:p>
    <w:p w14:paraId="3D53B96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系统功能验收：对监控系统的各项功能进行全面测试，包括视频实时监控、存储、回放功能，多画面切换功能，报警联动功能，用户权限管理功能等。测试系统的稳定性和可靠性。 </w:t>
      </w:r>
    </w:p>
    <w:p w14:paraId="3B87B05E">
      <w:r>
        <w:rPr>
          <w:rFonts w:hint="eastAsia" w:asciiTheme="minorEastAsia" w:hAnsiTheme="minorEastAsia" w:eastAsiaTheme="minorEastAsia" w:cstheme="minorEastAsia"/>
          <w:color w:val="auto"/>
          <w:sz w:val="28"/>
          <w:szCs w:val="28"/>
        </w:rPr>
        <w:t>资料验收：检查安装单位提供的技术资料是否齐全、准确、规范，与实际安装情况是否相符。技术资料应包括设备说明书、合格证、保修卡、安装图纸、调试报告、验收申请报告等。资料应分类整理，装订成册，便于查阅和保存。</w:t>
      </w: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书宋简体">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441327"/>
    <w:multiLevelType w:val="singleLevel"/>
    <w:tmpl w:val="C4441327"/>
    <w:lvl w:ilvl="0" w:tentative="0">
      <w:start w:val="3"/>
      <w:numFmt w:val="chineseCounting"/>
      <w:suff w:val="nothing"/>
      <w:lvlText w:val="%1、"/>
      <w:lvlJc w:val="left"/>
      <w:rPr>
        <w:rFonts w:hint="eastAsia"/>
      </w:rPr>
    </w:lvl>
  </w:abstractNum>
  <w:abstractNum w:abstractNumId="1">
    <w:nsid w:val="C8F0656A"/>
    <w:multiLevelType w:val="singleLevel"/>
    <w:tmpl w:val="C8F0656A"/>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C1ED6"/>
    <w:rsid w:val="094E2069"/>
    <w:rsid w:val="09B62E5F"/>
    <w:rsid w:val="0FB6750E"/>
    <w:rsid w:val="149A46B9"/>
    <w:rsid w:val="199C6440"/>
    <w:rsid w:val="1BFF4DC9"/>
    <w:rsid w:val="26C77973"/>
    <w:rsid w:val="2BFE34A2"/>
    <w:rsid w:val="2D204700"/>
    <w:rsid w:val="32C4421B"/>
    <w:rsid w:val="34C633D2"/>
    <w:rsid w:val="35D82F99"/>
    <w:rsid w:val="391B59AF"/>
    <w:rsid w:val="397C3DC7"/>
    <w:rsid w:val="3D2A5A82"/>
    <w:rsid w:val="45A55415"/>
    <w:rsid w:val="48C50ABB"/>
    <w:rsid w:val="4C295C88"/>
    <w:rsid w:val="4E377B22"/>
    <w:rsid w:val="513132D4"/>
    <w:rsid w:val="5D57702B"/>
    <w:rsid w:val="5F9C380C"/>
    <w:rsid w:val="63975A8F"/>
    <w:rsid w:val="66DF5773"/>
    <w:rsid w:val="689C08BB"/>
    <w:rsid w:val="7017184F"/>
    <w:rsid w:val="78E54032"/>
    <w:rsid w:val="791C552F"/>
    <w:rsid w:val="7FC90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240" w:after="240"/>
      <w:ind w:left="100" w:leftChars="100" w:right="100" w:rightChars="100"/>
      <w:jc w:val="center"/>
      <w:outlineLvl w:val="0"/>
    </w:pPr>
    <w:rPr>
      <w:rFonts w:eastAsia="黑体"/>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napToGrid w:val="0"/>
      <w:spacing w:line="440" w:lineRule="exact"/>
      <w:ind w:firstLine="420" w:firstLineChars="100"/>
      <w:jc w:val="left"/>
    </w:pPr>
    <w:rPr>
      <w:rFonts w:ascii="宋体" w:hAnsi="宋体" w:cs="宋体"/>
      <w:szCs w:val="22"/>
      <w:lang w:eastAsia="en-US"/>
    </w:rPr>
  </w:style>
  <w:style w:type="paragraph" w:styleId="3">
    <w:name w:val="Body Text"/>
    <w:basedOn w:val="1"/>
    <w:next w:val="1"/>
    <w:qFormat/>
    <w:uiPriority w:val="0"/>
    <w:pPr>
      <w:adjustRightInd w:val="0"/>
      <w:spacing w:line="360" w:lineRule="atLeast"/>
      <w:jc w:val="center"/>
      <w:textAlignment w:val="baseline"/>
    </w:pPr>
    <w:rPr>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2023-12-25T07:05:00Z</dcterms:created>
  <dc:creator>anwen</dc:creator>
  <cp:lastModifiedBy>Miss.D</cp:lastModifiedBy>
  <dcterms:modified xsi:type="dcterms:W3CDTF">2025-11-19T08:43:00Z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F807AD237C644DF2AF8B5806C09022EC_12</vt:lpwstr>
  </property>
  <property fmtid="{D5CDD505-2E9C-101B-9397-08002B2CF9AE}" pid="4" name="KSOTemplateDocerSaveRecord">
    <vt:lpwstr>eyJoZGlkIjoiNDFiYjlmZDhlYzVmNzYxMzU5NTVkOTRkMTYxYzg1ODYiLCJ1c2VySWQiOiIzNzI4MTQ4MDAifQ==</vt:lpwstr>
  </property>
</Properties>
</file>