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15E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hanging="425"/>
        <w:textAlignment w:val="auto"/>
        <w:rPr>
          <w:rFonts w:hint="eastAsia" w:ascii="仿宋" w:hAnsi="仿宋" w:eastAsia="仿宋" w:cs="仿宋"/>
          <w:color w:val="auto"/>
          <w:sz w:val="28"/>
        </w:rPr>
      </w:pPr>
      <w:bookmarkStart w:id="0" w:name="_Toc13559"/>
      <w:bookmarkStart w:id="1" w:name="_Toc22171"/>
      <w:r>
        <w:rPr>
          <w:rFonts w:hint="eastAsia" w:ascii="仿宋" w:hAnsi="仿宋" w:eastAsia="仿宋" w:cs="仿宋"/>
          <w:color w:val="auto"/>
          <w:sz w:val="40"/>
          <w:highlight w:val="none"/>
          <w:lang w:eastAsia="zh-CN"/>
        </w:rPr>
        <w:t>新疆医科大学第一附属医院2025年第三十三批阳光采购二次议价项目</w:t>
      </w:r>
      <w:r>
        <w:rPr>
          <w:rFonts w:hint="eastAsia" w:ascii="仿宋" w:hAnsi="仿宋" w:eastAsia="仿宋" w:cs="仿宋"/>
          <w:color w:val="auto"/>
          <w:sz w:val="40"/>
          <w:highlight w:val="none"/>
        </w:rPr>
        <w:t>公告</w:t>
      </w:r>
      <w:bookmarkEnd w:id="0"/>
      <w:bookmarkEnd w:id="1"/>
    </w:p>
    <w:p w14:paraId="48B01C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新疆医科大学第一附属医院，根据《中华人民共和国政府采购法》等有关规定，现对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  <w:vertAlign w:val="baseline"/>
          <w:lang w:eastAsia="zh-CN"/>
        </w:rPr>
        <w:t>新疆医科大学第一附属医院2025年第</w:t>
      </w:r>
      <w:bookmarkStart w:id="2" w:name="_GoBack"/>
      <w:bookmarkEnd w:id="2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  <w:vertAlign w:val="baseline"/>
          <w:lang w:eastAsia="zh-CN"/>
        </w:rPr>
        <w:t>三十三批阳光采购二次议价项目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进行其他招标，欢迎合格的供应商前来投标。</w:t>
      </w:r>
    </w:p>
    <w:p w14:paraId="7D7E7C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项目名称：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eastAsia="zh-CN"/>
        </w:rPr>
        <w:t>新疆医科大学第一附属医院2025年第三十三批阳光采购二次议价项目</w:t>
      </w:r>
    </w:p>
    <w:p w14:paraId="3D2E8E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购单位：新疆医科大学第一附属医院</w:t>
      </w:r>
    </w:p>
    <w:p w14:paraId="7F8BE6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采购单位地址：乌鲁木齐市新市区鲤鱼山南路137号</w:t>
      </w:r>
    </w:p>
    <w:p w14:paraId="62AFA4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采购单位联系方式：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潘晖，17799796258  0991-3750455</w:t>
      </w:r>
    </w:p>
    <w:p w14:paraId="56FE7D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 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一、采购项目内容</w:t>
      </w:r>
    </w:p>
    <w:tbl>
      <w:tblPr>
        <w:tblStyle w:val="4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6829"/>
      </w:tblGrid>
      <w:tr w14:paraId="175D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6B38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包号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E81A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产品名称</w:t>
            </w:r>
          </w:p>
        </w:tc>
      </w:tr>
      <w:tr w14:paraId="6D56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8E18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第一包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79AB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细菌过滤器；</w:t>
            </w:r>
          </w:p>
        </w:tc>
      </w:tr>
      <w:tr w14:paraId="44BF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0533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第二包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EA40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传送导管系统；</w:t>
            </w:r>
          </w:p>
        </w:tc>
      </w:tr>
      <w:tr w14:paraId="5343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D1DF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第三包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E6B6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电极导线锁紧装置；</w:t>
            </w:r>
          </w:p>
        </w:tc>
      </w:tr>
      <w:tr w14:paraId="68F0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092E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第四包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8C08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三维标测导管；</w:t>
            </w:r>
          </w:p>
        </w:tc>
      </w:tr>
      <w:tr w14:paraId="33F5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77C9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第五包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A71E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三维定位参考电极；</w:t>
            </w:r>
          </w:p>
        </w:tc>
      </w:tr>
      <w:tr w14:paraId="0DB8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F96F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第六包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2508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植入性电极导线激光拔除鞘套件；</w:t>
            </w:r>
          </w:p>
        </w:tc>
      </w:tr>
      <w:tr w14:paraId="6832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EE96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第七包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7D2B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左心部传送导管系统；</w:t>
            </w:r>
          </w:p>
        </w:tc>
      </w:tr>
      <w:tr w14:paraId="5F46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757A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第八包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32EF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超声光纤电子支气管镜(水囊)；</w:t>
            </w:r>
          </w:p>
        </w:tc>
      </w:tr>
      <w:tr w14:paraId="2821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8ABD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第九包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BEA6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一次性内窥镜超声吸引活检针等2项；</w:t>
            </w:r>
          </w:p>
        </w:tc>
      </w:tr>
      <w:tr w14:paraId="4472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E306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第十包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9050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一次性使用活组织取样钳；</w:t>
            </w:r>
          </w:p>
        </w:tc>
      </w:tr>
      <w:tr w14:paraId="2EB2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BEA2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第十一包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13DC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一次性使用痰液采集器；</w:t>
            </w:r>
          </w:p>
        </w:tc>
      </w:tr>
      <w:tr w14:paraId="1D88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CAB1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第十二包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ECC7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膝关节假体等5项；</w:t>
            </w:r>
          </w:p>
        </w:tc>
      </w:tr>
      <w:tr w14:paraId="37C7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7639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第十三包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7AD7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一次性使用牙垫；</w:t>
            </w:r>
          </w:p>
        </w:tc>
      </w:tr>
      <w:tr w14:paraId="2D40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5CA2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第十四包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3996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髋关节假体-股骨柄等11项；</w:t>
            </w:r>
          </w:p>
        </w:tc>
      </w:tr>
      <w:tr w14:paraId="40AE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1B92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第十五包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0528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动脉导管未闭封堵器等3项；</w:t>
            </w:r>
          </w:p>
        </w:tc>
      </w:tr>
      <w:tr w14:paraId="2A18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EFE7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第十六包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3823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气管切开插管；</w:t>
            </w:r>
          </w:p>
        </w:tc>
      </w:tr>
      <w:tr w14:paraId="1BE4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B94D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第十七包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1605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气管切开套管；</w:t>
            </w:r>
          </w:p>
        </w:tc>
      </w:tr>
    </w:tbl>
    <w:p w14:paraId="64A89B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</w:pPr>
    </w:p>
    <w:p w14:paraId="59BDB8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lang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二、开标时间：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eastAsia="zh-CN"/>
        </w:rPr>
        <w:t>2025年12月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16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eastAsia="zh-CN"/>
        </w:rPr>
        <w:t>日10:30时（北京时间）</w:t>
      </w:r>
    </w:p>
    <w:p w14:paraId="03AE5E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三、其它补充事宜</w:t>
      </w:r>
    </w:p>
    <w:p w14:paraId="3926C2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有兴趣的供应商可从202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11日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至202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日每工作日10：00~19：00时（北京时间）发送报名信息（含供应商公司名称、联系人、联系方式及法人授权书及参与包号）至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369404939@qq.com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（邮箱）获取议价文件。</w:t>
      </w:r>
    </w:p>
    <w:p w14:paraId="1D581E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17799796258  0991-3750455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 </w:t>
      </w:r>
    </w:p>
    <w:p w14:paraId="087E31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2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3">
    <w:name w:val="Title"/>
    <w:basedOn w:val="1"/>
    <w:next w:val="1"/>
    <w:qFormat/>
    <w:uiPriority w:val="99"/>
    <w:pPr>
      <w:widowControl w:val="0"/>
      <w:spacing w:before="240" w:after="60"/>
      <w:ind w:left="425" w:hanging="425"/>
      <w:jc w:val="center"/>
      <w:outlineLvl w:val="0"/>
    </w:pPr>
    <w:rPr>
      <w:rFonts w:ascii="Arial" w:hAnsi="Arial" w:cs="Times New Roman"/>
      <w:b/>
      <w:bCs/>
      <w:kern w:val="2"/>
      <w:sz w:val="32"/>
      <w:szCs w:val="32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2025-12-10T10:18:48Z</dcterms:created>
  <dc:creator>123</dc:creator>
  <cp:lastModifiedBy>Pan</cp:lastModifiedBy>
  <dcterms:modified xsi:type="dcterms:W3CDTF">2025-12-10T11:44:28Z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eyJoZGlkIjoiZTgxMDk2NWEyMGZiYTQ3NjdkOGEzM2E0MDc3Y2RhZTkiLCJ1c2VySWQiOiI2NDQ2OTg3MzAifQ==</vt:lpwstr>
  </property>
  <property fmtid="{D5CDD505-2E9C-101B-9397-08002B2CF9AE}" pid="4" name="ICV">
    <vt:lpwstr>AAE4792CD8044785BC274764F5CBA64D_12</vt:lpwstr>
  </property>
</Properties>
</file>