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3257">
      <w:pPr>
        <w:spacing w:before="68" w:line="219" w:lineRule="auto"/>
        <w:jc w:val="center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黑龙江北方有色建设有限责任公司绥化-兴福 500千伏线路工程商品混凝土第三批第2次商电化采购项目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highlight w:val="none"/>
        </w:rPr>
        <w:t>招标公告</w:t>
      </w:r>
    </w:p>
    <w:p w14:paraId="4D07C5A7">
      <w:pPr>
        <w:spacing w:before="20" w:line="228" w:lineRule="auto"/>
        <w:ind w:left="61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1.招标条件</w:t>
      </w:r>
    </w:p>
    <w:p w14:paraId="5B81FD11">
      <w:pPr>
        <w:spacing w:before="162" w:line="377" w:lineRule="auto"/>
        <w:ind w:left="180" w:right="214" w:firstLine="424"/>
        <w:jc w:val="both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黑龙江北方有色建设有限责任公司绥化-兴福 500千伏线路工程商品混凝土第三批第2次商电化采购项目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（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以下简称“本项目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”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），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招标人为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黑龙江北方有色建设有限责任公司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，资金来源为企业自筹。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本项目已具备招标条件，现对本项目进行公开招标。</w:t>
      </w:r>
    </w:p>
    <w:p w14:paraId="4764B029">
      <w:pPr>
        <w:spacing w:before="1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2.项目概况与招标范围</w:t>
      </w:r>
    </w:p>
    <w:p w14:paraId="04CA96D1">
      <w:pPr>
        <w:spacing w:before="162" w:line="226" w:lineRule="auto"/>
        <w:ind w:left="601"/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2.1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项目名称：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黑龙江北方有色建设有限责任公司绥化-兴福 500千伏线路工程商品混凝土第三批第2次商电化采购项目</w:t>
      </w:r>
    </w:p>
    <w:p w14:paraId="1AD9E87F">
      <w:pPr>
        <w:spacing w:before="162" w:line="226" w:lineRule="auto"/>
        <w:ind w:left="601"/>
        <w:rPr>
          <w:rFonts w:hint="default" w:ascii="宋体" w:hAnsi="宋体" w:eastAsia="宋体" w:cs="宋体"/>
          <w:sz w:val="20"/>
          <w:szCs w:val="20"/>
          <w:highlight w:val="none"/>
          <w:lang w:val="en-US" w:eastAsia="zh-CN"/>
        </w:rPr>
      </w:pP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2.2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项目编号：</w:t>
      </w:r>
      <w:r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  <w:t>KT-2025DW-00</w:t>
      </w:r>
      <w:r>
        <w:rPr>
          <w:rFonts w:hint="eastAsia" w:ascii="宋体" w:hAnsi="宋体" w:eastAsia="宋体" w:cs="宋体"/>
          <w:sz w:val="20"/>
          <w:szCs w:val="20"/>
          <w:highlight w:val="none"/>
          <w:lang w:val="en-US" w:eastAsia="zh-CN"/>
        </w:rPr>
        <w:t>3</w:t>
      </w:r>
    </w:p>
    <w:p w14:paraId="108CBEDC">
      <w:pPr>
        <w:spacing w:before="162" w:line="234" w:lineRule="auto"/>
        <w:ind w:left="19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2.3</w:t>
      </w:r>
      <w:r>
        <w:rPr>
          <w:rFonts w:ascii="宋体" w:hAnsi="宋体" w:eastAsia="宋体" w:cs="宋体"/>
          <w:spacing w:val="-2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项目概况：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绥化-兴福 500千伏线路工程</w:t>
      </w:r>
      <w:r>
        <w:rPr>
          <w:rFonts w:ascii="宋体" w:hAnsi="宋体" w:eastAsia="宋体" w:cs="宋体"/>
          <w:spacing w:val="-2"/>
          <w:sz w:val="20"/>
          <w:szCs w:val="20"/>
          <w:highlight w:val="none"/>
        </w:rPr>
        <w:t>。</w:t>
      </w:r>
    </w:p>
    <w:p w14:paraId="3C1BD9D8">
      <w:pPr>
        <w:spacing w:before="157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2.4</w:t>
      </w:r>
      <w:r>
        <w:rPr>
          <w:rFonts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招标范围及标段划分：混凝土采购。本项目共划分为</w:t>
      </w:r>
      <w:r>
        <w:rPr>
          <w:rFonts w:ascii="宋体" w:hAnsi="宋体" w:eastAsia="宋体" w:cs="宋体"/>
          <w:spacing w:val="-2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个标段，即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A1标段。</w:t>
      </w:r>
    </w:p>
    <w:p w14:paraId="6D95C6CD">
      <w:pPr>
        <w:spacing w:line="131" w:lineRule="exact"/>
        <w:rPr>
          <w:highlight w:val="none"/>
        </w:rPr>
      </w:pPr>
    </w:p>
    <w:tbl>
      <w:tblPr>
        <w:tblStyle w:val="5"/>
        <w:tblW w:w="9407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51"/>
        <w:gridCol w:w="1223"/>
        <w:gridCol w:w="1096"/>
        <w:gridCol w:w="731"/>
        <w:gridCol w:w="1692"/>
        <w:gridCol w:w="1520"/>
        <w:gridCol w:w="1525"/>
      </w:tblGrid>
      <w:tr w14:paraId="43409405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69" w:type="dxa"/>
            <w:tcBorders>
              <w:right w:val="single" w:color="000000" w:sz="2" w:space="0"/>
            </w:tcBorders>
            <w:vAlign w:val="top"/>
          </w:tcPr>
          <w:p w14:paraId="5AB07FFB">
            <w:pPr>
              <w:pStyle w:val="4"/>
              <w:spacing w:before="161" w:line="220" w:lineRule="auto"/>
              <w:ind w:left="1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标段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6733429F">
            <w:pPr>
              <w:pStyle w:val="4"/>
              <w:spacing w:before="161" w:line="221" w:lineRule="auto"/>
              <w:ind w:left="3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名称</w:t>
            </w:r>
          </w:p>
        </w:tc>
        <w:tc>
          <w:tcPr>
            <w:tcW w:w="1223" w:type="dxa"/>
            <w:vAlign w:val="top"/>
          </w:tcPr>
          <w:p w14:paraId="2ECF1240">
            <w:pPr>
              <w:pStyle w:val="4"/>
              <w:spacing w:before="161" w:line="219" w:lineRule="auto"/>
              <w:ind w:left="25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规格型号</w:t>
            </w:r>
          </w:p>
        </w:tc>
        <w:tc>
          <w:tcPr>
            <w:tcW w:w="1096" w:type="dxa"/>
            <w:vAlign w:val="top"/>
          </w:tcPr>
          <w:p w14:paraId="27FAB526">
            <w:pPr>
              <w:pStyle w:val="4"/>
              <w:spacing w:before="161" w:line="219" w:lineRule="auto"/>
              <w:ind w:left="372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数量</w:t>
            </w:r>
          </w:p>
        </w:tc>
        <w:tc>
          <w:tcPr>
            <w:tcW w:w="731" w:type="dxa"/>
            <w:vAlign w:val="top"/>
          </w:tcPr>
          <w:p w14:paraId="44DBB0FB">
            <w:pPr>
              <w:pStyle w:val="4"/>
              <w:spacing w:before="161" w:line="220" w:lineRule="auto"/>
              <w:ind w:left="19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单位</w:t>
            </w:r>
          </w:p>
        </w:tc>
        <w:tc>
          <w:tcPr>
            <w:tcW w:w="1692" w:type="dxa"/>
            <w:vAlign w:val="top"/>
          </w:tcPr>
          <w:p w14:paraId="40EC542F">
            <w:pPr>
              <w:pStyle w:val="4"/>
              <w:spacing w:before="43" w:line="218" w:lineRule="auto"/>
              <w:ind w:left="131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单价最高限价（元</w:t>
            </w:r>
          </w:p>
          <w:p w14:paraId="781290CC">
            <w:pPr>
              <w:pStyle w:val="4"/>
              <w:spacing w:before="19" w:line="219" w:lineRule="auto"/>
              <w:ind w:left="35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人民币/m³</w:t>
            </w:r>
            <w:r>
              <w:rPr>
                <w:spacing w:val="-61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)</w:t>
            </w:r>
          </w:p>
        </w:tc>
        <w:tc>
          <w:tcPr>
            <w:tcW w:w="1520" w:type="dxa"/>
            <w:vAlign w:val="top"/>
          </w:tcPr>
          <w:p w14:paraId="2490D3BA">
            <w:pPr>
              <w:pStyle w:val="4"/>
              <w:spacing w:before="43" w:line="230" w:lineRule="auto"/>
              <w:ind w:left="235" w:right="215" w:hanging="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最高投标限价</w:t>
            </w:r>
            <w:r>
              <w:rPr>
                <w:spacing w:val="-3"/>
                <w:highlight w:val="none"/>
              </w:rPr>
              <w:t>（元人民币）</w:t>
            </w:r>
          </w:p>
        </w:tc>
        <w:tc>
          <w:tcPr>
            <w:tcW w:w="1525" w:type="dxa"/>
            <w:vAlign w:val="top"/>
          </w:tcPr>
          <w:p w14:paraId="2080BB5C">
            <w:pPr>
              <w:pStyle w:val="4"/>
              <w:spacing w:before="161" w:line="221" w:lineRule="auto"/>
              <w:ind w:left="587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备注</w:t>
            </w:r>
          </w:p>
        </w:tc>
      </w:tr>
      <w:tr w14:paraId="2280F0D3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9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676CF02B">
            <w:pPr>
              <w:spacing w:line="289" w:lineRule="auto"/>
              <w:rPr>
                <w:rFonts w:ascii="Arial"/>
                <w:sz w:val="21"/>
                <w:highlight w:val="none"/>
              </w:rPr>
            </w:pPr>
          </w:p>
          <w:p w14:paraId="549588BD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D054492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673547DD">
            <w:pPr>
              <w:pStyle w:val="4"/>
              <w:spacing w:before="59" w:line="241" w:lineRule="auto"/>
              <w:ind w:left="24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A1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1CE9A744">
            <w:pPr>
              <w:pStyle w:val="4"/>
              <w:spacing w:before="162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4741F985">
            <w:pPr>
              <w:pStyle w:val="4"/>
              <w:spacing w:before="162"/>
              <w:ind w:left="478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</w:rPr>
              <w:t>C35防冻</w:t>
            </w:r>
          </w:p>
        </w:tc>
        <w:tc>
          <w:tcPr>
            <w:tcW w:w="1096" w:type="dxa"/>
            <w:vAlign w:val="top"/>
          </w:tcPr>
          <w:p w14:paraId="459031AF">
            <w:pPr>
              <w:pStyle w:val="4"/>
              <w:spacing w:before="162"/>
              <w:ind w:left="341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</w:rPr>
              <w:t>6200</w:t>
            </w:r>
          </w:p>
        </w:tc>
        <w:tc>
          <w:tcPr>
            <w:tcW w:w="731" w:type="dxa"/>
            <w:vAlign w:val="top"/>
          </w:tcPr>
          <w:p w14:paraId="53AB2D2F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4FF1D037">
            <w:pPr>
              <w:pStyle w:val="4"/>
              <w:spacing w:before="162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565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295CC01">
            <w:pPr>
              <w:pStyle w:val="4"/>
              <w:spacing w:before="162"/>
              <w:ind w:firstLine="360" w:firstLineChars="200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3503000</w:t>
            </w:r>
          </w:p>
        </w:tc>
        <w:tc>
          <w:tcPr>
            <w:tcW w:w="1525" w:type="dxa"/>
            <w:vAlign w:val="top"/>
          </w:tcPr>
          <w:p w14:paraId="50CD656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61D06F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75AE4C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358B6EAD">
            <w:pPr>
              <w:pStyle w:val="4"/>
              <w:spacing w:before="163" w:line="221" w:lineRule="auto"/>
              <w:ind w:left="209"/>
              <w:rPr>
                <w:highlight w:val="none"/>
              </w:rPr>
            </w:pPr>
          </w:p>
        </w:tc>
        <w:tc>
          <w:tcPr>
            <w:tcW w:w="1223" w:type="dxa"/>
            <w:vAlign w:val="top"/>
          </w:tcPr>
          <w:p w14:paraId="631CF1BF">
            <w:pPr>
              <w:pStyle w:val="4"/>
              <w:spacing w:before="163"/>
              <w:ind w:left="478"/>
              <w:rPr>
                <w:highlight w:val="none"/>
              </w:rPr>
            </w:pPr>
          </w:p>
        </w:tc>
        <w:tc>
          <w:tcPr>
            <w:tcW w:w="1096" w:type="dxa"/>
            <w:vAlign w:val="top"/>
          </w:tcPr>
          <w:p w14:paraId="1589D7EB">
            <w:pPr>
              <w:pStyle w:val="4"/>
              <w:spacing w:before="163"/>
              <w:ind w:left="418"/>
              <w:rPr>
                <w:highlight w:val="none"/>
              </w:rPr>
            </w:pPr>
          </w:p>
        </w:tc>
        <w:tc>
          <w:tcPr>
            <w:tcW w:w="731" w:type="dxa"/>
            <w:vAlign w:val="top"/>
          </w:tcPr>
          <w:p w14:paraId="3733FEAC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</w:p>
        </w:tc>
        <w:tc>
          <w:tcPr>
            <w:tcW w:w="1692" w:type="dxa"/>
            <w:vAlign w:val="top"/>
          </w:tcPr>
          <w:p w14:paraId="4E3774D6">
            <w:pPr>
              <w:pStyle w:val="4"/>
              <w:spacing w:before="163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18678D5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6F314186">
            <w:pPr>
              <w:spacing w:line="360" w:lineRule="auto"/>
              <w:rPr>
                <w:rFonts w:ascii="Arial"/>
                <w:sz w:val="21"/>
                <w:highlight w:val="none"/>
              </w:rPr>
            </w:pPr>
          </w:p>
          <w:p w14:paraId="32F8CFAA">
            <w:pPr>
              <w:pStyle w:val="4"/>
              <w:spacing w:before="58" w:line="219" w:lineRule="auto"/>
              <w:ind w:left="384"/>
              <w:rPr>
                <w:highlight w:val="none"/>
              </w:rPr>
            </w:pPr>
          </w:p>
        </w:tc>
      </w:tr>
      <w:tr w14:paraId="7C7505CC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E2A9DA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53362DB8">
            <w:pPr>
              <w:pStyle w:val="4"/>
              <w:spacing w:before="164" w:line="221" w:lineRule="auto"/>
              <w:ind w:left="209"/>
              <w:rPr>
                <w:highlight w:val="none"/>
              </w:rPr>
            </w:pPr>
          </w:p>
        </w:tc>
        <w:tc>
          <w:tcPr>
            <w:tcW w:w="1223" w:type="dxa"/>
            <w:vAlign w:val="top"/>
          </w:tcPr>
          <w:p w14:paraId="5BD42DE7">
            <w:pPr>
              <w:pStyle w:val="4"/>
              <w:spacing w:before="163"/>
              <w:ind w:left="478"/>
              <w:rPr>
                <w:highlight w:val="none"/>
              </w:rPr>
            </w:pPr>
          </w:p>
        </w:tc>
        <w:tc>
          <w:tcPr>
            <w:tcW w:w="1096" w:type="dxa"/>
            <w:vAlign w:val="top"/>
          </w:tcPr>
          <w:p w14:paraId="216759E2">
            <w:pPr>
              <w:pStyle w:val="4"/>
              <w:spacing w:before="163"/>
              <w:ind w:left="466"/>
              <w:rPr>
                <w:highlight w:val="none"/>
              </w:rPr>
            </w:pPr>
          </w:p>
        </w:tc>
        <w:tc>
          <w:tcPr>
            <w:tcW w:w="731" w:type="dxa"/>
            <w:vAlign w:val="top"/>
          </w:tcPr>
          <w:p w14:paraId="07A10558">
            <w:pPr>
              <w:pStyle w:val="4"/>
              <w:spacing w:before="164" w:line="241" w:lineRule="auto"/>
              <w:ind w:left="275"/>
              <w:rPr>
                <w:highlight w:val="none"/>
              </w:rPr>
            </w:pPr>
          </w:p>
        </w:tc>
        <w:tc>
          <w:tcPr>
            <w:tcW w:w="1692" w:type="dxa"/>
            <w:vAlign w:val="top"/>
          </w:tcPr>
          <w:p w14:paraId="2CE58ADD">
            <w:pPr>
              <w:pStyle w:val="4"/>
              <w:spacing w:before="163"/>
              <w:ind w:left="715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78DE168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240DA2A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30ACEC4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407" w:type="dxa"/>
            <w:gridSpan w:val="8"/>
            <w:vAlign w:val="top"/>
          </w:tcPr>
          <w:p w14:paraId="70E5AA8F">
            <w:pPr>
              <w:pStyle w:val="4"/>
              <w:spacing w:before="30" w:line="359" w:lineRule="auto"/>
              <w:ind w:left="117" w:right="62" w:hanging="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注：①以上数量为计划数量，投标人应按本项目的实际需求量进行供货，合同执行期间以实际供应量进行计量和结算，</w:t>
            </w:r>
            <w:r>
              <w:rPr>
                <w:spacing w:val="-2"/>
                <w:highlight w:val="none"/>
              </w:rPr>
              <w:t>详情见招标文件。</w:t>
            </w:r>
          </w:p>
          <w:p w14:paraId="657B28E5">
            <w:pPr>
              <w:pStyle w:val="4"/>
              <w:spacing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②投标人投标报价不得超过最高投标限价，且单价不得超过单价最高限价，此单价为</w:t>
            </w:r>
            <w:r>
              <w:rPr>
                <w:spacing w:val="-1"/>
                <w:highlight w:val="none"/>
              </w:rPr>
              <w:t>含税（专票）。</w:t>
            </w:r>
          </w:p>
          <w:p w14:paraId="2F62DE9D">
            <w:pPr>
              <w:pStyle w:val="4"/>
              <w:spacing w:before="138"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③最高投标限价包含货物价格、运费、装卸费、泵送费、税金及增值税附加（增值税</w:t>
            </w:r>
            <w:r>
              <w:rPr>
                <w:spacing w:val="-1"/>
                <w:highlight w:val="none"/>
              </w:rPr>
              <w:t>）等全部费用。</w:t>
            </w:r>
          </w:p>
        </w:tc>
      </w:tr>
    </w:tbl>
    <w:p w14:paraId="43EED977">
      <w:pPr>
        <w:spacing w:before="31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2.5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交货期：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 xml:space="preserve">自合同签订日起至 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</w:rPr>
        <w:t>2026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</w:rPr>
        <w:t>1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</w:rPr>
        <w:t>10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日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（以招标人要求时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间为准）。</w:t>
      </w:r>
    </w:p>
    <w:p w14:paraId="3CB03C83">
      <w:pPr>
        <w:spacing w:before="162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2.6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交货地点：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黑龙江省绥化市望奎县灯塔镇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（招标人指定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地点）。</w:t>
      </w:r>
    </w:p>
    <w:p w14:paraId="2D475873">
      <w:pPr>
        <w:spacing w:before="162" w:line="228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2.7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质量标准：符合现行国家、地方及行业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相关专业验收规范的合格标准。</w:t>
      </w:r>
    </w:p>
    <w:p w14:paraId="4B5B1353">
      <w:pPr>
        <w:spacing w:before="161" w:line="228" w:lineRule="auto"/>
        <w:ind w:left="6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3.投标人资格要求：</w:t>
      </w:r>
    </w:p>
    <w:p w14:paraId="0D7DA1DB">
      <w:pPr>
        <w:spacing w:before="163" w:line="302" w:lineRule="auto"/>
        <w:ind w:left="196" w:right="171" w:firstLine="407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3.1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投标人须具备中华人民共和国境内注册的法人或非法人组织，持有市场监督管理部门登记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的有效营业执照和基本账户开户许可证或基本存款账户信息，并具有履行合同的供货能力。</w:t>
      </w:r>
    </w:p>
    <w:p w14:paraId="22F4283D">
      <w:pPr>
        <w:spacing w:before="213" w:line="227" w:lineRule="auto"/>
        <w:ind w:left="6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4"/>
          <w:sz w:val="20"/>
          <w:szCs w:val="20"/>
          <w:highlight w:val="none"/>
        </w:rPr>
        <w:t>3.2</w:t>
      </w:r>
      <w:r>
        <w:rPr>
          <w:rFonts w:ascii="宋体" w:hAnsi="宋体" w:eastAsia="宋体" w:cs="宋体"/>
          <w:spacing w:val="-4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  <w:highlight w:val="none"/>
        </w:rPr>
        <w:t>信誉要求：</w:t>
      </w:r>
    </w:p>
    <w:p w14:paraId="3536AF2C">
      <w:pPr>
        <w:spacing w:before="65" w:line="302" w:lineRule="auto"/>
        <w:ind w:right="9" w:firstLine="42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3.2.1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投标人在国家企业信用信息公示系统（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"http://www.gsxt.gov.cn/"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: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//</w:t>
      </w:r>
      <w:r>
        <w:rPr>
          <w:rFonts w:ascii="宋体" w:hAnsi="宋体" w:eastAsia="宋体" w:cs="宋体"/>
          <w:sz w:val="20"/>
          <w:szCs w:val="20"/>
          <w:highlight w:val="none"/>
        </w:rPr>
        <w:t>www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gsxt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/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）中被列入严重违法失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信企业名单的，不得参加本项目。以企业信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用信息公示系统网站查询结果（网页截图）为准。</w:t>
      </w:r>
    </w:p>
    <w:p w14:paraId="354804FC">
      <w:pPr>
        <w:spacing w:before="164" w:line="302" w:lineRule="auto"/>
        <w:ind w:left="2" w:right="9" w:firstLine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3.2.2</w:t>
      </w:r>
      <w:r>
        <w:rPr>
          <w:rFonts w:ascii="宋体" w:hAnsi="宋体" w:eastAsia="宋体" w:cs="宋体"/>
          <w:spacing w:val="-1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投标人在“信用中国”网站（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"http：//www.creditchina.gov.cn"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：//</w:t>
      </w:r>
      <w:r>
        <w:rPr>
          <w:rFonts w:ascii="宋体" w:hAnsi="宋体" w:eastAsia="宋体" w:cs="宋体"/>
          <w:sz w:val="20"/>
          <w:szCs w:val="20"/>
          <w:highlight w:val="none"/>
        </w:rPr>
        <w:t>www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creditchina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）</w:t>
      </w:r>
      <w:r>
        <w:rPr>
          <w:rFonts w:ascii="宋体" w:hAnsi="宋体" w:eastAsia="宋体" w:cs="宋体"/>
          <w:spacing w:val="-5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中被列入失信被执行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人名单的，不得参加本项目。以“信用中国</w:t>
      </w:r>
      <w:r>
        <w:rPr>
          <w:rFonts w:ascii="宋体" w:hAnsi="宋体" w:eastAsia="宋体" w:cs="宋体"/>
          <w:spacing w:val="-5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”网站查询结果（网页截图）为准。</w:t>
      </w:r>
    </w:p>
    <w:p w14:paraId="6C86F42A">
      <w:pPr>
        <w:spacing w:before="162" w:line="339" w:lineRule="auto"/>
        <w:ind w:right="9" w:firstLine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3.2.3</w:t>
      </w:r>
      <w:r>
        <w:rPr>
          <w:rFonts w:ascii="宋体" w:hAnsi="宋体" w:eastAsia="宋体" w:cs="宋体"/>
          <w:spacing w:val="-4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近三年（2022</w:t>
      </w:r>
      <w:r>
        <w:rPr>
          <w:rFonts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12</w:t>
      </w:r>
      <w:r>
        <w:rPr>
          <w:rFonts w:ascii="宋体" w:hAnsi="宋体" w:eastAsia="宋体" w:cs="宋体"/>
          <w:spacing w:val="-3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01 日～投标文件递交截止时间止）投标人及其法定代表人/单位负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责人有行贿犯罪记录的，不得参加本项目投标。无行贿犯罪行为的认定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以投标人提供的在中国裁判文书（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"https：//wenshu.court.gov.cn/"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https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：//</w:t>
      </w:r>
      <w:r>
        <w:rPr>
          <w:rFonts w:ascii="宋体" w:hAnsi="宋体" w:eastAsia="宋体" w:cs="宋体"/>
          <w:sz w:val="20"/>
          <w:szCs w:val="20"/>
          <w:highlight w:val="none"/>
        </w:rPr>
        <w:t>wenshu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court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/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）网站上无行贿犯罪查询记录的网页截图为准（查询日期应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在招标公告发布后至投标文件递交截止日期之间）。</w:t>
      </w:r>
    </w:p>
    <w:p w14:paraId="611523AE">
      <w:pPr>
        <w:spacing w:before="213" w:line="227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  <w:highlight w:val="none"/>
        </w:rPr>
        <w:t>注：查询方法详见“</w:t>
      </w:r>
      <w:r>
        <w:rPr>
          <w:rFonts w:ascii="宋体" w:hAnsi="宋体" w:eastAsia="宋体" w:cs="宋体"/>
          <w:spacing w:val="-7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  <w:highlight w:val="none"/>
        </w:rPr>
        <w:t>附件：部分网页截图示例查询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方法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”。</w:t>
      </w:r>
    </w:p>
    <w:p w14:paraId="71529120">
      <w:pPr>
        <w:spacing w:before="213" w:line="347" w:lineRule="auto"/>
        <w:ind w:left="1" w:right="9" w:firstLine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3.3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与招标人存在利害关系可能影响招标公正性的法人或非法人组织，不得参加本项目投标。单位负责人为同一人或者存在控股、管理关系的不同单位不得同时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参加本项目投标，</w:t>
      </w:r>
      <w:r>
        <w:rPr>
          <w:rFonts w:ascii="宋体" w:hAnsi="宋体" w:eastAsia="宋体" w:cs="宋体"/>
          <w:color w:val="404040"/>
          <w:spacing w:val="10"/>
          <w:sz w:val="20"/>
          <w:szCs w:val="20"/>
          <w:highlight w:val="none"/>
        </w:rPr>
        <w:t>法定代表人为</w:t>
      </w:r>
      <w:r>
        <w:rPr>
          <w:rFonts w:ascii="宋体" w:hAnsi="宋体" w:eastAsia="宋体" w:cs="宋体"/>
          <w:color w:val="404040"/>
          <w:spacing w:val="11"/>
          <w:sz w:val="20"/>
          <w:szCs w:val="20"/>
          <w:highlight w:val="none"/>
        </w:rPr>
        <w:t>同一个人的两个及两个以上法人，母公司、全资子公司及其控股公</w:t>
      </w:r>
      <w:r>
        <w:rPr>
          <w:rFonts w:ascii="宋体" w:hAnsi="宋体" w:eastAsia="宋体" w:cs="宋体"/>
          <w:color w:val="404040"/>
          <w:spacing w:val="10"/>
          <w:sz w:val="20"/>
          <w:szCs w:val="20"/>
          <w:highlight w:val="none"/>
        </w:rPr>
        <w:t>司，都不得在同一货物招标中同</w:t>
      </w:r>
      <w:r>
        <w:rPr>
          <w:rFonts w:ascii="宋体" w:hAnsi="宋体" w:eastAsia="宋体" w:cs="宋体"/>
          <w:color w:val="404040"/>
          <w:spacing w:val="11"/>
          <w:sz w:val="20"/>
          <w:szCs w:val="20"/>
          <w:highlight w:val="none"/>
        </w:rPr>
        <w:t>时投标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以及不同单位的高级管理人员之间存在交叉任职的均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不得同时参加本项目同一标段投标。违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反本条款规定的，相关投标均无效。</w:t>
      </w:r>
    </w:p>
    <w:p w14:paraId="0B7A3CCC">
      <w:pPr>
        <w:spacing w:before="212" w:line="227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3.4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本招标项目不接受联合体参加投标。不允许分包。</w:t>
      </w:r>
    </w:p>
    <w:p w14:paraId="384D766A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4.招标文件的获取</w:t>
      </w:r>
    </w:p>
    <w:p w14:paraId="05F4CED8">
      <w:pPr>
        <w:spacing w:before="161" w:line="304" w:lineRule="auto"/>
        <w:ind w:left="10" w:right="9" w:firstLine="39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4.1</w:t>
      </w:r>
      <w:r>
        <w:rPr>
          <w:rFonts w:ascii="宋体" w:hAnsi="宋体" w:eastAsia="宋体" w:cs="宋体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招标文件获取时间：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2025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12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24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分至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2025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 xml:space="preserve">12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 xml:space="preserve">28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>24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分（北京</w:t>
      </w:r>
      <w:r>
        <w:rPr>
          <w:rFonts w:ascii="宋体" w:hAnsi="宋体" w:eastAsia="宋体" w:cs="宋体"/>
          <w:b/>
          <w:bCs/>
          <w:spacing w:val="4"/>
          <w:sz w:val="20"/>
          <w:szCs w:val="20"/>
          <w:highlight w:val="none"/>
        </w:rPr>
        <w:t>时间，下同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）；</w:t>
      </w:r>
    </w:p>
    <w:p w14:paraId="087B5E80">
      <w:pPr>
        <w:spacing w:before="161" w:line="377" w:lineRule="auto"/>
        <w:ind w:left="2" w:right="9" w:firstLine="418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4.2</w:t>
      </w:r>
      <w:r>
        <w:rPr>
          <w:rFonts w:ascii="宋体" w:hAnsi="宋体" w:eastAsia="宋体" w:cs="宋体"/>
          <w:spacing w:val="-3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招标文件获取方式：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凡有意参与本项目的投标人，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采购文件公告期为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日，供应商须在公告期内凭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在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中招联合招标采购平台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所办理的CA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，登录中招联合招标采购平台， 选择“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供应商/投标人入口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 xml:space="preserve"> → 应标 → 项目投标”，在列表中选择需要参与的项目， 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也可按照《全电子流程项目供应商操作要点指引》进行操作，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确认参与后即可获取文件。获取文件的供应商，方具有投标和质疑资格。逾期报名，不再受理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。</w:t>
      </w:r>
    </w:p>
    <w:p w14:paraId="37101A5E">
      <w:pPr>
        <w:spacing w:before="1" w:line="226" w:lineRule="auto"/>
        <w:ind w:left="4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4.3</w:t>
      </w:r>
      <w:r>
        <w:rPr>
          <w:rFonts w:ascii="宋体" w:hAnsi="宋体" w:eastAsia="宋体" w:cs="宋体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本项目采用网上申请方式，投标人登录系统后，按要求进行本项目</w:t>
      </w:r>
      <w:r>
        <w:rPr>
          <w:rFonts w:ascii="宋体" w:hAnsi="宋体" w:eastAsia="宋体" w:cs="宋体"/>
          <w:spacing w:val="1"/>
          <w:sz w:val="20"/>
          <w:szCs w:val="20"/>
          <w:highlight w:val="none"/>
        </w:rPr>
        <w:t>招标的相关操作；</w:t>
      </w:r>
    </w:p>
    <w:p w14:paraId="3387CAB9">
      <w:pPr>
        <w:spacing w:before="162" w:line="226" w:lineRule="auto"/>
        <w:ind w:left="4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4.4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招标文件售价：本项目不收取。</w:t>
      </w:r>
    </w:p>
    <w:p w14:paraId="53FC6B96">
      <w:pPr>
        <w:spacing w:before="166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  <w:highlight w:val="none"/>
        </w:rPr>
        <w:t>5.投标保证金：</w:t>
      </w:r>
    </w:p>
    <w:p w14:paraId="73C867F7">
      <w:pPr>
        <w:spacing w:before="160" w:line="225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5.1</w:t>
      </w:r>
      <w:r>
        <w:rPr>
          <w:rFonts w:ascii="宋体" w:hAnsi="宋体" w:eastAsia="宋体" w:cs="宋体"/>
          <w:spacing w:val="-3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投标保证金的金额：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0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元人民币/标段；</w:t>
      </w:r>
    </w:p>
    <w:p w14:paraId="19D3476D">
      <w:pPr>
        <w:spacing w:before="165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z w:val="20"/>
          <w:szCs w:val="20"/>
          <w:highlight w:val="none"/>
        </w:rPr>
        <w:t>5.2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z w:val="20"/>
          <w:szCs w:val="20"/>
          <w:highlight w:val="none"/>
        </w:rPr>
        <w:t>保证金递交截止时间：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01</w:t>
      </w:r>
      <w:r>
        <w:rPr>
          <w:rFonts w:ascii="宋体" w:hAnsi="宋体" w:eastAsia="宋体" w:cs="宋体"/>
          <w:spacing w:val="-3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04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23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09</w:t>
      </w:r>
      <w:r>
        <w:rPr>
          <w:rFonts w:ascii="宋体" w:hAnsi="宋体" w:eastAsia="宋体" w:cs="宋体"/>
          <w:spacing w:val="-3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分</w:t>
      </w:r>
      <w:r>
        <w:rPr>
          <w:rFonts w:ascii="宋体" w:hAnsi="宋体" w:eastAsia="宋体" w:cs="宋体"/>
          <w:sz w:val="20"/>
          <w:szCs w:val="20"/>
          <w:highlight w:val="none"/>
        </w:rPr>
        <w:t>；</w:t>
      </w:r>
    </w:p>
    <w:p w14:paraId="3ABDF292">
      <w:pPr>
        <w:spacing w:before="65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5.3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投标保证金递交方式：</w:t>
      </w:r>
      <w:r>
        <w:rPr>
          <w:rFonts w:ascii="宋体" w:hAnsi="宋体" w:eastAsia="宋体" w:cs="宋体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电汇或网银；</w:t>
      </w:r>
    </w:p>
    <w:p w14:paraId="2533064E">
      <w:pPr>
        <w:spacing w:before="160" w:line="378" w:lineRule="auto"/>
        <w:ind w:left="2" w:right="97" w:firstLine="419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注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>：（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1）投标保证金应按《数字服务平台供应商操作手册》“六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、递交投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标保证金</w:t>
      </w:r>
      <w:r>
        <w:rPr>
          <w:rFonts w:ascii="宋体" w:hAnsi="宋体" w:eastAsia="宋体" w:cs="宋体"/>
          <w:spacing w:val="-6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”程序进行相关操作；</w:t>
      </w:r>
    </w:p>
    <w:p w14:paraId="7A4310FE">
      <w:pPr>
        <w:spacing w:before="3" w:line="326" w:lineRule="auto"/>
        <w:ind w:left="2" w:right="45" w:firstLine="429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（2）投标人应当采取网上银行支付、手机银行支付或银行柜台转账的方式，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将投标保证金按时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一次性足额汇入系统随机生成的银行账户；进入项目后点击投标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保证金→递交→缴纳方式（电汇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>）；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保证金的缴纳账号由系统自动生成，每个项目所划分包次/标段的账号均不相同；</w:t>
      </w:r>
    </w:p>
    <w:p w14:paraId="0BD31818">
      <w:pPr>
        <w:spacing w:before="161" w:line="302" w:lineRule="auto"/>
        <w:ind w:left="11" w:right="97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（3）为保证招标活动完成后及时退还保证金，汇款前，投标人应按提示填写准确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的汇款方信息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（包括汇出行账号、地址、联系方式等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）；</w:t>
      </w:r>
    </w:p>
    <w:p w14:paraId="7354BF10">
      <w:pPr>
        <w:spacing w:before="164" w:line="302" w:lineRule="auto"/>
        <w:ind w:right="100" w:firstLine="43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（4）投标保证金未在规定时间到账、未交纳到系统提示账号或无效交纳的，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其递交的投标文件将被视为无效。</w:t>
      </w:r>
    </w:p>
    <w:p w14:paraId="6B219CCB">
      <w:pPr>
        <w:spacing w:before="160" w:line="228" w:lineRule="auto"/>
        <w:ind w:left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6.投标文件的递交</w:t>
      </w:r>
    </w:p>
    <w:p w14:paraId="32AB4F13">
      <w:pPr>
        <w:spacing w:before="161" w:line="228" w:lineRule="auto"/>
        <w:ind w:left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6.1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投标文件递交截止时间（投标截止时间，下同）为</w:t>
      </w:r>
      <w:r>
        <w:rPr>
          <w:rFonts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0"/>
          <w:szCs w:val="20"/>
          <w:highlight w:val="none"/>
        </w:rPr>
        <w:t>20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01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04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09</w:t>
      </w:r>
      <w:r>
        <w:rPr>
          <w:rFonts w:ascii="宋体" w:hAnsi="宋体" w:eastAsia="宋体" w:cs="宋体"/>
          <w:spacing w:val="-3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分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；</w:t>
      </w:r>
    </w:p>
    <w:p w14:paraId="741DBC18">
      <w:pPr>
        <w:spacing w:before="164" w:line="347" w:lineRule="auto"/>
        <w:ind w:firstLine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6.2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投标人应在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采购服务平台→下载专区→工具软件→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“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投标文件制作工具（供应商使用）</w:t>
      </w:r>
      <w:r>
        <w:rPr>
          <w:rFonts w:ascii="宋体" w:hAnsi="宋体" w:eastAsia="宋体" w:cs="宋体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”下载工具后编制电子投标文件，并按招标文件要求进行加密、递交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。投标人应在投标文件规定的开标截止时间前，通过互联网使用</w:t>
      </w:r>
      <w:r>
        <w:rPr>
          <w:rFonts w:ascii="宋体" w:hAnsi="宋体" w:eastAsia="宋体" w:cs="宋体"/>
          <w:sz w:val="20"/>
          <w:szCs w:val="20"/>
          <w:highlight w:val="none"/>
        </w:rPr>
        <w:t>CA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数字证书登录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采购服务平台，将加密的投标文件上传，并保存上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传成功后系统自动生成的电子签收凭证，递交时间即为电子签收凭证时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间。投标人应充分考虑上传文件时的不可预见因素，未在递交截止时间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前完成上传的，视为逾期送达，将不予受理。</w:t>
      </w:r>
    </w:p>
    <w:p w14:paraId="78D89F54">
      <w:pPr>
        <w:spacing w:before="162" w:line="228" w:lineRule="auto"/>
        <w:ind w:left="426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7.投标文件开标时间及地点</w:t>
      </w:r>
    </w:p>
    <w:p w14:paraId="4FB87EEC">
      <w:pPr>
        <w:spacing w:before="161" w:line="228" w:lineRule="auto"/>
        <w:ind w:left="426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7.1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投标文件开标时间：同投标文件递交截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止时间。</w:t>
      </w:r>
    </w:p>
    <w:p w14:paraId="7F206B98">
      <w:pPr>
        <w:spacing w:before="162" w:line="302" w:lineRule="auto"/>
        <w:ind w:left="6" w:right="151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7.2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投标文件开标地点：登录“采购服务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平台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”，进入“开标大厅</w:t>
      </w:r>
      <w:r>
        <w:rPr>
          <w:rFonts w:ascii="宋体" w:hAnsi="宋体" w:eastAsia="宋体" w:cs="宋体"/>
          <w:spacing w:val="-6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”选择所投标段进行签到，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并在开标时间实时在线关注招标人的文件开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标情况。</w:t>
      </w:r>
    </w:p>
    <w:p w14:paraId="3769F319">
      <w:pPr>
        <w:spacing w:before="161" w:line="228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8.其他说明</w:t>
      </w:r>
    </w:p>
    <w:p w14:paraId="219E6187">
      <w:pPr>
        <w:spacing w:before="164" w:line="226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8.1 本次招标评标采用</w:t>
      </w:r>
      <w:r>
        <w:rPr>
          <w:rFonts w:ascii="宋体" w:hAnsi="宋体" w:eastAsia="宋体" w:cs="宋体"/>
          <w:b/>
          <w:bCs/>
          <w:spacing w:val="10"/>
          <w:sz w:val="20"/>
          <w:szCs w:val="20"/>
          <w:highlight w:val="none"/>
        </w:rPr>
        <w:t>综合评估法</w:t>
      </w:r>
      <w:r>
        <w:rPr>
          <w:rFonts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，对投标人的资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格审查采用</w:t>
      </w:r>
      <w:r>
        <w:rPr>
          <w:rFonts w:ascii="宋体" w:hAnsi="宋体" w:eastAsia="宋体" w:cs="宋体"/>
          <w:spacing w:val="9"/>
          <w:sz w:val="20"/>
          <w:szCs w:val="20"/>
          <w:highlight w:val="none"/>
          <w:u w:val="single" w:color="auto"/>
        </w:rPr>
        <w:t>资格后审形式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；</w:t>
      </w:r>
    </w:p>
    <w:p w14:paraId="22B7E62F">
      <w:pPr>
        <w:spacing w:before="163" w:line="327" w:lineRule="auto"/>
        <w:ind w:left="1" w:right="126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-3"/>
          <w:sz w:val="20"/>
          <w:szCs w:val="20"/>
          <w:highlight w:val="none"/>
        </w:rPr>
        <w:t>8.2</w:t>
      </w:r>
      <w:r>
        <w:rPr>
          <w:rFonts w:ascii="宋体" w:hAnsi="宋体" w:eastAsia="宋体" w:cs="宋体"/>
          <w:spacing w:val="4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本项目采用全流程电子招采，通过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中招联合招标采购平台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开展招投标活动，注册及操作等相关内容，请先查阅门户网站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→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帮助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中心</w:t>
      </w:r>
      <w:r>
        <w:rPr>
          <w:rFonts w:ascii="宋体" w:hAnsi="宋体" w:eastAsia="宋体" w:cs="宋体"/>
          <w:b/>
          <w:bCs/>
          <w:spacing w:val="10"/>
          <w:sz w:val="20"/>
          <w:szCs w:val="20"/>
          <w:highlight w:val="none"/>
        </w:rPr>
        <w:t>→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操作指南内的操作手册，参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与投标过程中遇到的平台问题可拨打技术支持电话。</w:t>
      </w:r>
    </w:p>
    <w:p w14:paraId="4145087D">
      <w:pPr>
        <w:spacing w:before="162" w:line="347" w:lineRule="auto"/>
        <w:ind w:right="97" w:firstLine="42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8.3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投标人仅限于为本单位支付平台使用费及缴纳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z w:val="20"/>
          <w:szCs w:val="20"/>
          <w:highlight w:val="none"/>
        </w:rPr>
        <w:t>CA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数字证书。若存在任一投标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人为多家投标人代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缴上述费用的行为，根据《中华人民共和国招标投标法实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施条例》第四十条“</w:t>
      </w:r>
      <w:r>
        <w:rPr>
          <w:rFonts w:ascii="宋体" w:hAnsi="宋体" w:eastAsia="宋体" w:cs="宋体"/>
          <w:spacing w:val="-5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(二)不同投标人委托同一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单位或者个人办理投标事宜</w:t>
      </w:r>
      <w:r>
        <w:rPr>
          <w:rFonts w:ascii="宋体" w:hAnsi="宋体" w:eastAsia="宋体" w:cs="宋体"/>
          <w:spacing w:val="-6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”视为投标人相互串通投标。同时,依据《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黑龙江省矿投建设集团有限公司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供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应商管理办法》</w:t>
      </w:r>
      <w:r>
        <w:rPr>
          <w:rFonts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中关于供应商失信行为的认定标准，此类行为被定性为采购活动中的串通投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标或围标。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涉及的供应商将在一年内禁止参加集团及权属企业实施的采购活动。</w:t>
      </w:r>
    </w:p>
    <w:p w14:paraId="4EEBE3E9">
      <w:pPr>
        <w:spacing w:before="162" w:line="226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9.发布公告的媒介</w:t>
      </w:r>
    </w:p>
    <w:p w14:paraId="575EB582">
      <w:pPr>
        <w:spacing w:before="65" w:line="377" w:lineRule="auto"/>
        <w:ind w:left="18" w:hanging="19"/>
        <w:jc w:val="both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3"/>
          <w:sz w:val="20"/>
          <w:szCs w:val="20"/>
          <w:highlight w:val="none"/>
        </w:rPr>
        <w:t>本项目招标公告在</w:t>
      </w:r>
      <w:r>
        <w:rPr>
          <w:rFonts w:hint="eastAsia" w:ascii="宋体" w:hAnsi="宋体" w:eastAsia="宋体" w:cs="宋体"/>
          <w:spacing w:val="13"/>
          <w:sz w:val="20"/>
          <w:szCs w:val="20"/>
          <w:highlight w:val="none"/>
          <w:lang w:eastAsia="zh-CN"/>
        </w:rPr>
        <w:t>中招联合招标采购平台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上发布。其它网址转载无效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。</w:t>
      </w:r>
    </w:p>
    <w:p w14:paraId="49C302B1">
      <w:pPr>
        <w:spacing w:line="227" w:lineRule="auto"/>
        <w:ind w:left="43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10.受理异议的联系方式</w:t>
      </w:r>
    </w:p>
    <w:p w14:paraId="76C6254C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招标人：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eastAsia="zh-CN"/>
        </w:rPr>
        <w:t>黑龙江北方有色建设有限责任公司</w:t>
      </w:r>
    </w:p>
    <w:p w14:paraId="5AAB8D6A">
      <w:pPr>
        <w:spacing w:before="161" w:line="228" w:lineRule="auto"/>
        <w:ind w:left="419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地址：黑龙江省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  <w:lang w:val="en-US" w:eastAsia="zh-CN"/>
        </w:rPr>
        <w:t>哈尔滨市</w:t>
      </w:r>
    </w:p>
    <w:p w14:paraId="0F1FFFDE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刘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先生</w:t>
      </w:r>
    </w:p>
    <w:p w14:paraId="218E2ED2">
      <w:pPr>
        <w:spacing w:before="162" w:line="230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联系电话：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  <w:t>0451-82731840</w:t>
      </w:r>
    </w:p>
    <w:p w14:paraId="49F9AC1D">
      <w:pPr>
        <w:spacing w:before="161" w:line="227" w:lineRule="auto"/>
        <w:ind w:left="418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 xml:space="preserve">代理机构： 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eastAsia="zh-CN"/>
        </w:rPr>
        <w:t>黑龙江省矿投建设集团有限公司</w:t>
      </w:r>
    </w:p>
    <w:p w14:paraId="0DD3CCC7">
      <w:pPr>
        <w:spacing w:before="162" w:line="228" w:lineRule="auto"/>
        <w:ind w:left="423"/>
        <w:rPr>
          <w:rFonts w:hint="default" w:ascii="宋体" w:hAnsi="宋体" w:eastAsia="宋体" w:cs="宋体"/>
          <w:sz w:val="20"/>
          <w:szCs w:val="20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办公地址：黑龙江省哈尔滨市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理治街33号</w:t>
      </w:r>
    </w:p>
    <w:p w14:paraId="0B29EDEF">
      <w:pPr>
        <w:spacing w:before="161" w:line="228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王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先生</w:t>
      </w:r>
    </w:p>
    <w:p w14:paraId="713041C3"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联系电话：</w:t>
      </w:r>
      <w:r>
        <w:rPr>
          <w:rFonts w:hint="default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0451-82722749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046E"/>
    <w:rsid w:val="68B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2023-05-21T23:26:00Z</dcterms:created>
  <dc:creator>Lenovo</dc:creator>
  <cp:lastModifiedBy>权子</cp:lastModifiedBy>
  <dcterms:modified xsi:type="dcterms:W3CDTF">2025-12-23T00:08:01Z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F8F8309BD84E483199B778D26FCB00DE_12</vt:lpwstr>
  </property>
  <property fmtid="{D5CDD505-2E9C-101B-9397-08002B2CF9AE}" pid="4" name="KSOTemplateDocerSaveRecord">
    <vt:lpwstr>eyJoZGlkIjoiZTEwNGYzMzQ1N2I1MDc0MzUxZTM3N2YwNDkxNzVlNzMiLCJ1c2VySWQiOiIzNzUwNzM4MDkifQ==</vt:lpwstr>
  </property>
</Properties>
</file>