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440118-2025-05539</w:t>
      </w:r>
    </w:p>
    <w:p>
      <w:pPr>
        <w:pStyle w:val="null3"/>
        <w:jc w:val="center"/>
        <w:outlineLvl w:val="3"/>
      </w:pPr>
      <w:r>
        <w:rPr>
          <w:sz w:val="24"/>
          <w:b/>
        </w:rPr>
        <w:t>采购项目编号：</w:t>
      </w:r>
      <w:r>
        <w:rPr>
          <w:sz w:val="24"/>
          <w:b/>
        </w:rPr>
        <w:t>202511090818029</w:t>
      </w:r>
    </w:p>
    <w:p>
      <w:pPr>
        <w:pStyle w:val="null3"/>
        <w:jc w:val="center"/>
        <w:outlineLvl w:val="3"/>
      </w:pPr>
      <w:r>
        <w:rPr>
          <w:sz w:val="24"/>
          <w:b/>
        </w:rPr>
        <w:t>项目名称：</w:t>
      </w:r>
      <w:r>
        <w:rPr>
          <w:sz w:val="24"/>
          <w:b/>
        </w:rPr>
        <w:t>正果镇社工服务站（西片区）服务项目</w:t>
      </w:r>
    </w:p>
    <w:p>
      <w:pPr>
        <w:pStyle w:val="null3"/>
        <w:jc w:val="center"/>
        <w:outlineLvl w:val="3"/>
      </w:pPr>
      <w:r>
        <w:rPr>
          <w:sz w:val="24"/>
          <w:b/>
        </w:rPr>
        <w:t>采购人：</w:t>
      </w:r>
      <w:r>
        <w:rPr>
          <w:sz w:val="24"/>
          <w:b/>
        </w:rPr>
        <w:t>广州市增城区正果镇人民政府</w:t>
      </w:r>
    </w:p>
    <w:p>
      <w:pPr>
        <w:pStyle w:val="null3"/>
        <w:jc w:val="center"/>
        <w:outlineLvl w:val="3"/>
      </w:pPr>
      <w:r>
        <w:rPr>
          <w:sz w:val="24"/>
          <w:b/>
        </w:rPr>
        <w:t>采购代理机构：</w:t>
      </w:r>
      <w:r>
        <w:rPr>
          <w:sz w:val="24"/>
          <w:b/>
        </w:rPr>
        <w:t>广州群生招标代理有限公司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广州群生招标代理有限公司</w:t>
      </w:r>
      <w:r>
        <w:rPr/>
        <w:t>受</w:t>
      </w:r>
      <w:r>
        <w:rPr/>
        <w:t>广州市增城区正果镇人民政府</w:t>
      </w:r>
      <w:r>
        <w:rPr/>
        <w:t>的委托，采用</w:t>
      </w:r>
      <w:r>
        <w:rPr/>
        <w:t>竞争性磋商</w:t>
      </w:r>
      <w:r>
        <w:rPr/>
        <w:t>方式组织采购</w:t>
      </w:r>
      <w:r>
        <w:rPr/>
        <w:t>正果镇社工服务站（西片区）服务项目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正果镇社工服务站（西片区）服务项目</w:t>
      </w:r>
    </w:p>
    <w:p>
      <w:pPr>
        <w:pStyle w:val="null3"/>
        <w:ind w:firstLine="480"/>
      </w:pPr>
      <w:r>
        <w:rPr/>
        <w:t>采购计划编号：</w:t>
      </w:r>
      <w:r>
        <w:rPr/>
        <w:t>440118-2025-05539</w:t>
      </w:r>
    </w:p>
    <w:p>
      <w:pPr>
        <w:pStyle w:val="null3"/>
        <w:ind w:firstLine="480"/>
      </w:pPr>
      <w:r>
        <w:rPr/>
        <w:t>采购项目编号：</w:t>
      </w:r>
      <w:r>
        <w:rPr/>
        <w:t>202511090818029</w:t>
      </w:r>
    </w:p>
    <w:p>
      <w:pPr>
        <w:pStyle w:val="null3"/>
        <w:ind w:firstLine="480"/>
      </w:pPr>
      <w:r>
        <w:rPr/>
        <w:t>采购方式：</w:t>
      </w:r>
      <w:r>
        <w:rPr/>
        <w:t>竞争性磋商</w:t>
      </w:r>
    </w:p>
    <w:p>
      <w:pPr>
        <w:pStyle w:val="null3"/>
        <w:ind w:firstLine="480"/>
      </w:pPr>
      <w:r>
        <w:rPr/>
        <w:t>预算金额：</w:t>
      </w:r>
      <w:r>
        <w:rPr/>
        <w:t>1,668,600.00</w:t>
      </w:r>
      <w:r>
        <w:rPr/>
        <w:t>元</w:t>
      </w:r>
    </w:p>
    <w:p>
      <w:pPr>
        <w:pStyle w:val="null3"/>
        <w:outlineLvl w:val="3"/>
      </w:pPr>
      <w:r>
        <w:rPr>
          <w:sz w:val="24"/>
          <w:b/>
        </w:rPr>
        <w:t>2.项目内容及需求情况（采购项目技术规格、参数及要求）</w:t>
      </w:r>
    </w:p>
    <w:p>
      <w:pPr>
        <w:pStyle w:val="null3"/>
      </w:pPr>
      <w:r>
        <w:rPr/>
        <w:t>采购包1(正果镇社工服务站（西片区）服务项目):</w:t>
      </w:r>
    </w:p>
    <w:p>
      <w:pPr>
        <w:pStyle w:val="null3"/>
      </w:pPr>
      <w:r>
        <w:rPr/>
        <w:t>采购包预算金额：1,668,600.00元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社会工作服务</w:t>
            </w:r>
          </w:p>
        </w:tc>
        <w:tc>
          <w:tcPr>
            <w:tcW w:type="dxa" w:w="2136"/>
          </w:tcPr>
          <w:p>
            <w:pPr>
              <w:pStyle w:val="null3"/>
            </w:pPr>
            <w:r>
              <w:rPr/>
              <w:t>正果镇社工服务站（西片区）服务项目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合同履行期限：自合同签订之日起一年；关于项目的服务时间和购买服务经费标准，如另有新的文件规定的，则按最新规定执行。</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依据《响应供应商资格声明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2）有依法缴纳税收和社会保障资金的良好记录：提供《响应供应商资格声明函》，详见磋商公告附件。</w:t>
      </w:r>
    </w:p>
    <w:p>
      <w:pPr>
        <w:pStyle w:val="null3"/>
      </w:pPr>
      <w:r>
        <w:rPr/>
        <w:t>3）具有良好的商业信誉和健全的财务会计制度：提供《响应供应商资格声明函》，详见磋商公告附件。</w:t>
      </w:r>
    </w:p>
    <w:p>
      <w:pPr>
        <w:pStyle w:val="null3"/>
      </w:pPr>
      <w:r>
        <w:rPr/>
        <w:t>4）履行合同所必需的设备和专业技术能力：提供《响应供应商资格声明函》，详见磋商公告附件。</w:t>
      </w:r>
    </w:p>
    <w:p>
      <w:pPr>
        <w:pStyle w:val="null3"/>
      </w:pPr>
      <w:r>
        <w:rPr/>
        <w:t>5）参加采购活动前3年内，在经营活动中没有重大违法记录：提供《响应供应商资格声明函》，格式详见招标公告附件。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采购包1（正果镇社工服务站（西片区）服务项目）：</w:t>
      </w:r>
      <w:r>
        <w:rPr/>
        <w:t>本项目不属于专门面向中小微企业采购项目。原因和情形为：按照《政府采购促进中小企业发展管理办法》规定预留采购份额无法确保充分供应、充分竞争，或者存在可能影响政府采购目标实现的情形。</w:t>
      </w:r>
    </w:p>
    <w:p>
      <w:pPr>
        <w:pStyle w:val="null3"/>
        <w:outlineLvl w:val="3"/>
      </w:pPr>
      <w:r>
        <w:rPr>
          <w:sz w:val="24"/>
          <w:b/>
        </w:rPr>
        <w:t>3.本项目特定的资格要求：</w:t>
      </w:r>
    </w:p>
    <w:p>
      <w:pPr>
        <w:pStyle w:val="null3"/>
      </w:pPr>
      <w:r>
        <w:rPr/>
        <w:t>采购包1（正果镇社工服务站（西片区）服务项目）：</w:t>
      </w:r>
    </w:p>
    <w:p>
      <w:pPr>
        <w:pStyle w:val="null3"/>
      </w:pPr>
      <w:r>
        <w:rPr/>
        <w:t>1)供应商未被列入“信用中国”网站(www.creditchina.gov.cn)“记录失信被执行人或 重大税收违法案件当事人名单”记录名单；不处于中国政府采购网(www.ccgp.go v.cn)“政府采购严重违法失信行为信息记录”中的禁止参加政府采购活动期间。（以采购代理机构于投标（响应）截止时间当天在“信用中国”网站（www.creditchi na.gov.cn） 及中国政府采购网（http://www.ccgp.gov.cn/） 查询结果为准，如相关失信记录已失效， 供应商需提供相关证明资料）。</w:t>
      </w:r>
    </w:p>
    <w:p>
      <w:pPr>
        <w:pStyle w:val="null3"/>
      </w:pPr>
      <w:r>
        <w:rPr/>
        <w:t>2)单位负责人为同一人或者存在直接控股、 管理关系的不同供应商，不得同时参加本采购项目（或采购包）投标（响应）。为本项目提供整体设计、 规范编制或者项目管理、监理、检测等服务的供应商，不得再参与本项目投标（响应）。提供《响应供应商资格声明函》。</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广州市增城区正果镇人民政府</w:t>
      </w:r>
    </w:p>
    <w:p>
      <w:pPr>
        <w:pStyle w:val="null3"/>
        <w:ind w:firstLine="480"/>
      </w:pPr>
      <w:r>
        <w:rPr/>
        <w:t>地址：</w:t>
      </w:r>
      <w:r>
        <w:rPr/>
        <w:t>增城区正南路80号</w:t>
      </w:r>
    </w:p>
    <w:p>
      <w:pPr>
        <w:pStyle w:val="null3"/>
        <w:ind w:firstLine="480"/>
      </w:pPr>
      <w:r>
        <w:rPr/>
        <w:t>联系方式：</w:t>
      </w:r>
      <w:r>
        <w:rPr/>
        <w:t>020-82811581</w:t>
      </w:r>
    </w:p>
    <w:p>
      <w:pPr>
        <w:pStyle w:val="null3"/>
        <w:outlineLvl w:val="3"/>
      </w:pPr>
      <w:r>
        <w:rPr>
          <w:sz w:val="24"/>
          <w:b/>
        </w:rPr>
        <w:t>2.采购代理机构信息</w:t>
      </w:r>
    </w:p>
    <w:p>
      <w:pPr>
        <w:pStyle w:val="null3"/>
        <w:ind w:firstLine="480"/>
      </w:pPr>
      <w:r>
        <w:rPr/>
        <w:t>名称：</w:t>
      </w:r>
      <w:r>
        <w:rPr/>
        <w:t>广州群生招标代理有限公司</w:t>
      </w:r>
    </w:p>
    <w:p>
      <w:pPr>
        <w:pStyle w:val="null3"/>
        <w:ind w:firstLine="480"/>
      </w:pPr>
      <w:r>
        <w:rPr/>
        <w:t xml:space="preserve"> 地址：</w:t>
      </w:r>
      <w:r>
        <w:rPr/>
        <w:t>广东省广州市越秀区东风东路555号粤海集团大厦2204</w:t>
      </w:r>
    </w:p>
    <w:p>
      <w:pPr>
        <w:pStyle w:val="null3"/>
        <w:ind w:firstLine="480"/>
      </w:pPr>
      <w:r>
        <w:rPr/>
        <w:t xml:space="preserve"> 联系方式：</w:t>
      </w:r>
      <w:r>
        <w:rPr/>
        <w:t>020-82624228</w:t>
      </w:r>
    </w:p>
    <w:p>
      <w:pPr>
        <w:pStyle w:val="null3"/>
        <w:outlineLvl w:val="3"/>
      </w:pPr>
      <w:r>
        <w:rPr>
          <w:sz w:val="24"/>
          <w:b/>
        </w:rPr>
        <w:t xml:space="preserve"> 3.项目联系方式</w:t>
      </w:r>
    </w:p>
    <w:p>
      <w:pPr>
        <w:pStyle w:val="null3"/>
        <w:ind w:firstLine="480"/>
      </w:pPr>
      <w:r>
        <w:rPr/>
        <w:t xml:space="preserve"> 项目联系人：</w:t>
      </w:r>
      <w:r>
        <w:rPr/>
        <w:t>邓工</w:t>
      </w:r>
    </w:p>
    <w:p>
      <w:pPr>
        <w:pStyle w:val="null3"/>
        <w:ind w:firstLine="480"/>
      </w:pPr>
      <w:r>
        <w:rPr/>
        <w:t xml:space="preserve"> 电话：</w:t>
      </w:r>
      <w:r>
        <w:rPr/>
        <w:t>020-82624228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广州群生招标代理有限公司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color w:val="000000"/>
        </w:rPr>
        <w:t>一、项目概况：</w:t>
      </w:r>
    </w:p>
    <w:p>
      <w:pPr>
        <w:pStyle w:val="null3"/>
        <w:ind w:firstLine="408"/>
      </w:pPr>
      <w:r>
        <w:rPr>
          <w:sz w:val="21"/>
          <w:color w:val="000000"/>
        </w:rPr>
        <w:t>为全面贯彻党中央、国务院关于发展社会工作的系列指示精神以及民政部关于加快乡镇（街道）社工站建设、省关于</w:t>
      </w:r>
      <w:r>
        <w:rPr>
          <w:sz w:val="21"/>
          <w:color w:val="000000"/>
        </w:rPr>
        <w:t>“广东兜底民生服务社会工作双百工程”（以下简称“双百工程”）部署要求，确保镇（街）社工站100%覆盖、困难群众和特殊群体社会工作服务100%覆盖，根据广州市民政局关于印发《广州市社工服务站管理办法》有关配套文件的通知（穗民〔2023〕97号）、《广州市人民政府办公厅关于印发广州市社工服务站管理办法的通知》（穗府办〔2023〕7号）、《广州市社工站购买服务项目服务清单（民政领域社会工作）》等文件的通知（穗民发〔2025〕16号）,以下简称《办法》）等有关文件规定，镇街办事处通过购买服务形式委托第三方社工服务机构承接运营社工站购买服务项目，对社工站专业社工服务力量予以补充，综合运用社会工作服务专业知识、方法和技能，为困难群众和特殊群体等提供兜底民生服务以及参与社区治理服务的平台。项目接受市、区民政部门的监督指导。</w:t>
      </w:r>
    </w:p>
    <w:p>
      <w:pPr>
        <w:pStyle w:val="null3"/>
      </w:pPr>
      <w:r>
        <w:rPr>
          <w:sz w:val="24"/>
          <w:b/>
          <w:color w:val="000000"/>
        </w:rPr>
        <w:t>二、正果镇基本情况</w:t>
      </w:r>
    </w:p>
    <w:p>
      <w:pPr>
        <w:pStyle w:val="null3"/>
        <w:ind w:firstLine="408"/>
      </w:pPr>
      <w:r>
        <w:rPr>
          <w:sz w:val="21"/>
          <w:color w:val="000000"/>
        </w:rPr>
        <w:t>正果镇位于增城区东北</w:t>
      </w:r>
      <w:r>
        <w:rPr>
          <w:sz w:val="21"/>
          <w:color w:val="000000"/>
        </w:rPr>
        <w:t>16公里，东北与龙门县交界，西接小楼、派潭镇，南邻增江，东南依博罗县罗浮山麓，总面积239.4平方公里。目前，全镇总户籍人口约6.5万人。镇辖31条行政村和1个居委会，其中畲族村是广州市唯一的少数民族聚居村。</w:t>
      </w:r>
    </w:p>
    <w:p>
      <w:pPr>
        <w:pStyle w:val="null3"/>
        <w:ind w:firstLine="408"/>
      </w:pPr>
      <w:r>
        <w:rPr>
          <w:sz w:val="21"/>
          <w:color w:val="000000"/>
        </w:rPr>
        <w:t>正果镇西片区辖括：畲族、兰溪、水口、亮星、银场、水围、和平、大冚、到蔚、中西、东汾、麦村、黄塘、圭湖、石溪、池田，共计</w:t>
      </w:r>
      <w:r>
        <w:rPr>
          <w:sz w:val="21"/>
          <w:color w:val="000000"/>
        </w:rPr>
        <w:t>16条行政村，户籍人口约3.5万人，面积约95平方公里。</w:t>
      </w:r>
    </w:p>
    <w:p>
      <w:pPr>
        <w:pStyle w:val="null3"/>
        <w:jc w:val="both"/>
      </w:pPr>
      <w:r>
        <w:rPr>
          <w:sz w:val="24"/>
          <w:b/>
        </w:rPr>
        <w:t>三、项目说明：</w:t>
      </w:r>
    </w:p>
    <w:p>
      <w:pPr>
        <w:pStyle w:val="null3"/>
        <w:jc w:val="both"/>
      </w:pPr>
      <w:r>
        <w:rPr>
          <w:sz w:val="21"/>
        </w:rPr>
        <w:t>（一）响应供应商须对本项目的采购标的进行整体响应，任何只对本项目采购标的其中一部分内容、数量进行的响应都被视为无效响应。</w:t>
      </w:r>
    </w:p>
    <w:p>
      <w:pPr>
        <w:pStyle w:val="null3"/>
        <w:jc w:val="both"/>
      </w:pPr>
      <w:r>
        <w:rPr>
          <w:sz w:val="21"/>
        </w:rPr>
        <w:t>（二）本项目采购的</w:t>
      </w:r>
      <w:r>
        <w:rPr>
          <w:sz w:val="21"/>
        </w:rPr>
        <w:t>“正果镇社工服务站（西片区）服务项目”对应的中小微企业划分标准所属行业为：其他未列明行业。</w:t>
      </w:r>
    </w:p>
    <w:p>
      <w:pPr>
        <w:pStyle w:val="null3"/>
        <w:jc w:val="both"/>
      </w:pPr>
      <w:r>
        <w:rPr>
          <w:sz w:val="21"/>
        </w:rPr>
        <w:t>（三）本项目价格分采用响应服务工时计算，满足磋商文件要求且计划投入本项目的年度服务工时数最多的为评审基准工时，其价格分为满分。其他响应供应商的工时分统一按照下列公式计算：响应服务工时得分</w:t>
      </w:r>
      <w:r>
        <w:rPr>
          <w:sz w:val="21"/>
        </w:rPr>
        <w:t>=（响应供应商计划投入本项目的年度服务总工时量／基准工时量）×价格权重。</w:t>
      </w:r>
    </w:p>
    <w:p>
      <w:pPr>
        <w:pStyle w:val="null3"/>
        <w:jc w:val="both"/>
      </w:pPr>
      <w:r>
        <w:rPr>
          <w:sz w:val="24"/>
          <w:b/>
        </w:rPr>
        <w:t>四、项目内容概览</w:t>
      </w:r>
    </w:p>
    <w:tbl>
      <w:tblPr>
        <w:tblW w:w="0" w:type="auto"/>
        <w:tblBorders>
          <w:top w:val="none" w:color="000000" w:sz="4"/>
          <w:left w:val="none" w:color="000000" w:sz="4"/>
          <w:bottom w:val="none" w:color="000000" w:sz="4"/>
          <w:right w:val="none" w:color="000000" w:sz="4"/>
          <w:insideH w:val="none"/>
          <w:insideV w:val="none"/>
        </w:tblBorders>
      </w:tblPr>
      <w:tblGrid>
        <w:gridCol w:w="1251"/>
        <w:gridCol w:w="2080"/>
        <w:gridCol w:w="1221"/>
        <w:gridCol w:w="1839"/>
        <w:gridCol w:w="1914"/>
      </w:tblGrid>
      <w:tr>
        <w:tc>
          <w:tcPr>
            <w:tcW w:type="dxa" w:w="12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项目名称</w:t>
            </w:r>
          </w:p>
        </w:tc>
        <w:tc>
          <w:tcPr>
            <w:tcW w:type="dxa" w:w="20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服务时间</w:t>
            </w:r>
          </w:p>
        </w:tc>
        <w:tc>
          <w:tcPr>
            <w:tcW w:type="dxa" w:w="122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采购预算</w:t>
            </w:r>
          </w:p>
        </w:tc>
        <w:tc>
          <w:tcPr>
            <w:tcW w:type="dxa" w:w="18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最低服务工时量</w:t>
            </w:r>
          </w:p>
        </w:tc>
        <w:tc>
          <w:tcPr>
            <w:tcW w:type="dxa" w:w="191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最高服务工时量</w:t>
            </w:r>
          </w:p>
        </w:tc>
      </w:tr>
      <w:tr>
        <w:tc>
          <w:tcPr>
            <w:tcW w:type="dxa" w:w="12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正果镇社工服务站（西片区）服务项目</w:t>
            </w:r>
          </w:p>
        </w:tc>
        <w:tc>
          <w:tcPr>
            <w:tcW w:type="dxa" w:w="20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自合同签订之日起一年；关于项目的服务时间和购买服务经费标准，如另有新的文件规定的，则按最新规定执行。</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人民币</w:t>
            </w:r>
            <w:r>
              <w:rPr>
                <w:sz w:val="21"/>
              </w:rPr>
              <w:t>166.86万元/年</w:t>
            </w:r>
          </w:p>
        </w:tc>
        <w:tc>
          <w:tcPr>
            <w:tcW w:type="dxa" w:w="18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一年工时：</w:t>
            </w:r>
            <w:r>
              <w:rPr>
                <w:sz w:val="21"/>
              </w:rPr>
              <w:t>23648</w:t>
            </w:r>
            <w:r>
              <w:rPr>
                <w:sz w:val="21"/>
              </w:rPr>
              <w:t>小时</w:t>
            </w:r>
          </w:p>
        </w:tc>
        <w:tc>
          <w:tcPr>
            <w:tcW w:type="dxa" w:w="19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一年工时：</w:t>
            </w:r>
            <w:r>
              <w:rPr>
                <w:sz w:val="21"/>
              </w:rPr>
              <w:t>26012.8</w:t>
            </w:r>
            <w:r>
              <w:rPr>
                <w:sz w:val="21"/>
              </w:rPr>
              <w:t>小时</w:t>
            </w:r>
          </w:p>
          <w:p>
            <w:pPr>
              <w:pStyle w:val="null3"/>
              <w:ind w:firstLine="420"/>
              <w:jc w:val="center"/>
            </w:pPr>
          </w:p>
        </w:tc>
      </w:tr>
    </w:tbl>
    <w:p>
      <w:pPr>
        <w:pStyle w:val="null3"/>
      </w:pPr>
      <w:r>
        <w:rPr>
          <w:sz w:val="21"/>
          <w:b/>
          <w:color w:val="000000"/>
        </w:rPr>
        <w:t>注</w:t>
      </w:r>
      <w:r>
        <w:rPr>
          <w:sz w:val="21"/>
          <w:b/>
          <w:color w:val="000000"/>
        </w:rPr>
        <w:t>:（1）.社工站购买服务项目每年定额投入166.86万元，要求项目团队</w:t>
      </w:r>
      <w:r>
        <w:rPr>
          <w:sz w:val="21"/>
          <w:b/>
          <w:color w:val="000000"/>
        </w:rPr>
        <w:t>至少</w:t>
      </w:r>
      <w:r>
        <w:rPr>
          <w:sz w:val="21"/>
          <w:b/>
          <w:color w:val="000000"/>
        </w:rPr>
        <w:t>配备</w:t>
      </w:r>
      <w:r>
        <w:rPr>
          <w:sz w:val="21"/>
          <w:b/>
          <w:color w:val="000000"/>
        </w:rPr>
        <w:t>1</w:t>
      </w:r>
      <w:r>
        <w:rPr>
          <w:sz w:val="21"/>
          <w:b/>
          <w:color w:val="000000"/>
        </w:rPr>
        <w:t>6</w:t>
      </w:r>
      <w:r>
        <w:rPr>
          <w:sz w:val="21"/>
          <w:b/>
          <w:color w:val="000000"/>
        </w:rPr>
        <w:t>名社工，按照《广州市社工站购买服务项目招标文件服务价格（工时）标准设定指引》，工时总量最高不得超过项目年度专业服务工时</w:t>
      </w:r>
      <w:r>
        <w:rPr>
          <w:sz w:val="21"/>
          <w:b/>
          <w:color w:val="000000"/>
        </w:rPr>
        <w:t>23648</w:t>
      </w:r>
      <w:r>
        <w:rPr>
          <w:sz w:val="21"/>
          <w:b/>
          <w:color w:val="000000"/>
        </w:rPr>
        <w:t>小时的</w:t>
      </w:r>
      <w:r>
        <w:rPr>
          <w:sz w:val="21"/>
          <w:b/>
          <w:color w:val="000000"/>
        </w:rPr>
        <w:t>110%，即</w:t>
      </w:r>
      <w:r>
        <w:rPr>
          <w:sz w:val="21"/>
          <w:b/>
          <w:color w:val="000000"/>
        </w:rPr>
        <w:t>26012.8</w:t>
      </w:r>
      <w:r>
        <w:rPr>
          <w:sz w:val="21"/>
          <w:b/>
          <w:color w:val="000000"/>
        </w:rPr>
        <w:t>小时；工时总量最低不得低于项目年度专业服务工时</w:t>
      </w:r>
      <w:r>
        <w:rPr>
          <w:sz w:val="21"/>
          <w:b/>
          <w:color w:val="000000"/>
        </w:rPr>
        <w:t>23648</w:t>
      </w:r>
      <w:r>
        <w:rPr>
          <w:sz w:val="21"/>
          <w:b/>
          <w:color w:val="000000"/>
        </w:rPr>
        <w:t>小时，否则视为无效响应。</w:t>
      </w:r>
    </w:p>
    <w:p>
      <w:pPr>
        <w:pStyle w:val="null3"/>
      </w:pPr>
      <w:r>
        <w:rPr>
          <w:sz w:val="21"/>
          <w:b/>
          <w:color w:val="000000"/>
        </w:rPr>
        <w:t>（2）.关于项目的服务时间和购买服务经费标准，如另有新的文件规定的，则按最新规定执行。</w:t>
      </w:r>
      <w:r>
        <w:br/>
      </w:r>
    </w:p>
    <w:p>
      <w:pPr>
        <w:pStyle w:val="null3"/>
      </w:pPr>
      <w:r>
        <w:rPr/>
        <w:t>采购包1（正果镇社工服务站（西片区）服务项目）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自合同签订之日起一年；关于项目的服务时间和购买服务经费标准，如另有新的文件规定的，则按最新规定执行。</w:t>
            </w:r>
          </w:p>
        </w:tc>
      </w:tr>
      <w:tr>
        <w:tc>
          <w:tcPr>
            <w:tcW w:type="dxa" w:w="4153"/>
          </w:tcPr>
          <w:p>
            <w:pPr>
              <w:pStyle w:val="null3"/>
            </w:pPr>
            <w:r>
              <w:rPr/>
              <w:t>标的提供的地点</w:t>
            </w:r>
          </w:p>
        </w:tc>
        <w:tc>
          <w:tcPr>
            <w:tcW w:type="dxa" w:w="4153"/>
          </w:tcPr>
          <w:p>
            <w:pPr>
              <w:pStyle w:val="null3"/>
            </w:pPr>
            <w:r>
              <w:rPr/>
              <w:t xml:space="preserve"> 广州市增城区正果镇辖西片区</w:t>
            </w:r>
          </w:p>
        </w:tc>
      </w:tr>
      <w:tr>
        <w:tc>
          <w:tcPr>
            <w:tcW w:type="dxa" w:w="4153"/>
          </w:tcPr>
          <w:p>
            <w:pPr>
              <w:pStyle w:val="null3"/>
            </w:pPr>
            <w:r>
              <w:rPr/>
              <w:t>付款方式</w:t>
            </w:r>
          </w:p>
        </w:tc>
        <w:tc>
          <w:tcPr>
            <w:tcW w:type="dxa" w:w="4153"/>
          </w:tcPr>
          <w:p>
            <w:pPr>
              <w:pStyle w:val="null3"/>
            </w:pPr>
            <w:r>
              <w:rPr/>
              <w:t>1期：支付比例100%,（一）经费总额：每年为人民币166.86万元（大写：壹佰陆拾陆万捌仟陆佰元整）。 （二）经费拨付：分三期拨付，第一期：在合同签订之日起30个工作日内申请拨付年度项目经费总额的55%即人民币91.773万元（大写：玖拾壹万柒仟柒佰叁拾元整）；第二期：年度中期评估为合格以上的，自经费拨付申请之日起30个工作日内拨付年度项目经费总额的40%即人民币66.744万元（大写：陆拾陆万柒仟肆佰肆拾元整）；第三期：年度末期评估为合格以上的，自经费拨付申请之日起30个工作日内拨付年度项目经费总额的5%即人民币8.343万元（大写：捌万叁仟肆佰叁拾元整）。 （三）拨付流程：1.第一期项目经费拨付：自合同签订之日起30个工作日内，成交供应商提供经费拨付申请材料（包括但不限于本项目合同复印件、经采购人确认的项目服务计划、等额发票以及经费拨付申请表等）给采购人审核通过后，由采购人负责提交所在区财政局申请经费拨付。 2.第二（三期）项目经费拨付：年度中期（末期）评估后，评估结果为合格以上的，成交供应商提供经费拨付申请材料（包括但不限于本项目合同复印件、中期（末期）评估报告复印件（盖机构公章）、等额发票以及经费拨付申请表等）给采购人审核通过后，由采购人负责提交所在区财政局申请经费拨付。 3.每期经费办理拨付申请在经费拨付申请材料收齐后30个工作日内完成，并及时将有关情况报给所在区民政局。 （四）成交供应应严格按照《广州市社工服务站管理办法》规定规范使用项目经费，人员费用应当不低于项目经费总额的80%，服务质量保障费用及承接机构管理费用应当不高于项目经费总额的20%，其中，承接机构管理费用应当不高于项目经费总额的10%。采购人及所在区民政局或其他有关主管部门有权委托第三方对乙方使用经费情况进行财务审计、财务评估等。 （五）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1期：（一）由区民政局根据市相关文件和要求，委托第三方对服务项目开展监督、检查、评估工作。评估包括中期评估、末期评估。评估由第三方评估机构、督导中心、镇政府、区民政局四方共同实施。 （二）评估分为专业服务评估和财务评估，专业服务评估是指对项目管理、服务开展过程、服务质量等进行评估，财务评估是指对项目经费使用及管理情况等进行评估。服务及财务评估结果“合格”及以上等级的，方可按照合同予以拨款。评估结果为“不合格”的，项目剩余经费不予拨付，采购人有权单方终止合同，成交供应商应当在采购人规定期限内退回多收的项目经费</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社会工作服务</w:t>
            </w:r>
          </w:p>
        </w:tc>
        <w:tc>
          <w:tcPr>
            <w:tcW w:type="dxa" w:w="933"/>
          </w:tcPr>
          <w:p>
            <w:pPr>
              <w:pStyle w:val="null3"/>
              <w:jc w:val="left"/>
            </w:pPr>
            <w:r>
              <w:rPr/>
              <w:t>正果镇社工服务站（西片区）服务项目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1,668,600.00</w:t>
            </w:r>
          </w:p>
        </w:tc>
        <w:tc>
          <w:tcPr>
            <w:tcW w:type="dxa" w:w="933"/>
          </w:tcPr>
          <w:p>
            <w:pPr>
              <w:pStyle w:val="null3"/>
              <w:jc w:val="right"/>
            </w:pPr>
            <w:r>
              <w:rPr/>
              <w:t>1,668,600.00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正果镇社工服务站（西片区）服务项目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报价要求：</w:t>
            </w:r>
          </w:p>
          <w:p>
            <w:pPr>
              <w:pStyle w:val="null3"/>
              <w:ind w:firstLine="420"/>
              <w:jc w:val="both"/>
            </w:pPr>
            <w:r>
              <w:rPr>
                <w:sz w:val="21"/>
              </w:rPr>
              <w:t>1.</w:t>
            </w:r>
            <w:r>
              <w:rPr>
                <w:sz w:val="21"/>
              </w:rPr>
              <w:t>本项目为固定总价项目（即人民币</w:t>
            </w:r>
            <w:r>
              <w:rPr>
                <w:sz w:val="21"/>
              </w:rPr>
              <w:t>1668600.00</w:t>
            </w:r>
            <w:r>
              <w:rPr>
                <w:sz w:val="21"/>
              </w:rPr>
              <w:t>元），响应供应商按照此固定总价在投标客户端中进行报价；本项目价格分按照下述填报的“每年计划投入的服务总工时量（单位：小时</w:t>
            </w:r>
            <w:r>
              <w:rPr>
                <w:sz w:val="21"/>
              </w:rPr>
              <w:t>/</w:t>
            </w:r>
            <w:r>
              <w:rPr>
                <w:sz w:val="21"/>
              </w:rPr>
              <w:t>年）”进行计算。</w:t>
            </w:r>
          </w:p>
          <w:p>
            <w:pPr>
              <w:pStyle w:val="null3"/>
              <w:ind w:firstLine="422"/>
              <w:jc w:val="both"/>
            </w:pPr>
            <w:r>
              <w:rPr>
                <w:sz w:val="21"/>
                <w:b/>
              </w:rPr>
              <w:t>2.</w:t>
            </w:r>
            <w:r>
              <w:rPr>
                <w:sz w:val="21"/>
                <w:b/>
              </w:rPr>
              <w:t>响应供应商应按照下列“</w:t>
            </w:r>
            <w:r>
              <w:rPr>
                <w:sz w:val="21"/>
                <w:b/>
              </w:rPr>
              <w:t>附表</w:t>
            </w:r>
            <w:r>
              <w:rPr>
                <w:sz w:val="21"/>
                <w:b/>
              </w:rPr>
              <w:t>1:</w:t>
            </w:r>
            <w:r>
              <w:rPr>
                <w:sz w:val="21"/>
                <w:b/>
              </w:rPr>
              <w:t>首次</w:t>
            </w:r>
            <w:r>
              <w:rPr>
                <w:sz w:val="21"/>
                <w:b/>
              </w:rPr>
              <w:t>服务工时量</w:t>
            </w:r>
            <w:r>
              <w:rPr>
                <w:sz w:val="21"/>
                <w:b/>
              </w:rPr>
              <w:t>报价</w:t>
            </w:r>
            <w:r>
              <w:rPr>
                <w:sz w:val="21"/>
                <w:b/>
              </w:rPr>
              <w:t>一览表</w:t>
            </w:r>
            <w:r>
              <w:rPr>
                <w:sz w:val="21"/>
                <w:b/>
              </w:rPr>
              <w:t>”进行服务工时填报并附在响应文件中。</w:t>
            </w:r>
          </w:p>
          <w:p>
            <w:pPr>
              <w:pStyle w:val="null3"/>
              <w:ind w:firstLine="420"/>
              <w:jc w:val="both"/>
            </w:pPr>
            <w:r>
              <w:rPr>
                <w:sz w:val="21"/>
              </w:rPr>
              <w:t>3.</w:t>
            </w:r>
            <w:r>
              <w:rPr>
                <w:sz w:val="21"/>
              </w:rPr>
              <w:t>“服务工时量一览表”中每年计划投入的服务总工时量不得低于本项目规定的每年最低服务工时量或不得超过本项目规定的每年最高服务工时量。</w:t>
            </w:r>
          </w:p>
          <w:p>
            <w:pPr>
              <w:pStyle w:val="null3"/>
              <w:jc w:val="center"/>
            </w:pPr>
            <w:r>
              <w:rPr>
                <w:sz w:val="21"/>
                <w:b/>
              </w:rPr>
              <w:t>附表</w:t>
            </w:r>
            <w:r>
              <w:rPr>
                <w:sz w:val="21"/>
                <w:b/>
              </w:rPr>
              <w:t>1:</w:t>
            </w:r>
            <w:r>
              <w:rPr>
                <w:sz w:val="21"/>
                <w:b/>
              </w:rPr>
              <w:t>首次</w:t>
            </w:r>
            <w:r>
              <w:rPr>
                <w:sz w:val="21"/>
                <w:b/>
              </w:rPr>
              <w:t>服务工时量</w:t>
            </w:r>
            <w:r>
              <w:rPr>
                <w:sz w:val="21"/>
                <w:b/>
              </w:rPr>
              <w:t>报价</w:t>
            </w:r>
            <w:r>
              <w:rPr>
                <w:sz w:val="21"/>
                <w:b/>
              </w:rPr>
              <w:t>一览表</w:t>
            </w:r>
          </w:p>
          <w:tbl>
            <w:tblPr>
              <w:tblBorders>
                <w:top w:val="none" w:color="000000" w:sz="4"/>
                <w:left w:val="none" w:color="000000" w:sz="4"/>
                <w:bottom w:val="none" w:color="000000" w:sz="4"/>
                <w:right w:val="none" w:color="000000" w:sz="4"/>
                <w:insideH w:val="none"/>
                <w:insideV w:val="none"/>
              </w:tblBorders>
            </w:tblPr>
            <w:tblGrid>
              <w:gridCol w:w="924"/>
              <w:gridCol w:w="964"/>
              <w:gridCol w:w="1730"/>
              <w:gridCol w:w="1980"/>
            </w:tblGrid>
            <w:tr>
              <w:tc>
                <w:tcPr>
                  <w:tcW w:type="dxa" w:w="924"/>
                  <w:tcBorders>
                    <w:top w:val="single" w:color="000000" w:sz="4"/>
                    <w:left w:val="single" w:color="000000" w:sz="4"/>
                    <w:bottom w:val="double" w:color="000000" w:sz="4"/>
                    <w:right w:val="single" w:color="000000" w:sz="4"/>
                  </w:tcBorders>
                  <w:shd w:fill="EEECE1"/>
                  <w:tcMar>
                    <w:top w:type="dxa" w:w="0"/>
                    <w:left w:type="dxa" w:w="105"/>
                    <w:bottom w:type="dxa" w:w="0"/>
                    <w:right w:type="dxa" w:w="105"/>
                  </w:tcMar>
                  <w:vAlign w:val="top"/>
                </w:tcPr>
                <w:p>
                  <w:pPr>
                    <w:pStyle w:val="null3"/>
                    <w:jc w:val="center"/>
                  </w:pPr>
                  <w:r>
                    <w:rPr>
                      <w:sz w:val="21"/>
                    </w:rPr>
                    <w:t>服务项目</w:t>
                  </w:r>
                </w:p>
              </w:tc>
              <w:tc>
                <w:tcPr>
                  <w:tcW w:type="dxa" w:w="964"/>
                  <w:tcBorders>
                    <w:top w:val="single" w:color="000000" w:sz="4"/>
                    <w:left w:val="none" w:color="000000" w:sz="4"/>
                    <w:bottom w:val="double" w:color="000000" w:sz="4"/>
                    <w:right w:val="single" w:color="000000" w:sz="4"/>
                  </w:tcBorders>
                  <w:shd w:fill="EEECE1"/>
                  <w:tcMar>
                    <w:top w:type="dxa" w:w="0"/>
                    <w:left w:type="dxa" w:w="105"/>
                    <w:bottom w:type="dxa" w:w="0"/>
                    <w:right w:type="dxa" w:w="105"/>
                  </w:tcMar>
                  <w:vAlign w:val="top"/>
                </w:tcPr>
                <w:p>
                  <w:pPr>
                    <w:pStyle w:val="null3"/>
                    <w:jc w:val="center"/>
                  </w:pPr>
                  <w:r>
                    <w:rPr>
                      <w:sz w:val="21"/>
                    </w:rPr>
                    <w:t>响应总价（元）</w:t>
                  </w:r>
                </w:p>
              </w:tc>
              <w:tc>
                <w:tcPr>
                  <w:tcW w:type="dxa" w:w="1730"/>
                  <w:tcBorders>
                    <w:top w:val="single" w:color="000000" w:sz="4"/>
                    <w:left w:val="none" w:color="000000" w:sz="4"/>
                    <w:bottom w:val="double" w:color="000000" w:sz="4"/>
                    <w:right w:val="single" w:color="000000" w:sz="4"/>
                  </w:tcBorders>
                  <w:shd w:fill="EEECE1"/>
                  <w:tcMar>
                    <w:top w:type="dxa" w:w="0"/>
                    <w:left w:type="dxa" w:w="105"/>
                    <w:bottom w:type="dxa" w:w="0"/>
                    <w:right w:type="dxa" w:w="105"/>
                  </w:tcMar>
                  <w:vAlign w:val="top"/>
                </w:tcPr>
                <w:p>
                  <w:pPr>
                    <w:pStyle w:val="null3"/>
                    <w:jc w:val="center"/>
                  </w:pPr>
                  <w:r>
                    <w:rPr>
                      <w:sz w:val="21"/>
                      <w:b/>
                    </w:rPr>
                    <w:t>首次</w:t>
                  </w:r>
                  <w:r>
                    <w:rPr>
                      <w:sz w:val="21"/>
                      <w:b/>
                    </w:rPr>
                    <w:t>计划投入的服务总工时量</w:t>
                  </w:r>
                </w:p>
                <w:p>
                  <w:pPr>
                    <w:pStyle w:val="null3"/>
                    <w:jc w:val="center"/>
                  </w:pPr>
                  <w:r>
                    <w:rPr>
                      <w:sz w:val="21"/>
                      <w:b/>
                    </w:rPr>
                    <w:t>（单位：小时</w:t>
                  </w:r>
                  <w:r>
                    <w:rPr>
                      <w:sz w:val="21"/>
                      <w:b/>
                    </w:rPr>
                    <w:t>/</w:t>
                  </w:r>
                  <w:r>
                    <w:rPr>
                      <w:sz w:val="21"/>
                      <w:b/>
                    </w:rPr>
                    <w:t>年）</w:t>
                  </w:r>
                </w:p>
              </w:tc>
              <w:tc>
                <w:tcPr>
                  <w:tcW w:type="dxa" w:w="1980"/>
                  <w:tcBorders>
                    <w:top w:val="single" w:color="000000" w:sz="4"/>
                    <w:left w:val="none" w:color="000000" w:sz="4"/>
                    <w:bottom w:val="double" w:color="000000" w:sz="4"/>
                    <w:right w:val="single" w:color="000000" w:sz="4"/>
                  </w:tcBorders>
                  <w:shd w:fill="EEECE1"/>
                  <w:tcMar>
                    <w:top w:type="dxa" w:w="0"/>
                    <w:left w:type="dxa" w:w="105"/>
                    <w:bottom w:type="dxa" w:w="0"/>
                    <w:right w:type="dxa" w:w="105"/>
                  </w:tcMar>
                  <w:vAlign w:val="top"/>
                </w:tcPr>
                <w:p>
                  <w:pPr>
                    <w:pStyle w:val="null3"/>
                    <w:jc w:val="center"/>
                  </w:pPr>
                  <w:r>
                    <w:rPr>
                      <w:sz w:val="21"/>
                    </w:rPr>
                    <w:t>服务时间</w:t>
                  </w:r>
                </w:p>
              </w:tc>
            </w:tr>
            <w:tr>
              <w:tc>
                <w:tcPr>
                  <w:tcW w:type="dxa" w:w="9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正果镇社工服务站（西片区）服务项目</w:t>
                  </w:r>
                </w:p>
              </w:tc>
              <w:tc>
                <w:tcPr>
                  <w:tcW w:type="dxa" w:w="9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1668600.00</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小写：</w:t>
                  </w:r>
                  <w:r>
                    <w:rPr>
                      <w:sz w:val="19"/>
                      <w:u w:val="single"/>
                    </w:rPr>
                    <w:t xml:space="preserve">             </w:t>
                  </w:r>
                  <w:r>
                    <w:rPr>
                      <w:sz w:val="21"/>
                    </w:rPr>
                    <w:t>小时</w:t>
                  </w:r>
                  <w:r>
                    <w:rPr>
                      <w:sz w:val="21"/>
                    </w:rPr>
                    <w:t>/</w:t>
                  </w:r>
                  <w:r>
                    <w:rPr>
                      <w:sz w:val="21"/>
                    </w:rPr>
                    <w:t>年</w:t>
                  </w:r>
                </w:p>
              </w:tc>
              <w:tc>
                <w:tcPr>
                  <w:tcW w:type="dxa" w:w="19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自合同签订之日起一年</w:t>
                  </w:r>
                  <w:r>
                    <w:rPr>
                      <w:sz w:val="21"/>
                    </w:rPr>
                    <w:t>；关于项目的服务时间和购买服务经费标准，如另有新的文件规定的，则按最新规定执行。</w:t>
                  </w:r>
                </w:p>
              </w:tc>
            </w:tr>
          </w:tbl>
          <w:p>
            <w:pPr>
              <w:pStyle w:val="null3"/>
              <w:jc w:val="center"/>
            </w:pPr>
            <w:r>
              <w:rPr>
                <w:sz w:val="21"/>
                <w:color w:val="000000"/>
              </w:rPr>
              <w:t>附件</w:t>
            </w:r>
            <w:r>
              <w:rPr>
                <w:sz w:val="21"/>
                <w:color w:val="000000"/>
              </w:rPr>
              <w:t>2:</w:t>
            </w:r>
            <w:r>
              <w:rPr>
                <w:sz w:val="21"/>
                <w:color w:val="000000"/>
              </w:rPr>
              <w:t>最终</w:t>
            </w:r>
            <w:r>
              <w:rPr>
                <w:sz w:val="21"/>
                <w:b/>
                <w:color w:val="000000"/>
              </w:rPr>
              <w:t>服务工时量</w:t>
            </w:r>
            <w:r>
              <w:rPr>
                <w:sz w:val="21"/>
                <w:b/>
                <w:color w:val="000000"/>
              </w:rPr>
              <w:t>报价表</w:t>
            </w:r>
          </w:p>
          <w:tbl>
            <w:tblPr>
              <w:tblBorders>
                <w:top w:val="none" w:color="000000" w:sz="4"/>
                <w:left w:val="none" w:color="000000" w:sz="4"/>
                <w:bottom w:val="none" w:color="000000" w:sz="4"/>
                <w:right w:val="none" w:color="000000" w:sz="4"/>
                <w:insideH w:val="none"/>
                <w:insideV w:val="none"/>
              </w:tblBorders>
            </w:tblPr>
            <w:tblGrid>
              <w:gridCol w:w="924"/>
              <w:gridCol w:w="964"/>
              <w:gridCol w:w="1730"/>
              <w:gridCol w:w="1980"/>
            </w:tblGrid>
            <w:tr>
              <w:tc>
                <w:tcPr>
                  <w:tcW w:type="dxa" w:w="924"/>
                  <w:tcBorders>
                    <w:top w:val="single" w:color="000000" w:sz="4"/>
                    <w:left w:val="single" w:color="000000" w:sz="4"/>
                    <w:bottom w:val="double" w:color="000000" w:sz="4"/>
                    <w:right w:val="single" w:color="000000" w:sz="4"/>
                  </w:tcBorders>
                  <w:shd w:fill="EEECE1"/>
                  <w:tcMar>
                    <w:top w:type="dxa" w:w="0"/>
                    <w:left w:type="dxa" w:w="105"/>
                    <w:bottom w:type="dxa" w:w="0"/>
                    <w:right w:type="dxa" w:w="105"/>
                  </w:tcMar>
                  <w:vAlign w:val="top"/>
                </w:tcPr>
                <w:p>
                  <w:pPr>
                    <w:pStyle w:val="null3"/>
                    <w:jc w:val="center"/>
                  </w:pPr>
                  <w:r>
                    <w:rPr>
                      <w:sz w:val="21"/>
                    </w:rPr>
                    <w:t>服务项目</w:t>
                  </w:r>
                </w:p>
              </w:tc>
              <w:tc>
                <w:tcPr>
                  <w:tcW w:type="dxa" w:w="964"/>
                  <w:tcBorders>
                    <w:top w:val="single" w:color="000000" w:sz="4"/>
                    <w:left w:val="none" w:color="000000" w:sz="4"/>
                    <w:bottom w:val="double" w:color="000000" w:sz="4"/>
                    <w:right w:val="single" w:color="000000" w:sz="4"/>
                  </w:tcBorders>
                  <w:shd w:fill="EEECE1"/>
                  <w:tcMar>
                    <w:top w:type="dxa" w:w="0"/>
                    <w:left w:type="dxa" w:w="105"/>
                    <w:bottom w:type="dxa" w:w="0"/>
                    <w:right w:type="dxa" w:w="105"/>
                  </w:tcMar>
                  <w:vAlign w:val="top"/>
                </w:tcPr>
                <w:p>
                  <w:pPr>
                    <w:pStyle w:val="null3"/>
                    <w:jc w:val="center"/>
                  </w:pPr>
                  <w:r>
                    <w:rPr>
                      <w:sz w:val="21"/>
                    </w:rPr>
                    <w:t>响应总价（元）</w:t>
                  </w:r>
                </w:p>
              </w:tc>
              <w:tc>
                <w:tcPr>
                  <w:tcW w:type="dxa" w:w="1730"/>
                  <w:tcBorders>
                    <w:top w:val="single" w:color="000000" w:sz="4"/>
                    <w:left w:val="none" w:color="000000" w:sz="4"/>
                    <w:bottom w:val="double" w:color="000000" w:sz="4"/>
                    <w:right w:val="single" w:color="000000" w:sz="4"/>
                  </w:tcBorders>
                  <w:shd w:fill="EEECE1"/>
                  <w:tcMar>
                    <w:top w:type="dxa" w:w="0"/>
                    <w:left w:type="dxa" w:w="105"/>
                    <w:bottom w:type="dxa" w:w="0"/>
                    <w:right w:type="dxa" w:w="105"/>
                  </w:tcMar>
                  <w:vAlign w:val="top"/>
                </w:tcPr>
                <w:p>
                  <w:pPr>
                    <w:pStyle w:val="null3"/>
                    <w:jc w:val="center"/>
                  </w:pPr>
                  <w:r>
                    <w:rPr>
                      <w:sz w:val="21"/>
                      <w:b/>
                    </w:rPr>
                    <w:t>最终</w:t>
                  </w:r>
                  <w:r>
                    <w:rPr>
                      <w:sz w:val="21"/>
                      <w:b/>
                    </w:rPr>
                    <w:t>计划投入的服务总工时量</w:t>
                  </w:r>
                </w:p>
                <w:p>
                  <w:pPr>
                    <w:pStyle w:val="null3"/>
                    <w:jc w:val="center"/>
                  </w:pPr>
                  <w:r>
                    <w:rPr>
                      <w:sz w:val="21"/>
                      <w:b/>
                    </w:rPr>
                    <w:t>（单位：小时</w:t>
                  </w:r>
                  <w:r>
                    <w:rPr>
                      <w:sz w:val="21"/>
                      <w:b/>
                    </w:rPr>
                    <w:t>/</w:t>
                  </w:r>
                  <w:r>
                    <w:rPr>
                      <w:sz w:val="21"/>
                      <w:b/>
                    </w:rPr>
                    <w:t>年）</w:t>
                  </w:r>
                </w:p>
              </w:tc>
              <w:tc>
                <w:tcPr>
                  <w:tcW w:type="dxa" w:w="1980"/>
                  <w:tcBorders>
                    <w:top w:val="single" w:color="000000" w:sz="4"/>
                    <w:left w:val="none" w:color="000000" w:sz="4"/>
                    <w:bottom w:val="double" w:color="000000" w:sz="4"/>
                    <w:right w:val="single" w:color="000000" w:sz="4"/>
                  </w:tcBorders>
                  <w:shd w:fill="EEECE1"/>
                  <w:tcMar>
                    <w:top w:type="dxa" w:w="0"/>
                    <w:left w:type="dxa" w:w="105"/>
                    <w:bottom w:type="dxa" w:w="0"/>
                    <w:right w:type="dxa" w:w="105"/>
                  </w:tcMar>
                  <w:vAlign w:val="top"/>
                </w:tcPr>
                <w:p>
                  <w:pPr>
                    <w:pStyle w:val="null3"/>
                    <w:jc w:val="center"/>
                  </w:pPr>
                  <w:r>
                    <w:rPr>
                      <w:sz w:val="21"/>
                    </w:rPr>
                    <w:t>服务时间</w:t>
                  </w:r>
                </w:p>
              </w:tc>
            </w:tr>
            <w:tr>
              <w:tc>
                <w:tcPr>
                  <w:tcW w:type="dxa" w:w="9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正果镇社工服务站（西片区）服务项目</w:t>
                  </w:r>
                </w:p>
              </w:tc>
              <w:tc>
                <w:tcPr>
                  <w:tcW w:type="dxa" w:w="9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1668600.00</w:t>
                  </w:r>
                </w:p>
              </w:tc>
              <w:tc>
                <w:tcPr>
                  <w:tcW w:type="dxa" w:w="1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小写：</w:t>
                  </w:r>
                  <w:r>
                    <w:rPr>
                      <w:sz w:val="19"/>
                      <w:u w:val="single"/>
                    </w:rPr>
                    <w:t xml:space="preserve">             </w:t>
                  </w:r>
                  <w:r>
                    <w:rPr>
                      <w:sz w:val="21"/>
                    </w:rPr>
                    <w:t>小时</w:t>
                  </w:r>
                  <w:r>
                    <w:rPr>
                      <w:sz w:val="21"/>
                    </w:rPr>
                    <w:t>/</w:t>
                  </w:r>
                  <w:r>
                    <w:rPr>
                      <w:sz w:val="21"/>
                    </w:rPr>
                    <w:t>年</w:t>
                  </w:r>
                </w:p>
              </w:tc>
              <w:tc>
                <w:tcPr>
                  <w:tcW w:type="dxa" w:w="19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自合同签订之日起一年</w:t>
                  </w:r>
                  <w:r>
                    <w:rPr>
                      <w:sz w:val="21"/>
                    </w:rPr>
                    <w:t>；关于项目的服务时间和购买服务经费标准，如另有新的文件规定的，则按最新规定执行。</w:t>
                  </w:r>
                </w:p>
              </w:tc>
            </w:tr>
          </w:tbl>
          <w:p>
            <w:pPr>
              <w:pStyle w:val="null3"/>
              <w:numPr>
                <w:ilvl w:val="0"/>
                <w:numId w:val="1"/>
              </w:numPr>
            </w:pPr>
            <w:r>
              <w:rPr>
                <w:sz w:val="21"/>
                <w:color w:val="000000"/>
              </w:rPr>
              <w:t>供应商在磋商环节应按照</w:t>
            </w:r>
            <w:r>
              <w:rPr>
                <w:sz w:val="21"/>
                <w:color w:val="000000"/>
              </w:rPr>
              <w:t>“附件</w:t>
            </w:r>
            <w:r>
              <w:rPr>
                <w:sz w:val="21"/>
                <w:color w:val="000000"/>
              </w:rPr>
              <w:t>2:</w:t>
            </w:r>
            <w:r>
              <w:rPr>
                <w:sz w:val="21"/>
                <w:color w:val="000000"/>
              </w:rPr>
              <w:t>最终服务工时报价表”进行服务工时填报，并附在第二次磋商报价的承诺部分。</w:t>
            </w:r>
          </w:p>
        </w:tc>
      </w:tr>
      <w:tr>
        <w:tc>
          <w:tcPr>
            <w:tcW w:type="dxa" w:w="2076"/>
          </w:tcPr>
          <w:p/>
        </w:tc>
        <w:tc>
          <w:tcPr>
            <w:tcW w:type="dxa" w:w="415"/>
          </w:tcPr>
          <w:p>
            <w:pPr>
              <w:pStyle w:val="null3"/>
            </w:pPr>
            <w:r>
              <w:rPr/>
              <w:t>2</w:t>
            </w:r>
          </w:p>
        </w:tc>
        <w:tc>
          <w:tcPr>
            <w:tcW w:type="dxa" w:w="5814"/>
          </w:tcPr>
          <w:p>
            <w:pPr>
              <w:pStyle w:val="null3"/>
              <w:jc w:val="both"/>
            </w:pPr>
            <w:r>
              <w:rPr>
                <w:sz w:val="21"/>
                <w:b/>
              </w:rPr>
              <w:t>二</w:t>
            </w:r>
            <w:r>
              <w:rPr>
                <w:sz w:val="21"/>
                <w:b/>
              </w:rPr>
              <w:t>、项目服务规划目标及基本要求</w:t>
            </w:r>
          </w:p>
          <w:p>
            <w:pPr>
              <w:pStyle w:val="null3"/>
              <w:ind w:firstLine="420"/>
              <w:jc w:val="both"/>
            </w:pPr>
            <w:r>
              <w:rPr>
                <w:sz w:val="21"/>
              </w:rPr>
              <w:t>（一）服务范围</w:t>
            </w:r>
          </w:p>
          <w:p>
            <w:pPr>
              <w:pStyle w:val="null3"/>
              <w:ind w:firstLine="420"/>
              <w:jc w:val="both"/>
            </w:pPr>
            <w:r>
              <w:rPr>
                <w:sz w:val="21"/>
              </w:rPr>
              <w:t>广州市增城区正果镇（西片区）辖区范围内的</w:t>
            </w:r>
            <w:r>
              <w:rPr>
                <w:sz w:val="21"/>
              </w:rPr>
              <w:t>16</w:t>
            </w:r>
            <w:r>
              <w:rPr>
                <w:sz w:val="21"/>
              </w:rPr>
              <w:t>个</w:t>
            </w:r>
            <w:r>
              <w:rPr>
                <w:sz w:val="21"/>
              </w:rPr>
              <w:t>行政村</w:t>
            </w:r>
            <w:r>
              <w:rPr>
                <w:sz w:val="21"/>
              </w:rPr>
              <w:t>，分别是圭湖村、黄塘村、池田村、到蔚村、石溪村、东汾村、中西村、麦村村、大冚村、和平村、亮星村、银场村、水口村、水围村、兰溪村、畲族村。</w:t>
            </w:r>
          </w:p>
          <w:p>
            <w:pPr>
              <w:pStyle w:val="null3"/>
              <w:ind w:firstLine="420"/>
              <w:jc w:val="both"/>
            </w:pPr>
            <w:r>
              <w:rPr>
                <w:sz w:val="21"/>
              </w:rPr>
              <w:t>（二）服务对象</w:t>
            </w:r>
          </w:p>
          <w:p>
            <w:pPr>
              <w:pStyle w:val="null3"/>
              <w:ind w:firstLine="420"/>
              <w:jc w:val="both"/>
            </w:pPr>
            <w:r>
              <w:rPr>
                <w:sz w:val="21"/>
              </w:rPr>
              <w:t>正果镇（西片区）辖区内</w:t>
            </w:r>
            <w:r>
              <w:rPr>
                <w:sz w:val="21"/>
              </w:rPr>
              <w:t>16</w:t>
            </w:r>
            <w:r>
              <w:rPr>
                <w:sz w:val="21"/>
              </w:rPr>
              <w:t>个</w:t>
            </w:r>
            <w:r>
              <w:rPr>
                <w:sz w:val="21"/>
              </w:rPr>
              <w:t>行政村</w:t>
            </w:r>
            <w:r>
              <w:rPr>
                <w:sz w:val="21"/>
              </w:rPr>
              <w:t>的困难群众和特殊群体，具体包括低保对象、特困人员、低保边缘家庭（低收入困难家庭）成员、支出型困难家庭成员、残疾人、流浪乞讨人员、农村留守儿童、困境儿童（含孤儿、事实无人抚养儿童等）、单身特困母亲、农村留守妇女以及孤寡、空巢、独居、留守、失能、重残、计划生育特殊家庭等特殊困难老年人。</w:t>
            </w:r>
          </w:p>
          <w:p>
            <w:pPr>
              <w:pStyle w:val="null3"/>
              <w:ind w:firstLine="420"/>
              <w:jc w:val="both"/>
            </w:pPr>
            <w:r>
              <w:rPr>
                <w:sz w:val="21"/>
              </w:rPr>
              <w:t>（三）服务目标</w:t>
            </w:r>
          </w:p>
          <w:p>
            <w:pPr>
              <w:pStyle w:val="null3"/>
              <w:ind w:firstLine="420"/>
              <w:jc w:val="both"/>
            </w:pPr>
            <w:r>
              <w:rPr>
                <w:sz w:val="21"/>
              </w:rPr>
              <w:t>1.</w:t>
            </w:r>
            <w:r>
              <w:rPr>
                <w:sz w:val="21"/>
              </w:rPr>
              <w:t>项目总体规划目标：主要以社会工作服务为主体，综合运用社会工作服务专业知识、方法和技能，为困难群众和特殊群体等提供兜底民生服务以及参与社区治理服务的平台，实现困难群众和特殊群体社会工作服务</w:t>
            </w:r>
            <w:r>
              <w:rPr>
                <w:sz w:val="21"/>
              </w:rPr>
              <w:t>100%</w:t>
            </w:r>
            <w:r>
              <w:rPr>
                <w:sz w:val="21"/>
              </w:rPr>
              <w:t>覆盖。</w:t>
            </w:r>
          </w:p>
          <w:p>
            <w:pPr>
              <w:pStyle w:val="null3"/>
              <w:ind w:firstLine="420"/>
              <w:jc w:val="both"/>
            </w:pPr>
            <w:r>
              <w:rPr>
                <w:sz w:val="21"/>
              </w:rPr>
              <w:t>2.</w:t>
            </w:r>
            <w:r>
              <w:rPr>
                <w:sz w:val="21"/>
              </w:rPr>
              <w:t>项目年度阶段性服务目标：</w:t>
            </w:r>
          </w:p>
          <w:p>
            <w:pPr>
              <w:pStyle w:val="null3"/>
              <w:ind w:firstLine="420"/>
              <w:jc w:val="both"/>
            </w:pPr>
            <w:r>
              <w:rPr>
                <w:sz w:val="21"/>
              </w:rPr>
              <w:t>（</w:t>
            </w:r>
            <w:r>
              <w:rPr>
                <w:sz w:val="21"/>
              </w:rPr>
              <w:t>1</w:t>
            </w:r>
            <w:r>
              <w:rPr>
                <w:sz w:val="21"/>
              </w:rPr>
              <w:t>）坚持党建引领，围绕正果镇的特点及工作重点，发挥社工专业性，关注社区困难群众和特殊群体需求，提供兜底性社会服务，促使其能力得到提升，引导其参与社区建设；</w:t>
            </w:r>
          </w:p>
          <w:p>
            <w:pPr>
              <w:pStyle w:val="null3"/>
              <w:ind w:firstLine="420"/>
              <w:jc w:val="both"/>
            </w:pPr>
            <w:r>
              <w:rPr>
                <w:sz w:val="21"/>
              </w:rPr>
              <w:t>（</w:t>
            </w:r>
            <w:r>
              <w:rPr>
                <w:sz w:val="21"/>
              </w:rPr>
              <w:t>2</w:t>
            </w:r>
            <w:r>
              <w:rPr>
                <w:sz w:val="21"/>
              </w:rPr>
              <w:t>）立足正果本土特色，建立健全“五社联动”机制，重视和加大社区培育工作，促进社区多元主体参与社区困境群体帮扶</w:t>
            </w:r>
            <w:r>
              <w:rPr>
                <w:sz w:val="21"/>
              </w:rPr>
              <w:t>及社区事务</w:t>
            </w:r>
            <w:r>
              <w:rPr>
                <w:sz w:val="21"/>
              </w:rPr>
              <w:t>，全面激发社区活力，形成镇街服务品牌亮点。</w:t>
            </w:r>
          </w:p>
          <w:p>
            <w:pPr>
              <w:pStyle w:val="null3"/>
              <w:ind w:firstLine="420"/>
              <w:jc w:val="both"/>
            </w:pPr>
            <w:r>
              <w:rPr>
                <w:sz w:val="21"/>
              </w:rPr>
              <w:t>（四）服务内容</w:t>
            </w:r>
          </w:p>
          <w:p>
            <w:pPr>
              <w:pStyle w:val="null3"/>
              <w:ind w:firstLine="420"/>
              <w:jc w:val="both"/>
            </w:pPr>
            <w:r>
              <w:rPr>
                <w:sz w:val="21"/>
              </w:rPr>
              <w:t>社工站项目围绕兜底性、基础性、普惠性三大板块民生服务开展，从政策、物质、心理、关系、危机、发展等方面提供服务，具体包括政策帮扶、政策咨询、心理疏导、情绪支持、危机介入、物资帮扶、社会支持、就业支持、资源链接、关系调适、能力提升、社会融入、综合服务等</w:t>
            </w:r>
            <w:r>
              <w:rPr>
                <w:sz w:val="21"/>
              </w:rPr>
              <w:t>13</w:t>
            </w:r>
            <w:r>
              <w:rPr>
                <w:sz w:val="21"/>
              </w:rPr>
              <w:t>类服务类型。</w:t>
            </w:r>
          </w:p>
          <w:p>
            <w:pPr>
              <w:pStyle w:val="null3"/>
              <w:ind w:firstLine="420"/>
              <w:jc w:val="both"/>
            </w:pPr>
            <w:r>
              <w:rPr>
                <w:sz w:val="21"/>
                <w:b/>
              </w:rPr>
              <w:t>1.</w:t>
            </w:r>
            <w:r>
              <w:rPr>
                <w:sz w:val="21"/>
                <w:b/>
              </w:rPr>
              <w:t>兜底性民生服务</w:t>
            </w:r>
          </w:p>
          <w:p>
            <w:pPr>
              <w:pStyle w:val="null3"/>
              <w:ind w:firstLine="420"/>
              <w:jc w:val="both"/>
            </w:pPr>
            <w:r>
              <w:rPr>
                <w:sz w:val="21"/>
              </w:rPr>
              <w:t>社工站项目兜底性民生服务强调民生兜底保障责任，聚焦困难群众和特殊群体，强化底线思维，突出问题导向，分类精准服务，协助政府切实兜住、兜准、兜牢民生底线，坚决维护社会大局和谐稳定。</w:t>
            </w:r>
          </w:p>
          <w:p>
            <w:pPr>
              <w:pStyle w:val="null3"/>
              <w:ind w:firstLine="420"/>
              <w:jc w:val="both"/>
            </w:pPr>
            <w:r>
              <w:rPr>
                <w:sz w:val="21"/>
              </w:rPr>
              <w:t>（</w:t>
            </w:r>
            <w:r>
              <w:rPr>
                <w:sz w:val="21"/>
              </w:rPr>
              <w:t>1</w:t>
            </w:r>
            <w:r>
              <w:rPr>
                <w:sz w:val="21"/>
              </w:rPr>
              <w:t>）</w:t>
            </w:r>
            <w:r>
              <w:rPr>
                <w:sz w:val="21"/>
              </w:rPr>
              <w:t>服务内容</w:t>
            </w:r>
          </w:p>
          <w:p>
            <w:pPr>
              <w:pStyle w:val="null3"/>
              <w:ind w:firstLine="420"/>
              <w:jc w:val="both"/>
            </w:pPr>
            <w:r>
              <w:rPr>
                <w:sz w:val="21"/>
              </w:rPr>
              <w:t>①全面摸查底数及现状。社工站项目要联动直聘社工和购买服务项目社工，深入村（居），每个村（居）社会工作服务点（片）每年开展兜底民生政策宣传不少于</w:t>
            </w:r>
            <w:r>
              <w:rPr>
                <w:sz w:val="21"/>
              </w:rPr>
              <w:t>6</w:t>
            </w:r>
            <w:r>
              <w:rPr>
                <w:sz w:val="21"/>
              </w:rPr>
              <w:t>次，每名社工每月走访不少于</w:t>
            </w:r>
            <w:r>
              <w:rPr>
                <w:sz w:val="21"/>
              </w:rPr>
              <w:t>15</w:t>
            </w:r>
            <w:r>
              <w:rPr>
                <w:sz w:val="21"/>
              </w:rPr>
              <w:t>户，实现村（居）社会工作服务点服务范围内困难群众和特殊群体的入户率</w:t>
            </w:r>
            <w:r>
              <w:rPr>
                <w:sz w:val="21"/>
              </w:rPr>
              <w:t>100%</w:t>
            </w:r>
            <w:r>
              <w:rPr>
                <w:sz w:val="21"/>
              </w:rPr>
              <w:t>。结合穗救易系统困难群众和特殊群体名单、“红棉守护”热线求助名单以及其他转介等方式识别出来的服务对象，全面摸清</w:t>
            </w:r>
            <w:r>
              <w:rPr>
                <w:sz w:val="21"/>
              </w:rPr>
              <w:t>17</w:t>
            </w:r>
            <w:r>
              <w:rPr>
                <w:sz w:val="21"/>
              </w:rPr>
              <w:t>类困难群众和特殊群体底数及现状，参照使用《困难群众和特殊群体家庭基本情况表》（详见广州市社工站购买服务项目服务标准附件</w:t>
            </w:r>
            <w:r>
              <w:rPr>
                <w:sz w:val="21"/>
              </w:rPr>
              <w:t>1</w:t>
            </w:r>
            <w:r>
              <w:rPr>
                <w:sz w:val="21"/>
              </w:rPr>
              <w:t>），详细了解和掌握服务对象情况，并汇总完善《服务对象家庭信息汇总表》，落实“一户一档”“一人一案”，夯实建档</w:t>
            </w:r>
            <w:r>
              <w:rPr>
                <w:sz w:val="21"/>
              </w:rPr>
              <w:t>100%</w:t>
            </w:r>
            <w:r>
              <w:rPr>
                <w:sz w:val="21"/>
              </w:rPr>
              <w:t>全覆盖的基础，且依托广州市社工站综合管理平台实现动态监测、动态更新。</w:t>
            </w:r>
          </w:p>
          <w:p>
            <w:pPr>
              <w:pStyle w:val="null3"/>
              <w:ind w:firstLine="420"/>
              <w:jc w:val="both"/>
            </w:pPr>
            <w:r>
              <w:rPr>
                <w:sz w:val="21"/>
              </w:rPr>
              <w:t>②精准识别需求及明确目标策略。社工站项目要建立健全问题发现报告机制、科学的需求评估及动态管理机制。</w:t>
            </w:r>
          </w:p>
          <w:p>
            <w:pPr>
              <w:pStyle w:val="null3"/>
              <w:ind w:firstLine="420"/>
              <w:jc w:val="both"/>
            </w:pPr>
            <w:r>
              <w:rPr>
                <w:sz w:val="21"/>
              </w:rPr>
              <w:t>一是联合镇（街）、村（社区）建立健全</w:t>
            </w:r>
            <w:r>
              <w:rPr>
                <w:sz w:val="21"/>
              </w:rPr>
              <w:t>1</w:t>
            </w:r>
            <w:r>
              <w:rPr>
                <w:sz w:val="21"/>
              </w:rPr>
              <w:t>套发现报告机制，发现有政策需求的服务对象，及时向社工站站长报告，指引或协助其申请相关政策，实现从“人找政策”到“政策找人”的转变，保障“应保尽保，应助尽助”。</w:t>
            </w:r>
          </w:p>
          <w:p>
            <w:pPr>
              <w:pStyle w:val="null3"/>
              <w:ind w:firstLine="420"/>
              <w:jc w:val="both"/>
            </w:pPr>
            <w:r>
              <w:rPr>
                <w:sz w:val="21"/>
              </w:rPr>
              <w:t>二是围绕生活保障、身心健康、社会支持等方面情况，结合《困难群众和特殊群体分级评估表》，综合其他相关测评项目结果和服务对象有关特殊情况，对服务对象需求进行全面评估，明确服务定级并制定针对性的服务计划。首次评估时，原则上应以与服务对象在</w:t>
            </w:r>
            <w:r>
              <w:rPr>
                <w:sz w:val="21"/>
              </w:rPr>
              <w:t>1</w:t>
            </w:r>
            <w:r>
              <w:rPr>
                <w:sz w:val="21"/>
              </w:rPr>
              <w:t>个季度内的面谈情况作为评估依据（对于已有固定单位负责照料，或因客观原因不具备面谈服务条件的情况除外），非面谈所获取的资料不得作为首次评估的依据。如遇“一户多困”的家庭，按家庭成员中最高的服务评级结果确定分级。困难群众和特殊群体的服务分级情况应及时向社工站站长报告，如需对一至三级服务对象的服务评级进行调整，须经由社工站站长同意。</w:t>
            </w:r>
          </w:p>
          <w:p>
            <w:pPr>
              <w:pStyle w:val="null3"/>
              <w:ind w:firstLine="420"/>
              <w:jc w:val="both"/>
            </w:pPr>
            <w:r>
              <w:rPr>
                <w:sz w:val="21"/>
              </w:rPr>
              <w:t>三是持续动态观察和评估服务对象情况，视实际情况动态调整服务级别，并对应调整服务计划和跟进频率，例如服务对象面临突发情况影响生活，或阶段性需求已得到解决，需重新评估其情况后按新评定的服务级别提供适配服务，其中，一至四级服务对象须通过面谈方式评估，五级和六级服务对象可通过向家属、村（居）委工作人员、照顾机构工作人员等人员收集信息，开展间接评估。</w:t>
            </w:r>
          </w:p>
          <w:p>
            <w:pPr>
              <w:pStyle w:val="null3"/>
              <w:ind w:firstLine="420"/>
              <w:jc w:val="both"/>
            </w:pPr>
            <w:r>
              <w:rPr>
                <w:sz w:val="21"/>
              </w:rPr>
              <w:t>③分级跟进及分类服务。社工站项目要建立完善分级跟进、服务转介、分类服务、动态跟踪等制度机制，并按照省“双百工程”社工站参考文书套表做好服务记录，全年实现一至四级困难群众和特殊群体的入户探访覆盖率达</w:t>
            </w:r>
            <w:r>
              <w:rPr>
                <w:sz w:val="21"/>
              </w:rPr>
              <w:t>100%</w:t>
            </w:r>
            <w:r>
              <w:rPr>
                <w:sz w:val="21"/>
              </w:rPr>
              <w:t>。</w:t>
            </w:r>
          </w:p>
          <w:p>
            <w:pPr>
              <w:pStyle w:val="null3"/>
              <w:ind w:firstLine="420"/>
              <w:jc w:val="both"/>
            </w:pPr>
            <w:r>
              <w:rPr>
                <w:sz w:val="21"/>
              </w:rPr>
              <w:t>一是分级分类跟进原则。根据服务对象分级分类情况，定期开展探访、个案帮扶等关爱服务，密切跟踪服务对象动态，积极防范和及时发现意外风险，链接社会资源，最大限度响应服务对象需求。对于一时无法解决需转介帮扶的，及时将问题反馈给村（居）、镇（街）或其他单位，并做好跟踪回访。面对极端天气等特殊情况或应急状态时，配合镇（街）开展有关排查和慰问。</w:t>
            </w:r>
          </w:p>
          <w:p>
            <w:pPr>
              <w:pStyle w:val="null3"/>
              <w:ind w:firstLine="420"/>
              <w:jc w:val="both"/>
            </w:pPr>
            <w:r>
              <w:rPr>
                <w:sz w:val="21"/>
              </w:rPr>
              <w:t>二是服务优先原则。在兜住兜准兜牢民生底线基础上，集中精力将服务投放到真正有需要的群体，原则上民政兜底服务对象应按需纳入一至四级管理。</w:t>
            </w:r>
          </w:p>
          <w:p>
            <w:pPr>
              <w:pStyle w:val="null3"/>
              <w:ind w:firstLine="420"/>
              <w:jc w:val="both"/>
            </w:pPr>
            <w:r>
              <w:rPr>
                <w:sz w:val="21"/>
              </w:rPr>
              <w:t>三是协同高效原则。积极联动相关职能部门及服务机构，加强多方沟通联系，针对部分有重合的服务对象，可探索建立联合探访机制，提高服务效率，减少对服务对象的打扰，提升群众满意度。</w:t>
            </w:r>
          </w:p>
          <w:p>
            <w:pPr>
              <w:pStyle w:val="null3"/>
              <w:ind w:firstLine="420"/>
              <w:jc w:val="both"/>
            </w:pPr>
            <w:r>
              <w:rPr>
                <w:sz w:val="21"/>
              </w:rPr>
              <w:t>一级服务对象：家庭存在明显迫切性需求，或存在危机状态的，例如具有生存保障（衣、食、住等）问题，服务对象遇险期（重病、重残、意外），或（疑似）有自残、自杀或伤害他人等情况的，属于需要紧急干预的一级服务对象。社工站项目应在发现或接报个案情况后立刻介入，在危机存续期间，每周至少入户探访</w:t>
            </w:r>
            <w:r>
              <w:rPr>
                <w:sz w:val="21"/>
              </w:rPr>
              <w:t>1</w:t>
            </w:r>
            <w:r>
              <w:rPr>
                <w:sz w:val="21"/>
              </w:rPr>
              <w:t>次，协助服务对象走出困境，解除当前的生存危机。危机状况解除后，社工站项目需按照相关规定和流程，对服务对象的服务分级进行重新评估，并将其纳入个案管理体系长期跟进，确保服务对象情况持续改善。</w:t>
            </w:r>
          </w:p>
          <w:p>
            <w:pPr>
              <w:pStyle w:val="null3"/>
              <w:ind w:firstLine="420"/>
              <w:jc w:val="both"/>
            </w:pPr>
            <w:r>
              <w:rPr>
                <w:sz w:val="21"/>
              </w:rPr>
              <w:t>二级服务对象：当前不存在迫切性需求，如需即时脱离危险等，但家庭内部支持网络较为薄弱，家庭抵御风险能力差，容易陷入困境的，属于需重点跟进的二级服务对象。社工站项目应每两周至少联系</w:t>
            </w:r>
            <w:r>
              <w:rPr>
                <w:sz w:val="21"/>
              </w:rPr>
              <w:t>1</w:t>
            </w:r>
            <w:r>
              <w:rPr>
                <w:sz w:val="21"/>
              </w:rPr>
              <w:t>次，且每月至少入户探访</w:t>
            </w:r>
            <w:r>
              <w:rPr>
                <w:sz w:val="21"/>
              </w:rPr>
              <w:t>1</w:t>
            </w:r>
            <w:r>
              <w:rPr>
                <w:sz w:val="21"/>
              </w:rPr>
              <w:t>次，为服务对象提供个案管理，并动态评估其社会支持网络、所拥有的资源情况、家庭成员身心状况以及当前面临的生活困境等情况，提供适配服务。</w:t>
            </w:r>
          </w:p>
          <w:p>
            <w:pPr>
              <w:pStyle w:val="null3"/>
              <w:ind w:firstLine="420"/>
              <w:jc w:val="both"/>
            </w:pPr>
            <w:r>
              <w:rPr>
                <w:sz w:val="21"/>
              </w:rPr>
              <w:t>三级服务对象：目前暂无明显迫切性需求，能够维持正常生活，但在身心健康或社会支持网络方面存在一定程度不足的，属于需长期跟踪的三级服务对象。社工站项目应每月至少联系</w:t>
            </w:r>
            <w:r>
              <w:rPr>
                <w:sz w:val="21"/>
              </w:rPr>
              <w:t>1</w:t>
            </w:r>
            <w:r>
              <w:rPr>
                <w:sz w:val="21"/>
              </w:rPr>
              <w:t>次，且每季度至少入户探访</w:t>
            </w:r>
            <w:r>
              <w:rPr>
                <w:sz w:val="21"/>
              </w:rPr>
              <w:t>1</w:t>
            </w:r>
            <w:r>
              <w:rPr>
                <w:sz w:val="21"/>
              </w:rPr>
              <w:t>次，为服务对象提供个案管理，并动态评估其社会支持网络、所拥有的资源情况、家庭成员身心状况以及当前面临的生活困境等情况，提供适配服务。</w:t>
            </w:r>
          </w:p>
          <w:p>
            <w:pPr>
              <w:pStyle w:val="null3"/>
              <w:ind w:firstLine="420"/>
              <w:jc w:val="both"/>
            </w:pPr>
            <w:r>
              <w:rPr>
                <w:sz w:val="21"/>
              </w:rPr>
              <w:t>四级服务对象：目前暂无明显需求，身心状况良好，但需要持续关怀的，属于需要常态化关爱的四级服务对象。社工站项目应每季度至少联系</w:t>
            </w:r>
            <w:r>
              <w:rPr>
                <w:sz w:val="21"/>
              </w:rPr>
              <w:t>1</w:t>
            </w:r>
            <w:r>
              <w:rPr>
                <w:sz w:val="21"/>
              </w:rPr>
              <w:t>次，且每年至少入户探访</w:t>
            </w:r>
            <w:r>
              <w:rPr>
                <w:sz w:val="21"/>
              </w:rPr>
              <w:t>1</w:t>
            </w:r>
            <w:r>
              <w:rPr>
                <w:sz w:val="21"/>
              </w:rPr>
              <w:t>次，动态评估其社会支持网络、所拥有的资源情况、家庭成员身心状况以及当前面临的生活困境等情况，提供适配服务。</w:t>
            </w:r>
          </w:p>
          <w:p>
            <w:pPr>
              <w:pStyle w:val="null3"/>
              <w:ind w:firstLine="420"/>
              <w:jc w:val="both"/>
            </w:pPr>
            <w:r>
              <w:rPr>
                <w:sz w:val="21"/>
              </w:rPr>
              <w:t>五级服务对象：目前暂无明显需求，身心状况、支持网络、所拥有的资源情况和家庭成员关系等各方面情况均表现良好，属于需要保持联系的五级服务对象。社工站项目应每半年至少联系</w:t>
            </w:r>
            <w:r>
              <w:rPr>
                <w:sz w:val="21"/>
              </w:rPr>
              <w:t>1</w:t>
            </w:r>
            <w:r>
              <w:rPr>
                <w:sz w:val="21"/>
              </w:rPr>
              <w:t>次，动态评估其各方面情况，提供适配服务。</w:t>
            </w:r>
          </w:p>
          <w:p>
            <w:pPr>
              <w:pStyle w:val="null3"/>
              <w:ind w:firstLine="420"/>
              <w:jc w:val="both"/>
            </w:pPr>
            <w:r>
              <w:rPr>
                <w:sz w:val="21"/>
              </w:rPr>
              <w:t>六级服务对象：包括已有固定单位负责照料的，例如入住养老院、精神病院等全日制托养场所的，以及长期不在本市居住的，例如在外市（外省</w:t>
            </w:r>
            <w:r>
              <w:rPr>
                <w:sz w:val="21"/>
              </w:rPr>
              <w:t>/</w:t>
            </w:r>
            <w:r>
              <w:rPr>
                <w:sz w:val="21"/>
              </w:rPr>
              <w:t>外国）居住或处于失联状态等情况的，属于不具备服务条件的六级服务对象。社工站项目应每半年至少与服务对象本人、家属或其他知情人联系</w:t>
            </w:r>
            <w:r>
              <w:rPr>
                <w:sz w:val="21"/>
              </w:rPr>
              <w:t>1</w:t>
            </w:r>
            <w:r>
              <w:rPr>
                <w:sz w:val="21"/>
              </w:rPr>
              <w:t>次，向相关人士介绍社工站服务内容及求助方式，服务对象有需要时可向社工站寻求帮助，确保服务及时性和有效性。</w:t>
            </w:r>
          </w:p>
          <w:p>
            <w:pPr>
              <w:pStyle w:val="null3"/>
              <w:ind w:firstLine="420"/>
              <w:jc w:val="both"/>
            </w:pPr>
            <w:r>
              <w:rPr>
                <w:sz w:val="21"/>
              </w:rPr>
              <w:t>④“人户分离”或其他特殊情况服务</w:t>
            </w:r>
          </w:p>
          <w:p>
            <w:pPr>
              <w:pStyle w:val="null3"/>
              <w:ind w:firstLine="420"/>
              <w:jc w:val="both"/>
            </w:pPr>
            <w:r>
              <w:rPr>
                <w:sz w:val="21"/>
              </w:rPr>
              <w:t>“人户分离”是指具有广州市户籍的人员，其户籍登记地址与实际居住地址不一致，且不在户籍登记地居住达半年以上的情况。对于“人户分离”人员的服务，户籍所在地社工站承担主要责任，实际居住地社工站（如有）应积极提供必要的协助与配合，共同做好相关服务工作。户籍所在地社工站应建立健全跨区域协作服务联动机制，主动发现“人户分离”困难群众与特殊群体诉求，及时与实际居住地社工站联动服务、互通信息，保障服务及时性与连续性。</w:t>
            </w:r>
          </w:p>
          <w:p>
            <w:pPr>
              <w:pStyle w:val="null3"/>
              <w:ind w:firstLine="420"/>
              <w:jc w:val="both"/>
            </w:pPr>
            <w:r>
              <w:rPr>
                <w:sz w:val="21"/>
              </w:rPr>
              <w:t>一是对于处于危机状况下的一级服务对象，或遭遇突发事件处于紧急情况的服务对象，户籍所在地社工站须第一时间向社工站站长上报情况，在站长指导下积极开展介入行动。同时，应积极联系居住地社工站共同实施干预措施、协作应急处置。居住地社工站须将保障服务对象生命安全放在首位，严格恪守社会工作的专业价值理念，全力配合户籍所在地社工站，助力服务对象度过危机。若居住地社工站在日常工作中发现</w:t>
            </w:r>
            <w:r>
              <w:rPr>
                <w:sz w:val="21"/>
              </w:rPr>
              <w:t>“人户分离”情况，也应立即与户籍所在地社工站取得联系，并及时开展联动服务。</w:t>
            </w:r>
          </w:p>
          <w:p>
            <w:pPr>
              <w:pStyle w:val="null3"/>
              <w:ind w:firstLine="420"/>
              <w:jc w:val="both"/>
            </w:pPr>
            <w:r>
              <w:rPr>
                <w:sz w:val="21"/>
              </w:rPr>
              <w:t>二是对于一至三级需长期跟踪服务协作的服务对象，由户籍所在地社工站与居住地社工站建立双向沟通及资源共享的联动机制。户籍所在地社工站统筹服务资源进行干预，健全服务合作机制，形成工作合力，解决因</w:t>
            </w:r>
            <w:r>
              <w:rPr>
                <w:sz w:val="21"/>
              </w:rPr>
              <w:t>“人户分离”导致的救助服务资源缺失问题。户籍所在地社工站可通过视频电话等可视化方式对服务对象完成探访。</w:t>
            </w:r>
          </w:p>
          <w:p>
            <w:pPr>
              <w:pStyle w:val="null3"/>
              <w:ind w:firstLine="420"/>
              <w:jc w:val="both"/>
            </w:pPr>
            <w:r>
              <w:rPr>
                <w:sz w:val="21"/>
              </w:rPr>
              <w:t>三是对于四至六级需个性化联动服务协作的服务对象，户籍所在地社工站在征得服务对象与居住地社工站同意后可提供个性化联动服务，以更好地满足服务对象的特定需求。</w:t>
            </w:r>
          </w:p>
          <w:p>
            <w:pPr>
              <w:pStyle w:val="null3"/>
              <w:ind w:firstLine="420"/>
              <w:jc w:val="both"/>
            </w:pPr>
            <w:r>
              <w:rPr>
                <w:sz w:val="21"/>
              </w:rPr>
              <w:t>如有其他特殊情况的，社工站项目结合实际情况，将问题反馈给村（居）、镇（街）寻求多方联动，协同解决有关问题。</w:t>
            </w:r>
          </w:p>
          <w:p>
            <w:pPr>
              <w:pStyle w:val="null3"/>
              <w:ind w:firstLine="420"/>
              <w:jc w:val="both"/>
            </w:pPr>
            <w:r>
              <w:rPr>
                <w:sz w:val="21"/>
              </w:rPr>
              <w:t>⑤跟踪问效及巩固服务成果</w:t>
            </w:r>
          </w:p>
          <w:p>
            <w:pPr>
              <w:pStyle w:val="null3"/>
              <w:ind w:firstLine="420"/>
              <w:jc w:val="both"/>
            </w:pPr>
            <w:r>
              <w:rPr>
                <w:sz w:val="21"/>
              </w:rPr>
              <w:t>社工站项目应动态监测服务进展，运用质性和量化方法定期评估服务覆盖率、服务目标达成情况、服务成效、资源整合、社会效益、社工成长、服务对象满意度等情况，结合评估结果适时调整介入策略、改善工作方法、提炼经验成果。服务目标达成时，应引导服务对象回顾改变过程，帮助其从中学习解决问题的方法和策略，增强其解决问题的信心和能力。建立结案跟踪回访机制，通过定期电话或实地回访等方式进行成效跟踪和巩固。</w:t>
            </w:r>
          </w:p>
          <w:p>
            <w:pPr>
              <w:pStyle w:val="null3"/>
              <w:ind w:firstLine="420"/>
              <w:jc w:val="both"/>
            </w:pPr>
            <w:r>
              <w:rPr>
                <w:sz w:val="21"/>
                <w:b/>
              </w:rPr>
              <w:t>2.</w:t>
            </w:r>
            <w:r>
              <w:rPr>
                <w:sz w:val="21"/>
                <w:b/>
              </w:rPr>
              <w:t>基础性民生服务</w:t>
            </w:r>
          </w:p>
          <w:p>
            <w:pPr>
              <w:pStyle w:val="null3"/>
              <w:ind w:firstLine="420"/>
              <w:jc w:val="both"/>
            </w:pPr>
            <w:r>
              <w:rPr>
                <w:sz w:val="21"/>
              </w:rPr>
              <w:t>社工站项目基础性民生服务强调促进各方参与，推动社区发展，撬动社会资源，提升困难群众和特殊群体服务水平。社工站项目可建立健全常态化的</w:t>
            </w:r>
            <w:r>
              <w:rPr>
                <w:sz w:val="21"/>
              </w:rPr>
              <w:t>“五社联动”机制，加强联动社区慈善资源、社区社会组织、志愿者，打造针对困难群众和特殊群体的特色服务项目和品牌，全面激发社区活力，提升困难群众和特殊群体服务的精准性和有效性。</w:t>
            </w:r>
          </w:p>
          <w:p>
            <w:pPr>
              <w:pStyle w:val="null3"/>
              <w:ind w:firstLine="420"/>
              <w:jc w:val="both"/>
            </w:pPr>
            <w:r>
              <w:rPr>
                <w:sz w:val="21"/>
              </w:rPr>
              <w:t>（</w:t>
            </w:r>
            <w:r>
              <w:rPr>
                <w:sz w:val="21"/>
              </w:rPr>
              <w:t>1</w:t>
            </w:r>
            <w:r>
              <w:rPr>
                <w:sz w:val="21"/>
              </w:rPr>
              <w:t>）盘点资源及建立清单。联动村（居）</w:t>
            </w:r>
            <w:r>
              <w:rPr>
                <w:sz w:val="21"/>
              </w:rPr>
              <w:t>“两委”盘点村（社区）人力资源、文化资源、地理环境、经济产业等情况以及公共设施、公共空间、社区单位和组织等数量、位置、运作情况，制定</w:t>
            </w:r>
            <w:r>
              <w:rPr>
                <w:sz w:val="21"/>
              </w:rPr>
              <w:t>1</w:t>
            </w:r>
            <w:r>
              <w:rPr>
                <w:sz w:val="21"/>
              </w:rPr>
              <w:t>份社工站项目资源清单，较好地识别、区分、界定和确定资源，为优化整合社区资源服务群众、多维联动促进社区发展奠定基础。</w:t>
            </w:r>
          </w:p>
          <w:p>
            <w:pPr>
              <w:pStyle w:val="null3"/>
              <w:ind w:firstLine="420"/>
              <w:jc w:val="both"/>
            </w:pPr>
            <w:r>
              <w:rPr>
                <w:sz w:val="21"/>
              </w:rPr>
              <w:t>（</w:t>
            </w:r>
            <w:r>
              <w:rPr>
                <w:sz w:val="21"/>
              </w:rPr>
              <w:t>2</w:t>
            </w:r>
            <w:r>
              <w:rPr>
                <w:sz w:val="21"/>
              </w:rPr>
              <w:t>）动员及推动全民慈善。社工站项目应协助各镇（街）、村（居）梳理全镇（街）社区慈善基金建立及运营情况，形成台账，并提出优化建议及策略。积极提升社区居民慈善意识，协助慈善阵地建设，开展慈善活动，激发和鼓励全社会参与慈善的热情，通过慈善项目、公益日等群众喜闻乐见的活动，推动慈善文化建设，鼓励全民参与。持续推进</w:t>
            </w:r>
            <w:r>
              <w:rPr>
                <w:sz w:val="21"/>
              </w:rPr>
              <w:t>“社工</w:t>
            </w:r>
            <w:r>
              <w:rPr>
                <w:sz w:val="21"/>
              </w:rPr>
              <w:t>+</w:t>
            </w:r>
            <w:r>
              <w:rPr>
                <w:sz w:val="21"/>
              </w:rPr>
              <w:t>慈善”双轮驱动模式，积极撬动社会资源，每年筹集社会资金不低于</w:t>
            </w:r>
            <w:r>
              <w:rPr>
                <w:sz w:val="21"/>
              </w:rPr>
              <w:t>10</w:t>
            </w:r>
            <w:r>
              <w:rPr>
                <w:sz w:val="21"/>
              </w:rPr>
              <w:t>万元，筹集社会物资总价值不低于</w:t>
            </w:r>
            <w:r>
              <w:rPr>
                <w:sz w:val="21"/>
              </w:rPr>
              <w:t>40</w:t>
            </w:r>
            <w:r>
              <w:rPr>
                <w:sz w:val="21"/>
              </w:rPr>
              <w:t>万元。广泛收集社区居民服务需求，针对性、创造性策划及实施慈善创新项目，更大范围、更多维度整合社会力量和社会资源参与社区慈善事业，解决社区群众急难愁盼问题。</w:t>
            </w:r>
          </w:p>
          <w:p>
            <w:pPr>
              <w:pStyle w:val="null3"/>
              <w:ind w:firstLine="420"/>
              <w:jc w:val="both"/>
            </w:pPr>
            <w:r>
              <w:rPr>
                <w:sz w:val="21"/>
              </w:rPr>
              <w:t>（</w:t>
            </w:r>
            <w:r>
              <w:rPr>
                <w:sz w:val="21"/>
              </w:rPr>
              <w:t>3</w:t>
            </w:r>
            <w:r>
              <w:rPr>
                <w:sz w:val="21"/>
              </w:rPr>
              <w:t>）联动社区社会组织。社工站项目应协助镇（街）做好社区社会组织培育及发展工作，通过赋能引导，联动辖区社区社会组织为有需要的困难群众和特殊群体开展服务。</w:t>
            </w:r>
          </w:p>
          <w:p>
            <w:pPr>
              <w:pStyle w:val="null3"/>
              <w:ind w:firstLine="420"/>
              <w:jc w:val="both"/>
            </w:pPr>
            <w:r>
              <w:rPr>
                <w:sz w:val="21"/>
              </w:rPr>
              <w:t>（</w:t>
            </w:r>
            <w:r>
              <w:rPr>
                <w:sz w:val="21"/>
              </w:rPr>
              <w:t>4</w:t>
            </w:r>
            <w:r>
              <w:rPr>
                <w:sz w:val="21"/>
              </w:rPr>
              <w:t>）联动社区志愿者。社工站项目应每年培育老年志愿者队伍不少于</w:t>
            </w:r>
            <w:r>
              <w:rPr>
                <w:sz w:val="21"/>
              </w:rPr>
              <w:t>2</w:t>
            </w:r>
            <w:r>
              <w:rPr>
                <w:sz w:val="21"/>
              </w:rPr>
              <w:t>支，赋能及支持其提供志愿服务，并积极联动其他志愿者队伍持续开展困难群众和特殊群体服务。</w:t>
            </w:r>
          </w:p>
          <w:p>
            <w:pPr>
              <w:pStyle w:val="null3"/>
              <w:ind w:firstLine="420"/>
              <w:jc w:val="both"/>
            </w:pPr>
            <w:r>
              <w:rPr>
                <w:sz w:val="21"/>
                <w:b/>
              </w:rPr>
              <w:t>3.</w:t>
            </w:r>
            <w:r>
              <w:rPr>
                <w:sz w:val="21"/>
                <w:b/>
              </w:rPr>
              <w:t>普惠性民生服务</w:t>
            </w:r>
          </w:p>
          <w:p>
            <w:pPr>
              <w:pStyle w:val="null3"/>
              <w:ind w:firstLine="420"/>
              <w:jc w:val="both"/>
            </w:pPr>
            <w:r>
              <w:rPr>
                <w:sz w:val="21"/>
              </w:rPr>
              <w:t>社工站项目普惠性民生服务主要面向临时陷入危机或困境的一般群众，为其提供社会工作专业服务或者转介服务，并完成市、区民政部门交办的其他有关工作。一是畅通社工</w:t>
            </w:r>
            <w:r>
              <w:rPr>
                <w:sz w:val="21"/>
              </w:rPr>
              <w:t>“红棉守护”热线。应按要求指定专人负责本级账号管理工作，每个社工站项目安排专门热线坐席，保持热线畅通。如遇极端天气等特殊情况或应急状态时，热线需根据工作需要保持</w:t>
            </w:r>
            <w:r>
              <w:rPr>
                <w:sz w:val="21"/>
              </w:rPr>
              <w:t>24</w:t>
            </w:r>
            <w:r>
              <w:rPr>
                <w:sz w:val="21"/>
              </w:rPr>
              <w:t>小时畅通，为有需要的困难群众提供便捷高效的帮助。二是为临时陷入困境的群众提供社工服务或转介服务。为临时陷入危机或困境的一般群众提供危机介入、心理疏导、社会融入、政策帮扶、资源链接等方面的社会工作服务或转介服务，并协助突发陷入危机的个人或家庭申请政府政策层面和社会层面的临时救助资源，配合相关职能部门做好社会救助等服务。三是协助搭建社区参与和能力建设的平台，促进服务对象与社区互动，增强社区凝聚力，调动社区力量满足居民需求，推动社区实现自我服务与发展。</w:t>
            </w:r>
          </w:p>
          <w:p>
            <w:pPr>
              <w:pStyle w:val="null3"/>
              <w:ind w:firstLine="420"/>
              <w:jc w:val="both"/>
            </w:pPr>
            <w:r>
              <w:rPr>
                <w:sz w:val="21"/>
              </w:rPr>
              <w:t>（五）专业方法运用及要求</w:t>
            </w:r>
          </w:p>
          <w:p>
            <w:pPr>
              <w:pStyle w:val="null3"/>
              <w:ind w:firstLine="420"/>
              <w:jc w:val="both"/>
            </w:pPr>
            <w:r>
              <w:rPr>
                <w:sz w:val="21"/>
              </w:rPr>
              <w:t>1.</w:t>
            </w:r>
            <w:r>
              <w:rPr>
                <w:sz w:val="21"/>
              </w:rPr>
              <w:t>专业方法。项目服务团队应运用社会工作个案、小组和社区服务等专业服务方法为有需要的个人、家庭和社区单位提供适切服务，回应服务对象需求。</w:t>
            </w:r>
          </w:p>
          <w:p>
            <w:pPr>
              <w:pStyle w:val="null3"/>
              <w:ind w:firstLine="420"/>
              <w:jc w:val="both"/>
            </w:pPr>
            <w:r>
              <w:rPr>
                <w:sz w:val="21"/>
              </w:rPr>
              <w:t>（</w:t>
            </w:r>
            <w:r>
              <w:rPr>
                <w:sz w:val="21"/>
              </w:rPr>
              <w:t>1</w:t>
            </w:r>
            <w:r>
              <w:rPr>
                <w:sz w:val="21"/>
              </w:rPr>
              <w:t>）个案工作：指社工遵循基本的社会工作专业价值理念，运用科学的专业方法，以个别化的方式为遭遇困难的个人或家庭提供的心理辅导、情绪疏导、行为认知矫正、资源链接等服务，以帮助个人或家庭消减压力、缓解困难、挖掘生命潜能，不断提高个人和家庭的生活质量。个案服务包括咨询个案和专业个案。咨询个案是指可在短时间内通过提供</w:t>
            </w:r>
            <w:r>
              <w:rPr>
                <w:sz w:val="21"/>
              </w:rPr>
              <w:t>1-2</w:t>
            </w:r>
            <w:r>
              <w:rPr>
                <w:sz w:val="21"/>
              </w:rPr>
              <w:t>次的政策、就业、法律等简短的咨询性服务，有效满足服务对象需求的个案服务；专业个案是指服务对象面临的问题和困难较复杂，无法仅靠简短的咨询服务解决，需要通过提供较长时间的跟踪服务来帮助其解决所面临的心理、认知、行为和人际关系等层面的障碍问题或困境，一般至少需要</w:t>
            </w:r>
            <w:r>
              <w:rPr>
                <w:sz w:val="21"/>
              </w:rPr>
              <w:t>5</w:t>
            </w:r>
            <w:r>
              <w:rPr>
                <w:sz w:val="21"/>
              </w:rPr>
              <w:t>次以上的社工专业服务。</w:t>
            </w:r>
          </w:p>
          <w:p>
            <w:pPr>
              <w:pStyle w:val="null3"/>
              <w:ind w:firstLine="420"/>
              <w:jc w:val="both"/>
            </w:pPr>
            <w:r>
              <w:rPr>
                <w:sz w:val="21"/>
              </w:rPr>
              <w:t>（</w:t>
            </w:r>
            <w:r>
              <w:rPr>
                <w:sz w:val="21"/>
              </w:rPr>
              <w:t>2</w:t>
            </w:r>
            <w:r>
              <w:rPr>
                <w:sz w:val="21"/>
              </w:rPr>
              <w:t>）小组工作：指以团体或小群体为服务对象，并通过运用小组或团体的资源、支持等为其成员提供长期持续的支持性、照护性、发展性或预防性等服务的方法。其目的是为成员培育和建设一个团体或小组形式的社会支持网络或平台，使成员个人能借助小组集体支持和资源，提升自身应对困难的能力，改善其社会无助处境。小组服务通过协调个人与个人、个人与团体和团体与团体之间的社会关系，发挥小组的社会正向功能，促进成员的进步与健康发展。小组服务应按照阶段性发展状况安排服务活动次数，活动次数一般不少于</w:t>
            </w:r>
            <w:r>
              <w:rPr>
                <w:sz w:val="21"/>
              </w:rPr>
              <w:t>3</w:t>
            </w:r>
            <w:r>
              <w:rPr>
                <w:sz w:val="21"/>
              </w:rPr>
              <w:t>次，每次参与小组活动的人数至少为</w:t>
            </w:r>
            <w:r>
              <w:rPr>
                <w:sz w:val="21"/>
              </w:rPr>
              <w:t>3</w:t>
            </w:r>
            <w:r>
              <w:rPr>
                <w:sz w:val="21"/>
              </w:rPr>
              <w:t>人及以上。</w:t>
            </w:r>
          </w:p>
          <w:p>
            <w:pPr>
              <w:pStyle w:val="null3"/>
              <w:ind w:firstLine="420"/>
              <w:jc w:val="both"/>
            </w:pPr>
            <w:r>
              <w:rPr>
                <w:sz w:val="21"/>
              </w:rPr>
              <w:t>（</w:t>
            </w:r>
            <w:r>
              <w:rPr>
                <w:sz w:val="21"/>
              </w:rPr>
              <w:t>3</w:t>
            </w:r>
            <w:r>
              <w:rPr>
                <w:sz w:val="21"/>
              </w:rPr>
              <w:t>）社区工作：指以促进整个社区发展为目标的社会工作服务方法，是在党和政府的领导下，社工机构依靠社区力量，整合社会资源，促进社区进步和发展的宏观层面的社会服务。其主要是强化社区正向功能，提升社区参与，优化社区关系，预防和缓解社区问题，促进社区政治、经济、文化、环境协调健康发展，不断提高社区成员的生活水平和生活质量的过程。社区工作的内容包括社区公共问题介入、社区营造、社区文化保育、社区公益慈善、社区志愿服务、社区组织和社区领袖培育等。</w:t>
            </w:r>
          </w:p>
          <w:p>
            <w:pPr>
              <w:pStyle w:val="null3"/>
              <w:ind w:firstLine="420"/>
              <w:jc w:val="both"/>
            </w:pPr>
            <w:r>
              <w:rPr>
                <w:sz w:val="21"/>
              </w:rPr>
              <w:t>（六）</w:t>
            </w:r>
            <w:r>
              <w:rPr>
                <w:sz w:val="21"/>
              </w:rPr>
              <w:t>★服务人员</w:t>
            </w:r>
          </w:p>
          <w:p>
            <w:pPr>
              <w:pStyle w:val="null3"/>
              <w:ind w:firstLine="420"/>
              <w:jc w:val="both"/>
            </w:pPr>
            <w:r>
              <w:rPr>
                <w:sz w:val="21"/>
              </w:rPr>
              <w:t>根据《广州市社工服务站管理办法》、《广州市民政局关于印发《广州市社工站购买服务项目服务清单（民政领域社会工作）》等文件的通知》（穗民</w:t>
            </w:r>
            <w:r>
              <w:rPr>
                <w:sz w:val="21"/>
              </w:rPr>
              <w:t>[2025]16</w:t>
            </w:r>
            <w:r>
              <w:rPr>
                <w:sz w:val="21"/>
              </w:rPr>
              <w:t>号</w:t>
            </w:r>
            <w:r>
              <w:rPr>
                <w:sz w:val="21"/>
              </w:rPr>
              <w:t>）要求，配备全职社工</w:t>
            </w:r>
            <w:r>
              <w:rPr>
                <w:sz w:val="21"/>
              </w:rPr>
              <w:t>1</w:t>
            </w:r>
            <w:r>
              <w:rPr>
                <w:sz w:val="21"/>
              </w:rPr>
              <w:t>6</w:t>
            </w:r>
            <w:r>
              <w:rPr>
                <w:sz w:val="21"/>
              </w:rPr>
              <w:t>名，机构管理人员、财务人员、行政、保洁、安保等人员不得计入项目人员。项目采购服务周期内持证社工比例应当不低于</w:t>
            </w:r>
            <w:r>
              <w:rPr>
                <w:sz w:val="21"/>
              </w:rPr>
              <w:t>2/3</w:t>
            </w:r>
            <w:r>
              <w:rPr>
                <w:sz w:val="21"/>
              </w:rPr>
              <w:t>。</w:t>
            </w:r>
          </w:p>
          <w:p>
            <w:pPr>
              <w:pStyle w:val="null3"/>
              <w:ind w:firstLine="420"/>
              <w:jc w:val="both"/>
            </w:pPr>
            <w:r>
              <w:rPr>
                <w:sz w:val="21"/>
              </w:rPr>
              <w:t>（七）具体指标及要求</w:t>
            </w:r>
          </w:p>
          <w:p>
            <w:pPr>
              <w:pStyle w:val="null3"/>
              <w:ind w:firstLine="420"/>
              <w:jc w:val="both"/>
            </w:pPr>
            <w:r>
              <w:rPr>
                <w:sz w:val="21"/>
              </w:rPr>
              <w:t>1.</w:t>
            </w:r>
            <w:r>
              <w:rPr>
                <w:sz w:val="21"/>
              </w:rPr>
              <w:t>项目总体服务质量要求</w:t>
            </w:r>
          </w:p>
          <w:p>
            <w:pPr>
              <w:pStyle w:val="null3"/>
              <w:ind w:firstLine="420"/>
              <w:jc w:val="both"/>
            </w:pPr>
            <w:r>
              <w:rPr>
                <w:sz w:val="21"/>
                <w:color w:val="000000"/>
              </w:rPr>
              <w:t>（</w:t>
            </w:r>
            <w:r>
              <w:rPr>
                <w:sz w:val="21"/>
                <w:color w:val="000000"/>
              </w:rPr>
              <w:t>1</w:t>
            </w:r>
            <w:r>
              <w:rPr>
                <w:sz w:val="21"/>
                <w:color w:val="000000"/>
              </w:rPr>
              <w:t>）项目应通过电访、探访、个案、小组、社区服务等方式，对辖区困难群众和特殊群体实现</w:t>
            </w:r>
            <w:r>
              <w:rPr>
                <w:sz w:val="21"/>
                <w:color w:val="000000"/>
              </w:rPr>
              <w:t>100%</w:t>
            </w:r>
            <w:r>
              <w:rPr>
                <w:sz w:val="21"/>
                <w:color w:val="000000"/>
              </w:rPr>
              <w:t>覆盖</w:t>
            </w:r>
            <w:r>
              <w:rPr>
                <w:sz w:val="21"/>
                <w:color w:val="000000"/>
              </w:rPr>
              <w:t>。</w:t>
            </w:r>
            <w:r>
              <w:rPr>
                <w:sz w:val="21"/>
                <w:color w:val="000000"/>
              </w:rPr>
              <w:t>全年实现一至四级困难群众和特殊群体的入户率、建档率应达到</w:t>
            </w:r>
            <w:r>
              <w:rPr>
                <w:sz w:val="21"/>
                <w:color w:val="000000"/>
              </w:rPr>
              <w:t>100%</w:t>
            </w:r>
            <w:r>
              <w:rPr>
                <w:sz w:val="21"/>
                <w:color w:val="000000"/>
              </w:rPr>
              <w:t>；</w:t>
            </w:r>
          </w:p>
          <w:p>
            <w:pPr>
              <w:pStyle w:val="null3"/>
              <w:ind w:firstLine="420"/>
              <w:jc w:val="left"/>
            </w:pPr>
            <w:r>
              <w:rPr>
                <w:sz w:val="21"/>
                <w:color w:val="000000"/>
              </w:rPr>
              <w:t>（</w:t>
            </w:r>
            <w:r>
              <w:rPr>
                <w:sz w:val="21"/>
                <w:color w:val="000000"/>
              </w:rPr>
              <w:t>2</w:t>
            </w:r>
            <w:r>
              <w:rPr>
                <w:sz w:val="21"/>
                <w:color w:val="000000"/>
              </w:rPr>
              <w:t>）项目能依托正果镇辖内优势，发挥“五社联动”机制，整合社区资源，促进多元主体参与社区帮扶，有效回应兜底服务对象的多元化、合理化需求，打造服务品牌，有较大的社会影响力与美誉度；</w:t>
            </w:r>
          </w:p>
          <w:p>
            <w:pPr>
              <w:pStyle w:val="null3"/>
              <w:ind w:firstLine="420"/>
              <w:jc w:val="both"/>
            </w:pPr>
            <w:r>
              <w:rPr>
                <w:sz w:val="21"/>
                <w:color w:val="000000"/>
              </w:rPr>
              <w:t>（</w:t>
            </w:r>
            <w:r>
              <w:rPr>
                <w:sz w:val="21"/>
                <w:color w:val="000000"/>
              </w:rPr>
              <w:t>3</w:t>
            </w:r>
            <w:r>
              <w:rPr>
                <w:sz w:val="21"/>
                <w:color w:val="000000"/>
              </w:rPr>
              <w:t>）项目在兜底性民生服务、基础性民生服务、普惠性民生服务等方面发挥的服务作用突出，各项服务工作的认可度、满意度较高，相关工作服务对象满意度不低于</w:t>
            </w:r>
            <w:r>
              <w:rPr>
                <w:sz w:val="21"/>
                <w:color w:val="000000"/>
              </w:rPr>
              <w:t>80%</w:t>
            </w:r>
            <w:r>
              <w:rPr>
                <w:sz w:val="21"/>
                <w:color w:val="000000"/>
              </w:rPr>
              <w:t>。</w:t>
            </w:r>
          </w:p>
          <w:p>
            <w:pPr>
              <w:pStyle w:val="null3"/>
              <w:ind w:firstLine="420"/>
              <w:jc w:val="both"/>
            </w:pPr>
            <w:r>
              <w:rPr>
                <w:sz w:val="21"/>
              </w:rPr>
              <w:t>2.</w:t>
            </w:r>
            <w:r>
              <w:rPr>
                <w:sz w:val="21"/>
              </w:rPr>
              <w:t>专业服务指标要求</w:t>
            </w:r>
          </w:p>
          <w:p>
            <w:pPr>
              <w:pStyle w:val="null3"/>
              <w:ind w:firstLine="420"/>
              <w:jc w:val="both"/>
            </w:pPr>
            <w:r>
              <w:rPr>
                <w:sz w:val="21"/>
              </w:rPr>
              <w:t>应至少完成个案服务</w:t>
            </w:r>
            <w:r>
              <w:rPr>
                <w:sz w:val="21"/>
              </w:rPr>
              <w:t>60</w:t>
            </w:r>
            <w:r>
              <w:rPr>
                <w:sz w:val="21"/>
              </w:rPr>
              <w:t>个；提供小组服务至少</w:t>
            </w:r>
            <w:r>
              <w:rPr>
                <w:sz w:val="21"/>
              </w:rPr>
              <w:t>16</w:t>
            </w:r>
            <w:r>
              <w:rPr>
                <w:sz w:val="21"/>
              </w:rPr>
              <w:t>个，服务不低于</w:t>
            </w:r>
            <w:r>
              <w:rPr>
                <w:sz w:val="21"/>
              </w:rPr>
              <w:t>576</w:t>
            </w:r>
            <w:r>
              <w:rPr>
                <w:sz w:val="21"/>
              </w:rPr>
              <w:t>人次；政策宣传活动至少</w:t>
            </w:r>
            <w:r>
              <w:rPr>
                <w:sz w:val="21"/>
              </w:rPr>
              <w:t>18</w:t>
            </w:r>
            <w:r>
              <w:rPr>
                <w:sz w:val="21"/>
              </w:rPr>
              <w:t>场，服务不低于</w:t>
            </w:r>
            <w:r>
              <w:rPr>
                <w:sz w:val="21"/>
              </w:rPr>
              <w:t>900</w:t>
            </w:r>
            <w:r>
              <w:rPr>
                <w:sz w:val="21"/>
              </w:rPr>
              <w:t>人次；组织社区活动至少</w:t>
            </w:r>
            <w:r>
              <w:rPr>
                <w:sz w:val="21"/>
              </w:rPr>
              <w:t>36</w:t>
            </w:r>
            <w:r>
              <w:rPr>
                <w:sz w:val="21"/>
              </w:rPr>
              <w:t>场次，服务不少于</w:t>
            </w:r>
            <w:r>
              <w:rPr>
                <w:sz w:val="21"/>
              </w:rPr>
              <w:t>1800</w:t>
            </w:r>
            <w:r>
              <w:rPr>
                <w:sz w:val="21"/>
              </w:rPr>
              <w:t>人次；发挥社会工作专业优势，打造困难群众和特殊群体特色项目至少</w:t>
            </w:r>
            <w:r>
              <w:rPr>
                <w:sz w:val="21"/>
              </w:rPr>
              <w:t>1</w:t>
            </w:r>
            <w:r>
              <w:rPr>
                <w:sz w:val="21"/>
              </w:rPr>
              <w:t>个。</w:t>
            </w:r>
          </w:p>
          <w:p>
            <w:pPr>
              <w:pStyle w:val="null3"/>
              <w:ind w:firstLine="320"/>
              <w:jc w:val="center"/>
            </w:pPr>
            <w:r>
              <w:rPr>
                <w:sz w:val="21"/>
                <w:b/>
              </w:rPr>
              <w:t>服务目标群体情况列表</w:t>
            </w:r>
          </w:p>
          <w:tbl>
            <w:tblPr>
              <w:tblBorders>
                <w:top w:val="none" w:color="000000" w:sz="4"/>
                <w:left w:val="none" w:color="000000" w:sz="4"/>
                <w:bottom w:val="none" w:color="000000" w:sz="4"/>
                <w:right w:val="none" w:color="000000" w:sz="4"/>
                <w:insideH w:val="none"/>
                <w:insideV w:val="none"/>
              </w:tblBorders>
            </w:tblPr>
            <w:tblGrid>
              <w:gridCol w:w="855"/>
              <w:gridCol w:w="705"/>
              <w:gridCol w:w="1455"/>
              <w:gridCol w:w="1500"/>
              <w:gridCol w:w="915"/>
            </w:tblGrid>
            <w:tr>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项目服务目标</w:t>
                  </w:r>
                </w:p>
              </w:tc>
              <w:tc>
                <w:tcPr>
                  <w:tcW w:type="dxa" w:w="7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w:t>
                  </w:r>
                </w:p>
                <w:p>
                  <w:pPr>
                    <w:pStyle w:val="null3"/>
                    <w:jc w:val="center"/>
                  </w:pPr>
                  <w:r>
                    <w:rPr>
                      <w:sz w:val="21"/>
                      <w:b/>
                    </w:rPr>
                    <w:t>对象</w:t>
                  </w:r>
                </w:p>
              </w:tc>
              <w:tc>
                <w:tcPr>
                  <w:tcW w:type="dxa" w:w="14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潜在服务数量</w:t>
                  </w:r>
                </w:p>
              </w:tc>
              <w:tc>
                <w:tcPr>
                  <w:tcW w:type="dxa" w:w="1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每年可覆盖服务数量或比例</w:t>
                  </w:r>
                </w:p>
              </w:tc>
              <w:tc>
                <w:tcPr>
                  <w:tcW w:type="dxa" w:w="9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w:t>
                  </w:r>
                  <w:r>
                    <w:rPr>
                      <w:sz w:val="21"/>
                      <w:b/>
                    </w:rPr>
                    <w:t>注</w:t>
                  </w:r>
                </w:p>
              </w:tc>
            </w:tr>
            <w:tr>
              <w:tc>
                <w:tcPr>
                  <w:tcW w:type="dxa" w:w="8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兜底性民生服务</w:t>
                  </w: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困境青少年群体及家庭</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孤儿</w:t>
                  </w:r>
                  <w:r>
                    <w:rPr>
                      <w:sz w:val="21"/>
                    </w:rPr>
                    <w:t>3</w:t>
                  </w:r>
                  <w:r>
                    <w:rPr>
                      <w:sz w:val="21"/>
                    </w:rPr>
                    <w:t>个</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100%覆盖</w:t>
                  </w:r>
                </w:p>
              </w:tc>
              <w:tc>
                <w:tcPr>
                  <w:tcW w:type="dxa" w:w="9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可依据实际选择和调整表中所列的提示性服务需求。</w:t>
                  </w:r>
                </w:p>
              </w:tc>
            </w:tr>
            <w:tr>
              <w:tc>
                <w:tcPr>
                  <w:tcW w:type="dxa" w:w="855"/>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事实无人抚养儿童</w:t>
                  </w:r>
                  <w:r>
                    <w:rPr>
                      <w:sz w:val="21"/>
                    </w:rPr>
                    <w:t>2</w:t>
                  </w:r>
                  <w:r>
                    <w:rPr>
                      <w:sz w:val="21"/>
                    </w:rPr>
                    <w:t>3</w:t>
                  </w:r>
                  <w:r>
                    <w:rPr>
                      <w:sz w:val="21"/>
                    </w:rPr>
                    <w:t>个</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100%覆盖</w:t>
                  </w:r>
                </w:p>
              </w:tc>
              <w:tc>
                <w:tcPr>
                  <w:tcW w:type="dxa" w:w="915"/>
                  <w:vMerge/>
                  <w:tcBorders>
                    <w:top w:val="none" w:color="000000" w:sz="4"/>
                    <w:left w:val="none" w:color="000000" w:sz="4"/>
                    <w:bottom w:val="single" w:color="000000" w:sz="4"/>
                    <w:right w:val="single" w:color="000000" w:sz="4"/>
                  </w:tcBorders>
                </w:tcPr>
                <w:p/>
              </w:tc>
            </w:tr>
            <w:tr>
              <w:tc>
                <w:tcPr>
                  <w:tcW w:type="dxa" w:w="855"/>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自身困境儿童</w:t>
                  </w:r>
                  <w:r>
                    <w:rPr>
                      <w:sz w:val="21"/>
                    </w:rPr>
                    <w:t>51</w:t>
                  </w:r>
                  <w:r>
                    <w:rPr>
                      <w:sz w:val="21"/>
                    </w:rPr>
                    <w:t>个</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100%覆盖</w:t>
                  </w:r>
                </w:p>
              </w:tc>
              <w:tc>
                <w:tcPr>
                  <w:tcW w:type="dxa" w:w="915"/>
                  <w:vMerge/>
                  <w:tcBorders>
                    <w:top w:val="none" w:color="000000" w:sz="4"/>
                    <w:left w:val="none" w:color="000000" w:sz="4"/>
                    <w:bottom w:val="single" w:color="000000" w:sz="4"/>
                    <w:right w:val="single" w:color="000000" w:sz="4"/>
                  </w:tcBorders>
                </w:tcPr>
                <w:p/>
              </w:tc>
            </w:tr>
            <w:tr>
              <w:tc>
                <w:tcPr>
                  <w:tcW w:type="dxa" w:w="855"/>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家庭困境儿童</w:t>
                  </w:r>
                  <w:r>
                    <w:rPr>
                      <w:sz w:val="21"/>
                    </w:rPr>
                    <w:t>1</w:t>
                  </w:r>
                  <w:r>
                    <w:rPr>
                      <w:sz w:val="21"/>
                    </w:rPr>
                    <w:t>77</w:t>
                  </w:r>
                  <w:r>
                    <w:rPr>
                      <w:sz w:val="21"/>
                    </w:rPr>
                    <w:t>个</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100%覆盖</w:t>
                  </w:r>
                </w:p>
              </w:tc>
              <w:tc>
                <w:tcPr>
                  <w:tcW w:type="dxa" w:w="915"/>
                  <w:vMerge/>
                  <w:tcBorders>
                    <w:top w:val="none" w:color="000000" w:sz="4"/>
                    <w:left w:val="none" w:color="000000" w:sz="4"/>
                    <w:bottom w:val="single" w:color="000000" w:sz="4"/>
                    <w:right w:val="single" w:color="000000" w:sz="4"/>
                  </w:tcBorders>
                </w:tcPr>
                <w:p/>
              </w:tc>
            </w:tr>
            <w:tr>
              <w:tc>
                <w:tcPr>
                  <w:tcW w:type="dxa" w:w="855"/>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农村留守儿童</w:t>
                  </w:r>
                  <w:r>
                    <w:rPr>
                      <w:sz w:val="21"/>
                    </w:rPr>
                    <w:t>1</w:t>
                  </w:r>
                  <w:r>
                    <w:rPr>
                      <w:sz w:val="21"/>
                    </w:rPr>
                    <w:t>名</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100%覆盖</w:t>
                  </w:r>
                </w:p>
              </w:tc>
              <w:tc>
                <w:tcPr>
                  <w:tcW w:type="dxa" w:w="915"/>
                  <w:vMerge/>
                  <w:tcBorders>
                    <w:top w:val="none" w:color="000000" w:sz="4"/>
                    <w:left w:val="none" w:color="000000" w:sz="4"/>
                    <w:bottom w:val="single" w:color="000000" w:sz="4"/>
                    <w:right w:val="single" w:color="000000" w:sz="4"/>
                  </w:tcBorders>
                </w:tcPr>
                <w:p/>
              </w:tc>
            </w:tr>
            <w:tr>
              <w:tc>
                <w:tcPr>
                  <w:tcW w:type="dxa" w:w="855"/>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困境长者群体及家庭</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孤寡老人</w:t>
                  </w:r>
                  <w:r>
                    <w:rPr>
                      <w:sz w:val="21"/>
                    </w:rPr>
                    <w:t>0个</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100%覆盖</w:t>
                  </w:r>
                </w:p>
              </w:tc>
              <w:tc>
                <w:tcPr>
                  <w:tcW w:type="dxa" w:w="915"/>
                  <w:vMerge/>
                  <w:tcBorders>
                    <w:top w:val="none" w:color="000000" w:sz="4"/>
                    <w:left w:val="none" w:color="000000" w:sz="4"/>
                    <w:bottom w:val="single" w:color="000000" w:sz="4"/>
                    <w:right w:val="single" w:color="000000" w:sz="4"/>
                  </w:tcBorders>
                </w:tcPr>
                <w:p/>
              </w:tc>
            </w:tr>
            <w:tr>
              <w:tc>
                <w:tcPr>
                  <w:tcW w:type="dxa" w:w="855"/>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独居老人</w:t>
                  </w:r>
                  <w:r>
                    <w:rPr>
                      <w:sz w:val="21"/>
                    </w:rPr>
                    <w:t>0</w:t>
                  </w:r>
                  <w:r>
                    <w:rPr>
                      <w:sz w:val="21"/>
                    </w:rPr>
                    <w:t>个</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100%覆盖</w:t>
                  </w:r>
                </w:p>
              </w:tc>
              <w:tc>
                <w:tcPr>
                  <w:tcW w:type="dxa" w:w="915"/>
                  <w:vMerge/>
                  <w:tcBorders>
                    <w:top w:val="none" w:color="000000" w:sz="4"/>
                    <w:left w:val="none" w:color="000000" w:sz="4"/>
                    <w:bottom w:val="single" w:color="000000" w:sz="4"/>
                    <w:right w:val="single" w:color="000000" w:sz="4"/>
                  </w:tcBorders>
                </w:tcPr>
                <w:p/>
              </w:tc>
            </w:tr>
            <w:tr>
              <w:tc>
                <w:tcPr>
                  <w:tcW w:type="dxa" w:w="855"/>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重残老人</w:t>
                  </w:r>
                  <w:r>
                    <w:rPr>
                      <w:sz w:val="21"/>
                    </w:rPr>
                    <w:t>0</w:t>
                  </w:r>
                  <w:r>
                    <w:rPr>
                      <w:sz w:val="21"/>
                    </w:rPr>
                    <w:t>个</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100%覆盖</w:t>
                  </w:r>
                </w:p>
              </w:tc>
              <w:tc>
                <w:tcPr>
                  <w:tcW w:type="dxa" w:w="915"/>
                  <w:vMerge/>
                  <w:tcBorders>
                    <w:top w:val="none" w:color="000000" w:sz="4"/>
                    <w:left w:val="none" w:color="000000" w:sz="4"/>
                    <w:bottom w:val="single" w:color="000000" w:sz="4"/>
                    <w:right w:val="single" w:color="000000" w:sz="4"/>
                  </w:tcBorders>
                </w:tcPr>
                <w:p/>
              </w:tc>
            </w:tr>
            <w:tr>
              <w:tc>
                <w:tcPr>
                  <w:tcW w:type="dxa" w:w="855"/>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失能老人</w:t>
                  </w:r>
                  <w:r>
                    <w:rPr>
                      <w:sz w:val="21"/>
                    </w:rPr>
                    <w:t>0</w:t>
                  </w:r>
                  <w:r>
                    <w:rPr>
                      <w:sz w:val="21"/>
                    </w:rPr>
                    <w:t>个</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100%覆盖</w:t>
                  </w:r>
                </w:p>
              </w:tc>
              <w:tc>
                <w:tcPr>
                  <w:tcW w:type="dxa" w:w="915"/>
                  <w:vMerge/>
                  <w:tcBorders>
                    <w:top w:val="none" w:color="000000" w:sz="4"/>
                    <w:left w:val="none" w:color="000000" w:sz="4"/>
                    <w:bottom w:val="single" w:color="000000" w:sz="4"/>
                    <w:right w:val="single" w:color="000000" w:sz="4"/>
                  </w:tcBorders>
                </w:tcPr>
                <w:p/>
              </w:tc>
            </w:tr>
            <w:tr>
              <w:tc>
                <w:tcPr>
                  <w:tcW w:type="dxa" w:w="855"/>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空巢老人</w:t>
                  </w:r>
                  <w:r>
                    <w:rPr>
                      <w:sz w:val="21"/>
                    </w:rPr>
                    <w:t>0个</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100%覆盖</w:t>
                  </w:r>
                </w:p>
              </w:tc>
              <w:tc>
                <w:tcPr>
                  <w:tcW w:type="dxa" w:w="915"/>
                  <w:vMerge/>
                  <w:tcBorders>
                    <w:top w:val="none" w:color="000000" w:sz="4"/>
                    <w:left w:val="none" w:color="000000" w:sz="4"/>
                    <w:bottom w:val="single" w:color="000000" w:sz="4"/>
                    <w:right w:val="single" w:color="000000" w:sz="4"/>
                  </w:tcBorders>
                </w:tcPr>
                <w:p/>
              </w:tc>
            </w:tr>
            <w:tr>
              <w:tc>
                <w:tcPr>
                  <w:tcW w:type="dxa" w:w="855"/>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农村留守老人</w:t>
                  </w:r>
                  <w:r>
                    <w:rPr>
                      <w:sz w:val="21"/>
                    </w:rPr>
                    <w:t>0个</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100%覆盖</w:t>
                  </w:r>
                </w:p>
              </w:tc>
              <w:tc>
                <w:tcPr>
                  <w:tcW w:type="dxa" w:w="915"/>
                  <w:vMerge/>
                  <w:tcBorders>
                    <w:top w:val="none" w:color="000000" w:sz="4"/>
                    <w:left w:val="none" w:color="000000" w:sz="4"/>
                    <w:bottom w:val="single" w:color="000000" w:sz="4"/>
                    <w:right w:val="single" w:color="000000" w:sz="4"/>
                  </w:tcBorders>
                </w:tcPr>
                <w:p/>
              </w:tc>
            </w:tr>
            <w:tr>
              <w:tc>
                <w:tcPr>
                  <w:tcW w:type="dxa" w:w="855"/>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计划生育特殊家庭老人</w:t>
                  </w:r>
                  <w:r>
                    <w:rPr>
                      <w:sz w:val="21"/>
                    </w:rPr>
                    <w:t>0个</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100%覆盖</w:t>
                  </w:r>
                </w:p>
              </w:tc>
              <w:tc>
                <w:tcPr>
                  <w:tcW w:type="dxa" w:w="915"/>
                  <w:vMerge/>
                  <w:tcBorders>
                    <w:top w:val="none" w:color="000000" w:sz="4"/>
                    <w:left w:val="none" w:color="000000" w:sz="4"/>
                    <w:bottom w:val="single" w:color="000000" w:sz="4"/>
                    <w:right w:val="single" w:color="000000" w:sz="4"/>
                  </w:tcBorders>
                </w:tcPr>
                <w:p/>
              </w:tc>
            </w:tr>
            <w:tr>
              <w:tc>
                <w:tcPr>
                  <w:tcW w:type="dxa" w:w="855"/>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困境家庭成员群体</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低保对象</w:t>
                  </w:r>
                  <w:r>
                    <w:rPr>
                      <w:sz w:val="21"/>
                    </w:rPr>
                    <w:t>656</w:t>
                  </w:r>
                  <w:r>
                    <w:rPr>
                      <w:sz w:val="21"/>
                    </w:rPr>
                    <w:t>个</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100%覆盖</w:t>
                  </w:r>
                </w:p>
              </w:tc>
              <w:tc>
                <w:tcPr>
                  <w:tcW w:type="dxa" w:w="915"/>
                  <w:vMerge/>
                  <w:tcBorders>
                    <w:top w:val="none" w:color="000000" w:sz="4"/>
                    <w:left w:val="none" w:color="000000" w:sz="4"/>
                    <w:bottom w:val="single" w:color="000000" w:sz="4"/>
                    <w:right w:val="single" w:color="000000" w:sz="4"/>
                  </w:tcBorders>
                </w:tcPr>
                <w:p/>
              </w:tc>
            </w:tr>
            <w:tr>
              <w:tc>
                <w:tcPr>
                  <w:tcW w:type="dxa" w:w="855"/>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低保边缘家庭（低收入困难家庭）成员</w:t>
                  </w:r>
                  <w:r>
                    <w:rPr>
                      <w:sz w:val="21"/>
                    </w:rPr>
                    <w:t>57</w:t>
                  </w:r>
                  <w:r>
                    <w:rPr>
                      <w:sz w:val="21"/>
                    </w:rPr>
                    <w:t>个</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100%覆盖</w:t>
                  </w:r>
                </w:p>
              </w:tc>
              <w:tc>
                <w:tcPr>
                  <w:tcW w:type="dxa" w:w="915"/>
                  <w:vMerge/>
                  <w:tcBorders>
                    <w:top w:val="none" w:color="000000" w:sz="4"/>
                    <w:left w:val="none" w:color="000000" w:sz="4"/>
                    <w:bottom w:val="single" w:color="000000" w:sz="4"/>
                    <w:right w:val="single" w:color="000000" w:sz="4"/>
                  </w:tcBorders>
                </w:tcPr>
                <w:p/>
              </w:tc>
            </w:tr>
            <w:tr>
              <w:tc>
                <w:tcPr>
                  <w:tcW w:type="dxa" w:w="855"/>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支出型困难家庭成员</w:t>
                  </w:r>
                  <w:r>
                    <w:rPr>
                      <w:sz w:val="21"/>
                    </w:rPr>
                    <w:t>0个</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100%覆盖</w:t>
                  </w:r>
                </w:p>
              </w:tc>
              <w:tc>
                <w:tcPr>
                  <w:tcW w:type="dxa" w:w="915"/>
                  <w:vMerge/>
                  <w:tcBorders>
                    <w:top w:val="none" w:color="000000" w:sz="4"/>
                    <w:left w:val="none" w:color="000000" w:sz="4"/>
                    <w:bottom w:val="single" w:color="000000" w:sz="4"/>
                    <w:right w:val="single" w:color="000000" w:sz="4"/>
                  </w:tcBorders>
                </w:tcPr>
                <w:p/>
              </w:tc>
            </w:tr>
            <w:tr>
              <w:tc>
                <w:tcPr>
                  <w:tcW w:type="dxa" w:w="855"/>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特困人员</w:t>
                  </w:r>
                  <w:r>
                    <w:rPr>
                      <w:sz w:val="21"/>
                    </w:rPr>
                    <w:t>152</w:t>
                  </w:r>
                  <w:r>
                    <w:rPr>
                      <w:sz w:val="21"/>
                    </w:rPr>
                    <w:t>个</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100%覆盖</w:t>
                  </w:r>
                </w:p>
              </w:tc>
              <w:tc>
                <w:tcPr>
                  <w:tcW w:type="dxa" w:w="915"/>
                  <w:vMerge/>
                  <w:tcBorders>
                    <w:top w:val="none" w:color="000000" w:sz="4"/>
                    <w:left w:val="none" w:color="000000" w:sz="4"/>
                    <w:bottom w:val="single" w:color="000000" w:sz="4"/>
                    <w:right w:val="single" w:color="000000" w:sz="4"/>
                  </w:tcBorders>
                </w:tcPr>
                <w:p/>
              </w:tc>
            </w:tr>
            <w:tr>
              <w:tc>
                <w:tcPr>
                  <w:tcW w:type="dxa" w:w="855"/>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单身特困母亲</w:t>
                  </w:r>
                  <w:r>
                    <w:rPr>
                      <w:sz w:val="21"/>
                    </w:rPr>
                    <w:t>0个</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100%覆盖</w:t>
                  </w:r>
                </w:p>
              </w:tc>
              <w:tc>
                <w:tcPr>
                  <w:tcW w:type="dxa" w:w="915"/>
                  <w:vMerge/>
                  <w:tcBorders>
                    <w:top w:val="none" w:color="000000" w:sz="4"/>
                    <w:left w:val="none" w:color="000000" w:sz="4"/>
                    <w:bottom w:val="single" w:color="000000" w:sz="4"/>
                    <w:right w:val="single" w:color="000000" w:sz="4"/>
                  </w:tcBorders>
                </w:tcPr>
                <w:p/>
              </w:tc>
            </w:tr>
            <w:tr>
              <w:tc>
                <w:tcPr>
                  <w:tcW w:type="dxa" w:w="855"/>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农村留守妇女</w:t>
                  </w:r>
                  <w:r>
                    <w:rPr>
                      <w:sz w:val="21"/>
                    </w:rPr>
                    <w:t>0个</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100%覆盖</w:t>
                  </w:r>
                </w:p>
              </w:tc>
              <w:tc>
                <w:tcPr>
                  <w:tcW w:type="dxa" w:w="915"/>
                  <w:vMerge/>
                  <w:tcBorders>
                    <w:top w:val="none" w:color="000000" w:sz="4"/>
                    <w:left w:val="none" w:color="000000" w:sz="4"/>
                    <w:bottom w:val="single" w:color="000000" w:sz="4"/>
                    <w:right w:val="single" w:color="000000" w:sz="4"/>
                  </w:tcBorders>
                </w:tcPr>
                <w:p/>
              </w:tc>
            </w:tr>
            <w:tr>
              <w:tc>
                <w:tcPr>
                  <w:tcW w:type="dxa" w:w="855"/>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其他困境人士及家庭</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残疾人</w:t>
                  </w:r>
                  <w:r>
                    <w:rPr>
                      <w:sz w:val="21"/>
                    </w:rPr>
                    <w:t>753</w:t>
                  </w:r>
                  <w:r>
                    <w:rPr>
                      <w:sz w:val="21"/>
                    </w:rPr>
                    <w:t>个</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100%覆盖</w:t>
                  </w:r>
                </w:p>
              </w:tc>
              <w:tc>
                <w:tcPr>
                  <w:tcW w:type="dxa" w:w="915"/>
                  <w:vMerge/>
                  <w:tcBorders>
                    <w:top w:val="none" w:color="000000" w:sz="4"/>
                    <w:left w:val="none" w:color="000000" w:sz="4"/>
                    <w:bottom w:val="single" w:color="000000" w:sz="4"/>
                    <w:right w:val="single" w:color="000000" w:sz="4"/>
                  </w:tcBorders>
                </w:tcPr>
                <w:p/>
              </w:tc>
            </w:tr>
            <w:tr>
              <w:tc>
                <w:tcPr>
                  <w:tcW w:type="dxa" w:w="855"/>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流浪乞讨人员</w:t>
                  </w:r>
                  <w:r>
                    <w:rPr>
                      <w:sz w:val="21"/>
                    </w:rPr>
                    <w:t>0个</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100%覆盖</w:t>
                  </w:r>
                </w:p>
              </w:tc>
              <w:tc>
                <w:tcPr>
                  <w:tcW w:type="dxa" w:w="915"/>
                  <w:vMerge/>
                  <w:tcBorders>
                    <w:top w:val="none" w:color="000000" w:sz="4"/>
                    <w:left w:val="none" w:color="000000" w:sz="4"/>
                    <w:bottom w:val="single" w:color="000000" w:sz="4"/>
                    <w:right w:val="single" w:color="000000" w:sz="4"/>
                  </w:tcBorders>
                </w:tcPr>
                <w:p/>
              </w:tc>
            </w:tr>
            <w:tr>
              <w:tc>
                <w:tcPr>
                  <w:tcW w:type="dxa" w:w="85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基础性民生服务</w:t>
                  </w:r>
                </w:p>
              </w:tc>
              <w:tc>
                <w:tcPr>
                  <w:tcW w:type="dxa" w:w="70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动员及推动全民慈善</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筹集社会资金不低于</w:t>
                  </w:r>
                  <w:r>
                    <w:rPr>
                      <w:sz w:val="21"/>
                      <w:color w:val="000000"/>
                    </w:rPr>
                    <w:t>10万元</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不低于</w:t>
                  </w:r>
                  <w:r>
                    <w:rPr>
                      <w:sz w:val="21"/>
                      <w:color w:val="000000"/>
                    </w:rPr>
                    <w:t>10万元</w:t>
                  </w:r>
                </w:p>
              </w:tc>
              <w:tc>
                <w:tcPr>
                  <w:tcW w:type="dxa" w:w="91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可依据街（镇）实际情况，选择和调整表中所列的服务需求。</w:t>
                  </w:r>
                </w:p>
              </w:tc>
            </w:tr>
            <w:tr>
              <w:tc>
                <w:tcPr>
                  <w:tcW w:type="dxa" w:w="855"/>
                  <w:vMerge/>
                  <w:tcBorders>
                    <w:top w:val="none" w:color="000000" w:sz="4"/>
                    <w:left w:val="single" w:color="000000" w:sz="4"/>
                    <w:bottom w:val="none" w:color="000000" w:sz="4"/>
                    <w:right w:val="single" w:color="000000" w:sz="4"/>
                  </w:tcBorders>
                </w:tcPr>
                <w:p/>
              </w:tc>
              <w:tc>
                <w:tcPr>
                  <w:tcW w:type="dxa" w:w="705"/>
                  <w:vMerge/>
                  <w:tcBorders>
                    <w:top w:val="none" w:color="000000" w:sz="4"/>
                    <w:left w:val="none" w:color="000000" w:sz="4"/>
                    <w:bottom w:val="none" w:color="000000" w:sz="4"/>
                    <w:right w:val="single" w:color="000000" w:sz="4"/>
                  </w:tcBorders>
                </w:tcP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筹集社会物资总价值不低于</w:t>
                  </w:r>
                  <w:r>
                    <w:rPr>
                      <w:sz w:val="21"/>
                      <w:color w:val="000000"/>
                    </w:rPr>
                    <w:t>40万元</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不低于</w:t>
                  </w:r>
                  <w:r>
                    <w:rPr>
                      <w:sz w:val="21"/>
                      <w:color w:val="000000"/>
                    </w:rPr>
                    <w:t>40万元</w:t>
                  </w:r>
                </w:p>
              </w:tc>
              <w:tc>
                <w:tcPr>
                  <w:tcW w:type="dxa" w:w="915"/>
                  <w:vMerge/>
                  <w:tcBorders>
                    <w:top w:val="none" w:color="000000" w:sz="4"/>
                    <w:left w:val="none" w:color="000000" w:sz="4"/>
                    <w:bottom w:val="single" w:color="000000" w:sz="4"/>
                    <w:right w:val="single" w:color="000000" w:sz="4"/>
                  </w:tcBorders>
                </w:tcPr>
                <w:p/>
              </w:tc>
            </w:tr>
            <w:tr>
              <w:tc>
                <w:tcPr>
                  <w:tcW w:type="dxa" w:w="855"/>
                  <w:vMerge/>
                  <w:tcBorders>
                    <w:top w:val="none" w:color="000000" w:sz="4"/>
                    <w:left w:val="single" w:color="000000" w:sz="4"/>
                    <w:bottom w:val="none" w:color="000000" w:sz="4"/>
                    <w:right w:val="single" w:color="000000" w:sz="4"/>
                  </w:tcBorders>
                </w:tcP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培育</w:t>
                  </w:r>
                  <w:r>
                    <w:rPr>
                      <w:sz w:val="21"/>
                      <w:color w:val="000000"/>
                    </w:rPr>
                    <w:t>老年志愿者队伍</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培育</w:t>
                  </w:r>
                  <w:r>
                    <w:rPr>
                      <w:sz w:val="21"/>
                      <w:color w:val="000000"/>
                    </w:rPr>
                    <w:t>老年志愿者</w:t>
                  </w:r>
                  <w:r>
                    <w:rPr>
                      <w:sz w:val="21"/>
                      <w:color w:val="000000"/>
                    </w:rPr>
                    <w:t>队伍</w:t>
                  </w:r>
                  <w:r>
                    <w:rPr>
                      <w:sz w:val="21"/>
                      <w:color w:val="000000"/>
                    </w:rPr>
                    <w:t>2个</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不少于</w:t>
                  </w:r>
                  <w:r>
                    <w:rPr>
                      <w:sz w:val="21"/>
                      <w:color w:val="000000"/>
                    </w:rPr>
                    <w:t>2个</w:t>
                  </w:r>
                </w:p>
              </w:tc>
              <w:tc>
                <w:tcPr>
                  <w:tcW w:type="dxa" w:w="915"/>
                  <w:vMerge/>
                  <w:tcBorders>
                    <w:top w:val="none" w:color="000000" w:sz="4"/>
                    <w:left w:val="none" w:color="000000" w:sz="4"/>
                    <w:bottom w:val="single" w:color="000000" w:sz="4"/>
                    <w:right w:val="single" w:color="000000" w:sz="4"/>
                  </w:tcBorders>
                </w:tcPr>
                <w:p/>
              </w:tc>
            </w:tr>
            <w:tr>
              <w:tc>
                <w:tcPr>
                  <w:tcW w:type="dxa" w:w="855"/>
                  <w:vMerge/>
                  <w:tcBorders>
                    <w:top w:val="none" w:color="000000" w:sz="4"/>
                    <w:left w:val="single" w:color="000000" w:sz="4"/>
                    <w:bottom w:val="none" w:color="000000" w:sz="4"/>
                    <w:right w:val="single" w:color="000000" w:sz="4"/>
                  </w:tcBorders>
                </w:tcP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联动社区社会组织</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联动</w:t>
                  </w:r>
                  <w:r>
                    <w:rPr>
                      <w:sz w:val="21"/>
                    </w:rPr>
                    <w:t>社区</w:t>
                  </w:r>
                  <w:r>
                    <w:rPr>
                      <w:sz w:val="21"/>
                    </w:rPr>
                    <w:t>社会</w:t>
                  </w:r>
                  <w:r>
                    <w:rPr>
                      <w:sz w:val="21"/>
                    </w:rPr>
                    <w:t>组织</w:t>
                  </w:r>
                  <w:r>
                    <w:rPr>
                      <w:sz w:val="21"/>
                    </w:rPr>
                    <w:t>2个</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不少于</w:t>
                  </w:r>
                  <w:r>
                    <w:rPr>
                      <w:sz w:val="21"/>
                    </w:rPr>
                    <w:t>2个</w:t>
                  </w:r>
                </w:p>
              </w:tc>
              <w:tc>
                <w:tcPr>
                  <w:tcW w:type="dxa" w:w="915"/>
                  <w:vMerge/>
                  <w:tcBorders>
                    <w:top w:val="none" w:color="000000" w:sz="4"/>
                    <w:left w:val="none" w:color="000000" w:sz="4"/>
                    <w:bottom w:val="single" w:color="000000" w:sz="4"/>
                    <w:right w:val="single" w:color="000000" w:sz="4"/>
                  </w:tcBorders>
                </w:tcPr>
                <w:p/>
              </w:tc>
            </w:tr>
            <w:tr>
              <w:tc>
                <w:tcPr>
                  <w:tcW w:type="dxa" w:w="855"/>
                  <w:vMerge/>
                  <w:tcBorders>
                    <w:top w:val="none" w:color="000000" w:sz="4"/>
                    <w:left w:val="single" w:color="000000" w:sz="4"/>
                    <w:bottom w:val="none" w:color="000000" w:sz="4"/>
                    <w:right w:val="single" w:color="000000" w:sz="4"/>
                  </w:tcBorders>
                </w:tcP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特色品牌服务</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结合辖区特点，发挥社会工作专业优势，打造困难群众和特殊群体特色项目</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不少于</w:t>
                  </w:r>
                  <w:r>
                    <w:rPr>
                      <w:sz w:val="21"/>
                    </w:rPr>
                    <w:t>1</w:t>
                  </w:r>
                  <w:r>
                    <w:rPr>
                      <w:sz w:val="21"/>
                    </w:rPr>
                    <w:t>个</w:t>
                  </w:r>
                </w:p>
              </w:tc>
              <w:tc>
                <w:tcPr>
                  <w:tcW w:type="dxa" w:w="915"/>
                  <w:vMerge/>
                  <w:tcBorders>
                    <w:top w:val="none" w:color="000000" w:sz="4"/>
                    <w:left w:val="none" w:color="000000" w:sz="4"/>
                    <w:bottom w:val="single" w:color="000000" w:sz="4"/>
                    <w:right w:val="single" w:color="000000" w:sz="4"/>
                  </w:tcBorders>
                </w:tcPr>
                <w:p/>
              </w:tc>
            </w:tr>
            <w:tr>
              <w:tc>
                <w:tcPr>
                  <w:tcW w:type="dxa" w:w="8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普惠性民生服务</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86"/>
                    <w:jc w:val="center"/>
                  </w:pPr>
                  <w:r>
                    <w:rPr>
                      <w:sz w:val="21"/>
                      <w:color w:val="000000"/>
                    </w:rPr>
                    <w:t>“</w:t>
                  </w:r>
                  <w:r>
                    <w:rPr>
                      <w:sz w:val="21"/>
                      <w:color w:val="000000"/>
                    </w:rPr>
                    <w:t>红棉热线</w:t>
                  </w:r>
                  <w:r>
                    <w:rPr>
                      <w:sz w:val="21"/>
                      <w:color w:val="000000"/>
                    </w:rPr>
                    <w:t>”</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保持热线畅通，应急状态</w:t>
                  </w:r>
                  <w:r>
                    <w:rPr>
                      <w:sz w:val="21"/>
                      <w:color w:val="000000"/>
                    </w:rPr>
                    <w:t>24小时畅通</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畅通</w:t>
                  </w:r>
                </w:p>
              </w:tc>
              <w:tc>
                <w:tcPr>
                  <w:tcW w:type="dxa" w:w="915"/>
                  <w:vMerge/>
                  <w:tcBorders>
                    <w:top w:val="none" w:color="000000" w:sz="4"/>
                    <w:left w:val="none" w:color="000000" w:sz="4"/>
                    <w:bottom w:val="single" w:color="000000" w:sz="4"/>
                    <w:right w:val="single" w:color="000000" w:sz="4"/>
                  </w:tcBorders>
                </w:tcPr>
                <w:p/>
              </w:tc>
            </w:tr>
            <w:tr>
              <w:tc>
                <w:tcPr>
                  <w:tcW w:type="dxa" w:w="855"/>
                  <w:vMerge/>
                  <w:tcBorders>
                    <w:top w:val="none" w:color="000000" w:sz="4"/>
                    <w:left w:val="single" w:color="000000" w:sz="4"/>
                    <w:bottom w:val="single" w:color="000000" w:sz="4"/>
                    <w:right w:val="single" w:color="000000" w:sz="4"/>
                  </w:tcBorders>
                </w:tcP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一般群体</w:t>
                  </w:r>
                </w:p>
              </w:tc>
              <w:tc>
                <w:tcPr>
                  <w:tcW w:type="dxa" w:w="14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临时陷入困境的群众</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视情况</w:t>
                  </w:r>
                </w:p>
              </w:tc>
              <w:tc>
                <w:tcPr>
                  <w:tcW w:type="dxa" w:w="915"/>
                  <w:vMerge/>
                  <w:tcBorders>
                    <w:top w:val="none" w:color="000000" w:sz="4"/>
                    <w:left w:val="none" w:color="000000" w:sz="4"/>
                    <w:bottom w:val="single" w:color="000000" w:sz="4"/>
                    <w:right w:val="single" w:color="000000" w:sz="4"/>
                  </w:tcBorders>
                </w:tcPr>
                <w:p/>
              </w:tc>
            </w:tr>
          </w:tbl>
          <w:p>
            <w:pPr>
              <w:pStyle w:val="null3"/>
              <w:jc w:val="both"/>
            </w:pPr>
            <w:r>
              <w:rPr>
                <w:sz w:val="21"/>
                <w:b/>
              </w:rPr>
              <w:t>三</w:t>
            </w:r>
            <w:r>
              <w:rPr>
                <w:sz w:val="21"/>
                <w:b/>
              </w:rPr>
              <w:t>、项目经费</w:t>
            </w:r>
          </w:p>
          <w:p>
            <w:pPr>
              <w:pStyle w:val="null3"/>
              <w:ind w:firstLine="420"/>
              <w:jc w:val="both"/>
            </w:pPr>
            <w:r>
              <w:rPr>
                <w:sz w:val="21"/>
              </w:rPr>
              <w:t>（一）经费总额：每年为人民币</w:t>
            </w:r>
            <w:r>
              <w:rPr>
                <w:sz w:val="21"/>
              </w:rPr>
              <w:t>166.86</w:t>
            </w:r>
            <w:r>
              <w:rPr>
                <w:sz w:val="21"/>
              </w:rPr>
              <w:t>万元（大写：壹佰陆拾陆万捌仟陆佰元整），含人员费用、服务质量保障费用及承接机构管理费用。</w:t>
            </w:r>
          </w:p>
          <w:p>
            <w:pPr>
              <w:pStyle w:val="null3"/>
              <w:ind w:firstLine="420"/>
              <w:jc w:val="both"/>
            </w:pPr>
            <w:r>
              <w:rPr>
                <w:sz w:val="21"/>
              </w:rPr>
              <w:t>（二）项目经费根据《广州市社工服务站管理办法》及合同约定的方式分期拨付。</w:t>
            </w:r>
          </w:p>
          <w:p>
            <w:pPr>
              <w:pStyle w:val="null3"/>
              <w:jc w:val="both"/>
            </w:pPr>
            <w:r>
              <w:rPr>
                <w:sz w:val="21"/>
                <w:b/>
              </w:rPr>
              <w:t>四</w:t>
            </w:r>
            <w:r>
              <w:rPr>
                <w:sz w:val="21"/>
                <w:b/>
              </w:rPr>
              <w:t>、其他要求</w:t>
            </w:r>
          </w:p>
          <w:p>
            <w:pPr>
              <w:pStyle w:val="null3"/>
              <w:ind w:firstLine="420"/>
              <w:jc w:val="both"/>
            </w:pPr>
            <w:r>
              <w:rPr>
                <w:sz w:val="21"/>
              </w:rPr>
              <w:t>（一）成交人有以下行为之一，经调查核实的，采购人有权上报监管单位，依法单方面终止合同并追究其全部责任：</w:t>
            </w:r>
          </w:p>
          <w:p>
            <w:pPr>
              <w:pStyle w:val="null3"/>
              <w:jc w:val="both"/>
            </w:pPr>
            <w:r>
              <w:rPr>
                <w:sz w:val="21"/>
              </w:rPr>
              <w:t>1.</w:t>
            </w:r>
            <w:r>
              <w:rPr>
                <w:sz w:val="21"/>
              </w:rPr>
              <w:t>弄虚作假，提供虚假材料取得成交人资格的；</w:t>
            </w:r>
          </w:p>
          <w:p>
            <w:pPr>
              <w:pStyle w:val="null3"/>
              <w:jc w:val="both"/>
            </w:pPr>
            <w:r>
              <w:rPr>
                <w:sz w:val="21"/>
              </w:rPr>
              <w:t>2.</w:t>
            </w:r>
            <w:r>
              <w:rPr>
                <w:sz w:val="21"/>
              </w:rPr>
              <w:t>成交项目有转包、分包行为的；</w:t>
            </w:r>
          </w:p>
          <w:p>
            <w:pPr>
              <w:pStyle w:val="null3"/>
              <w:jc w:val="both"/>
            </w:pPr>
            <w:r>
              <w:rPr>
                <w:sz w:val="21"/>
              </w:rPr>
              <w:t>3.</w:t>
            </w:r>
            <w:r>
              <w:rPr>
                <w:sz w:val="21"/>
              </w:rPr>
              <w:t>经营情况发生重大变更，已经不具备承接成交供应项目能力的；</w:t>
            </w:r>
          </w:p>
          <w:p>
            <w:pPr>
              <w:pStyle w:val="null3"/>
              <w:jc w:val="both"/>
            </w:pPr>
            <w:r>
              <w:rPr>
                <w:sz w:val="21"/>
              </w:rPr>
              <w:t>4.</w:t>
            </w:r>
            <w:r>
              <w:rPr>
                <w:sz w:val="21"/>
              </w:rPr>
              <w:t>无正当理由拒绝履行合同向采购人提供服务的；</w:t>
            </w:r>
          </w:p>
          <w:p>
            <w:pPr>
              <w:pStyle w:val="null3"/>
              <w:jc w:val="both"/>
            </w:pPr>
            <w:r>
              <w:rPr>
                <w:sz w:val="21"/>
              </w:rPr>
              <w:t>5.</w:t>
            </w:r>
            <w:r>
              <w:rPr>
                <w:sz w:val="21"/>
              </w:rPr>
              <w:t>有行贿、不符合法律法规相关要求等不正当竞争行为的；</w:t>
            </w:r>
          </w:p>
          <w:p>
            <w:pPr>
              <w:pStyle w:val="null3"/>
              <w:jc w:val="both"/>
            </w:pPr>
            <w:r>
              <w:rPr>
                <w:sz w:val="21"/>
              </w:rPr>
              <w:t>6.</w:t>
            </w:r>
            <w:r>
              <w:rPr>
                <w:sz w:val="21"/>
              </w:rPr>
              <w:t>有其他违法违纪行为的。</w:t>
            </w:r>
          </w:p>
          <w:p>
            <w:pPr>
              <w:pStyle w:val="null3"/>
              <w:ind w:firstLine="420"/>
              <w:jc w:val="both"/>
            </w:pPr>
            <w:r>
              <w:rPr>
                <w:sz w:val="21"/>
              </w:rPr>
              <w:t>（二）成交人如有违反《中华人民共和国政府采购法》及其实施条例的行为，采购人可单方面解除合同，所造成的一切损失均由成交人承担。</w:t>
            </w:r>
          </w:p>
          <w:p>
            <w:pPr>
              <w:pStyle w:val="null3"/>
            </w:pPr>
            <w:r>
              <w:rPr>
                <w:sz w:val="21"/>
                <w:color w:val="000000"/>
              </w:rPr>
              <w:t>（三）成交人按合同约定不得转包、分包，否则采购人有权上报监管单位，并有权单方面终止合同，项目另行处理，成交人承担采购人由此受到的经济损失。</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20"/>
              <w:jc w:val="both"/>
            </w:pPr>
            <w:r>
              <w:rPr>
                <w:sz w:val="21"/>
              </w:rPr>
              <w:t>（</w:t>
            </w:r>
            <w:r>
              <w:rPr>
                <w:sz w:val="21"/>
              </w:rPr>
              <w:t>1</w:t>
            </w:r>
            <w:r>
              <w:rPr>
                <w:sz w:val="21"/>
              </w:rPr>
              <w:t>）★成交人应按照《中华人民共和国劳动法》及《中华人民共和国劳动合同法》等有关规定发放工资，服务人员工资不得低于广州市企业职工最低工资标准（工资不含按国家规定供应商必须支付的社会保险及其他应付费用）。（需在响应文件中提供承诺函，格式自拟）</w:t>
            </w:r>
            <w:r>
              <w:rPr/>
              <w:t xml:space="preserve"> </w:t>
            </w:r>
          </w:p>
          <w:p>
            <w:pPr>
              <w:pStyle w:val="null3"/>
              <w:ind w:firstLine="420"/>
              <w:jc w:val="both"/>
            </w:pPr>
            <w:r>
              <w:rPr>
                <w:sz w:val="21"/>
              </w:rPr>
              <w:t>（</w:t>
            </w:r>
            <w:r>
              <w:rPr>
                <w:sz w:val="21"/>
              </w:rPr>
              <w:t>2</w:t>
            </w:r>
            <w:r>
              <w:rPr>
                <w:sz w:val="21"/>
              </w:rPr>
              <w:t>）★成交人应按照《中华人民共和国社会保险法》和《住房公积金管理条例》的相关规定，支付国家规定必须购买的社会保险费用和缴存住房公积金。（需在响应文件中提供承诺函，格式自拟）</w:t>
            </w:r>
          </w:p>
          <w:p>
            <w:pPr>
              <w:pStyle w:val="null3"/>
            </w:pPr>
            <w:r>
              <w:rPr>
                <w:sz w:val="21"/>
                <w:color w:val="000000"/>
              </w:rPr>
              <w:t>（</w:t>
            </w:r>
            <w:r>
              <w:rPr>
                <w:sz w:val="21"/>
                <w:color w:val="000000"/>
              </w:rPr>
              <w:t>3）★服务人员</w:t>
            </w:r>
            <w:r>
              <w:rPr>
                <w:sz w:val="21"/>
                <w:color w:val="000000"/>
              </w:rPr>
              <w:t>根据《广州市社工服务站管理办法》、《广州市民政局关于印发《广州市社工站购买服务项目服务清单（民政领域社会工作）》等文件的通知》（穗民</w:t>
            </w:r>
            <w:r>
              <w:rPr>
                <w:sz w:val="21"/>
                <w:color w:val="000000"/>
              </w:rPr>
              <w:t>[2025]16号</w:t>
            </w:r>
            <w:r>
              <w:rPr>
                <w:sz w:val="21"/>
                <w:color w:val="000000"/>
              </w:rPr>
              <w:t>）要求，</w:t>
            </w:r>
            <w:r>
              <w:rPr>
                <w:sz w:val="21"/>
                <w:color w:val="000000"/>
              </w:rPr>
              <w:t>至少</w:t>
            </w:r>
            <w:r>
              <w:rPr>
                <w:sz w:val="21"/>
                <w:color w:val="000000"/>
              </w:rPr>
              <w:t>配备全职社工</w:t>
            </w:r>
            <w:r>
              <w:rPr>
                <w:sz w:val="21"/>
                <w:color w:val="000000"/>
              </w:rPr>
              <w:t>1</w:t>
            </w:r>
            <w:r>
              <w:rPr>
                <w:sz w:val="21"/>
                <w:color w:val="000000"/>
              </w:rPr>
              <w:t>6</w:t>
            </w:r>
            <w:r>
              <w:rPr>
                <w:sz w:val="21"/>
                <w:color w:val="000000"/>
              </w:rPr>
              <w:t>名</w:t>
            </w:r>
            <w:r>
              <w:rPr>
                <w:sz w:val="21"/>
                <w:color w:val="000000"/>
              </w:rPr>
              <w:t>，负责对所辖村（居）提供兜底民生社会工作服务</w:t>
            </w:r>
            <w:r>
              <w:rPr>
                <w:sz w:val="21"/>
                <w:color w:val="000000"/>
              </w:rPr>
              <w:t>，</w:t>
            </w:r>
            <w:r>
              <w:rPr>
                <w:sz w:val="21"/>
                <w:color w:val="000000"/>
              </w:rPr>
              <w:t>确保达到正果镇西片区社工服务满足采购需求</w:t>
            </w:r>
            <w:r>
              <w:rPr>
                <w:sz w:val="21"/>
                <w:b/>
                <w:color w:val="000000"/>
              </w:rPr>
              <w:t>。</w:t>
            </w:r>
            <w:r>
              <w:rPr>
                <w:sz w:val="21"/>
                <w:color w:val="000000"/>
              </w:rPr>
              <w:t>（需在响应文件中提供承诺函，格式自拟）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1.采购代理机构：本项目是指广州群生招标代理有限公司，负责整个采购活动的组织，依法负责编制和发布磋商文件，对磋商文件拥有最终的解释权，不以任何身份出任磋商小组成员。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广州市增城区正果镇人民政府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采购机构代理服务收费标准：以项目采购预算金额作为计算基数，参照中华人民共和国国家发展计划委员会颁发的计价格〔 2002〕1980号、发改办价格〔2003〕857号及发改价格〔2011〕534号文规定的“服务类”计费标准计算并缴纳。</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邓工</w:t>
      </w:r>
    </w:p>
    <w:p>
      <w:pPr>
        <w:pStyle w:val="null3"/>
        <w:ind w:firstLine="480"/>
      </w:pPr>
      <w:r>
        <w:rPr/>
        <w:t>电话：</w:t>
      </w:r>
      <w:r>
        <w:rPr/>
        <w:t>020-82624228</w:t>
      </w:r>
    </w:p>
    <w:p>
      <w:pPr>
        <w:pStyle w:val="null3"/>
        <w:ind w:firstLine="480"/>
      </w:pPr>
      <w:r>
        <w:rPr/>
        <w:t>传真：</w:t>
      </w:r>
      <w:r>
        <w:rPr/>
        <w:t>020-83812783</w:t>
      </w:r>
    </w:p>
    <w:p>
      <w:pPr>
        <w:pStyle w:val="null3"/>
        <w:ind w:firstLine="480"/>
      </w:pPr>
      <w:r>
        <w:rPr/>
        <w:t>邮箱：</w:t>
      </w:r>
      <w:r>
        <w:rPr/>
        <w:t>gzqunsheng@gzqunsheng.com</w:t>
      </w:r>
    </w:p>
    <w:p>
      <w:pPr>
        <w:pStyle w:val="null3"/>
        <w:ind w:firstLine="480"/>
      </w:pPr>
      <w:r>
        <w:rPr/>
        <w:t>地址：</w:t>
      </w:r>
      <w:r>
        <w:rPr/>
        <w:t>广东省广州市越秀区东风东路555号粤海集团大厦2204</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政府采购监督管理机构名称：广州市增城区财政局（政府采购管理办公室）</w:t>
      </w:r>
    </w:p>
    <w:p>
      <w:pPr>
        <w:pStyle w:val="null3"/>
      </w:pPr>
      <w:r>
        <w:rPr/>
        <w:t>地 址：广州市增城区荔城街荔乡路21号</w:t>
      </w:r>
    </w:p>
    <w:p>
      <w:pPr>
        <w:pStyle w:val="null3"/>
      </w:pPr>
      <w:r>
        <w:rPr/>
        <w:t>电 话：020-82623117、020-82656610</w:t>
      </w:r>
    </w:p>
    <w:p>
      <w:pPr>
        <w:pStyle w:val="null3"/>
      </w:pPr>
      <w:r>
        <w:rPr/>
        <w:t>邮 编：511300</w:t>
      </w:r>
    </w:p>
    <w:p>
      <w:pPr>
        <w:pStyle w:val="null3"/>
      </w:pPr>
      <w:r>
        <w:rPr/>
        <w:t>传 真：020-82622883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正果镇社工服务站（西片区）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广州群生招标代理有限公司</w:t>
      </w:r>
      <w:r>
        <w:rPr/>
        <w:t>统一对外发布。</w:t>
      </w:r>
    </w:p>
    <w:p>
      <w:pPr>
        <w:pStyle w:val="null3"/>
        <w:ind w:firstLine="480"/>
      </w:pPr>
      <w:r>
        <w:rPr/>
        <w:t>（2）对</w:t>
      </w:r>
      <w:r>
        <w:rPr/>
        <w:t>广州群生招标代理有限公司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采购包1（正果镇社工服务站（西片区）服务项目）：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本项目服务全部为小型或微型企业承接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采购包1（正果镇社工服务站（西片区）服务项目）：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响应供应商资格声明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提供《响应供应商资格声明函》，详见磋商公告附件。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提供《响应供应商资格声明函》，详见磋商公告附件。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提供《响应供应商资格声明函》，详见磋商公告附件。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提供《响应供应商资格声明函》，格式详见招标公告附件。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 重大税收违法案件当事人名单”记录名单；不处于中国政府采购网(www.ccgp.go v.cn)“政府采购严重违法失信行为信息记录”中的禁止参加政府采购活动期间。（以采购代理机构于投标（响应）截止时间当天在“信用中国”网站（www.creditchi na.gov.cn） 及中国政府采购网（http://www.ccgp.gov.cn/） 查询结果为准，如相关失信记录已失效，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管理关系的不同供应商，不得同时参加本采购项目（或采购包）投标（响应）。为本项目提供整体设计、 规范编制或者项目管理、监理、检测等服务的供应商，不得再参与本项目投标（响应）。提供《响应供应商资格声明函》。</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本项目不属于专门面向中小微企业采购项目。原因和情形为：按照《政府采购促进中小企业发展管理办法》规定预留采购份额无法确保充分供应、充分竞争，或者存在可能影响政府采购目标实现的情形。</w:t>
            </w:r>
          </w:p>
        </w:tc>
      </w:tr>
    </w:tbl>
    <w:p>
      <w:pPr>
        <w:pStyle w:val="null3"/>
        <w:ind w:firstLine="480"/>
      </w:pPr>
      <w:r>
        <w:rPr/>
        <w:t>表二符合性审查表：</w:t>
      </w:r>
    </w:p>
    <w:p>
      <w:pPr>
        <w:pStyle w:val="null3"/>
      </w:pPr>
      <w:r>
        <w:rPr/>
        <w:t>采购包1（正果镇社工服务站（西片区）服务项目）：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按照磋商文件规定要求签署、盖章且响应文件有法定代表人签字或盖个人名章（或签字人有法定代表人有效授权书）的</w:t>
            </w:r>
          </w:p>
        </w:tc>
        <w:tc>
          <w:tcPr>
            <w:tcW w:type="dxa" w:w="4238"/>
          </w:tcPr>
          <w:p>
            <w:pPr>
              <w:pStyle w:val="null3"/>
            </w:pPr>
            <w:r>
              <w:rPr/>
              <w:t>按照磋商文件规定要求签署、盖章且响应文件有法定代表人签字或盖个人名章（或签字人有法定代表人有效授权书）的;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法定代表人证明书或法定代表人授权书</w:t>
            </w:r>
          </w:p>
        </w:tc>
        <w:tc>
          <w:tcPr>
            <w:tcW w:type="dxa" w:w="4238"/>
          </w:tcPr>
          <w:p>
            <w:pPr>
              <w:pStyle w:val="null3"/>
            </w:pPr>
            <w:r>
              <w:rPr/>
              <w:t>法定代表人证明书或法定代表人授权书</w:t>
            </w:r>
          </w:p>
        </w:tc>
      </w:tr>
      <w:tr>
        <w:tc>
          <w:tcPr>
            <w:tcW w:type="dxa" w:w="890"/>
          </w:tcPr>
          <w:p>
            <w:pPr>
              <w:pStyle w:val="null3"/>
            </w:pPr>
            <w:r>
              <w:rPr/>
              <w:t>3</w:t>
            </w:r>
          </w:p>
        </w:tc>
        <w:tc>
          <w:tcPr>
            <w:tcW w:type="dxa" w:w="3178"/>
          </w:tcPr>
          <w:p>
            <w:pPr>
              <w:pStyle w:val="null3"/>
            </w:pPr>
            <w:r>
              <w:rPr/>
              <w:t>最后磋商报价确定且未超过本项目最高限价的</w:t>
            </w:r>
          </w:p>
        </w:tc>
        <w:tc>
          <w:tcPr>
            <w:tcW w:type="dxa" w:w="4238"/>
          </w:tcPr>
          <w:p>
            <w:pPr>
              <w:pStyle w:val="null3"/>
            </w:pPr>
            <w:r>
              <w:rPr/>
              <w:t>最后磋商报价确定且未超过本项目最高限价的；</w:t>
            </w:r>
          </w:p>
        </w:tc>
      </w:tr>
      <w:tr>
        <w:tc>
          <w:tcPr>
            <w:tcW w:type="dxa" w:w="890"/>
          </w:tcPr>
          <w:p>
            <w:pPr>
              <w:pStyle w:val="null3"/>
            </w:pPr>
            <w:r>
              <w:rPr/>
              <w:t>4</w:t>
            </w:r>
          </w:p>
        </w:tc>
        <w:tc>
          <w:tcPr>
            <w:tcW w:type="dxa" w:w="3178"/>
          </w:tcPr>
          <w:p>
            <w:pPr>
              <w:pStyle w:val="null3"/>
            </w:pPr>
            <w:r>
              <w:rPr/>
              <w:t>响应文件未出现选择性报价或有附加条件报价的情形</w:t>
            </w:r>
          </w:p>
        </w:tc>
        <w:tc>
          <w:tcPr>
            <w:tcW w:type="dxa" w:w="4238"/>
          </w:tcPr>
          <w:p>
            <w:pPr>
              <w:pStyle w:val="null3"/>
            </w:pPr>
            <w:r>
              <w:rPr/>
              <w:t>响应文件未出现选择性报价或有附加条件报价的情形;</w:t>
            </w:r>
          </w:p>
        </w:tc>
      </w:tr>
      <w:tr>
        <w:tc>
          <w:tcPr>
            <w:tcW w:type="dxa" w:w="890"/>
          </w:tcPr>
          <w:p>
            <w:pPr>
              <w:pStyle w:val="null3"/>
            </w:pPr>
            <w:r>
              <w:rPr/>
              <w:t>5</w:t>
            </w:r>
          </w:p>
        </w:tc>
        <w:tc>
          <w:tcPr>
            <w:tcW w:type="dxa" w:w="3178"/>
          </w:tcPr>
          <w:p>
            <w:pPr>
              <w:pStyle w:val="null3"/>
            </w:pPr>
            <w:r>
              <w:rPr/>
              <w:t>响应文件完全满足磋商文件的实质性条款（即标注★号条款）无负偏离的</w:t>
            </w:r>
          </w:p>
        </w:tc>
        <w:tc>
          <w:tcPr>
            <w:tcW w:type="dxa" w:w="4238"/>
          </w:tcPr>
          <w:p>
            <w:pPr>
              <w:pStyle w:val="null3"/>
            </w:pPr>
            <w:r>
              <w:rPr/>
              <w:t>响应文件完全满足磋商文件的实质性条款（即标注★号条款）无负偏离的;</w:t>
            </w:r>
          </w:p>
        </w:tc>
      </w:tr>
      <w:tr>
        <w:tc>
          <w:tcPr>
            <w:tcW w:type="dxa" w:w="890"/>
          </w:tcPr>
          <w:p>
            <w:pPr>
              <w:pStyle w:val="null3"/>
            </w:pPr>
            <w:r>
              <w:rPr/>
              <w:t>6</w:t>
            </w:r>
          </w:p>
        </w:tc>
        <w:tc>
          <w:tcPr>
            <w:tcW w:type="dxa" w:w="3178"/>
          </w:tcPr>
          <w:p>
            <w:pPr>
              <w:pStyle w:val="null3"/>
            </w:pPr>
            <w:r>
              <w:rPr/>
              <w:t>响应文件没有磋商文件中规定的其它无效响应条款的</w:t>
            </w:r>
          </w:p>
        </w:tc>
        <w:tc>
          <w:tcPr>
            <w:tcW w:type="dxa" w:w="4238"/>
          </w:tcPr>
          <w:p>
            <w:pPr>
              <w:pStyle w:val="null3"/>
            </w:pPr>
            <w:r>
              <w:rPr/>
              <w:t>响应文件没有磋商文件中规定的其它无效响应条款的;</w:t>
            </w:r>
          </w:p>
        </w:tc>
      </w:tr>
      <w:tr>
        <w:tc>
          <w:tcPr>
            <w:tcW w:type="dxa" w:w="890"/>
          </w:tcPr>
          <w:p>
            <w:pPr>
              <w:pStyle w:val="null3"/>
            </w:pPr>
            <w:r>
              <w:rPr/>
              <w:t>7</w:t>
            </w:r>
          </w:p>
        </w:tc>
        <w:tc>
          <w:tcPr>
            <w:tcW w:type="dxa" w:w="3178"/>
          </w:tcPr>
          <w:p>
            <w:pPr>
              <w:pStyle w:val="null3"/>
            </w:pPr>
            <w:r>
              <w:rPr/>
              <w:t>按有关法律、法规、规章不属于报价无效的</w:t>
            </w:r>
          </w:p>
        </w:tc>
        <w:tc>
          <w:tcPr>
            <w:tcW w:type="dxa" w:w="4238"/>
          </w:tcPr>
          <w:p>
            <w:pPr>
              <w:pStyle w:val="null3"/>
            </w:pPr>
            <w:r>
              <w:rPr/>
              <w:t>按有关法律、法规、规章不属于报价无效的。</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采购包1(正果镇社工服务站（西片区）服务项目):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项目服务需求及服务目标辨识确定能力要求 (8.0分)</w:t>
            </w:r>
          </w:p>
        </w:tc>
        <w:tc>
          <w:tcPr>
            <w:tcW w:type="dxa" w:w="5076"/>
          </w:tcPr>
          <w:p>
            <w:pPr>
              <w:pStyle w:val="null3"/>
              <w:jc w:val="left"/>
            </w:pPr>
            <w:r>
              <w:rPr/>
              <w:t>根据响应供应商对项目服务需求及服务目标辨识程度（包括但不限于评估和辨识项目所在地社区的不同服务对象、区分重点服务对象和一般服务对象及其问题和需求、设置可行的服务目标）进行综合评审：（1）能够精准识别在地困难群众和特殊群体，并能全面清晰区分不同服务对象的需求和问题，设置的服务目标合理可行，完全满足采购需求，得8分。 （2）能够识别在地困难群众和特殊群体，对需求和问题把握有涵盖，设置的服务目标规范，部分满足采购需求，得5分。 （3）不能够识别部分在地困难群众和特殊群体，对需求和问题的分析有欠缺，设置的服务目标不够合理可行，不能满足采购需求，得2分。 （4）无响应的，得0分。</w:t>
            </w:r>
          </w:p>
        </w:tc>
      </w:tr>
      <w:tr>
        <w:tc>
          <w:tcPr>
            <w:tcW w:type="dxa" w:w="922"/>
            <w:gridSpan w:val="2"/>
            <w:vMerge/>
          </w:tcPr>
          <w:p/>
        </w:tc>
        <w:tc>
          <w:tcPr>
            <w:tcW w:type="dxa" w:w="2307"/>
          </w:tcPr>
          <w:p>
            <w:pPr>
              <w:pStyle w:val="null3"/>
              <w:jc w:val="left"/>
            </w:pPr>
            <w:r>
              <w:rPr/>
              <w:t>项目计划的合理性和可行性要求1 (8.0分)</w:t>
            </w:r>
          </w:p>
        </w:tc>
        <w:tc>
          <w:tcPr>
            <w:tcW w:type="dxa" w:w="5076"/>
          </w:tcPr>
          <w:p>
            <w:pPr>
              <w:pStyle w:val="null3"/>
              <w:jc w:val="left"/>
            </w:pPr>
            <w:r>
              <w:rPr/>
              <w:t>针对采购人辖内17类困难群众和特殊群体的重点需求，设计合理、可行的项目服务方案，根据服务计划进行评审： （1）针对困难群众和特殊群体的重点需求，设计的服务计划详细具体，贴合本地实际情况，完全符合采购需求，得8分。 （2）针对困难群众和特殊群体的重点需求，设计的服务计划合理，部分符合采购需求，得5分。 （3）不能针对困难群众和特殊群体的重点需求设计服务计划，不符合采购需求，得2分。 （4）无响应的，得0分。 备注：出具项目服务计划书或方案</w:t>
            </w:r>
          </w:p>
        </w:tc>
      </w:tr>
      <w:tr>
        <w:tc>
          <w:tcPr>
            <w:tcW w:type="dxa" w:w="922"/>
            <w:gridSpan w:val="2"/>
            <w:vMerge/>
          </w:tcPr>
          <w:p/>
        </w:tc>
        <w:tc>
          <w:tcPr>
            <w:tcW w:type="dxa" w:w="2307"/>
          </w:tcPr>
          <w:p>
            <w:pPr>
              <w:pStyle w:val="null3"/>
              <w:jc w:val="left"/>
            </w:pPr>
            <w:r>
              <w:rPr/>
              <w:t>项目计划的合理性和可行性要求2 (8.0分)</w:t>
            </w:r>
          </w:p>
        </w:tc>
        <w:tc>
          <w:tcPr>
            <w:tcW w:type="dxa" w:w="5076"/>
          </w:tcPr>
          <w:p>
            <w:pPr>
              <w:pStyle w:val="null3"/>
              <w:jc w:val="left"/>
            </w:pPr>
            <w:r>
              <w:rPr/>
              <w:t>针对采购人辖区的基础性民生服务需求，围绕兜底民生服务对象的需求和社区居民参与公益服务的意愿，强化“五社联动”机制，设计社区公益慈善服务项目，设计合理、可行的项目服务方案，根据服务计划进行评审： （1）涵盖上述所有内容，对项目的服务计划设计内容详细具体，符合采购需求服务要求，得8分。 （2）涵盖上述所有内容，对项目的服务计划设计内容合理可行，部分符合采购需求服务要求，得5分。 （3）未涵盖上述所有内容，对项目的服务计划设计不够合理，不符合采购需求服务要求，得2分。 （4）无响应的，得0分。 备注：出具项目服务计划书或方案。</w:t>
            </w:r>
          </w:p>
        </w:tc>
      </w:tr>
      <w:tr>
        <w:tc>
          <w:tcPr>
            <w:tcW w:type="dxa" w:w="922"/>
            <w:gridSpan w:val="2"/>
            <w:vMerge/>
          </w:tcPr>
          <w:p/>
        </w:tc>
        <w:tc>
          <w:tcPr>
            <w:tcW w:type="dxa" w:w="2307"/>
          </w:tcPr>
          <w:p>
            <w:pPr>
              <w:pStyle w:val="null3"/>
              <w:jc w:val="left"/>
            </w:pPr>
            <w:r>
              <w:rPr/>
              <w:t>有健全规范的服务管理制度 (6.0分)</w:t>
            </w:r>
          </w:p>
        </w:tc>
        <w:tc>
          <w:tcPr>
            <w:tcW w:type="dxa" w:w="5076"/>
          </w:tcPr>
          <w:p>
            <w:pPr>
              <w:pStyle w:val="null3"/>
              <w:jc w:val="left"/>
            </w:pPr>
            <w:r>
              <w:rPr/>
              <w:t>根据响应供应商有健全规范的服务管理制度（包括但不限于员工管理、服务质量管理监测、绩效考核、应急及安全保障制度）进行评审： （1）有系统的服务保障制度，且合理性和可执行性强，完全满足本项目采购需求的，得6分； （2）有较系统的服务保障制度，且具有一定的合理性和可执行性，基本满足本项目采购需求的，得3分。 （3）服务保障制度有欠缺，可执行性较低的，不能满足本项目采购需求的，得1分。 （4）无相关服务保障制度的，得0分。</w:t>
            </w:r>
          </w:p>
        </w:tc>
      </w:tr>
      <w:tr>
        <w:tc>
          <w:tcPr>
            <w:tcW w:type="dxa" w:w="922"/>
            <w:gridSpan w:val="2"/>
            <w:vMerge/>
          </w:tcPr>
          <w:p/>
        </w:tc>
        <w:tc>
          <w:tcPr>
            <w:tcW w:type="dxa" w:w="2307"/>
          </w:tcPr>
          <w:p>
            <w:pPr>
              <w:pStyle w:val="null3"/>
              <w:jc w:val="left"/>
            </w:pPr>
            <w:r>
              <w:rPr/>
              <w:t>项目建立内部督导机制 (6.0分)</w:t>
            </w:r>
          </w:p>
        </w:tc>
        <w:tc>
          <w:tcPr>
            <w:tcW w:type="dxa" w:w="5076"/>
          </w:tcPr>
          <w:p>
            <w:pPr>
              <w:pStyle w:val="null3"/>
              <w:jc w:val="left"/>
            </w:pPr>
            <w:r>
              <w:rPr/>
              <w:t>建立项目内部督导制度，与外部督导共同做好项目督导工作：建立内部督导制度，并在所配备的全职社工中，选取1名以上具有5年或以上社工服务经验或社工服务管理经验，履行内部督导工作职能；建立内外部双督导联动机制，与双百督导共同做好专业支持和服务保障等督导工作。提供承诺函、督导工作有关制度的，得6分；无响应的，得0分。 备注：提供承诺函、督导工作制度有关证明材料，无提供不得分。</w:t>
            </w:r>
          </w:p>
        </w:tc>
      </w:tr>
      <w:tr>
        <w:tc>
          <w:tcPr>
            <w:tcW w:type="dxa" w:w="922"/>
            <w:gridSpan w:val="2"/>
            <w:vMerge/>
          </w:tcPr>
          <w:p/>
        </w:tc>
        <w:tc>
          <w:tcPr>
            <w:tcW w:type="dxa" w:w="2307"/>
          </w:tcPr>
          <w:p>
            <w:pPr>
              <w:pStyle w:val="null3"/>
              <w:jc w:val="left"/>
            </w:pPr>
            <w:r>
              <w:rPr/>
              <w:t>项目计划实施的制度保障要 (6.0分)</w:t>
            </w:r>
          </w:p>
        </w:tc>
        <w:tc>
          <w:tcPr>
            <w:tcW w:type="dxa" w:w="5076"/>
          </w:tcPr>
          <w:p>
            <w:pPr>
              <w:pStyle w:val="null3"/>
              <w:jc w:val="left"/>
            </w:pPr>
            <w:r>
              <w:rPr/>
              <w:t>根据响应供应商的项目计划实施的制度保障要求（包括但不限于员工管理、服务质量管理监测、绩效考核、应急及安全保障制度）进行评审： （1）有系统的服务保障制度，内容详细具体，且合理性和可执行性强，完全满足本项目采购需求的，得6分。 （2）有系统的服务保障制度，内容规范合理，具有可执行性，部分满足本项目采购需求的，得3分。 （3）服务保障制度有欠缺，可执行性低的，不能满足本项目采购需求的，得1分。 （4）无相关服务保障制度的，得0分。</w:t>
            </w:r>
          </w:p>
        </w:tc>
      </w:tr>
      <w:tr>
        <w:tc>
          <w:tcPr>
            <w:tcW w:type="dxa" w:w="922"/>
            <w:gridSpan w:val="2"/>
            <w:vMerge/>
          </w:tcPr>
          <w:p/>
        </w:tc>
        <w:tc>
          <w:tcPr>
            <w:tcW w:type="dxa" w:w="2307"/>
          </w:tcPr>
          <w:p>
            <w:pPr>
              <w:pStyle w:val="null3"/>
              <w:jc w:val="left"/>
            </w:pPr>
            <w:r>
              <w:rPr/>
              <w:t>项目服务的其他要求 (8.0分)</w:t>
            </w:r>
          </w:p>
        </w:tc>
        <w:tc>
          <w:tcPr>
            <w:tcW w:type="dxa" w:w="5076"/>
          </w:tcPr>
          <w:p>
            <w:pPr>
              <w:pStyle w:val="null3"/>
              <w:jc w:val="left"/>
            </w:pPr>
            <w:r>
              <w:rPr/>
              <w:t>根据响应供应商提供的特色服务或创新服务方案（结合正果镇特点，开展切合正果地区需要的特色服务）进行评审：（1）特色服务或创新服务设置具有较强的操作性和可执行性，完全符合采购人需求，得8分。 （2）特色服务或创新服务设置具有基本的操作性和可执行性，部分符合采购人需求，得5分。 （3）特色服务或创新服务设置部分操作性和可执行性低，不符合采购人需求，得2分。 （4）未提供相关方案的，得0分。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对非重大违法违规记录的扣分 (6.0分)</w:t>
            </w:r>
          </w:p>
        </w:tc>
        <w:tc>
          <w:tcPr>
            <w:tcW w:type="dxa" w:w="5076"/>
          </w:tcPr>
          <w:p>
            <w:pPr>
              <w:pStyle w:val="null3"/>
              <w:jc w:val="left"/>
            </w:pPr>
            <w:r>
              <w:rPr/>
              <w:t>以“信用中国”（www.creditchina.gov.cn）网站为查询渠道： 对列入行政处罚或经营异常的供应商每一条记录扣2分。 以上合计最高扣6分。如查询结果显示没有相关记录，视为没有上述非重大违法违规记录，则不扣分。以评标委员会于评审时在上述网站查询结果为准，磋商小组应将上述记录查询情况截图存档。</w:t>
            </w:r>
          </w:p>
        </w:tc>
      </w:tr>
      <w:tr>
        <w:tc>
          <w:tcPr>
            <w:tcW w:type="dxa" w:w="922"/>
            <w:gridSpan w:val="2"/>
            <w:vMerge/>
          </w:tcPr>
          <w:p/>
        </w:tc>
        <w:tc>
          <w:tcPr>
            <w:tcW w:type="dxa" w:w="2307"/>
          </w:tcPr>
          <w:p>
            <w:pPr>
              <w:pStyle w:val="null3"/>
              <w:jc w:val="left"/>
            </w:pPr>
            <w:r>
              <w:rPr/>
              <w:t>有健全规范的财务管理执行能力 (6.0分)</w:t>
            </w:r>
          </w:p>
        </w:tc>
        <w:tc>
          <w:tcPr>
            <w:tcW w:type="dxa" w:w="5076"/>
          </w:tcPr>
          <w:p>
            <w:pPr>
              <w:pStyle w:val="null3"/>
              <w:jc w:val="left"/>
            </w:pPr>
            <w:r>
              <w:rPr/>
              <w:t>（1）响应供应商设立独立的财务管理部门或工作机构，得3分。（出具相关的文件、证明资料） （2）提供财务管理制度、会计核算制度、资产管理制度，全部提供得3分，每少提供一项扣1分，最低得0分。 注: 提供相关的制度文件，无提供不得分。</w:t>
            </w:r>
          </w:p>
        </w:tc>
      </w:tr>
      <w:tr>
        <w:tc>
          <w:tcPr>
            <w:tcW w:type="dxa" w:w="922"/>
            <w:gridSpan w:val="2"/>
            <w:vMerge/>
          </w:tcPr>
          <w:p/>
        </w:tc>
        <w:tc>
          <w:tcPr>
            <w:tcW w:type="dxa" w:w="2307"/>
          </w:tcPr>
          <w:p>
            <w:pPr>
              <w:pStyle w:val="null3"/>
              <w:jc w:val="left"/>
            </w:pPr>
            <w:r>
              <w:rPr/>
              <w:t>同类项目业绩 (3.0分)</w:t>
            </w:r>
          </w:p>
        </w:tc>
        <w:tc>
          <w:tcPr>
            <w:tcW w:type="dxa" w:w="5076"/>
          </w:tcPr>
          <w:p>
            <w:pPr>
              <w:pStyle w:val="null3"/>
              <w:jc w:val="left"/>
            </w:pPr>
            <w:r>
              <w:rPr/>
              <w:t>响应供应商自2023年1月1日起至响应截止日前承接过同类社工项目的：：每承接过1个项目，得1分，最高得3分。 注：①提交相关项目的名单列表； ②提供所列项目的项目合同/协议等证明资料； ③业绩情况属实的承诺函（格式自拟）。 以上①-③项材料缺一不可，否则得0分。</w:t>
            </w:r>
          </w:p>
        </w:tc>
      </w:tr>
      <w:tr>
        <w:tc>
          <w:tcPr>
            <w:tcW w:type="dxa" w:w="922"/>
            <w:gridSpan w:val="2"/>
            <w:vMerge/>
          </w:tcPr>
          <w:p/>
        </w:tc>
        <w:tc>
          <w:tcPr>
            <w:tcW w:type="dxa" w:w="2307"/>
          </w:tcPr>
          <w:p>
            <w:pPr>
              <w:pStyle w:val="null3"/>
              <w:jc w:val="left"/>
            </w:pPr>
            <w:r>
              <w:rPr/>
              <w:t>计划为本项目配备的专业人员数量和资质状况1 (8.0分)</w:t>
            </w:r>
          </w:p>
        </w:tc>
        <w:tc>
          <w:tcPr>
            <w:tcW w:type="dxa" w:w="5076"/>
          </w:tcPr>
          <w:p>
            <w:pPr>
              <w:pStyle w:val="null3"/>
              <w:jc w:val="left"/>
            </w:pPr>
            <w:r>
              <w:rPr/>
              <w:t>配备的项目负责人： 1、拥有8年及以上（含8年）社工服务经验或社工服务管理经验，得4分； 2、具有社会工作师（中级）或以上职业水平的，得4分； 注：提供对应人员名单、职业水平证书扫描件、身份证扫描件、有效期内劳动合同、投标截止日之前六个月以内任意月份的社保证明，经验以社保证明在同类行业单位购买的累计记录为准（单个人员缺少任一证明资料的均不得分），无提供不得分。</w:t>
            </w:r>
          </w:p>
        </w:tc>
      </w:tr>
      <w:tr>
        <w:tc>
          <w:tcPr>
            <w:tcW w:type="dxa" w:w="922"/>
            <w:gridSpan w:val="2"/>
            <w:vMerge/>
          </w:tcPr>
          <w:p/>
        </w:tc>
        <w:tc>
          <w:tcPr>
            <w:tcW w:type="dxa" w:w="2307"/>
          </w:tcPr>
          <w:p>
            <w:pPr>
              <w:pStyle w:val="null3"/>
              <w:jc w:val="left"/>
            </w:pPr>
            <w:r>
              <w:rPr/>
              <w:t>计划为本项目配备的专业人员数量和资质状况2 (6.0分)</w:t>
            </w:r>
          </w:p>
        </w:tc>
        <w:tc>
          <w:tcPr>
            <w:tcW w:type="dxa" w:w="5076"/>
          </w:tcPr>
          <w:p>
            <w:pPr>
              <w:pStyle w:val="null3"/>
              <w:jc w:val="left"/>
            </w:pPr>
            <w:r>
              <w:rPr/>
              <w:t>配备的各服务领域主管： 1、具有3年及以上社工服务经验，每名得1分；具有3年及以下社工服务经验，每名得0.5分。本小项最高得3分。 2、上述提供的主管人员中： 具有社会工作师（中级）或以上职业水平的，每名得1分； 具有助理社会工作师或以上职业水平的，每名得0.5分； 此小项最高得3分。 本项最高得6分。 注：提供项目全体人员名单、职业水平证书扫描件、身份证扫描件、有效期内劳动合同、投标截止日之前六个月以内任意月份的社保证明，经验以社保证明在同类行业单位购买的累计记录为准（单个人员缺少任一证明资料的均不得分，一人同时具备多个证书不重复计分），无提供不得分。</w:t>
            </w:r>
          </w:p>
        </w:tc>
      </w:tr>
      <w:tr>
        <w:tc>
          <w:tcPr>
            <w:tcW w:type="dxa" w:w="922"/>
            <w:gridSpan w:val="2"/>
            <w:vMerge/>
          </w:tcPr>
          <w:p/>
        </w:tc>
        <w:tc>
          <w:tcPr>
            <w:tcW w:type="dxa" w:w="2307"/>
          </w:tcPr>
          <w:p>
            <w:pPr>
              <w:pStyle w:val="null3"/>
              <w:jc w:val="left"/>
            </w:pPr>
            <w:r>
              <w:rPr/>
              <w:t>社会参与及资源整合能力 (6.0分)</w:t>
            </w:r>
          </w:p>
        </w:tc>
        <w:tc>
          <w:tcPr>
            <w:tcW w:type="dxa" w:w="5076"/>
          </w:tcPr>
          <w:p>
            <w:pPr>
              <w:pStyle w:val="null3"/>
              <w:jc w:val="left"/>
            </w:pPr>
            <w:r>
              <w:rPr/>
              <w:t>响应供应商社会参与能力表现情况，响应供应商积极参与公益创投等社会公益活动的，每参加1次得3分，最高得6分。 注：需提交主办方出具的其他有效证明资料，未提供或提供不清晰导致专家无法判断的不得分。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jc w:val="center"/>
      </w:pPr>
      <w:r>
        <w:rPr>
          <w:sz w:val="32"/>
          <w:b/>
          <w:color w:val="000000"/>
        </w:rPr>
        <w:t>采购</w:t>
      </w:r>
      <w:r>
        <w:rPr>
          <w:sz w:val="32"/>
          <w:b/>
          <w:color w:val="000000"/>
        </w:rPr>
        <w:t>合同</w:t>
      </w:r>
    </w:p>
    <w:p>
      <w:pPr>
        <w:pStyle w:val="null3"/>
        <w:spacing w:before="120"/>
      </w:pPr>
      <w:r>
        <w:rPr>
          <w:sz w:val="20"/>
        </w:rPr>
        <w:t>甲方（服务购买方）：广州市增城区正果镇人民政府</w:t>
      </w:r>
    </w:p>
    <w:p>
      <w:pPr>
        <w:pStyle w:val="null3"/>
        <w:jc w:val="both"/>
      </w:pPr>
      <w:r>
        <w:rPr>
          <w:sz w:val="20"/>
        </w:rPr>
        <w:t>乙方（服务提供方）：</w:t>
      </w:r>
      <w:r>
        <w:rPr>
          <w:u w:val="single"/>
        </w:rPr>
        <w:t xml:space="preserve">                         </w:t>
      </w:r>
    </w:p>
    <w:p>
      <w:pPr>
        <w:pStyle w:val="null3"/>
        <w:ind w:firstLine="420"/>
        <w:jc w:val="both"/>
      </w:pPr>
      <w:r>
        <w:rPr>
          <w:sz w:val="20"/>
        </w:rPr>
        <w:t>根据《中华人民共和国民法典》、《中华人民共和国政府采购法》、《广州市社工服务站管理办法》（以下简称《办法》）等相关法律法规，按照采购规定程序，确定乙方</w:t>
      </w:r>
      <w:r>
        <w:rPr>
          <w:u w:val="single"/>
        </w:rPr>
        <w:t xml:space="preserve">              </w:t>
      </w:r>
      <w:r>
        <w:rPr>
          <w:sz w:val="20"/>
        </w:rPr>
        <w:t>承接运营</w:t>
      </w:r>
      <w:r>
        <w:rPr>
          <w:sz w:val="20"/>
          <w:u w:val="single"/>
        </w:rPr>
        <w:t>正果镇社工站（西片区）购买服务项目</w:t>
      </w:r>
      <w:r>
        <w:rPr>
          <w:sz w:val="20"/>
        </w:rPr>
        <w:t>，本着平等、自愿、公平和诚实守信的原则，经甲、乙双方协商一致订立本合同。</w:t>
      </w:r>
    </w:p>
    <w:p>
      <w:pPr>
        <w:pStyle w:val="null3"/>
        <w:ind w:firstLine="420"/>
        <w:jc w:val="both"/>
      </w:pPr>
      <w:r>
        <w:rPr>
          <w:sz w:val="20"/>
        </w:rPr>
        <w:t>一、服务期限</w:t>
      </w:r>
    </w:p>
    <w:p>
      <w:pPr>
        <w:pStyle w:val="null3"/>
        <w:ind w:firstLine="420"/>
        <w:jc w:val="both"/>
      </w:pPr>
      <w:r>
        <w:rPr>
          <w:sz w:val="20"/>
        </w:rPr>
        <w:t>自合同签订之日起一年</w:t>
      </w:r>
      <w:r>
        <w:rPr>
          <w:sz w:val="20"/>
        </w:rPr>
        <w:t>。关于项目的服务时间和购买服务经费标准，如另有新的文件规定的，则按最新规定执行。</w:t>
      </w:r>
    </w:p>
    <w:p>
      <w:pPr>
        <w:pStyle w:val="null3"/>
        <w:ind w:firstLine="420"/>
        <w:jc w:val="both"/>
      </w:pPr>
      <w:r>
        <w:rPr>
          <w:sz w:val="20"/>
        </w:rPr>
        <w:t>二、服务要求</w:t>
      </w:r>
    </w:p>
    <w:p>
      <w:pPr>
        <w:pStyle w:val="null3"/>
        <w:ind w:firstLine="422"/>
        <w:jc w:val="both"/>
      </w:pPr>
      <w:r>
        <w:rPr>
          <w:sz w:val="20"/>
          <w:b/>
        </w:rPr>
        <w:t>（一）服务目标</w:t>
      </w:r>
    </w:p>
    <w:p>
      <w:pPr>
        <w:pStyle w:val="null3"/>
        <w:ind w:firstLine="422"/>
        <w:jc w:val="both"/>
      </w:pPr>
      <w:r>
        <w:rPr>
          <w:sz w:val="20"/>
        </w:rPr>
        <w:t>主要以社会工作服务为主体，综合运用社会工作服务专业知识、方法和技能，为困难群众和特殊群体等提供兜底民生服务以及参与社区治理服务的平台，实现困难群众和特殊群体社会工作服务</w:t>
      </w:r>
      <w:r>
        <w:rPr>
          <w:sz w:val="20"/>
        </w:rPr>
        <w:t>100%</w:t>
      </w:r>
      <w:r>
        <w:rPr>
          <w:sz w:val="20"/>
        </w:rPr>
        <w:t>覆盖。</w:t>
      </w:r>
    </w:p>
    <w:p>
      <w:pPr>
        <w:pStyle w:val="null3"/>
        <w:ind w:firstLine="422"/>
        <w:jc w:val="both"/>
      </w:pPr>
      <w:r>
        <w:rPr>
          <w:sz w:val="20"/>
          <w:b/>
        </w:rPr>
        <w:t>（二）服务内容</w:t>
      </w:r>
    </w:p>
    <w:p>
      <w:pPr>
        <w:pStyle w:val="null3"/>
        <w:ind w:firstLine="422"/>
        <w:jc w:val="both"/>
      </w:pPr>
      <w:r>
        <w:rPr>
          <w:sz w:val="20"/>
        </w:rPr>
        <w:t>乙方需结合实际，加强与</w:t>
      </w:r>
      <w:r>
        <w:rPr>
          <w:sz w:val="20"/>
        </w:rPr>
        <w:t>“双百工程”社工站直聘社工的服务协同与合作，制定项目需求、服务计划、服务指标等，提交甲方确认后严格执行。其中量化服务指标总工时不得低于中标工时数</w:t>
      </w:r>
      <w:r>
        <w:rPr>
          <w:u w:val="single"/>
        </w:rPr>
        <w:t xml:space="preserve">      </w:t>
      </w:r>
      <w:r>
        <w:rPr>
          <w:sz w:val="20"/>
        </w:rPr>
        <w:t>小时（志愿者以志愿服务形式提供的服务工时不计入在内）。</w:t>
      </w:r>
    </w:p>
    <w:p>
      <w:pPr>
        <w:pStyle w:val="null3"/>
        <w:ind w:firstLine="420"/>
        <w:jc w:val="both"/>
      </w:pPr>
      <w:r>
        <w:rPr>
          <w:sz w:val="20"/>
        </w:rPr>
        <w:t>服务内容包括：</w:t>
      </w:r>
      <w:r>
        <w:rPr>
          <w:sz w:val="20"/>
        </w:rPr>
        <w:t>社工站项目围绕兜底性、基础性、普惠性三大板块民生服务开展，从政策、物质、心理、关系、危机、发展等方面提供服务，具体包括政策帮扶、政策咨询、心理疏导、情绪支持、危机介入、物资帮扶、社会支持、就业支持、资源链接、关系调适、能力提升、社会融入、综合服务等</w:t>
      </w:r>
      <w:r>
        <w:rPr>
          <w:sz w:val="20"/>
        </w:rPr>
        <w:t>13</w:t>
      </w:r>
      <w:r>
        <w:rPr>
          <w:sz w:val="20"/>
        </w:rPr>
        <w:t>类服务类型。</w:t>
      </w:r>
    </w:p>
    <w:p>
      <w:pPr>
        <w:pStyle w:val="null3"/>
        <w:ind w:firstLine="420"/>
        <w:jc w:val="both"/>
      </w:pPr>
      <w:r>
        <w:rPr>
          <w:sz w:val="20"/>
        </w:rPr>
        <w:t>1.</w:t>
      </w:r>
      <w:r>
        <w:rPr>
          <w:sz w:val="20"/>
        </w:rPr>
        <w:t>兜底性民生服务</w:t>
      </w:r>
    </w:p>
    <w:p>
      <w:pPr>
        <w:pStyle w:val="null3"/>
        <w:ind w:firstLine="420"/>
        <w:jc w:val="both"/>
      </w:pPr>
      <w:r>
        <w:rPr>
          <w:sz w:val="20"/>
        </w:rPr>
        <w:t>社工站项目兜底性民生服务强调民生兜底保障责任，聚焦困难群众和特殊群体，强化底线思维，突出问题导向，分类精准服务，协助政府切实兜住、兜准、兜牢民生底线，坚决维护社会大局和谐稳定。</w:t>
      </w:r>
    </w:p>
    <w:p>
      <w:pPr>
        <w:pStyle w:val="null3"/>
        <w:ind w:firstLine="420"/>
        <w:jc w:val="both"/>
      </w:pPr>
      <w:r>
        <w:rPr>
          <w:sz w:val="20"/>
        </w:rPr>
        <w:t>（</w:t>
      </w:r>
      <w:r>
        <w:rPr>
          <w:sz w:val="20"/>
        </w:rPr>
        <w:t>1</w:t>
      </w:r>
      <w:r>
        <w:rPr>
          <w:sz w:val="20"/>
        </w:rPr>
        <w:t>）</w:t>
      </w:r>
      <w:r>
        <w:rPr>
          <w:sz w:val="20"/>
        </w:rPr>
        <w:t>服务内容</w:t>
      </w:r>
    </w:p>
    <w:p>
      <w:pPr>
        <w:pStyle w:val="null3"/>
        <w:ind w:firstLine="420"/>
        <w:jc w:val="both"/>
      </w:pPr>
      <w:r>
        <w:rPr>
          <w:sz w:val="20"/>
        </w:rPr>
        <w:t>①全面摸查底数及现状。社工站项目要联动直聘社工和购买服务项目社工，深入村（居），每个村（居）社会工作服务点（片）每年开展兜底民生政策宣传不少于</w:t>
      </w:r>
      <w:r>
        <w:rPr>
          <w:sz w:val="20"/>
        </w:rPr>
        <w:t>6</w:t>
      </w:r>
      <w:r>
        <w:rPr>
          <w:sz w:val="20"/>
        </w:rPr>
        <w:t>次，每名社工每月走访不少于</w:t>
      </w:r>
      <w:r>
        <w:rPr>
          <w:sz w:val="20"/>
        </w:rPr>
        <w:t>15</w:t>
      </w:r>
      <w:r>
        <w:rPr>
          <w:sz w:val="20"/>
        </w:rPr>
        <w:t>户，实现村（居）社会工作服务点服务范围内困难群众和特殊群体的入户率</w:t>
      </w:r>
      <w:r>
        <w:rPr>
          <w:sz w:val="20"/>
        </w:rPr>
        <w:t>100%</w:t>
      </w:r>
      <w:r>
        <w:rPr>
          <w:sz w:val="20"/>
        </w:rPr>
        <w:t>。结合穗救易系统困难群众和特殊群体名单、“红棉守护”热线求助名单以及其他转介等方式识别出来的服务对象，全面摸清</w:t>
      </w:r>
      <w:r>
        <w:rPr>
          <w:sz w:val="20"/>
        </w:rPr>
        <w:t>17</w:t>
      </w:r>
      <w:r>
        <w:rPr>
          <w:sz w:val="20"/>
        </w:rPr>
        <w:t>类困难群众和特殊群体底数及现状，参照使用《困难群众和特殊群体家庭基本情况表》（详见广州市社工站购买服务项目服务标准附件</w:t>
      </w:r>
      <w:r>
        <w:rPr>
          <w:sz w:val="20"/>
        </w:rPr>
        <w:t>1</w:t>
      </w:r>
      <w:r>
        <w:rPr>
          <w:sz w:val="20"/>
        </w:rPr>
        <w:t>），详细了解和掌握服务对象情况，并汇总完善《服务对象家庭信息汇总表》，落实“一户一档”“一人一案”，夯实建档</w:t>
      </w:r>
      <w:r>
        <w:rPr>
          <w:sz w:val="20"/>
        </w:rPr>
        <w:t>100%</w:t>
      </w:r>
      <w:r>
        <w:rPr>
          <w:sz w:val="20"/>
        </w:rPr>
        <w:t>全覆盖的基础，且依托广州市社工站综合管理平台实现动态监测、动态更新。</w:t>
      </w:r>
    </w:p>
    <w:p>
      <w:pPr>
        <w:pStyle w:val="null3"/>
        <w:ind w:firstLine="420"/>
        <w:jc w:val="both"/>
      </w:pPr>
      <w:r>
        <w:rPr>
          <w:sz w:val="20"/>
        </w:rPr>
        <w:t>②精准识别需求及明确目标策略。社工站项目要建立健全问题发现报告机制、科学的需求评估及动态管理机制。</w:t>
      </w:r>
    </w:p>
    <w:p>
      <w:pPr>
        <w:pStyle w:val="null3"/>
        <w:ind w:firstLine="420"/>
        <w:jc w:val="both"/>
      </w:pPr>
      <w:r>
        <w:rPr>
          <w:sz w:val="20"/>
        </w:rPr>
        <w:t>一是联合镇（街）、村（社区）建立健全</w:t>
      </w:r>
      <w:r>
        <w:rPr>
          <w:sz w:val="20"/>
        </w:rPr>
        <w:t>1</w:t>
      </w:r>
      <w:r>
        <w:rPr>
          <w:sz w:val="20"/>
        </w:rPr>
        <w:t>套发现报告机制，发现有政策需求的服务对象，及时向社工站站长报告，指引或协助其申请相关政策，实现从“人找政策”到“政策找人”的转变，保障“应保尽保，应助尽助”。</w:t>
      </w:r>
    </w:p>
    <w:p>
      <w:pPr>
        <w:pStyle w:val="null3"/>
        <w:ind w:firstLine="420"/>
        <w:jc w:val="both"/>
      </w:pPr>
      <w:r>
        <w:rPr>
          <w:sz w:val="20"/>
        </w:rPr>
        <w:t>二是围绕生活保障、身心健康、社会支持等方面情况，结合《困难群众和特殊群体分级评估表》，综合其他相关测评项目结果和服务对象有关特殊情况，对服务对象需求进行全面评估，明确服务定级并制定针对性的服务计划。首次评估时，原则上应以与服务对象在</w:t>
      </w:r>
      <w:r>
        <w:rPr>
          <w:sz w:val="20"/>
        </w:rPr>
        <w:t>1</w:t>
      </w:r>
      <w:r>
        <w:rPr>
          <w:sz w:val="20"/>
        </w:rPr>
        <w:t>个季度内的面谈情况作为评估依据（对于已有固定单位负责照料，或因客观原因不具备面谈服务条件的情况除外），非面谈所获取的资料不得作为首次评估的依据。如遇“一户多困”的家庭，按家庭成员中最高的服务评级结果确定分级。困难群众和特殊群体的服务分级情况应及时向社工站站长报告，如需对一至三级服务对象的服务评级进行调整，须经由社工站站长同意。</w:t>
      </w:r>
    </w:p>
    <w:p>
      <w:pPr>
        <w:pStyle w:val="null3"/>
        <w:ind w:firstLine="420"/>
        <w:jc w:val="both"/>
      </w:pPr>
      <w:r>
        <w:rPr>
          <w:sz w:val="20"/>
        </w:rPr>
        <w:t>三是持续动态观察和评估服务对象情况，视实际情况动态调整服务级别，并对应调整服务计划和跟进频率，例如服务对象面临突发情况影响生活，或阶段性需求已得到解决，需重新评估其情况后按新评定的服务级别提供适配服务，其中，一至四级服务对象须通过面谈方式评估，五级和六级服务对象可通过向家属、村（居）委工作人员、照顾机构工作人员等人员收集信息，开展间接评估。</w:t>
      </w:r>
    </w:p>
    <w:p>
      <w:pPr>
        <w:pStyle w:val="null3"/>
        <w:ind w:firstLine="420"/>
        <w:jc w:val="both"/>
      </w:pPr>
      <w:r>
        <w:rPr>
          <w:sz w:val="20"/>
        </w:rPr>
        <w:t>③分级跟进及分类服务。社工站项目要建立完善分级跟进、服务转介、分类服务、动态跟踪等制度机制，并按照省“双百工程”社工站参考文书套表做好服务记录，全年实现一至四级困难群众和特殊群体的入户探访覆盖率达</w:t>
      </w:r>
      <w:r>
        <w:rPr>
          <w:sz w:val="20"/>
        </w:rPr>
        <w:t>100%</w:t>
      </w:r>
      <w:r>
        <w:rPr>
          <w:sz w:val="20"/>
        </w:rPr>
        <w:t>。</w:t>
      </w:r>
    </w:p>
    <w:p>
      <w:pPr>
        <w:pStyle w:val="null3"/>
        <w:ind w:firstLine="420"/>
        <w:jc w:val="both"/>
      </w:pPr>
      <w:r>
        <w:rPr>
          <w:sz w:val="20"/>
        </w:rPr>
        <w:t>一是分级分类跟进原则。根据服务对象分级分类情况，定期开展探访、个案帮扶等关爱服务，密切跟踪服务对象动态，积极防范和及时发现意外风险，链接社会资源，最大限度响应服务对象需求。对于一时无法解决需转介帮扶的，及时将问题反馈给村（居）、镇（街）或其他单位，并做好跟踪回访。面对极端天气等特殊情况或应急状态时，配合镇（街）开展有关排查和慰问。</w:t>
      </w:r>
    </w:p>
    <w:p>
      <w:pPr>
        <w:pStyle w:val="null3"/>
        <w:ind w:firstLine="420"/>
        <w:jc w:val="both"/>
      </w:pPr>
      <w:r>
        <w:rPr>
          <w:sz w:val="20"/>
        </w:rPr>
        <w:t>二是服务优先原则。在兜住兜准兜牢民生底线基础上，集中精力将服务投放到真正有需要的群体，原则上民政兜底服务对象应按需纳入一至四级管理。</w:t>
      </w:r>
    </w:p>
    <w:p>
      <w:pPr>
        <w:pStyle w:val="null3"/>
        <w:ind w:firstLine="420"/>
        <w:jc w:val="both"/>
      </w:pPr>
      <w:r>
        <w:rPr>
          <w:sz w:val="20"/>
        </w:rPr>
        <w:t>三是协同高效原则。积极联动相关职能部门及服务机构，加强多方沟通联系，针对部分有重合的服务对象，可探索建立联合探访机制，提高服务效率，减少对服务对象的打扰，提升群众满意度。</w:t>
      </w:r>
    </w:p>
    <w:p>
      <w:pPr>
        <w:pStyle w:val="null3"/>
        <w:ind w:firstLine="420"/>
        <w:jc w:val="both"/>
      </w:pPr>
      <w:r>
        <w:rPr>
          <w:sz w:val="20"/>
        </w:rPr>
        <w:t>一级服务对象：家庭存在明显迫切性需求，或存在危机状态的，例如具有生存保障（衣、食、住等）问题，服务对象遇险期（重病、重残、意外），或（疑似）有自残、自杀或伤害他人等情况的，属于需要紧急干预的一级服务对象。社工站项目应在发现或接报个案情况后立刻介入，在危机存续期间，每周至少入户探访</w:t>
      </w:r>
      <w:r>
        <w:rPr>
          <w:sz w:val="20"/>
        </w:rPr>
        <w:t>1</w:t>
      </w:r>
      <w:r>
        <w:rPr>
          <w:sz w:val="20"/>
        </w:rPr>
        <w:t>次，协助服务对象走出困境，解除当前的生存危机。危机状况解除后，社工站项目需按照相关规定和流程，对服务对象的服务分级进行重新评估，并将其纳入个案管理体系长期跟进，确保服务对象情况持续改善。</w:t>
      </w:r>
    </w:p>
    <w:p>
      <w:pPr>
        <w:pStyle w:val="null3"/>
        <w:ind w:firstLine="420"/>
        <w:jc w:val="both"/>
      </w:pPr>
      <w:r>
        <w:rPr>
          <w:sz w:val="20"/>
        </w:rPr>
        <w:t>二级服务对象：当前不存在迫切性需求，如需即时脱离危险等，但家庭内部支持网络较为薄弱，家庭抵御风险能力差，容易陷入困境的，属于需重点跟进的二级服务对象。社工站项目应每两周至少联系</w:t>
      </w:r>
      <w:r>
        <w:rPr>
          <w:sz w:val="20"/>
        </w:rPr>
        <w:t>1</w:t>
      </w:r>
      <w:r>
        <w:rPr>
          <w:sz w:val="20"/>
        </w:rPr>
        <w:t>次，且每月至少入户探访</w:t>
      </w:r>
      <w:r>
        <w:rPr>
          <w:sz w:val="20"/>
        </w:rPr>
        <w:t>1</w:t>
      </w:r>
      <w:r>
        <w:rPr>
          <w:sz w:val="20"/>
        </w:rPr>
        <w:t>次，为服务对象提供个案管理，并动态评估其社会支持网络、所拥有的资源情况、家庭成员身心状况以及当前面临的生活困境等情况，提供适配服务。</w:t>
      </w:r>
    </w:p>
    <w:p>
      <w:pPr>
        <w:pStyle w:val="null3"/>
        <w:ind w:firstLine="420"/>
        <w:jc w:val="both"/>
      </w:pPr>
      <w:r>
        <w:rPr>
          <w:sz w:val="20"/>
        </w:rPr>
        <w:t>三级服务对象：目前暂无明显迫切性需求，能够维持正常生活，但在身心健康或社会支持网络方面存在一定程度不足的，属于需长期跟踪的三级服务对象。社工站项目应每月至少联系</w:t>
      </w:r>
      <w:r>
        <w:rPr>
          <w:sz w:val="20"/>
        </w:rPr>
        <w:t>1</w:t>
      </w:r>
      <w:r>
        <w:rPr>
          <w:sz w:val="20"/>
        </w:rPr>
        <w:t>次，且每季度至少入户探访</w:t>
      </w:r>
      <w:r>
        <w:rPr>
          <w:sz w:val="20"/>
        </w:rPr>
        <w:t>1</w:t>
      </w:r>
      <w:r>
        <w:rPr>
          <w:sz w:val="20"/>
        </w:rPr>
        <w:t>次，为服务对象提供个案管理，并动态评估其社会支持网络、所拥有的资源情况、家庭成员身心状况以及当前面临的生活困境等情况，提供适配服务。</w:t>
      </w:r>
    </w:p>
    <w:p>
      <w:pPr>
        <w:pStyle w:val="null3"/>
        <w:ind w:firstLine="420"/>
        <w:jc w:val="both"/>
      </w:pPr>
      <w:r>
        <w:rPr>
          <w:sz w:val="20"/>
        </w:rPr>
        <w:t>四级服务对象：目前暂无明显需求，身心状况良好，但需要持续关怀的，属于需要常态化关爱的四级服务对象。社工站项目应每季度至少联系</w:t>
      </w:r>
      <w:r>
        <w:rPr>
          <w:sz w:val="20"/>
        </w:rPr>
        <w:t>1</w:t>
      </w:r>
      <w:r>
        <w:rPr>
          <w:sz w:val="20"/>
        </w:rPr>
        <w:t>次，且每年至少入户探访</w:t>
      </w:r>
      <w:r>
        <w:rPr>
          <w:sz w:val="20"/>
        </w:rPr>
        <w:t>1</w:t>
      </w:r>
      <w:r>
        <w:rPr>
          <w:sz w:val="20"/>
        </w:rPr>
        <w:t>次，动态评估其社会支持网络、所拥有的资源情况、家庭成员身心状况以及当前面临的生活困境等情况，提供适配服务。</w:t>
      </w:r>
    </w:p>
    <w:p>
      <w:pPr>
        <w:pStyle w:val="null3"/>
        <w:ind w:firstLine="420"/>
        <w:jc w:val="both"/>
      </w:pPr>
      <w:r>
        <w:rPr>
          <w:sz w:val="20"/>
        </w:rPr>
        <w:t>五级服务对象：目前暂无明显需求，身心状况、支持网络、所拥有的资源情况和家庭成员关系等各方面情况均表现良好，属于需要保持联系的五级服务对象。社工站项目应每半年至少联系</w:t>
      </w:r>
      <w:r>
        <w:rPr>
          <w:sz w:val="20"/>
        </w:rPr>
        <w:t>1</w:t>
      </w:r>
      <w:r>
        <w:rPr>
          <w:sz w:val="20"/>
        </w:rPr>
        <w:t>次，动态评估其各方面情况，提供适配服务。</w:t>
      </w:r>
    </w:p>
    <w:p>
      <w:pPr>
        <w:pStyle w:val="null3"/>
        <w:ind w:firstLine="420"/>
        <w:jc w:val="both"/>
      </w:pPr>
      <w:r>
        <w:rPr>
          <w:sz w:val="20"/>
        </w:rPr>
        <w:t>六级服务对象：包括已有固定单位负责照料的，例如入住养老院、精神病院等全日制托养场所的，以及长期不在本市居住的，例如在外市（外省</w:t>
      </w:r>
      <w:r>
        <w:rPr>
          <w:sz w:val="20"/>
        </w:rPr>
        <w:t>/</w:t>
      </w:r>
      <w:r>
        <w:rPr>
          <w:sz w:val="20"/>
        </w:rPr>
        <w:t>外国）居住或处于失联状态等情况的，属于不具备服务条件的六级服务对象。社工站项目应每半年至少与服务对象本人、家属或其他知情人联系</w:t>
      </w:r>
      <w:r>
        <w:rPr>
          <w:sz w:val="20"/>
        </w:rPr>
        <w:t>1</w:t>
      </w:r>
      <w:r>
        <w:rPr>
          <w:sz w:val="20"/>
        </w:rPr>
        <w:t>次，向相关人士介绍社工站服务内容及求助方式，服务对象有需要时可向社工站寻求帮助，确保服务及时性和有效性。</w:t>
      </w:r>
    </w:p>
    <w:p>
      <w:pPr>
        <w:pStyle w:val="null3"/>
        <w:ind w:firstLine="420"/>
        <w:jc w:val="both"/>
      </w:pPr>
      <w:r>
        <w:rPr>
          <w:sz w:val="20"/>
        </w:rPr>
        <w:t>④“人户分离”或其他特殊情况服务</w:t>
      </w:r>
    </w:p>
    <w:p>
      <w:pPr>
        <w:pStyle w:val="null3"/>
        <w:ind w:firstLine="420"/>
        <w:jc w:val="both"/>
      </w:pPr>
      <w:r>
        <w:rPr>
          <w:sz w:val="20"/>
        </w:rPr>
        <w:t>“人户分离”是指具有广州市户籍的人员，其户籍登记地址与实际居住地址不一致，且不在户籍登记地居住达半年以上的情况。对于“人户分离”人员的服务，户籍所在地社工站承担主要责任，实际居住地社工站（如有）应积极提供必要的协助与配合，共同做好相关服务工作。户籍所在地社工站应建立健全跨区域协作服务联动机制，主动发现“人户分离”困难群众与特殊群体诉求，及时与实际居住地社工站联动服务、互通信息，保障服务及时性与连续性。</w:t>
      </w:r>
    </w:p>
    <w:p>
      <w:pPr>
        <w:pStyle w:val="null3"/>
        <w:ind w:firstLine="420"/>
        <w:jc w:val="both"/>
      </w:pPr>
      <w:r>
        <w:rPr>
          <w:sz w:val="20"/>
        </w:rPr>
        <w:t>一是对于处于危机状况下的一级服务对象，或遭遇突发事件处于紧急情况的服务对象，户籍所在地社工站须第一时间向社工站站长上报情况，在站长指导下积极开展介入行动。同时，应积极联系居住地社工站共同实施干预措施、协作应急处置。居住地社工站须将保障服务对象生命安全放在首位，严格恪守社会工作的专业价值理念，全力配合户籍所在地社工站，助力服务对象度过危机。若居住地社工站在日常工作中发现</w:t>
      </w:r>
      <w:r>
        <w:rPr>
          <w:sz w:val="20"/>
        </w:rPr>
        <w:t>“人户分离”情况，也应立即与户籍所在地社工站取得联系，并及时开展联动服务。</w:t>
      </w:r>
    </w:p>
    <w:p>
      <w:pPr>
        <w:pStyle w:val="null3"/>
        <w:ind w:firstLine="420"/>
        <w:jc w:val="both"/>
      </w:pPr>
      <w:r>
        <w:rPr>
          <w:sz w:val="20"/>
        </w:rPr>
        <w:t>二是对于一至三级需长期跟踪服务协作的服务对象，由户籍所在地社工站与居住地社工站建立双向沟通及资源共享的联动机制。户籍所在地社工站统筹服务资源进行干预，健全服务合作机制，形成工作合力，解决因</w:t>
      </w:r>
      <w:r>
        <w:rPr>
          <w:sz w:val="20"/>
        </w:rPr>
        <w:t>“人户分离”导致的救助服务资源缺失问题。户籍所在地社工站可通过视频电话等可视化方式对服务对象完成探访。</w:t>
      </w:r>
    </w:p>
    <w:p>
      <w:pPr>
        <w:pStyle w:val="null3"/>
        <w:ind w:firstLine="420"/>
        <w:jc w:val="both"/>
      </w:pPr>
      <w:r>
        <w:rPr>
          <w:sz w:val="20"/>
        </w:rPr>
        <w:t>三是对于四至六级需个性化联动服务协作的服务对象，户籍所在地社工站在征得服务对象与居住地社工站同意后可提供个性化联动服务，以更好地满足服务对象的特定需求。</w:t>
      </w:r>
    </w:p>
    <w:p>
      <w:pPr>
        <w:pStyle w:val="null3"/>
        <w:ind w:firstLine="420"/>
        <w:jc w:val="both"/>
      </w:pPr>
      <w:r>
        <w:rPr>
          <w:sz w:val="20"/>
        </w:rPr>
        <w:t>如有其他特殊情况的，社工站项目结合实际情况，将问题反馈给村（居）、镇（街）寻求多方联动，协同解决有关问题。</w:t>
      </w:r>
    </w:p>
    <w:p>
      <w:pPr>
        <w:pStyle w:val="null3"/>
        <w:ind w:firstLine="420"/>
        <w:jc w:val="both"/>
      </w:pPr>
      <w:r>
        <w:rPr>
          <w:sz w:val="20"/>
        </w:rPr>
        <w:t>⑤跟踪问效及巩固服务成果</w:t>
      </w:r>
    </w:p>
    <w:p>
      <w:pPr>
        <w:pStyle w:val="null3"/>
        <w:ind w:firstLine="420"/>
        <w:jc w:val="both"/>
      </w:pPr>
      <w:r>
        <w:rPr>
          <w:sz w:val="20"/>
        </w:rPr>
        <w:t>社工站项目应动态监测服务进展，运用质性和量化方法定期评估服务覆盖率、服务目标达成情况、服务成效、资源整合、社会效益、社工成长、服务对象满意度等情况，结合评估结果适时调整介入策略、改善工作方法、提炼经验成果。服务目标达成时，应引导服务对象回顾改变过程，帮助其从中学习解决问题的方法和策略，增强其解决问题的信心和能力。建立结案跟踪回访机制，通过定期电话或实地回访等方式进行成效跟踪和巩固。</w:t>
      </w:r>
    </w:p>
    <w:p>
      <w:pPr>
        <w:pStyle w:val="null3"/>
        <w:ind w:firstLine="420"/>
        <w:jc w:val="both"/>
      </w:pPr>
      <w:r>
        <w:rPr>
          <w:sz w:val="20"/>
        </w:rPr>
        <w:t>2.</w:t>
      </w:r>
      <w:r>
        <w:rPr>
          <w:sz w:val="20"/>
        </w:rPr>
        <w:t>基础性民生服务</w:t>
      </w:r>
    </w:p>
    <w:p>
      <w:pPr>
        <w:pStyle w:val="null3"/>
        <w:ind w:firstLine="420"/>
        <w:jc w:val="both"/>
      </w:pPr>
      <w:r>
        <w:rPr>
          <w:sz w:val="20"/>
        </w:rPr>
        <w:t>社工站项目基础性民生服务强调促进各方参与，推动社区发展，撬动社会资源，提升困难群众和特殊群体服务水平。社工站项目可建立健全常态化的</w:t>
      </w:r>
      <w:r>
        <w:rPr>
          <w:sz w:val="20"/>
        </w:rPr>
        <w:t>“五社联动”机制，加强联动社区慈善资源、社区社会组织、志愿者，打造针对困难群众和特殊群体的特色服务项目和品牌，全面激发社区活力，提升困难群众和特殊群体服务的精准性和有效性。</w:t>
      </w:r>
    </w:p>
    <w:p>
      <w:pPr>
        <w:pStyle w:val="null3"/>
        <w:ind w:firstLine="420"/>
        <w:jc w:val="both"/>
      </w:pPr>
      <w:r>
        <w:rPr>
          <w:sz w:val="20"/>
        </w:rPr>
        <w:t>（</w:t>
      </w:r>
      <w:r>
        <w:rPr>
          <w:sz w:val="20"/>
        </w:rPr>
        <w:t>1</w:t>
      </w:r>
      <w:r>
        <w:rPr>
          <w:sz w:val="20"/>
        </w:rPr>
        <w:t>）盘点资源及建立清单。联动村（居）</w:t>
      </w:r>
      <w:r>
        <w:rPr>
          <w:sz w:val="20"/>
        </w:rPr>
        <w:t>“两委”盘点村（社区）人力资源、文化资源、地理环境、经济产业等情况以及公共设施、公共空间、社区单位和组织等数量、位置、运作情况，制定</w:t>
      </w:r>
      <w:r>
        <w:rPr>
          <w:sz w:val="20"/>
        </w:rPr>
        <w:t>1</w:t>
      </w:r>
      <w:r>
        <w:rPr>
          <w:sz w:val="20"/>
        </w:rPr>
        <w:t>份社工站项目资源清单，较好地识别、区分、界定和确定资源，为优化整合社区资源服务群众、多维联动促进社区发展奠定基础。</w:t>
      </w:r>
    </w:p>
    <w:p>
      <w:pPr>
        <w:pStyle w:val="null3"/>
        <w:ind w:firstLine="420"/>
        <w:jc w:val="both"/>
      </w:pPr>
      <w:r>
        <w:rPr>
          <w:sz w:val="20"/>
        </w:rPr>
        <w:t>（</w:t>
      </w:r>
      <w:r>
        <w:rPr>
          <w:sz w:val="20"/>
        </w:rPr>
        <w:t>2</w:t>
      </w:r>
      <w:r>
        <w:rPr>
          <w:sz w:val="20"/>
        </w:rPr>
        <w:t>）动员及推动全民慈善。社工站项目应协助各镇（街）、村（居）梳理全镇（街）社区慈善基金建立及运营情况，形成台账，并提出优化建议及策略。积极提升社区居民慈善意识，协助慈善阵地建设，开展慈善活动，激发和鼓励全社会参与慈善的热情，通过慈善项目、公益日等群众喜闻乐见的活动，推动慈善文化建设，鼓励全民参与。持续推进</w:t>
      </w:r>
      <w:r>
        <w:rPr>
          <w:sz w:val="20"/>
        </w:rPr>
        <w:t>“社工</w:t>
      </w:r>
      <w:r>
        <w:rPr>
          <w:sz w:val="20"/>
        </w:rPr>
        <w:t>+</w:t>
      </w:r>
      <w:r>
        <w:rPr>
          <w:sz w:val="20"/>
        </w:rPr>
        <w:t>慈善”双轮驱动模式，积极撬动社会资源，每年筹集社会资金不低于</w:t>
      </w:r>
      <w:r>
        <w:rPr>
          <w:sz w:val="20"/>
        </w:rPr>
        <w:t>10</w:t>
      </w:r>
      <w:r>
        <w:rPr>
          <w:sz w:val="20"/>
        </w:rPr>
        <w:t>万元，筹集社会物资总价值不低于</w:t>
      </w:r>
      <w:r>
        <w:rPr>
          <w:sz w:val="20"/>
        </w:rPr>
        <w:t>40</w:t>
      </w:r>
      <w:r>
        <w:rPr>
          <w:sz w:val="20"/>
        </w:rPr>
        <w:t>万元。广泛收集社区居民服务需求，针对性、创造性策划及实施慈善创新项目，更大范围、更多维度整合社会力量和社会资源参与社区慈善事业，解决社区群众急难愁盼问题。</w:t>
      </w:r>
    </w:p>
    <w:p>
      <w:pPr>
        <w:pStyle w:val="null3"/>
        <w:ind w:firstLine="420"/>
        <w:jc w:val="both"/>
      </w:pPr>
      <w:r>
        <w:rPr>
          <w:sz w:val="20"/>
        </w:rPr>
        <w:t>（</w:t>
      </w:r>
      <w:r>
        <w:rPr>
          <w:sz w:val="20"/>
        </w:rPr>
        <w:t>3</w:t>
      </w:r>
      <w:r>
        <w:rPr>
          <w:sz w:val="20"/>
        </w:rPr>
        <w:t>）联动社区社会组织。社工站项目应协助镇（街）做好社区社会组织培育及发展工作，通过赋能引导，联动辖区社区社会组织为有需要的困难群众和特殊群体开展服务。</w:t>
      </w:r>
    </w:p>
    <w:p>
      <w:pPr>
        <w:pStyle w:val="null3"/>
        <w:ind w:firstLine="420"/>
        <w:jc w:val="both"/>
      </w:pPr>
      <w:r>
        <w:rPr>
          <w:sz w:val="20"/>
        </w:rPr>
        <w:t>（</w:t>
      </w:r>
      <w:r>
        <w:rPr>
          <w:sz w:val="20"/>
        </w:rPr>
        <w:t>4</w:t>
      </w:r>
      <w:r>
        <w:rPr>
          <w:sz w:val="20"/>
        </w:rPr>
        <w:t>）联动社区志愿者。社工站项目应每年培育老年志愿者队伍不少于</w:t>
      </w:r>
      <w:r>
        <w:rPr>
          <w:sz w:val="20"/>
        </w:rPr>
        <w:t>2</w:t>
      </w:r>
      <w:r>
        <w:rPr>
          <w:sz w:val="20"/>
        </w:rPr>
        <w:t>支，赋能及支持其提供志愿服务，并积极联动其他志愿者队伍持续开展困难群众和特殊群体服务。</w:t>
      </w:r>
    </w:p>
    <w:p>
      <w:pPr>
        <w:pStyle w:val="null3"/>
        <w:ind w:firstLine="420"/>
        <w:jc w:val="both"/>
      </w:pPr>
      <w:r>
        <w:rPr>
          <w:sz w:val="20"/>
        </w:rPr>
        <w:t>3.</w:t>
      </w:r>
      <w:r>
        <w:rPr>
          <w:sz w:val="20"/>
        </w:rPr>
        <w:t>普惠性民生服务</w:t>
      </w:r>
    </w:p>
    <w:p>
      <w:pPr>
        <w:pStyle w:val="null3"/>
        <w:ind w:firstLine="420"/>
        <w:jc w:val="both"/>
      </w:pPr>
      <w:r>
        <w:rPr>
          <w:sz w:val="20"/>
        </w:rPr>
        <w:t>社工站项目普惠性民生服务主要面向临时陷入危机或困境的一般群众，为其提供社会工作专业服务或者转介服务，并完成市、区民政部门交办的其他有关工作。一是畅通社工</w:t>
      </w:r>
      <w:r>
        <w:rPr>
          <w:sz w:val="20"/>
        </w:rPr>
        <w:t>“红棉守护”热线。应按要求指定专人负责本级账号管理工作，每个社工站项目安排专门热线坐席，保持热线畅通。如遇极端天气等特殊情况或应急状态时，热线需根据工作需要保持</w:t>
      </w:r>
      <w:r>
        <w:rPr>
          <w:sz w:val="20"/>
        </w:rPr>
        <w:t>24</w:t>
      </w:r>
      <w:r>
        <w:rPr>
          <w:sz w:val="20"/>
        </w:rPr>
        <w:t>小时畅通，为有需要的困难群众提供便捷高效的帮助。二是为临时陷入困境的群众提供社工服务或转介服务。为临时陷入危机或困境的一般群众提供危机介入、心理疏导、社会融入、政策帮扶、资源链接等方面的社会工作服务或转介服务，并协助突发陷入危机的个人或家庭申请政府政策层面和社会层面的临时救助资源，配合相关职能部门做好社会救助等服务。三是协助搭建社区参与和能力建设的平台，促进服务对象与社区互动，增强社区凝聚力，调动社区力量满足居民需求，推动社区实现自我服务与发展。</w:t>
      </w:r>
    </w:p>
    <w:p>
      <w:pPr>
        <w:pStyle w:val="null3"/>
        <w:ind w:firstLine="420"/>
        <w:jc w:val="both"/>
      </w:pPr>
      <w:r>
        <w:rPr>
          <w:sz w:val="20"/>
        </w:rPr>
        <w:t>（三）专业方法运用及要求</w:t>
      </w:r>
    </w:p>
    <w:p>
      <w:pPr>
        <w:pStyle w:val="null3"/>
        <w:ind w:firstLine="420"/>
        <w:jc w:val="both"/>
      </w:pPr>
      <w:r>
        <w:rPr>
          <w:sz w:val="20"/>
        </w:rPr>
        <w:t>1.</w:t>
      </w:r>
      <w:r>
        <w:rPr>
          <w:sz w:val="20"/>
        </w:rPr>
        <w:t>专业方法。项目服务团队应运用社会工作个案、小组和社区服务等专业服务方法为有需要的个人、家庭和社区单位提供适切服务，回应服务对象需求。</w:t>
      </w:r>
    </w:p>
    <w:p>
      <w:pPr>
        <w:pStyle w:val="null3"/>
        <w:ind w:firstLine="420"/>
        <w:jc w:val="both"/>
      </w:pPr>
      <w:r>
        <w:rPr>
          <w:sz w:val="20"/>
        </w:rPr>
        <w:t>（</w:t>
      </w:r>
      <w:r>
        <w:rPr>
          <w:sz w:val="20"/>
        </w:rPr>
        <w:t>1</w:t>
      </w:r>
      <w:r>
        <w:rPr>
          <w:sz w:val="20"/>
        </w:rPr>
        <w:t>）个案工作：指社工遵循基本的社会工作专业价值理念，运用科学的专业方法，以个别化的方式为遭遇困难的个人或家庭提供的心理辅导、情绪疏导、行为认知矫正、资源链接等服务，以帮助个人或家庭消减压力、缓解困难、挖掘生命潜能，不断提高个人和家庭的生活质量。个案服务包括咨询个案和专业个案。咨询个案是指可在短时间内通过提供</w:t>
      </w:r>
      <w:r>
        <w:rPr>
          <w:sz w:val="20"/>
        </w:rPr>
        <w:t>1-2</w:t>
      </w:r>
      <w:r>
        <w:rPr>
          <w:sz w:val="20"/>
        </w:rPr>
        <w:t>次的政策、就业、法律等简短的咨询性服务，有效满足服务对象需求的个案服务；专业个案是指服务对象面临的问题和困难较复杂，无法仅靠简短的咨询服务解决，需要通过提供较长时间的跟踪服务来帮助其解决所面临的心理、认知、行为和人际关系等层面的障碍问题或困境，一般至少需要</w:t>
      </w:r>
      <w:r>
        <w:rPr>
          <w:sz w:val="20"/>
        </w:rPr>
        <w:t>5</w:t>
      </w:r>
      <w:r>
        <w:rPr>
          <w:sz w:val="20"/>
        </w:rPr>
        <w:t>次以上的社工专业服务。</w:t>
      </w:r>
    </w:p>
    <w:p>
      <w:pPr>
        <w:pStyle w:val="null3"/>
        <w:ind w:firstLine="422"/>
        <w:jc w:val="both"/>
      </w:pPr>
      <w:r>
        <w:rPr>
          <w:sz w:val="20"/>
        </w:rPr>
        <w:t>（</w:t>
      </w:r>
      <w:r>
        <w:rPr>
          <w:sz w:val="20"/>
        </w:rPr>
        <w:t>2</w:t>
      </w:r>
      <w:r>
        <w:rPr>
          <w:sz w:val="20"/>
        </w:rPr>
        <w:t>）小组工作：指以团体或小群体为服务对象，并通过运用小组或团体的资源、支持等为其成员提供长期持续的支持性、照护性、发展性或预防性等服务的方法。其目的是为成员培育和建设一个团体或小组形式的社会支持网络或平台，使成员个人能借助小组集体支持和资源，提升自身应对困难的能力，改善其社会无助处境。小组服务通过协调个人与个人、个人与团体和团体与团体之间的社会关系，发挥小组的社会正向功能，促进成员的进步与健康发展。小组服务应按照阶段性发展状况安排服务活动次数，活动次数一般不少于</w:t>
      </w:r>
      <w:r>
        <w:rPr>
          <w:sz w:val="20"/>
        </w:rPr>
        <w:t>3</w:t>
      </w:r>
      <w:r>
        <w:rPr>
          <w:sz w:val="20"/>
        </w:rPr>
        <w:t>次，每次参与小组活动的人数至少为</w:t>
      </w:r>
      <w:r>
        <w:rPr>
          <w:sz w:val="20"/>
        </w:rPr>
        <w:t>3</w:t>
      </w:r>
      <w:r>
        <w:rPr>
          <w:sz w:val="20"/>
        </w:rPr>
        <w:t>人及以上。</w:t>
      </w:r>
    </w:p>
    <w:p>
      <w:pPr>
        <w:pStyle w:val="null3"/>
        <w:ind w:firstLine="422"/>
        <w:jc w:val="both"/>
      </w:pPr>
      <w:r>
        <w:rPr>
          <w:sz w:val="20"/>
        </w:rPr>
        <w:t>（</w:t>
      </w:r>
      <w:r>
        <w:rPr>
          <w:sz w:val="20"/>
        </w:rPr>
        <w:t>3</w:t>
      </w:r>
      <w:r>
        <w:rPr>
          <w:sz w:val="20"/>
        </w:rPr>
        <w:t>）社区工作：指以促进整个社区发展为目标的社会工作服务方法，是在党和政府的领导下，社工机构依靠社区力量，整合社会资源，促进社区进步和发展的宏观层面的社会服务。其主要是强化社区正向功能，提升社区参与，优化社区关系，预防和缓解社区问题，促进社区政治、经济、文化、环境协调健康发展，不断提高社区成员的生活水平和生活质量的过程。社区工作的内容包括社区公共问题介入、社区营造、社区文化保育、社区公益慈善、社区志愿服务、社区组织和社区领袖培育等。</w:t>
      </w:r>
    </w:p>
    <w:p>
      <w:pPr>
        <w:pStyle w:val="null3"/>
        <w:ind w:firstLine="422"/>
        <w:jc w:val="both"/>
      </w:pPr>
      <w:r>
        <w:rPr>
          <w:sz w:val="20"/>
        </w:rPr>
        <w:t>（</w:t>
      </w:r>
      <w:r>
        <w:rPr>
          <w:sz w:val="20"/>
        </w:rPr>
        <w:t>四</w:t>
      </w:r>
      <w:r>
        <w:rPr>
          <w:sz w:val="20"/>
        </w:rPr>
        <w:t>）具体指标及要求</w:t>
      </w:r>
    </w:p>
    <w:p>
      <w:pPr>
        <w:pStyle w:val="null3"/>
        <w:ind w:firstLine="422"/>
        <w:jc w:val="both"/>
      </w:pPr>
      <w:r>
        <w:rPr>
          <w:sz w:val="20"/>
        </w:rPr>
        <w:t>1.</w:t>
      </w:r>
      <w:r>
        <w:rPr>
          <w:sz w:val="20"/>
        </w:rPr>
        <w:t>项目总体服务质量要求</w:t>
      </w:r>
    </w:p>
    <w:p>
      <w:pPr>
        <w:pStyle w:val="null3"/>
        <w:ind w:firstLine="420"/>
        <w:jc w:val="both"/>
      </w:pPr>
      <w:r>
        <w:rPr>
          <w:sz w:val="20"/>
          <w:color w:val="000000"/>
        </w:rPr>
        <w:t>（</w:t>
      </w:r>
      <w:r>
        <w:rPr>
          <w:sz w:val="20"/>
          <w:color w:val="000000"/>
        </w:rPr>
        <w:t>1</w:t>
      </w:r>
      <w:r>
        <w:rPr>
          <w:sz w:val="20"/>
          <w:color w:val="000000"/>
        </w:rPr>
        <w:t>）项目应通过电访、探访、个案、小组、社区服务等方式，对辖区困难群众和特殊群体实现</w:t>
      </w:r>
      <w:r>
        <w:rPr>
          <w:sz w:val="20"/>
          <w:color w:val="000000"/>
        </w:rPr>
        <w:t>100%</w:t>
      </w:r>
      <w:r>
        <w:rPr>
          <w:sz w:val="20"/>
          <w:color w:val="000000"/>
        </w:rPr>
        <w:t>覆盖。全年实现一至四级困难群众和特殊群体的入户率、建档率应达到</w:t>
      </w:r>
      <w:r>
        <w:rPr>
          <w:sz w:val="20"/>
          <w:color w:val="000000"/>
        </w:rPr>
        <w:t>100%</w:t>
      </w:r>
      <w:r>
        <w:rPr>
          <w:sz w:val="20"/>
          <w:color w:val="000000"/>
        </w:rPr>
        <w:t>；</w:t>
      </w:r>
    </w:p>
    <w:p>
      <w:pPr>
        <w:pStyle w:val="null3"/>
        <w:ind w:firstLine="400"/>
        <w:jc w:val="left"/>
      </w:pPr>
      <w:r>
        <w:rPr>
          <w:sz w:val="20"/>
          <w:color w:val="000000"/>
        </w:rPr>
        <w:t>（</w:t>
      </w:r>
      <w:r>
        <w:rPr>
          <w:sz w:val="20"/>
          <w:color w:val="000000"/>
        </w:rPr>
        <w:t>2</w:t>
      </w:r>
      <w:r>
        <w:rPr>
          <w:sz w:val="20"/>
          <w:color w:val="000000"/>
        </w:rPr>
        <w:t>）项目能依托正果镇辖内优势，发挥“五社联动”机制，整合社区资源，促进多元主体参与社区帮扶，有效回应兜底服务对象的多元化、合理化需求，打造服务品牌，有较大的社会影响力与美誉度；</w:t>
      </w:r>
    </w:p>
    <w:p>
      <w:pPr>
        <w:pStyle w:val="null3"/>
        <w:ind w:firstLine="420"/>
        <w:jc w:val="both"/>
      </w:pPr>
      <w:r>
        <w:rPr>
          <w:sz w:val="20"/>
          <w:color w:val="000000"/>
        </w:rPr>
        <w:t>（</w:t>
      </w:r>
      <w:r>
        <w:rPr>
          <w:sz w:val="20"/>
          <w:color w:val="000000"/>
        </w:rPr>
        <w:t>3</w:t>
      </w:r>
      <w:r>
        <w:rPr>
          <w:sz w:val="20"/>
          <w:color w:val="000000"/>
        </w:rPr>
        <w:t>）项目在兜底性民生服务、基础性民生服务、普惠性民生服务等方面发挥的服务作用突出，各项服务工作的认可度、满意度较高，相关工作服务对象满意度不低于</w:t>
      </w:r>
      <w:r>
        <w:rPr>
          <w:sz w:val="20"/>
          <w:color w:val="000000"/>
        </w:rPr>
        <w:t>80%</w:t>
      </w:r>
      <w:r>
        <w:rPr>
          <w:sz w:val="20"/>
          <w:color w:val="000000"/>
        </w:rPr>
        <w:t>。</w:t>
      </w:r>
    </w:p>
    <w:p>
      <w:pPr>
        <w:pStyle w:val="null3"/>
        <w:ind w:firstLine="422"/>
        <w:jc w:val="both"/>
      </w:pPr>
      <w:r>
        <w:rPr>
          <w:sz w:val="20"/>
        </w:rPr>
        <w:t>2.</w:t>
      </w:r>
      <w:r>
        <w:rPr>
          <w:sz w:val="20"/>
        </w:rPr>
        <w:t>专业服务指标要求</w:t>
      </w:r>
    </w:p>
    <w:p>
      <w:pPr>
        <w:pStyle w:val="null3"/>
        <w:ind w:firstLine="420"/>
        <w:jc w:val="both"/>
      </w:pPr>
      <w:r>
        <w:rPr>
          <w:sz w:val="21"/>
        </w:rPr>
        <w:t>应至少完成个案服务</w:t>
      </w:r>
      <w:r>
        <w:rPr>
          <w:sz w:val="21"/>
        </w:rPr>
        <w:t>60</w:t>
      </w:r>
      <w:r>
        <w:rPr>
          <w:sz w:val="21"/>
        </w:rPr>
        <w:t>个；提供小组服务至少</w:t>
      </w:r>
      <w:r>
        <w:rPr>
          <w:sz w:val="21"/>
        </w:rPr>
        <w:t>16</w:t>
      </w:r>
      <w:r>
        <w:rPr>
          <w:sz w:val="21"/>
        </w:rPr>
        <w:t>个，服务不低于</w:t>
      </w:r>
      <w:r>
        <w:rPr>
          <w:sz w:val="21"/>
        </w:rPr>
        <w:t>576</w:t>
      </w:r>
      <w:r>
        <w:rPr>
          <w:sz w:val="21"/>
        </w:rPr>
        <w:t>人次；政策宣传活动至少</w:t>
      </w:r>
      <w:r>
        <w:rPr>
          <w:sz w:val="21"/>
        </w:rPr>
        <w:t>18</w:t>
      </w:r>
      <w:r>
        <w:rPr>
          <w:sz w:val="21"/>
        </w:rPr>
        <w:t>场，服务不低于</w:t>
      </w:r>
      <w:r>
        <w:rPr>
          <w:sz w:val="21"/>
        </w:rPr>
        <w:t>900</w:t>
      </w:r>
      <w:r>
        <w:rPr>
          <w:sz w:val="21"/>
        </w:rPr>
        <w:t>人次；组织社区活动至少</w:t>
      </w:r>
      <w:r>
        <w:rPr>
          <w:sz w:val="21"/>
        </w:rPr>
        <w:t>36</w:t>
      </w:r>
      <w:r>
        <w:rPr>
          <w:sz w:val="21"/>
        </w:rPr>
        <w:t>场次，服务不少于</w:t>
      </w:r>
      <w:r>
        <w:rPr>
          <w:sz w:val="21"/>
        </w:rPr>
        <w:t>1800</w:t>
      </w:r>
      <w:r>
        <w:rPr>
          <w:sz w:val="21"/>
        </w:rPr>
        <w:t>人次；发挥社会工作专业优势，打造困难群众和特殊群体特色项目至少</w:t>
      </w:r>
      <w:r>
        <w:rPr>
          <w:sz w:val="21"/>
        </w:rPr>
        <w:t>1</w:t>
      </w:r>
      <w:r>
        <w:rPr>
          <w:sz w:val="21"/>
        </w:rPr>
        <w:t>个</w:t>
      </w:r>
      <w:r>
        <w:rPr>
          <w:sz w:val="20"/>
        </w:rPr>
        <w:t>。</w:t>
      </w:r>
    </w:p>
    <w:p>
      <w:pPr>
        <w:pStyle w:val="null3"/>
        <w:ind w:firstLine="422"/>
        <w:jc w:val="both"/>
      </w:pPr>
      <w:r>
        <w:rPr>
          <w:sz w:val="20"/>
        </w:rPr>
        <w:t>（</w:t>
      </w:r>
      <w:r>
        <w:rPr>
          <w:sz w:val="20"/>
        </w:rPr>
        <w:t>五</w:t>
      </w:r>
      <w:r>
        <w:rPr>
          <w:sz w:val="20"/>
        </w:rPr>
        <w:t>）服务人员</w:t>
      </w:r>
    </w:p>
    <w:p>
      <w:pPr>
        <w:pStyle w:val="null3"/>
        <w:ind w:firstLine="422"/>
        <w:jc w:val="both"/>
      </w:pPr>
      <w:r>
        <w:rPr>
          <w:sz w:val="20"/>
        </w:rPr>
        <w:t>根据《办法》要求</w:t>
      </w:r>
      <w:r>
        <w:rPr>
          <w:sz w:val="20"/>
        </w:rPr>
        <w:t>，原则上配备全职社工</w:t>
      </w:r>
      <w:r>
        <w:rPr>
          <w:sz w:val="20"/>
        </w:rPr>
        <w:t>1</w:t>
      </w:r>
      <w:r>
        <w:rPr>
          <w:sz w:val="20"/>
        </w:rPr>
        <w:t>6</w:t>
      </w:r>
      <w:r>
        <w:rPr>
          <w:sz w:val="20"/>
        </w:rPr>
        <w:t>名，机构管理人员、财务人员、行政、保洁、安保等人员不得计入项目人员。项目采购服务周期内持证社工比例应当不低于</w:t>
      </w:r>
      <w:r>
        <w:rPr>
          <w:sz w:val="20"/>
        </w:rPr>
        <w:t>2/3</w:t>
      </w:r>
      <w:r>
        <w:rPr>
          <w:sz w:val="20"/>
        </w:rPr>
        <w:t>。（如社工持证比例有最新文件要求的，按最新文件调整）。</w:t>
      </w:r>
    </w:p>
    <w:p>
      <w:pPr>
        <w:pStyle w:val="null3"/>
        <w:ind w:firstLine="422"/>
        <w:jc w:val="both"/>
      </w:pPr>
      <w:r>
        <w:rPr>
          <w:sz w:val="20"/>
        </w:rPr>
        <w:t>三、年度项目经费及拨付事宜</w:t>
      </w:r>
    </w:p>
    <w:p>
      <w:pPr>
        <w:pStyle w:val="null3"/>
        <w:ind w:firstLine="640"/>
        <w:jc w:val="both"/>
      </w:pPr>
      <w:r>
        <w:rPr>
          <w:sz w:val="20"/>
        </w:rPr>
        <w:t>（一）经费总额：每年为人民币</w:t>
      </w:r>
      <w:r>
        <w:rPr>
          <w:sz w:val="20"/>
          <w:u w:val="single"/>
        </w:rPr>
        <w:t>166.86</w:t>
      </w:r>
      <w:r>
        <w:rPr>
          <w:sz w:val="20"/>
          <w:u w:val="single"/>
        </w:rPr>
        <w:t>万</w:t>
      </w:r>
      <w:r>
        <w:rPr>
          <w:sz w:val="20"/>
        </w:rPr>
        <w:t>元（大写：</w:t>
      </w:r>
      <w:r>
        <w:rPr>
          <w:sz w:val="20"/>
          <w:u w:val="single"/>
        </w:rPr>
        <w:t>壹佰陆拾陆万捌仟陆佰元整</w:t>
      </w:r>
      <w:r>
        <w:rPr>
          <w:sz w:val="20"/>
        </w:rPr>
        <w:t>）。</w:t>
      </w:r>
    </w:p>
    <w:p>
      <w:pPr>
        <w:pStyle w:val="null3"/>
        <w:ind w:firstLine="640"/>
        <w:jc w:val="both"/>
      </w:pPr>
      <w:r>
        <w:rPr>
          <w:sz w:val="20"/>
        </w:rPr>
        <w:t>（二）经费拨付：分三期拨付，第一期：在协议签订之日起</w:t>
      </w:r>
      <w:r>
        <w:rPr>
          <w:sz w:val="20"/>
          <w:u w:val="single"/>
        </w:rPr>
        <w:t>30</w:t>
      </w:r>
      <w:r>
        <w:rPr>
          <w:sz w:val="20"/>
        </w:rPr>
        <w:t>个工作日内办理拨付年度项目经费总额的</w:t>
      </w:r>
      <w:r>
        <w:rPr>
          <w:sz w:val="20"/>
          <w:u w:val="single"/>
        </w:rPr>
        <w:t>55%</w:t>
      </w:r>
      <w:r>
        <w:rPr>
          <w:sz w:val="20"/>
        </w:rPr>
        <w:t>即人民币</w:t>
      </w:r>
      <w:r>
        <w:rPr>
          <w:sz w:val="20"/>
          <w:u w:val="single"/>
        </w:rPr>
        <w:t>91.77</w:t>
      </w:r>
      <w:r>
        <w:rPr>
          <w:sz w:val="20"/>
          <w:u w:val="single"/>
        </w:rPr>
        <w:t>3</w:t>
      </w:r>
      <w:r>
        <w:rPr>
          <w:sz w:val="20"/>
          <w:u w:val="single"/>
        </w:rPr>
        <w:t>万</w:t>
      </w:r>
      <w:r>
        <w:rPr>
          <w:sz w:val="20"/>
        </w:rPr>
        <w:t>元（大写：</w:t>
      </w:r>
      <w:r>
        <w:rPr>
          <w:sz w:val="20"/>
          <w:u w:val="single"/>
        </w:rPr>
        <w:t>玖拾壹万柒仟柒佰</w:t>
      </w:r>
      <w:r>
        <w:rPr>
          <w:sz w:val="20"/>
          <w:u w:val="single"/>
        </w:rPr>
        <w:t>叁拾</w:t>
      </w:r>
      <w:r>
        <w:rPr>
          <w:sz w:val="20"/>
          <w:u w:val="single"/>
        </w:rPr>
        <w:t>元整</w:t>
      </w:r>
      <w:r>
        <w:rPr>
          <w:sz w:val="20"/>
        </w:rPr>
        <w:t>）；第二期：年度中期评估为合格以上的，自经费办理拨付申请之日起</w:t>
      </w:r>
      <w:r>
        <w:rPr>
          <w:sz w:val="20"/>
          <w:u w:val="single"/>
        </w:rPr>
        <w:t>30</w:t>
      </w:r>
      <w:r>
        <w:rPr>
          <w:sz w:val="20"/>
        </w:rPr>
        <w:t>个工作日内拨付年度项目经费总额的</w:t>
      </w:r>
      <w:r>
        <w:rPr>
          <w:sz w:val="20"/>
          <w:u w:val="single"/>
        </w:rPr>
        <w:t>40%</w:t>
      </w:r>
      <w:r>
        <w:rPr>
          <w:sz w:val="20"/>
        </w:rPr>
        <w:t>即人民币</w:t>
      </w:r>
      <w:r>
        <w:rPr>
          <w:sz w:val="20"/>
          <w:u w:val="single"/>
        </w:rPr>
        <w:t>66.74</w:t>
      </w:r>
      <w:r>
        <w:rPr>
          <w:sz w:val="20"/>
          <w:u w:val="single"/>
        </w:rPr>
        <w:t>4</w:t>
      </w:r>
      <w:r>
        <w:rPr>
          <w:sz w:val="20"/>
          <w:u w:val="single"/>
        </w:rPr>
        <w:t>万</w:t>
      </w:r>
      <w:r>
        <w:rPr>
          <w:sz w:val="20"/>
        </w:rPr>
        <w:t>元（大写：</w:t>
      </w:r>
      <w:r>
        <w:rPr>
          <w:sz w:val="20"/>
          <w:u w:val="single"/>
        </w:rPr>
        <w:t>陆拾陆万柒仟肆佰</w:t>
      </w:r>
      <w:r>
        <w:rPr>
          <w:sz w:val="20"/>
          <w:u w:val="single"/>
        </w:rPr>
        <w:t>肆拾</w:t>
      </w:r>
      <w:r>
        <w:rPr>
          <w:sz w:val="20"/>
          <w:u w:val="single"/>
        </w:rPr>
        <w:t>元整</w:t>
      </w:r>
      <w:r>
        <w:rPr>
          <w:sz w:val="20"/>
        </w:rPr>
        <w:t>）；第三期：年度末期评估为合格以上的，自经费办理拨付申请之日起</w:t>
      </w:r>
      <w:r>
        <w:rPr>
          <w:sz w:val="20"/>
          <w:u w:val="single"/>
        </w:rPr>
        <w:t>30</w:t>
      </w:r>
      <w:r>
        <w:rPr>
          <w:sz w:val="20"/>
        </w:rPr>
        <w:t>个工作日内拨付年度项目经费总额的</w:t>
      </w:r>
      <w:r>
        <w:rPr>
          <w:sz w:val="20"/>
          <w:u w:val="single"/>
        </w:rPr>
        <w:t>5%</w:t>
      </w:r>
      <w:r>
        <w:rPr>
          <w:sz w:val="20"/>
        </w:rPr>
        <w:t>即人民币</w:t>
      </w:r>
      <w:r>
        <w:rPr>
          <w:sz w:val="20"/>
          <w:u w:val="single"/>
        </w:rPr>
        <w:t>8.34</w:t>
      </w:r>
      <w:r>
        <w:rPr>
          <w:sz w:val="20"/>
          <w:u w:val="single"/>
        </w:rPr>
        <w:t>3</w:t>
      </w:r>
      <w:r>
        <w:rPr>
          <w:sz w:val="20"/>
          <w:u w:val="single"/>
        </w:rPr>
        <w:t>万</w:t>
      </w:r>
      <w:r>
        <w:rPr>
          <w:sz w:val="20"/>
        </w:rPr>
        <w:t>元（大写：</w:t>
      </w:r>
      <w:r>
        <w:rPr>
          <w:sz w:val="20"/>
          <w:u w:val="single"/>
        </w:rPr>
        <w:t>捌万叁仟肆佰</w:t>
      </w:r>
      <w:r>
        <w:rPr>
          <w:sz w:val="20"/>
          <w:u w:val="single"/>
        </w:rPr>
        <w:t>叁拾</w:t>
      </w:r>
      <w:r>
        <w:rPr>
          <w:sz w:val="20"/>
          <w:u w:val="single"/>
        </w:rPr>
        <w:t>元整</w:t>
      </w:r>
      <w:r>
        <w:rPr>
          <w:sz w:val="20"/>
        </w:rPr>
        <w:t>）。</w:t>
      </w:r>
    </w:p>
    <w:p>
      <w:pPr>
        <w:pStyle w:val="null3"/>
        <w:ind w:firstLine="640"/>
        <w:jc w:val="both"/>
      </w:pPr>
      <w:r>
        <w:rPr>
          <w:sz w:val="20"/>
        </w:rPr>
        <w:t>（三）拨付流程：</w:t>
      </w:r>
    </w:p>
    <w:p>
      <w:pPr>
        <w:pStyle w:val="null3"/>
        <w:ind w:firstLine="640"/>
        <w:jc w:val="both"/>
      </w:pPr>
      <w:r>
        <w:rPr>
          <w:sz w:val="20"/>
        </w:rPr>
        <w:t>1.</w:t>
      </w:r>
      <w:r>
        <w:rPr>
          <w:sz w:val="20"/>
        </w:rPr>
        <w:t>第一期项目经费拨付：自本合同签订之日起</w:t>
      </w:r>
      <w:r>
        <w:rPr>
          <w:sz w:val="20"/>
          <w:u w:val="single"/>
        </w:rPr>
        <w:t>30</w:t>
      </w:r>
      <w:r>
        <w:rPr>
          <w:sz w:val="20"/>
        </w:rPr>
        <w:t>个工作日内，乙方提供经费拨付申请材料（包括但不限于本协议复印件、经甲方确认的项目服务计划、等额发票以及经费拨付申请表等）给甲方审核通过后，由甲方负责向所在区财政局申请经费拨付。</w:t>
      </w:r>
    </w:p>
    <w:p>
      <w:pPr>
        <w:pStyle w:val="null3"/>
        <w:ind w:firstLine="640"/>
        <w:jc w:val="both"/>
      </w:pPr>
      <w:r>
        <w:rPr>
          <w:sz w:val="20"/>
        </w:rPr>
        <w:t>2.</w:t>
      </w:r>
      <w:r>
        <w:rPr>
          <w:sz w:val="20"/>
        </w:rPr>
        <w:t>第二（三期）项目经费拨付：年度中期（末期）评估后，评估结果为合格以上的，乙方提供经费拨付申请材料（包括但不限于本协议复印件、中期（末期）评估报告复印件（盖机构公章）、等额发票以及经费拨付申请表等）给甲方审核通过后，由甲方负责向所在区财政局申请经费拨付。</w:t>
      </w:r>
    </w:p>
    <w:p>
      <w:pPr>
        <w:pStyle w:val="null3"/>
        <w:ind w:firstLine="640"/>
        <w:jc w:val="both"/>
      </w:pPr>
      <w:r>
        <w:rPr>
          <w:sz w:val="20"/>
        </w:rPr>
        <w:t>3.</w:t>
      </w:r>
      <w:r>
        <w:rPr>
          <w:sz w:val="20"/>
        </w:rPr>
        <w:t>每期经费拨付需在</w:t>
      </w:r>
      <w:r>
        <w:rPr>
          <w:sz w:val="20"/>
          <w:u w:val="single"/>
        </w:rPr>
        <w:t>30</w:t>
      </w:r>
      <w:r>
        <w:rPr>
          <w:sz w:val="20"/>
        </w:rPr>
        <w:t>个工作日内办理，并及时将有关情况报给所在区民政局。</w:t>
      </w:r>
    </w:p>
    <w:p>
      <w:pPr>
        <w:pStyle w:val="null3"/>
        <w:ind w:firstLine="640"/>
        <w:jc w:val="both"/>
      </w:pPr>
      <w:r>
        <w:rPr>
          <w:sz w:val="20"/>
        </w:rPr>
        <w:t>（四）乙方指定如下银行账户为其收款账户：</w:t>
      </w:r>
    </w:p>
    <w:p>
      <w:pPr>
        <w:pStyle w:val="null3"/>
        <w:ind w:firstLine="640"/>
        <w:jc w:val="both"/>
      </w:pPr>
      <w:r>
        <w:rPr>
          <w:sz w:val="20"/>
        </w:rPr>
        <w:t>账户名称：</w:t>
      </w:r>
      <w:r>
        <w:rPr>
          <w:sz w:val="20"/>
        </w:rPr>
        <w:t>×××</w:t>
      </w:r>
    </w:p>
    <w:p>
      <w:pPr>
        <w:pStyle w:val="null3"/>
        <w:ind w:firstLine="640"/>
        <w:jc w:val="both"/>
      </w:pPr>
      <w:r>
        <w:rPr>
          <w:sz w:val="20"/>
        </w:rPr>
        <w:t>开户银行：</w:t>
      </w:r>
      <w:r>
        <w:rPr>
          <w:sz w:val="20"/>
        </w:rPr>
        <w:t>×××</w:t>
      </w:r>
    </w:p>
    <w:p>
      <w:pPr>
        <w:pStyle w:val="null3"/>
        <w:ind w:firstLine="640"/>
        <w:jc w:val="both"/>
      </w:pPr>
      <w:r>
        <w:rPr>
          <w:sz w:val="20"/>
        </w:rPr>
        <w:t>银行账号：</w:t>
      </w:r>
      <w:r>
        <w:rPr>
          <w:sz w:val="20"/>
        </w:rPr>
        <w:t>×××</w:t>
      </w:r>
    </w:p>
    <w:p>
      <w:pPr>
        <w:pStyle w:val="null3"/>
        <w:ind w:firstLine="640"/>
        <w:jc w:val="both"/>
      </w:pPr>
      <w:r>
        <w:rPr>
          <w:sz w:val="20"/>
        </w:rPr>
        <w:t>（</w:t>
      </w:r>
      <w:r>
        <w:rPr>
          <w:sz w:val="20"/>
        </w:rPr>
        <w:t>1</w:t>
      </w:r>
      <w:r>
        <w:rPr>
          <w:sz w:val="20"/>
        </w:rPr>
        <w:t>）</w:t>
      </w:r>
      <w:r>
        <w:rPr>
          <w:sz w:val="20"/>
        </w:rPr>
        <w:t>乙方应严格按照《办法》规定规范使用项目经费，人员费用应当不低于项目经费总额的</w:t>
      </w:r>
      <w:r>
        <w:rPr>
          <w:sz w:val="20"/>
          <w:u w:val="single"/>
        </w:rPr>
        <w:t>80%</w:t>
      </w:r>
      <w:r>
        <w:rPr>
          <w:sz w:val="20"/>
        </w:rPr>
        <w:t>，服务质量保障费用及承接机构管理费用应当不高于项目经费总额的</w:t>
      </w:r>
      <w:r>
        <w:rPr>
          <w:sz w:val="20"/>
          <w:u w:val="single"/>
        </w:rPr>
        <w:t>20%</w:t>
      </w:r>
      <w:r>
        <w:rPr>
          <w:sz w:val="20"/>
        </w:rPr>
        <w:t>，其中，承接机构管理费用应当不高于项目经费总额的</w:t>
      </w:r>
      <w:r>
        <w:rPr>
          <w:sz w:val="20"/>
          <w:u w:val="single"/>
        </w:rPr>
        <w:t>10%</w:t>
      </w:r>
      <w:r>
        <w:rPr>
          <w:sz w:val="20"/>
          <w:u w:val="single"/>
        </w:rPr>
        <w:t>，费用使用标准按照上级文件进行动态调整。</w:t>
      </w:r>
      <w:r>
        <w:rPr>
          <w:sz w:val="20"/>
        </w:rPr>
        <w:t xml:space="preserve">甲方及所在区民政局或其他有关主管部门有权委托第三方对乙方使用经费情况进行财务审计、财务评估等。 </w:t>
      </w:r>
    </w:p>
    <w:p>
      <w:pPr>
        <w:pStyle w:val="null3"/>
        <w:ind w:firstLine="640"/>
        <w:jc w:val="both"/>
      </w:pPr>
      <w:r>
        <w:rPr>
          <w:sz w:val="20"/>
        </w:rPr>
        <w:t>（</w:t>
      </w:r>
      <w:r>
        <w:rPr>
          <w:sz w:val="20"/>
        </w:rPr>
        <w:t>2</w:t>
      </w:r>
      <w:r>
        <w:rPr>
          <w:sz w:val="20"/>
        </w:rPr>
        <w:t>）</w:t>
      </w:r>
      <w:r>
        <w:rPr>
          <w:sz w:val="20"/>
        </w:rPr>
        <w:t>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ind w:firstLine="640"/>
        <w:jc w:val="both"/>
      </w:pPr>
      <w:r>
        <w:rPr>
          <w:sz w:val="20"/>
        </w:rPr>
        <w:t>四、甲方权利和义务</w:t>
      </w:r>
    </w:p>
    <w:p>
      <w:pPr>
        <w:pStyle w:val="null3"/>
        <w:ind w:firstLine="640"/>
        <w:jc w:val="both"/>
      </w:pPr>
      <w:r>
        <w:rPr>
          <w:sz w:val="20"/>
        </w:rPr>
        <w:t>（一）对乙方开展服务进行日常监督指导，安排专人跟进项目事宜，定期或不定期检查乙方服务开展、资金使用及项目运营管理情况，并提出指导意见。</w:t>
      </w:r>
    </w:p>
    <w:p>
      <w:pPr>
        <w:pStyle w:val="null3"/>
        <w:ind w:firstLine="640"/>
        <w:jc w:val="both"/>
      </w:pPr>
      <w:r>
        <w:rPr>
          <w:sz w:val="20"/>
        </w:rPr>
        <w:t>（二）对乙方不履行合同、不正确履行合同、不完全履行合同等行为，有权要求乙方立即更正，及时采取补救措施。</w:t>
      </w:r>
    </w:p>
    <w:p>
      <w:pPr>
        <w:pStyle w:val="null3"/>
        <w:ind w:firstLine="640"/>
        <w:jc w:val="both"/>
      </w:pPr>
      <w:r>
        <w:rPr>
          <w:sz w:val="20"/>
        </w:rPr>
        <w:t>（三）为项目提供必要的办公及服务场地、必要的办公设施设备等。</w:t>
      </w:r>
    </w:p>
    <w:p>
      <w:pPr>
        <w:pStyle w:val="null3"/>
        <w:ind w:firstLine="640"/>
        <w:jc w:val="both"/>
      </w:pPr>
      <w:r>
        <w:rPr>
          <w:sz w:val="20"/>
        </w:rPr>
        <w:t>（四）为乙方开展服务提供必要的协助及便利，包括业务指导和特定技术支持、有关情况及信息资料提供、乙方社工出入有关部门及场所的便利等。</w:t>
      </w:r>
    </w:p>
    <w:p>
      <w:pPr>
        <w:pStyle w:val="null3"/>
        <w:ind w:firstLine="640"/>
        <w:jc w:val="both"/>
      </w:pPr>
      <w:r>
        <w:rPr>
          <w:sz w:val="20"/>
        </w:rPr>
        <w:t>（五）主持召开每月不少于</w:t>
      </w:r>
      <w:r>
        <w:rPr>
          <w:sz w:val="20"/>
        </w:rPr>
        <w:t>1</w:t>
      </w:r>
      <w:r>
        <w:rPr>
          <w:sz w:val="20"/>
        </w:rPr>
        <w:t>次的甲乙双方沟通会议，了解项目进展情况，协调解决项目推进过程中遇到的困难和问题，促进服务开展及社区问题解决。</w:t>
      </w:r>
    </w:p>
    <w:p>
      <w:pPr>
        <w:pStyle w:val="null3"/>
        <w:ind w:firstLine="640"/>
        <w:jc w:val="both"/>
      </w:pPr>
      <w:r>
        <w:rPr>
          <w:sz w:val="20"/>
        </w:rPr>
        <w:t>（六）协调区民政局、第三方评估机构开展项目中、末期评估，协调区财政部门支付相关款项。</w:t>
      </w:r>
    </w:p>
    <w:p>
      <w:pPr>
        <w:pStyle w:val="null3"/>
        <w:ind w:firstLine="640"/>
        <w:jc w:val="both"/>
      </w:pPr>
      <w:r>
        <w:rPr>
          <w:sz w:val="20"/>
        </w:rPr>
        <w:t>（七）如因采购期满重新招标或采购期内中止合同等因素更换承接机构的，应当妥当协调新旧机构交接，稳定社工队伍，平稳过渡。</w:t>
      </w:r>
    </w:p>
    <w:p>
      <w:pPr>
        <w:pStyle w:val="null3"/>
        <w:ind w:firstLine="640"/>
        <w:jc w:val="both"/>
      </w:pPr>
      <w:r>
        <w:rPr>
          <w:sz w:val="20"/>
        </w:rPr>
        <w:t>五、乙方权利和义务</w:t>
      </w:r>
    </w:p>
    <w:p>
      <w:pPr>
        <w:pStyle w:val="null3"/>
        <w:ind w:firstLine="640"/>
        <w:jc w:val="both"/>
      </w:pPr>
      <w:r>
        <w:rPr>
          <w:sz w:val="20"/>
        </w:rPr>
        <w:t>（一）按本合同约定获得项目经费。</w:t>
      </w:r>
    </w:p>
    <w:p>
      <w:pPr>
        <w:pStyle w:val="null3"/>
        <w:ind w:firstLine="640"/>
        <w:jc w:val="both"/>
      </w:pPr>
      <w:r>
        <w:rPr>
          <w:sz w:val="20"/>
        </w:rPr>
        <w:t>（二）按要求配置足够的、符合条件的专职社工，组织社工开展专业服务，为社工提供业务培训等支持，接受</w:t>
      </w:r>
      <w:r>
        <w:rPr>
          <w:sz w:val="20"/>
        </w:rPr>
        <w:t>“双百工程”督导中心专职督导人员的督导，并建立人员薪酬调节机制和绩效考核机制，确保社工队伍稳定。</w:t>
      </w:r>
    </w:p>
    <w:p>
      <w:pPr>
        <w:pStyle w:val="null3"/>
        <w:ind w:firstLine="640"/>
        <w:jc w:val="both"/>
      </w:pPr>
      <w:r>
        <w:rPr>
          <w:sz w:val="20"/>
        </w:rPr>
        <w:t>（三）建立本项目内部督导制度，在所配备的全职社工中选取</w:t>
      </w:r>
      <w:r>
        <w:rPr>
          <w:sz w:val="20"/>
        </w:rPr>
        <w:t>1</w:t>
      </w:r>
      <w:r>
        <w:rPr>
          <w:sz w:val="20"/>
        </w:rPr>
        <w:t>名以上资深社工担任项目内部督导，履行内部督导工作职能；建立内外部双督导联动机制，与外部督导共同做好专业支持和服务保障等工作。</w:t>
      </w:r>
    </w:p>
    <w:p>
      <w:pPr>
        <w:pStyle w:val="null3"/>
        <w:ind w:firstLine="640"/>
        <w:jc w:val="both"/>
      </w:pPr>
      <w:r>
        <w:rPr>
          <w:sz w:val="20"/>
        </w:rPr>
        <w:t>（四）按照《办法》等有关文件规定以及本协议约定落实服务任务。</w:t>
      </w:r>
    </w:p>
    <w:p>
      <w:pPr>
        <w:pStyle w:val="null3"/>
        <w:ind w:firstLine="640"/>
        <w:jc w:val="both"/>
      </w:pPr>
      <w:r>
        <w:rPr>
          <w:sz w:val="20"/>
        </w:rPr>
        <w:t>（五）定期向区、镇民政部门报告项目实施情况，每个月</w:t>
      </w:r>
      <w:r>
        <w:rPr>
          <w:sz w:val="20"/>
        </w:rPr>
        <w:t>10</w:t>
      </w:r>
      <w:r>
        <w:rPr>
          <w:sz w:val="20"/>
        </w:rPr>
        <w:t>号前向甲方报告工作人员配置、服务开展、资金使用等情况。接受所在区民政局组织的第三方评估以及镇、市</w:t>
      </w:r>
      <w:r>
        <w:rPr>
          <w:sz w:val="20"/>
        </w:rPr>
        <w:t>/</w:t>
      </w:r>
      <w:r>
        <w:rPr>
          <w:sz w:val="20"/>
        </w:rPr>
        <w:t>区民政、财政、审计等部门的监督检查。</w:t>
      </w:r>
    </w:p>
    <w:p>
      <w:pPr>
        <w:pStyle w:val="null3"/>
        <w:ind w:firstLine="640"/>
        <w:jc w:val="both"/>
      </w:pPr>
      <w:r>
        <w:rPr>
          <w:sz w:val="20"/>
        </w:rPr>
        <w:t>（六）按照民政部门有关要求使用社会工作服务管理有关信息系统，及时将项目、人员、服务、经费使用等信息录入系统，并定期动态更新。</w:t>
      </w:r>
    </w:p>
    <w:p>
      <w:pPr>
        <w:pStyle w:val="null3"/>
        <w:ind w:firstLine="640"/>
        <w:jc w:val="both"/>
      </w:pPr>
      <w:r>
        <w:rPr>
          <w:sz w:val="20"/>
        </w:rPr>
        <w:t>（七）建立健全项目和资金管理办法，建立专款专用制度，设立项目专门账户，单独使用和核算购买服务经费，并接受财政、审计、民政、镇（街）等有关部门的监督管理。其他资金应当单独核算、专项管理，不得混用、挤占、挪用。</w:t>
      </w:r>
    </w:p>
    <w:p>
      <w:pPr>
        <w:pStyle w:val="null3"/>
        <w:ind w:firstLine="640"/>
        <w:jc w:val="both"/>
      </w:pPr>
      <w:r>
        <w:rPr>
          <w:sz w:val="20"/>
        </w:rPr>
        <w:t>（八）乙方不得将项目经费用于购置固定资产，不得将实习生补贴、内部督导等费用列入人员费用。</w:t>
      </w:r>
    </w:p>
    <w:p>
      <w:pPr>
        <w:pStyle w:val="null3"/>
        <w:ind w:firstLine="640"/>
        <w:jc w:val="both"/>
      </w:pPr>
      <w:r>
        <w:rPr>
          <w:sz w:val="20"/>
        </w:rPr>
        <w:t>（九）应严格按照疫情防控、三防、消防、安全生产等有关要求，做好人员、场地、设施设备等的防控及安全管理，建立风险应对预案和应急处置机制，落实安全管理主体责任，杜绝重特大事故发生，确保项目实施过程安全有序。</w:t>
      </w:r>
    </w:p>
    <w:p>
      <w:pPr>
        <w:pStyle w:val="null3"/>
        <w:ind w:firstLine="640"/>
        <w:jc w:val="both"/>
      </w:pPr>
      <w:r>
        <w:rPr>
          <w:sz w:val="20"/>
        </w:rPr>
        <w:t>六、项目评估（项目验收）</w:t>
      </w:r>
    </w:p>
    <w:p>
      <w:pPr>
        <w:pStyle w:val="null3"/>
        <w:ind w:firstLine="640"/>
        <w:jc w:val="both"/>
      </w:pPr>
      <w:r>
        <w:rPr>
          <w:sz w:val="20"/>
        </w:rPr>
        <w:t>（一）由所在区民政局根据市相关文件和要求，委托第三方对本合同服务项目开展监督、检查、评估工作，乙方必须予以充分配合。评估包括中期评估、末期评估。评估由第三方评估机构、督导中心、镇人民政府（街道办事处）、区民政局四方共同实施。</w:t>
      </w:r>
    </w:p>
    <w:p>
      <w:pPr>
        <w:pStyle w:val="null3"/>
        <w:ind w:firstLine="640"/>
        <w:jc w:val="both"/>
      </w:pPr>
      <w:r>
        <w:rPr>
          <w:sz w:val="20"/>
        </w:rPr>
        <w:t>（二）评估分为专业服务评估和财务评估，专业服务评估是指对项目管理、服务开展过程、服务质量等进行评估，财务评估是指对项目经费使用及管理情况等进行评估。服务及财务评估结果</w:t>
      </w:r>
      <w:r>
        <w:rPr>
          <w:sz w:val="20"/>
        </w:rPr>
        <w:t>“合格”及以上等级的，方可按照协议予以拨款、续约。评估结果为“不合格”的，项目剩余经费不予拨付，甲方有权单方终止合同，成交供应商应当在采购人规定期限内退回多收的项目经费。</w:t>
      </w:r>
    </w:p>
    <w:p>
      <w:pPr>
        <w:pStyle w:val="null3"/>
        <w:ind w:firstLine="640"/>
        <w:jc w:val="both"/>
      </w:pPr>
      <w:r>
        <w:rPr>
          <w:sz w:val="20"/>
        </w:rPr>
        <w:t>（三）评估中发现有下列情形之一的，评估结果定为不合格：</w:t>
      </w:r>
    </w:p>
    <w:p>
      <w:pPr>
        <w:pStyle w:val="null3"/>
        <w:ind w:firstLine="640"/>
        <w:jc w:val="both"/>
      </w:pPr>
      <w:r>
        <w:rPr>
          <w:sz w:val="20"/>
        </w:rPr>
        <w:t>1</w:t>
      </w:r>
      <w:r>
        <w:rPr>
          <w:sz w:val="20"/>
        </w:rPr>
        <w:t>、保洁、安保等人员占用社工名额的；</w:t>
      </w:r>
    </w:p>
    <w:p>
      <w:pPr>
        <w:pStyle w:val="null3"/>
        <w:ind w:firstLine="640"/>
        <w:jc w:val="both"/>
      </w:pPr>
      <w:r>
        <w:rPr>
          <w:sz w:val="20"/>
        </w:rPr>
        <w:t>2</w:t>
      </w:r>
      <w:r>
        <w:rPr>
          <w:sz w:val="20"/>
        </w:rPr>
        <w:t>、</w:t>
      </w:r>
      <w:r>
        <w:rPr>
          <w:sz w:val="20"/>
        </w:rPr>
        <w:t>社工人员配备不足，其中项目配备</w:t>
      </w:r>
      <w:r>
        <w:rPr>
          <w:sz w:val="20"/>
        </w:rPr>
        <w:t>10</w:t>
      </w:r>
      <w:r>
        <w:rPr>
          <w:sz w:val="20"/>
        </w:rPr>
        <w:t>名及以上社工的，中期评估累计缺少</w:t>
      </w:r>
      <w:r>
        <w:rPr>
          <w:sz w:val="20"/>
        </w:rPr>
        <w:t>5</w:t>
      </w:r>
      <w:r>
        <w:rPr>
          <w:sz w:val="20"/>
        </w:rPr>
        <w:t>人次及以上，末期评估累计缺少</w:t>
      </w:r>
      <w:r>
        <w:rPr>
          <w:sz w:val="20"/>
        </w:rPr>
        <w:t>10</w:t>
      </w:r>
      <w:r>
        <w:rPr>
          <w:sz w:val="20"/>
        </w:rPr>
        <w:t>人次及以上的；项目配备</w:t>
      </w:r>
      <w:r>
        <w:rPr>
          <w:sz w:val="20"/>
        </w:rPr>
        <w:t>10</w:t>
      </w:r>
      <w:r>
        <w:rPr>
          <w:sz w:val="20"/>
        </w:rPr>
        <w:t>名以及社工的，中期评估累计缺少</w:t>
      </w:r>
      <w:r>
        <w:rPr>
          <w:sz w:val="20"/>
        </w:rPr>
        <w:t>3</w:t>
      </w:r>
      <w:r>
        <w:rPr>
          <w:sz w:val="20"/>
        </w:rPr>
        <w:t>人次及以上，末期评估累计缺少</w:t>
      </w:r>
      <w:r>
        <w:rPr>
          <w:sz w:val="20"/>
        </w:rPr>
        <w:t>6</w:t>
      </w:r>
      <w:r>
        <w:rPr>
          <w:sz w:val="20"/>
        </w:rPr>
        <w:t>人次及以上的</w:t>
      </w:r>
      <w:r>
        <w:rPr>
          <w:sz w:val="20"/>
        </w:rPr>
        <w:t>;</w:t>
      </w:r>
    </w:p>
    <w:p>
      <w:pPr>
        <w:pStyle w:val="null3"/>
        <w:ind w:firstLine="640"/>
        <w:jc w:val="both"/>
      </w:pPr>
      <w:r>
        <w:rPr>
          <w:sz w:val="20"/>
        </w:rPr>
        <w:t>3</w:t>
      </w:r>
      <w:r>
        <w:rPr>
          <w:sz w:val="20"/>
        </w:rPr>
        <w:t>、持证社工比例不达标的；</w:t>
      </w:r>
    </w:p>
    <w:p>
      <w:pPr>
        <w:pStyle w:val="null3"/>
        <w:ind w:firstLine="640"/>
        <w:jc w:val="both"/>
      </w:pPr>
      <w:r>
        <w:rPr>
          <w:sz w:val="20"/>
        </w:rPr>
        <w:t>4</w:t>
      </w:r>
      <w:r>
        <w:rPr>
          <w:sz w:val="20"/>
        </w:rPr>
        <w:t>、年度服务期内人员费用支出比例低于</w:t>
      </w:r>
      <w:r>
        <w:rPr>
          <w:sz w:val="20"/>
        </w:rPr>
        <w:t>80%</w:t>
      </w:r>
      <w:r>
        <w:rPr>
          <w:sz w:val="20"/>
        </w:rPr>
        <w:t>的；</w:t>
      </w:r>
    </w:p>
    <w:p>
      <w:pPr>
        <w:pStyle w:val="null3"/>
        <w:ind w:firstLine="640"/>
        <w:jc w:val="both"/>
      </w:pPr>
      <w:r>
        <w:rPr>
          <w:sz w:val="20"/>
        </w:rPr>
        <w:t>5</w:t>
      </w:r>
      <w:r>
        <w:rPr>
          <w:sz w:val="20"/>
        </w:rPr>
        <w:t>、限期内整改不及时、不到位的；</w:t>
      </w:r>
    </w:p>
    <w:p>
      <w:pPr>
        <w:pStyle w:val="null3"/>
        <w:ind w:firstLine="640"/>
        <w:jc w:val="both"/>
      </w:pPr>
      <w:r>
        <w:rPr>
          <w:sz w:val="20"/>
        </w:rPr>
        <w:t>6</w:t>
      </w:r>
      <w:r>
        <w:rPr>
          <w:sz w:val="20"/>
        </w:rPr>
        <w:t>、专业评估结果为不合格的；</w:t>
      </w:r>
    </w:p>
    <w:p>
      <w:pPr>
        <w:pStyle w:val="null3"/>
        <w:ind w:firstLine="640"/>
        <w:jc w:val="both"/>
      </w:pPr>
      <w:r>
        <w:rPr>
          <w:sz w:val="20"/>
        </w:rPr>
        <w:t>7</w:t>
      </w:r>
      <w:r>
        <w:rPr>
          <w:sz w:val="20"/>
        </w:rPr>
        <w:t>、财务评估结果为不合格的；</w:t>
      </w:r>
    </w:p>
    <w:p>
      <w:pPr>
        <w:pStyle w:val="null3"/>
        <w:ind w:firstLine="640"/>
        <w:jc w:val="both"/>
      </w:pPr>
      <w:r>
        <w:rPr>
          <w:sz w:val="20"/>
        </w:rPr>
        <w:t>8</w:t>
      </w:r>
      <w:r>
        <w:rPr>
          <w:sz w:val="20"/>
        </w:rPr>
        <w:t>、违反国家法律法规及有关规定的其他情形，情节严重的。</w:t>
      </w:r>
    </w:p>
    <w:p>
      <w:pPr>
        <w:pStyle w:val="null3"/>
        <w:ind w:firstLine="640"/>
        <w:jc w:val="both"/>
      </w:pPr>
      <w:r>
        <w:rPr>
          <w:sz w:val="20"/>
        </w:rPr>
        <w:t>七、关于乙方服务人员的特别约定</w:t>
      </w:r>
    </w:p>
    <w:p>
      <w:pPr>
        <w:pStyle w:val="null3"/>
        <w:ind w:firstLine="640"/>
        <w:jc w:val="both"/>
      </w:pPr>
      <w:r>
        <w:rPr>
          <w:sz w:val="20"/>
        </w:rPr>
        <w:t>（一）服务于本合同的乙方员工均由乙方直接聘请，乙方应与其参与本合同约定工作的服务人员签订合法有效的劳动合同，乙方人员与甲方不存在任何书面的或事实上的劳动关系，乙方服务人员的劳资纠纷及赔偿概由乙方负责。</w:t>
      </w:r>
    </w:p>
    <w:p>
      <w:pPr>
        <w:pStyle w:val="null3"/>
        <w:ind w:firstLine="640"/>
        <w:jc w:val="both"/>
      </w:pPr>
      <w:r>
        <w:rPr>
          <w:sz w:val="20"/>
        </w:rPr>
        <w:t>（二）乙方应严格按照有关法律法规规定，负责其服务人员的工资、社保等薪酬待遇保障以及有关意外安全责任，包括人员上下班途中和工作中的安全问题，甲方无须承担任何责任。如乙方员工被甲方安排参加防疫、救灾等有关应急工作，甲方应当为其提供相应的安全保障措施。</w:t>
      </w:r>
    </w:p>
    <w:p>
      <w:pPr>
        <w:pStyle w:val="null3"/>
        <w:ind w:firstLine="640"/>
        <w:jc w:val="both"/>
      </w:pPr>
      <w:r>
        <w:rPr>
          <w:sz w:val="20"/>
        </w:rPr>
        <w:t>（三）乙方须提供安全设施给予工作人员以保障其工作安全，并须加强对员工的监管，若乙方员工有任何不当行为，引致甲方或其他第三方的任何物质或名誉损失，乙方应及时采取适当措施消除不良影响并赔偿由此造成的损失。</w:t>
      </w:r>
    </w:p>
    <w:p>
      <w:pPr>
        <w:pStyle w:val="null3"/>
        <w:ind w:firstLine="640"/>
        <w:jc w:val="both"/>
      </w:pPr>
      <w:r>
        <w:rPr>
          <w:sz w:val="20"/>
        </w:rPr>
        <w:t>八、保密义务</w:t>
      </w:r>
    </w:p>
    <w:p>
      <w:pPr>
        <w:pStyle w:val="null3"/>
        <w:ind w:firstLine="640"/>
        <w:jc w:val="both"/>
      </w:pPr>
      <w:r>
        <w:rPr>
          <w:sz w:val="20"/>
        </w:rPr>
        <w:t>（一）甲方向乙方提供的、与本项目相关的以及乙方履行合同过程中获得的甲方及服务对象等的信息、资料，乙方均负有保密义务，仅限于乙方为本合同目的使用，未经甲方许可不得用于其他领域或向任何第三方泄漏，不得用于本合同以外的目的。</w:t>
      </w:r>
    </w:p>
    <w:p>
      <w:pPr>
        <w:pStyle w:val="null3"/>
        <w:ind w:firstLine="640"/>
        <w:jc w:val="both"/>
      </w:pPr>
      <w:r>
        <w:rPr>
          <w:sz w:val="20"/>
        </w:rPr>
        <w:t>（二）若本合同解除或终止，乙方应立即停止使用且不得许可第三方使用上述保密信息，同时应将甲方提供的保密信息退还甲方或按照甲方要求予以删除、销毁。</w:t>
      </w:r>
    </w:p>
    <w:p>
      <w:pPr>
        <w:pStyle w:val="null3"/>
        <w:ind w:firstLine="640"/>
        <w:jc w:val="both"/>
      </w:pPr>
      <w:r>
        <w:rPr>
          <w:sz w:val="20"/>
        </w:rPr>
        <w:t>（三）乙方应保证本项目使用的技术、服务或其任何一部分无知识产权纠纷；如出现知识产权纠纷，则一切法律责任及经济损失由乙方承担。</w:t>
      </w:r>
    </w:p>
    <w:p>
      <w:pPr>
        <w:pStyle w:val="null3"/>
        <w:ind w:firstLine="640"/>
        <w:jc w:val="both"/>
      </w:pPr>
      <w:r>
        <w:rPr>
          <w:sz w:val="20"/>
        </w:rPr>
        <w:t>（四）本项目执行过程中产生的研究成果、服务案例等资料的所有权归属甲方，乙方享有署名权；乙方可在征得甲方书面同意的基础上，将有关资料用于研究、服务宣传等合法用途。</w:t>
      </w:r>
    </w:p>
    <w:p>
      <w:pPr>
        <w:pStyle w:val="null3"/>
        <w:ind w:firstLine="640"/>
        <w:jc w:val="both"/>
      </w:pPr>
      <w:r>
        <w:rPr>
          <w:sz w:val="20"/>
        </w:rPr>
        <w:t>九、违约责任</w:t>
      </w:r>
    </w:p>
    <w:p>
      <w:pPr>
        <w:pStyle w:val="null3"/>
        <w:ind w:firstLine="640"/>
        <w:jc w:val="both"/>
      </w:pPr>
      <w:r>
        <w:rPr>
          <w:sz w:val="20"/>
        </w:rPr>
        <w:t>（一）乙方未按本合同约定完成工作安排的，乙方须按本项目经费总额</w:t>
      </w:r>
      <w:r>
        <w:rPr>
          <w:sz w:val="20"/>
          <w:u w:val="single"/>
        </w:rPr>
        <w:t>10%</w:t>
      </w:r>
      <w:r>
        <w:rPr>
          <w:sz w:val="20"/>
          <w:u w:val="single"/>
        </w:rPr>
        <w:t>的数额</w:t>
      </w:r>
      <w:r>
        <w:rPr>
          <w:sz w:val="20"/>
        </w:rPr>
        <w:t>向甲方支付违约金，并赔偿由此造成甲方的一切损失。</w:t>
      </w:r>
    </w:p>
    <w:p>
      <w:pPr>
        <w:pStyle w:val="null3"/>
        <w:ind w:firstLine="640"/>
        <w:jc w:val="both"/>
      </w:pPr>
      <w:r>
        <w:rPr>
          <w:sz w:val="20"/>
        </w:rPr>
        <w:t>（二）如乙方存在以下任一情形的，乙方除按本条第（一）项约定承担违约责任外，甲方有权扣减或追回相应项目经费：</w:t>
      </w:r>
    </w:p>
    <w:p>
      <w:pPr>
        <w:pStyle w:val="null3"/>
        <w:ind w:firstLine="640"/>
        <w:jc w:val="both"/>
      </w:pPr>
      <w:r>
        <w:rPr>
          <w:sz w:val="20"/>
        </w:rPr>
        <w:t>1.</w:t>
      </w:r>
      <w:r>
        <w:rPr>
          <w:sz w:val="20"/>
        </w:rPr>
        <w:t>乙方在合同期内存在人员配备不足的；</w:t>
      </w:r>
    </w:p>
    <w:p>
      <w:pPr>
        <w:pStyle w:val="null3"/>
        <w:ind w:firstLine="640"/>
        <w:jc w:val="both"/>
      </w:pPr>
      <w:r>
        <w:rPr>
          <w:sz w:val="20"/>
        </w:rPr>
        <w:t>3.</w:t>
      </w:r>
      <w:r>
        <w:rPr>
          <w:sz w:val="20"/>
        </w:rPr>
        <w:t>乙方在合同期内人员经费支出比例不达标（低于</w:t>
      </w:r>
      <w:r>
        <w:rPr>
          <w:sz w:val="20"/>
        </w:rPr>
        <w:t>80%</w:t>
      </w:r>
      <w:r>
        <w:rPr>
          <w:sz w:val="20"/>
        </w:rPr>
        <w:t>）的；</w:t>
      </w:r>
    </w:p>
    <w:p>
      <w:pPr>
        <w:pStyle w:val="null3"/>
        <w:ind w:firstLine="640"/>
        <w:jc w:val="both"/>
      </w:pPr>
      <w:r>
        <w:rPr>
          <w:sz w:val="20"/>
        </w:rPr>
        <w:t>3.</w:t>
      </w:r>
      <w:r>
        <w:rPr>
          <w:sz w:val="20"/>
        </w:rPr>
        <w:t>乙方在合同期内经费支出超出《办法》等有关文件规定范围的；</w:t>
      </w:r>
    </w:p>
    <w:p>
      <w:pPr>
        <w:pStyle w:val="null3"/>
        <w:ind w:firstLine="640"/>
        <w:jc w:val="both"/>
      </w:pPr>
      <w:r>
        <w:rPr>
          <w:sz w:val="20"/>
        </w:rPr>
        <w:t>4.</w:t>
      </w:r>
      <w:r>
        <w:rPr>
          <w:sz w:val="20"/>
        </w:rPr>
        <w:t>其他有关事宜，由甲乙双方结合实际协商确定。</w:t>
      </w:r>
    </w:p>
    <w:p>
      <w:pPr>
        <w:pStyle w:val="null3"/>
        <w:ind w:firstLine="640"/>
        <w:jc w:val="both"/>
      </w:pPr>
      <w:r>
        <w:rPr>
          <w:sz w:val="20"/>
        </w:rPr>
        <w:t>（三）乙方未按照本合同履行义务，造成重大影响或损失的，甲方有权按本合同约定追究乙方违约责任，并追回相应项目经费。如有违纪违法行为，根据《财政违法行为处罚处分条例》等有关规定予以处理；构成犯罪的，依法追究刑事责任。</w:t>
      </w:r>
    </w:p>
    <w:p>
      <w:pPr>
        <w:pStyle w:val="null3"/>
        <w:ind w:firstLine="640"/>
        <w:jc w:val="both"/>
      </w:pPr>
      <w:r>
        <w:rPr>
          <w:sz w:val="20"/>
        </w:rPr>
        <w:t>（四）任何一方违约给对方造成损失的，还应当承当赔偿损失等违约责任。</w:t>
      </w:r>
    </w:p>
    <w:p>
      <w:pPr>
        <w:pStyle w:val="null3"/>
        <w:ind w:firstLine="640"/>
        <w:jc w:val="both"/>
      </w:pPr>
      <w:r>
        <w:rPr>
          <w:sz w:val="20"/>
        </w:rPr>
        <w:t>十、合同解除或终止</w:t>
      </w:r>
    </w:p>
    <w:p>
      <w:pPr>
        <w:pStyle w:val="null3"/>
        <w:ind w:firstLine="640"/>
        <w:jc w:val="both"/>
      </w:pPr>
      <w:r>
        <w:rPr>
          <w:sz w:val="20"/>
        </w:rPr>
        <w:t>（一）合同履行过程中，如乙方存在以下任一违约情形的，除按第九条第（一）项约定承担违约责任外，甲方有权单方解除合同，并要求乙方赔偿全部损失：</w:t>
      </w:r>
    </w:p>
    <w:p>
      <w:pPr>
        <w:pStyle w:val="null3"/>
        <w:ind w:firstLine="640"/>
        <w:jc w:val="both"/>
      </w:pPr>
      <w:r>
        <w:rPr>
          <w:sz w:val="20"/>
        </w:rPr>
        <w:t>1.</w:t>
      </w:r>
      <w:r>
        <w:rPr>
          <w:sz w:val="20"/>
        </w:rPr>
        <w:t>侵害服务对象合法权益（包括泄露服务对象信息）的，或者服务态度存在问题，影响特别恶劣或</w:t>
      </w:r>
      <w:r>
        <w:rPr>
          <w:sz w:val="20"/>
        </w:rPr>
        <w:t>1</w:t>
      </w:r>
      <w:r>
        <w:rPr>
          <w:sz w:val="20"/>
        </w:rPr>
        <w:t>个月内被有效投诉</w:t>
      </w:r>
      <w:r>
        <w:rPr>
          <w:sz w:val="20"/>
        </w:rPr>
        <w:t>5</w:t>
      </w:r>
      <w:r>
        <w:rPr>
          <w:sz w:val="20"/>
        </w:rPr>
        <w:t>次以上的；</w:t>
      </w:r>
    </w:p>
    <w:p>
      <w:pPr>
        <w:pStyle w:val="null3"/>
        <w:ind w:firstLine="640"/>
        <w:jc w:val="both"/>
      </w:pPr>
      <w:r>
        <w:rPr>
          <w:sz w:val="20"/>
        </w:rPr>
        <w:t>2.</w:t>
      </w:r>
      <w:r>
        <w:rPr>
          <w:sz w:val="20"/>
        </w:rPr>
        <w:t>弄虚作假、非法挪用、挤占、滥用、侵吞项目经费的，或者不配合服务评估、财务评估以及督导的；</w:t>
      </w:r>
    </w:p>
    <w:p>
      <w:pPr>
        <w:pStyle w:val="null3"/>
        <w:ind w:firstLine="640"/>
        <w:jc w:val="both"/>
      </w:pPr>
      <w:r>
        <w:rPr>
          <w:sz w:val="20"/>
        </w:rPr>
        <w:t>3.</w:t>
      </w:r>
      <w:r>
        <w:rPr>
          <w:sz w:val="20"/>
        </w:rPr>
        <w:t>存在违约且经甲方催告拒不改正或三次以上改正后仍不符合要求，或出现重大责任事故的；</w:t>
      </w:r>
    </w:p>
    <w:p>
      <w:pPr>
        <w:pStyle w:val="null3"/>
        <w:ind w:firstLine="640"/>
        <w:jc w:val="both"/>
      </w:pPr>
      <w:r>
        <w:rPr>
          <w:sz w:val="20"/>
        </w:rPr>
        <w:t>4.</w:t>
      </w:r>
      <w:r>
        <w:rPr>
          <w:sz w:val="20"/>
        </w:rPr>
        <w:t>将本合同项目转包或分包给第三方的；</w:t>
      </w:r>
    </w:p>
    <w:p>
      <w:pPr>
        <w:pStyle w:val="null3"/>
        <w:ind w:firstLine="640"/>
        <w:jc w:val="both"/>
      </w:pPr>
      <w:r>
        <w:rPr>
          <w:sz w:val="20"/>
        </w:rPr>
        <w:t>5.</w:t>
      </w:r>
      <w:r>
        <w:rPr>
          <w:sz w:val="20"/>
        </w:rPr>
        <w:t>未如实披露单位违法违规行为（包括单位负责人、管理人员行为），取得合同项目服务资格的；</w:t>
      </w:r>
    </w:p>
    <w:p>
      <w:pPr>
        <w:pStyle w:val="null3"/>
        <w:ind w:firstLine="640"/>
        <w:jc w:val="both"/>
      </w:pPr>
      <w:r>
        <w:rPr>
          <w:sz w:val="20"/>
        </w:rPr>
        <w:t>6.</w:t>
      </w:r>
      <w:r>
        <w:rPr>
          <w:sz w:val="20"/>
        </w:rPr>
        <w:t>考核评估（包含服务评估或财务评估）等级为不合格的；</w:t>
      </w:r>
    </w:p>
    <w:p>
      <w:pPr>
        <w:pStyle w:val="null3"/>
        <w:ind w:firstLine="640"/>
        <w:jc w:val="both"/>
      </w:pPr>
      <w:r>
        <w:rPr>
          <w:sz w:val="20"/>
        </w:rPr>
        <w:t>7.</w:t>
      </w:r>
      <w:r>
        <w:rPr>
          <w:sz w:val="20"/>
        </w:rPr>
        <w:t>被列入社会组织活动异常名单（符合行政处罚情形的）、严重违法失信名单或者被有关部门给予行政处罚的；</w:t>
      </w:r>
    </w:p>
    <w:p>
      <w:pPr>
        <w:pStyle w:val="null3"/>
        <w:ind w:firstLine="640"/>
        <w:jc w:val="both"/>
      </w:pPr>
      <w:r>
        <w:rPr>
          <w:sz w:val="20"/>
        </w:rPr>
        <w:t>8.</w:t>
      </w:r>
      <w:r>
        <w:rPr>
          <w:sz w:val="20"/>
        </w:rPr>
        <w:t>未按规定与其工作人员签订劳动合同、购买社保及支付劳动报酬的；</w:t>
      </w:r>
    </w:p>
    <w:p>
      <w:pPr>
        <w:pStyle w:val="null3"/>
        <w:ind w:firstLine="640"/>
        <w:jc w:val="both"/>
      </w:pPr>
      <w:r>
        <w:rPr>
          <w:sz w:val="20"/>
        </w:rPr>
        <w:t>9.</w:t>
      </w:r>
      <w:r>
        <w:rPr>
          <w:sz w:val="20"/>
        </w:rPr>
        <w:t>被吊销或注销资质证照等丧失主体资格的；</w:t>
      </w:r>
    </w:p>
    <w:p>
      <w:pPr>
        <w:pStyle w:val="null3"/>
        <w:ind w:firstLine="640"/>
        <w:jc w:val="both"/>
      </w:pPr>
      <w:r>
        <w:rPr>
          <w:sz w:val="20"/>
        </w:rPr>
        <w:t>10.</w:t>
      </w:r>
      <w:r>
        <w:rPr>
          <w:sz w:val="20"/>
        </w:rPr>
        <w:t>存在违反相关法律法规及本协议规定其他情形的。</w:t>
      </w:r>
    </w:p>
    <w:p>
      <w:pPr>
        <w:pStyle w:val="null3"/>
        <w:ind w:firstLine="640"/>
        <w:jc w:val="both"/>
      </w:pPr>
      <w:r>
        <w:rPr>
          <w:sz w:val="20"/>
        </w:rPr>
        <w:t>发生上述任一情形的，甲方将书面通知乙方，解除通知到达乙方之日，本合同即解除。</w:t>
      </w:r>
    </w:p>
    <w:p>
      <w:pPr>
        <w:pStyle w:val="null3"/>
        <w:ind w:firstLine="640"/>
        <w:jc w:val="both"/>
      </w:pPr>
      <w:r>
        <w:rPr>
          <w:sz w:val="20"/>
        </w:rPr>
        <w:t>（二）因国家、省、市等政策调整或上级主管部门行政决定或命令等因素导致双方无法继续履行合同的，受影响一方可书面通知另一方解除合同。</w:t>
      </w:r>
    </w:p>
    <w:p>
      <w:pPr>
        <w:pStyle w:val="null3"/>
        <w:ind w:firstLine="640"/>
        <w:jc w:val="both"/>
      </w:pPr>
      <w:r>
        <w:rPr>
          <w:sz w:val="20"/>
        </w:rPr>
        <w:t>（三）自本合同解除之日起，甲方不再向乙方支付未完成工作部分的服务经费，对于乙方实际完成的工作，由甲方根据甲方留存并确认的工作成果在扣除乙方因违约需承担的违约金及赔偿后核算确定应付乙方服务经费并书面通知乙方，乙方应在收到甲方通知后</w:t>
      </w:r>
      <w:r>
        <w:rPr>
          <w:sz w:val="20"/>
        </w:rPr>
        <w:t>5</w:t>
      </w:r>
      <w:r>
        <w:rPr>
          <w:sz w:val="20"/>
        </w:rPr>
        <w:t>日内退还多收取的服务经费。</w:t>
      </w:r>
    </w:p>
    <w:p>
      <w:pPr>
        <w:pStyle w:val="null3"/>
        <w:ind w:firstLine="640"/>
        <w:jc w:val="both"/>
      </w:pPr>
      <w:r>
        <w:rPr>
          <w:sz w:val="20"/>
        </w:rPr>
        <w:t>（四）合同终止情形包括本合同服务期满以及本合同约定合同终止情形。本合同解除或终止的，乙方应在合同解除或终止后</w:t>
      </w:r>
      <w:r>
        <w:rPr>
          <w:sz w:val="20"/>
          <w:u w:val="single"/>
        </w:rPr>
        <w:t>30</w:t>
      </w:r>
      <w:r>
        <w:rPr>
          <w:sz w:val="20"/>
        </w:rPr>
        <w:t>个工作日内配合甲方办理服务资料、场地、项目档案等的移交手续。</w:t>
      </w:r>
    </w:p>
    <w:p>
      <w:pPr>
        <w:pStyle w:val="null3"/>
        <w:ind w:firstLine="640"/>
        <w:jc w:val="both"/>
      </w:pPr>
      <w:r>
        <w:rPr>
          <w:sz w:val="20"/>
        </w:rPr>
        <w:t>十一、其他事项</w:t>
      </w:r>
    </w:p>
    <w:p>
      <w:pPr>
        <w:pStyle w:val="null3"/>
        <w:ind w:firstLine="640"/>
        <w:jc w:val="both"/>
      </w:pPr>
      <w:r>
        <w:rPr>
          <w:sz w:val="20"/>
        </w:rPr>
        <w:t>（一）乙方应当确保本合同签订时已按要求配齐项目人员。</w:t>
      </w:r>
    </w:p>
    <w:p>
      <w:pPr>
        <w:pStyle w:val="null3"/>
        <w:ind w:firstLine="640"/>
        <w:jc w:val="both"/>
      </w:pPr>
      <w:r>
        <w:rPr>
          <w:sz w:val="20"/>
        </w:rPr>
        <w:t>（二）</w:t>
      </w:r>
      <w:r>
        <w:rPr>
          <w:sz w:val="20"/>
          <w:b/>
        </w:rPr>
        <w:t>如本项目的服务时间和购买服务经费标准另有新的文件规定的，则按最新规定执行；</w:t>
      </w:r>
      <w:r>
        <w:rPr>
          <w:sz w:val="20"/>
        </w:rPr>
        <w:t>合同履行期间，如果政府部门颁布、修订、更新相关政策制度，则按照最新政策、制度执行，但甲方应书面告知乙方新政策、制度标准或由双方签订补充协议确定。</w:t>
      </w:r>
    </w:p>
    <w:p>
      <w:pPr>
        <w:pStyle w:val="null3"/>
        <w:ind w:firstLine="640"/>
        <w:jc w:val="both"/>
      </w:pPr>
      <w:r>
        <w:rPr>
          <w:sz w:val="20"/>
        </w:rPr>
        <w:t>（三）与本合同有关的一切争议，由甲乙双方友好协商解决，协商不成的，向甲方所在地人民法院提起诉讼，诉讼期间不影响除争议条款外其他部分的执行。</w:t>
      </w:r>
    </w:p>
    <w:p>
      <w:pPr>
        <w:pStyle w:val="null3"/>
        <w:ind w:firstLine="640"/>
        <w:jc w:val="both"/>
      </w:pPr>
      <w:r>
        <w:rPr>
          <w:sz w:val="20"/>
        </w:rPr>
        <w:t>（四）本合同一式</w:t>
      </w:r>
      <w:r>
        <w:rPr>
          <w:u w:val="single"/>
        </w:rPr>
        <w:t xml:space="preserve">   </w:t>
      </w:r>
      <w:r>
        <w:rPr>
          <w:sz w:val="20"/>
        </w:rPr>
        <w:t>份，甲方执</w:t>
      </w:r>
      <w:r>
        <w:rPr>
          <w:u w:val="single"/>
        </w:rPr>
        <w:t xml:space="preserve">   </w:t>
      </w:r>
      <w:r>
        <w:rPr>
          <w:sz w:val="20"/>
        </w:rPr>
        <w:t>份，乙方执</w:t>
      </w:r>
      <w:r>
        <w:rPr>
          <w:u w:val="single"/>
        </w:rPr>
        <w:t xml:space="preserve">   </w:t>
      </w:r>
      <w:r>
        <w:rPr>
          <w:sz w:val="20"/>
        </w:rPr>
        <w:t>份，区民政局执</w:t>
      </w:r>
      <w:r>
        <w:rPr>
          <w:u w:val="single"/>
        </w:rPr>
        <w:t xml:space="preserve">  </w:t>
      </w:r>
      <w:r>
        <w:rPr>
          <w:sz w:val="20"/>
        </w:rPr>
        <w:t>份，每份具有同等法律效力。</w:t>
      </w:r>
    </w:p>
    <w:p>
      <w:pPr>
        <w:pStyle w:val="null3"/>
        <w:ind w:firstLine="640"/>
        <w:jc w:val="both"/>
      </w:pPr>
      <w:r>
        <w:rPr>
          <w:sz w:val="20"/>
        </w:rPr>
        <w:t>（五）本合同自双方签字并加盖公章后生效，生效日期以最后一方签署之日为准。</w:t>
      </w:r>
    </w:p>
    <w:p>
      <w:pPr>
        <w:pStyle w:val="null3"/>
        <w:ind w:firstLine="640"/>
        <w:jc w:val="both"/>
      </w:pPr>
      <w:r>
        <w:rPr>
          <w:sz w:val="20"/>
        </w:rPr>
        <w:t>（六）本合同的所有附件均为本合同不可分割的组成部分，与合同正文同具法律效力。合同附件包括：</w:t>
      </w:r>
    </w:p>
    <w:p>
      <w:pPr>
        <w:pStyle w:val="null3"/>
        <w:ind w:firstLine="640"/>
        <w:jc w:val="both"/>
      </w:pPr>
      <w:r>
        <w:rPr>
          <w:sz w:val="20"/>
        </w:rPr>
        <w:t>（以下无正文）</w:t>
      </w:r>
    </w:p>
    <w:p>
      <w:pPr>
        <w:pStyle w:val="null3"/>
        <w:jc w:val="both"/>
      </w:pPr>
      <w:r>
        <w:rPr>
          <w:sz w:val="20"/>
        </w:rPr>
        <w:t>甲方（公章）：</w:t>
      </w:r>
    </w:p>
    <w:p>
      <w:pPr>
        <w:pStyle w:val="null3"/>
        <w:ind w:firstLine="640"/>
        <w:jc w:val="both"/>
      </w:pPr>
      <w:r>
        <w:rPr>
          <w:sz w:val="20"/>
        </w:rPr>
        <w:t>法定代表人</w:t>
      </w:r>
      <w:r>
        <w:rPr>
          <w:sz w:val="20"/>
        </w:rPr>
        <w:t>/</w:t>
      </w:r>
      <w:r>
        <w:rPr>
          <w:sz w:val="20"/>
        </w:rPr>
        <w:t>委托代理人（签字）：</w:t>
      </w:r>
    </w:p>
    <w:p>
      <w:pPr>
        <w:pStyle w:val="null3"/>
        <w:ind w:firstLine="640"/>
        <w:jc w:val="both"/>
      </w:pPr>
      <w:r>
        <w:rPr>
          <w:sz w:val="20"/>
        </w:rPr>
        <w:t>签订日期：</w:t>
      </w:r>
      <w:r>
        <w:rPr>
          <w:sz w:val="20"/>
        </w:rPr>
        <w:t xml:space="preserve">   </w:t>
      </w:r>
      <w:r>
        <w:rPr>
          <w:sz w:val="20"/>
        </w:rPr>
        <w:t>年</w:t>
      </w:r>
      <w:r>
        <w:rPr>
          <w:sz w:val="20"/>
        </w:rPr>
        <w:t xml:space="preserve">  </w:t>
      </w:r>
      <w:r>
        <w:rPr>
          <w:sz w:val="20"/>
        </w:rPr>
        <w:t>月</w:t>
      </w:r>
      <w:r>
        <w:rPr>
          <w:sz w:val="20"/>
        </w:rPr>
        <w:t xml:space="preserve">  </w:t>
      </w:r>
      <w:r>
        <w:rPr>
          <w:sz w:val="20"/>
        </w:rPr>
        <w:t>日</w:t>
      </w:r>
    </w:p>
    <w:p>
      <w:pPr>
        <w:pStyle w:val="null3"/>
        <w:ind w:firstLine="640"/>
        <w:jc w:val="both"/>
      </w:pPr>
      <w:r>
        <w:rPr>
          <w:sz w:val="20"/>
        </w:rPr>
        <w:t>乙方（公章）：</w:t>
      </w:r>
    </w:p>
    <w:p>
      <w:pPr>
        <w:pStyle w:val="null3"/>
        <w:ind w:firstLine="640"/>
        <w:jc w:val="both"/>
      </w:pPr>
      <w:r>
        <w:rPr>
          <w:sz w:val="20"/>
        </w:rPr>
        <w:t>法定代表人（签字）：</w:t>
      </w:r>
    </w:p>
    <w:p>
      <w:pPr>
        <w:pStyle w:val="null3"/>
        <w:ind w:firstLine="640"/>
        <w:jc w:val="both"/>
      </w:pPr>
      <w:r>
        <w:rPr>
          <w:sz w:val="20"/>
        </w:rPr>
        <w:t>签订日期：</w:t>
      </w:r>
      <w:r>
        <w:rPr>
          <w:sz w:val="20"/>
        </w:rPr>
        <w:t xml:space="preserve">    </w:t>
      </w:r>
      <w:r>
        <w:rPr>
          <w:sz w:val="20"/>
        </w:rPr>
        <w:t>年</w:t>
      </w:r>
      <w:r>
        <w:rPr>
          <w:sz w:val="20"/>
        </w:rPr>
        <w:t xml:space="preserve">  </w:t>
      </w:r>
      <w:r>
        <w:rPr>
          <w:sz w:val="20"/>
        </w:rPr>
        <w:t>月</w:t>
      </w:r>
      <w:r>
        <w:rPr>
          <w:sz w:val="20"/>
        </w:rPr>
        <w:t xml:space="preserve">  </w:t>
      </w:r>
      <w:r>
        <w:rPr>
          <w:sz w:val="20"/>
        </w:rPr>
        <w:t>日</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440118-2025-05539</w:t>
      </w:r>
    </w:p>
    <w:p>
      <w:pPr>
        <w:pStyle w:val="null3"/>
        <w:jc w:val="center"/>
        <w:outlineLvl w:val="3"/>
      </w:pPr>
      <w:r>
        <w:rPr>
          <w:sz w:val="24"/>
          <w:b/>
        </w:rPr>
        <w:t>采购项目编号：</w:t>
      </w:r>
      <w:r>
        <w:rPr>
          <w:sz w:val="24"/>
          <w:b/>
        </w:rPr>
        <w:t>202511090818029</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广州群生招标代理有限公司</w:t>
      </w:r>
    </w:p>
    <w:p>
      <w:pPr>
        <w:pStyle w:val="null3"/>
        <w:ind w:firstLine="480"/>
      </w:pPr>
      <w:r>
        <w:rPr/>
        <w:t xml:space="preserve"> 你方组织的</w:t>
      </w:r>
      <w:r>
        <w:rPr>
          <w:u w:val="single"/>
        </w:rPr>
        <w:t>“</w:t>
      </w:r>
      <w:r>
        <w:rPr>
          <w:u w:val="single"/>
        </w:rPr>
        <w:t>正果镇社工服务站（西片区）服务项目</w:t>
      </w:r>
      <w:r>
        <w:rPr>
          <w:u w:val="single"/>
        </w:rPr>
        <w:t>”</w:t>
      </w:r>
      <w:r>
        <w:rPr/>
        <w:t>项目的竞争性磋商[采购项目编号为：</w:t>
      </w:r>
      <w:r>
        <w:rPr>
          <w:u w:val="single"/>
        </w:rPr>
        <w:t>202511090818029</w:t>
      </w:r>
      <w:r>
        <w:rPr/>
        <w:t>]，我方愿参与响应。</w:t>
      </w:r>
    </w:p>
    <w:p>
      <w:pPr>
        <w:pStyle w:val="null3"/>
        <w:ind w:firstLine="480"/>
      </w:pPr>
      <w:r>
        <w:rPr/>
        <w:t>我方确认收到贵方提供的</w:t>
      </w:r>
      <w:r>
        <w:rPr>
          <w:u w:val="single"/>
        </w:rPr>
        <w:t>“</w:t>
      </w:r>
      <w:r>
        <w:rPr>
          <w:u w:val="single"/>
        </w:rPr>
        <w:t>正果镇社工服务站（西片区）服务项目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（一）按磋商文件提供全部标的的磋商总价详见《首轮报价表》。</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则贵方将不予退还磋商保证金。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（十一）我方与其他供应商不存在单位负责人为同一人或者存在直接控股、管理关系。</w:t>
      </w:r>
    </w:p>
    <w:p>
      <w:pPr>
        <w:pStyle w:val="null3"/>
        <w:ind w:firstLine="480"/>
      </w:pPr>
      <w:r>
        <w:rPr/>
        <w:t>（十二）供应商未存在《政府采购法实施条例》第十八条第二款规定的情形：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（十三）我方具备《中华人民共和国政府采购法》第二十二条规定的条件，声明如下：</w:t>
      </w:r>
    </w:p>
    <w:p>
      <w:pPr>
        <w:pStyle w:val="null3"/>
        <w:ind w:firstLine="480"/>
      </w:pPr>
      <w:r>
        <w:rPr/>
        <w:t xml:space="preserve"> （1）我方参加本项目政府采购活动前3年内在经营活动中没有以下违法记录：因违法经营受到刑事处罚或者责令停产停业、吊销许可证或者执照、较大数额罚款等行政处罚。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（十五）我方对在本函及响应文件中所作的所有承诺承担法律责任。</w:t>
      </w:r>
    </w:p>
    <w:p>
      <w:pPr>
        <w:pStyle w:val="null3"/>
        <w:ind w:firstLine="480"/>
      </w:pPr>
      <w:r>
        <w:rPr/>
        <w:t>（十六）以上内容如有虚假或与事实不符的，磋商小组可将我方做无效响应处理，我方愿意承担相应的法律责任。</w:t>
      </w:r>
    </w:p>
    <w:p>
      <w:pPr>
        <w:pStyle w:val="null3"/>
        <w:ind w:firstLine="480"/>
      </w:pPr>
      <w:r>
        <w:rPr/>
        <w:t>（十七）所有与本磋商有关的函件请发往下列地址：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广州群生招标代理有限公司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正果镇社工服务站（西片区）服务项目</w:t>
      </w:r>
      <w:r>
        <w:rPr/>
        <w:t>”项目采购[采购项目编号为</w:t>
      </w:r>
      <w:r>
        <w:rPr/>
        <w:t>202511090818029</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广州市增城区正果镇人民政府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广州群生招标代理有限公司</w:t>
      </w:r>
    </w:p>
    <w:p>
      <w:pPr>
        <w:pStyle w:val="null3"/>
        <w:ind w:firstLine="480"/>
      </w:pPr>
      <w:r>
        <w:rPr/>
        <w:t>我单位参加贵公司组织的</w:t>
      </w:r>
      <w:r>
        <w:rPr/>
        <w:t>正果镇社工服务站（西片区）服务项目</w:t>
      </w:r>
      <w:r>
        <w:rPr/>
        <w:t>（采购项目编号：</w:t>
      </w:r>
      <w:r>
        <w:rPr/>
        <w:t>202511090818029</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