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941E8">
      <w:pPr>
        <w:snapToGrid w:val="0"/>
        <w:spacing w:line="480" w:lineRule="auto"/>
        <w:jc w:val="center"/>
        <w:rPr>
          <w:rFonts w:hint="eastAsia" w:ascii="仿宋" w:hAnsi="仿宋" w:eastAsia="仿宋" w:cs="仿宋"/>
          <w:b/>
          <w:bCs/>
          <w:color w:val="000000"/>
          <w:kern w:val="44"/>
          <w:sz w:val="36"/>
          <w:szCs w:val="36"/>
          <w:highlight w:val="none"/>
        </w:rPr>
      </w:pPr>
      <w:r>
        <w:rPr>
          <w:rFonts w:hint="eastAsia" w:ascii="仿宋" w:hAnsi="仿宋" w:eastAsia="仿宋" w:cs="仿宋"/>
          <w:b/>
          <w:bCs/>
          <w:color w:val="000000"/>
          <w:kern w:val="44"/>
          <w:sz w:val="36"/>
          <w:szCs w:val="36"/>
          <w:highlight w:val="none"/>
        </w:rPr>
        <w:t>招标公告</w:t>
      </w:r>
    </w:p>
    <w:p w14:paraId="05D6C35A">
      <w:pPr>
        <w:pStyle w:val="2"/>
        <w:tabs>
          <w:tab w:val="left" w:pos="802"/>
        </w:tabs>
        <w:spacing w:before="0" w:after="0" w:line="520" w:lineRule="exact"/>
        <w:jc w:val="left"/>
        <w:rPr>
          <w:rFonts w:hint="eastAsia" w:ascii="仿宋" w:hAnsi="仿宋" w:eastAsia="仿宋" w:cs="仿宋"/>
          <w:color w:val="000000"/>
          <w:sz w:val="24"/>
          <w:szCs w:val="24"/>
          <w:highlight w:val="none"/>
        </w:rPr>
      </w:pPr>
      <w:bookmarkStart w:id="0" w:name="_bookmark2"/>
      <w:bookmarkEnd w:id="0"/>
      <w:bookmarkStart w:id="1" w:name="_Toc22053"/>
      <w:bookmarkStart w:id="2" w:name="_Toc15476"/>
      <w:bookmarkStart w:id="3" w:name="_Toc23492"/>
      <w:bookmarkStart w:id="4" w:name="_Toc31930"/>
      <w:r>
        <w:rPr>
          <w:rFonts w:hint="eastAsia" w:ascii="仿宋" w:hAnsi="仿宋" w:eastAsia="仿宋" w:cs="仿宋"/>
          <w:color w:val="000000"/>
          <w:sz w:val="24"/>
          <w:szCs w:val="24"/>
          <w:highlight w:val="none"/>
        </w:rPr>
        <w:t>1、招标条件</w:t>
      </w:r>
      <w:bookmarkEnd w:id="1"/>
      <w:bookmarkEnd w:id="2"/>
      <w:bookmarkEnd w:id="3"/>
      <w:bookmarkEnd w:id="4"/>
    </w:p>
    <w:p w14:paraId="69E65879">
      <w:pPr>
        <w:pStyle w:val="3"/>
        <w:tabs>
          <w:tab w:val="left" w:pos="2688"/>
          <w:tab w:val="left" w:pos="3132"/>
          <w:tab w:val="left" w:pos="3772"/>
          <w:tab w:val="left" w:pos="6967"/>
          <w:tab w:val="left" w:pos="7570"/>
        </w:tabs>
        <w:spacing w:line="52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本项目</w:t>
      </w:r>
      <w:r>
        <w:rPr>
          <w:rFonts w:hint="eastAsia" w:ascii="仿宋" w:hAnsi="仿宋" w:eastAsia="仿宋" w:cs="仿宋"/>
          <w:b/>
          <w:bCs/>
          <w:color w:val="000000"/>
          <w:sz w:val="24"/>
          <w:szCs w:val="24"/>
          <w:highlight w:val="none"/>
          <w:u w:val="single"/>
        </w:rPr>
        <w:t>内蒙古自治区烟草公司包头市公司卷烟物流中心仓储分拣劳务外包项目</w:t>
      </w:r>
      <w:r>
        <w:rPr>
          <w:rFonts w:hint="eastAsia" w:ascii="仿宋" w:hAnsi="仿宋" w:eastAsia="仿宋" w:cs="仿宋"/>
          <w:color w:val="000000"/>
          <w:sz w:val="24"/>
          <w:szCs w:val="24"/>
          <w:highlight w:val="none"/>
        </w:rPr>
        <w:t>招标人为</w:t>
      </w:r>
      <w:r>
        <w:rPr>
          <w:rFonts w:hint="eastAsia" w:ascii="仿宋" w:hAnsi="仿宋" w:eastAsia="仿宋" w:cs="仿宋"/>
          <w:b/>
          <w:bCs/>
          <w:color w:val="000000"/>
          <w:sz w:val="24"/>
          <w:szCs w:val="24"/>
          <w:highlight w:val="none"/>
          <w:u w:val="single"/>
        </w:rPr>
        <w:t>内蒙古自治区烟草公司包头市公司</w:t>
      </w:r>
      <w:r>
        <w:rPr>
          <w:rFonts w:hint="eastAsia" w:ascii="仿宋" w:hAnsi="仿宋" w:eastAsia="仿宋" w:cs="仿宋"/>
          <w:color w:val="000000"/>
          <w:sz w:val="24"/>
          <w:szCs w:val="24"/>
          <w:highlight w:val="none"/>
        </w:rPr>
        <w:t>，项目资金来自</w:t>
      </w:r>
      <w:r>
        <w:rPr>
          <w:rFonts w:hint="eastAsia" w:ascii="仿宋" w:hAnsi="仿宋" w:eastAsia="仿宋" w:cs="仿宋"/>
          <w:b/>
          <w:bCs/>
          <w:color w:val="000000"/>
          <w:sz w:val="24"/>
          <w:szCs w:val="24"/>
          <w:highlight w:val="none"/>
          <w:u w:val="single"/>
        </w:rPr>
        <w:t>自筹资金</w:t>
      </w:r>
      <w:r>
        <w:rPr>
          <w:rFonts w:hint="eastAsia" w:ascii="仿宋" w:hAnsi="仿宋" w:eastAsia="仿宋" w:cs="仿宋"/>
          <w:color w:val="000000"/>
          <w:sz w:val="24"/>
          <w:szCs w:val="24"/>
          <w:highlight w:val="none"/>
        </w:rPr>
        <w:t>（资金来源）。该项目已具备招标条件，现对</w:t>
      </w:r>
      <w:r>
        <w:rPr>
          <w:rFonts w:hint="eastAsia" w:ascii="仿宋" w:hAnsi="仿宋" w:eastAsia="仿宋" w:cs="仿宋"/>
          <w:b/>
          <w:bCs/>
          <w:color w:val="000000"/>
          <w:sz w:val="24"/>
          <w:szCs w:val="24"/>
          <w:highlight w:val="none"/>
          <w:u w:val="single"/>
        </w:rPr>
        <w:t>内蒙古自治区烟草公司包头市公司卷烟物流中心仓储分拣劳务外包项目</w:t>
      </w:r>
      <w:r>
        <w:rPr>
          <w:rFonts w:hint="eastAsia" w:ascii="仿宋" w:hAnsi="仿宋" w:eastAsia="仿宋" w:cs="仿宋"/>
          <w:color w:val="000000"/>
          <w:sz w:val="24"/>
          <w:szCs w:val="24"/>
          <w:highlight w:val="none"/>
        </w:rPr>
        <w:t>进行公开招标。</w:t>
      </w:r>
    </w:p>
    <w:p w14:paraId="4B742994">
      <w:pPr>
        <w:pStyle w:val="2"/>
        <w:tabs>
          <w:tab w:val="left" w:pos="802"/>
        </w:tabs>
        <w:spacing w:before="95" w:after="0" w:line="520" w:lineRule="exact"/>
        <w:jc w:val="left"/>
        <w:rPr>
          <w:rFonts w:hint="eastAsia" w:ascii="仿宋" w:hAnsi="仿宋" w:eastAsia="仿宋" w:cs="仿宋"/>
          <w:color w:val="000000"/>
          <w:sz w:val="24"/>
          <w:szCs w:val="24"/>
          <w:highlight w:val="none"/>
        </w:rPr>
      </w:pPr>
      <w:bookmarkStart w:id="5" w:name="_bookmark3"/>
      <w:bookmarkEnd w:id="5"/>
      <w:bookmarkStart w:id="6" w:name="_Toc1971"/>
      <w:bookmarkStart w:id="7" w:name="_Toc779"/>
      <w:bookmarkStart w:id="8" w:name="_Toc8034"/>
      <w:bookmarkStart w:id="9" w:name="_Toc30846"/>
      <w:r>
        <w:rPr>
          <w:rFonts w:hint="eastAsia" w:ascii="仿宋" w:hAnsi="仿宋" w:eastAsia="仿宋" w:cs="仿宋"/>
          <w:color w:val="000000"/>
          <w:sz w:val="24"/>
          <w:szCs w:val="24"/>
          <w:highlight w:val="none"/>
        </w:rPr>
        <w:t>2、项目概况</w:t>
      </w:r>
      <w:bookmarkEnd w:id="6"/>
      <w:bookmarkEnd w:id="7"/>
      <w:bookmarkEnd w:id="8"/>
      <w:bookmarkEnd w:id="9"/>
    </w:p>
    <w:p w14:paraId="2D36BF70">
      <w:pPr>
        <w:widowControl/>
        <w:spacing w:line="520" w:lineRule="exact"/>
        <w:ind w:firstLine="480" w:firstLineChars="200"/>
        <w:jc w:val="left"/>
        <w:rPr>
          <w:rFonts w:hint="eastAsia" w:ascii="仿宋" w:hAnsi="仿宋" w:eastAsia="仿宋" w:cs="仿宋"/>
          <w:color w:val="000000"/>
          <w:sz w:val="24"/>
          <w:szCs w:val="24"/>
          <w:highlight w:val="none"/>
        </w:rPr>
      </w:pPr>
      <w:bookmarkStart w:id="10" w:name="_bookmark4"/>
      <w:bookmarkEnd w:id="10"/>
      <w:r>
        <w:rPr>
          <w:rFonts w:hint="eastAsia" w:ascii="仿宋" w:hAnsi="仿宋" w:eastAsia="仿宋" w:cs="仿宋"/>
          <w:color w:val="000000"/>
          <w:sz w:val="24"/>
          <w:szCs w:val="24"/>
          <w:highlight w:val="none"/>
        </w:rPr>
        <w:t xml:space="preserve">2.1 项目名称：内蒙古自治区烟草公司包头市公司卷烟物流中心仓储分拣劳务外包项目 </w:t>
      </w:r>
    </w:p>
    <w:p w14:paraId="6C470D59">
      <w:pPr>
        <w:widowControl/>
        <w:spacing w:line="520" w:lineRule="exact"/>
        <w:ind w:firstLine="480" w:firstLineChars="200"/>
        <w:jc w:val="left"/>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2.2 招标编号：NMGGN-ZCFW-25</w:t>
      </w:r>
      <w:r>
        <w:rPr>
          <w:rFonts w:hint="eastAsia" w:ascii="仿宋" w:hAnsi="仿宋" w:eastAsia="仿宋" w:cs="仿宋"/>
          <w:color w:val="000000"/>
          <w:sz w:val="24"/>
          <w:szCs w:val="24"/>
          <w:highlight w:val="none"/>
          <w:lang w:val="en-US" w:eastAsia="zh-CN"/>
        </w:rPr>
        <w:t>1102</w:t>
      </w:r>
    </w:p>
    <w:p w14:paraId="6DF91DB6">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 招标内容：</w:t>
      </w:r>
    </w:p>
    <w:p w14:paraId="41717203">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2.3.1装卸及分拣货物范围</w:t>
      </w:r>
    </w:p>
    <w:p w14:paraId="3F00B3CC">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包括但不限于招标人需要分拣、装卸的卷烟、电子烟、罚没烟、促销品、包装物、耗材及其他物资。</w:t>
      </w:r>
    </w:p>
    <w:p w14:paraId="13C78D89">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2.3.2服务地点</w:t>
      </w:r>
    </w:p>
    <w:p w14:paraId="5C51C181">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内蒙古自治区包头市稀土高新区稀土大街与呼得木林大街交叉口烟草公司物流中心。</w:t>
      </w:r>
    </w:p>
    <w:p w14:paraId="0BF566C4">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2.3.3服务内容</w:t>
      </w:r>
    </w:p>
    <w:p w14:paraId="50FD006F">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招标人对卷烟装卸和卷烟分拣业务实行业务外包，适用《中华人民共和国民法典》调整双方法律关系，双方不实行劳务派遣，不适用有关劳务派遣方面法律法规。</w:t>
      </w:r>
    </w:p>
    <w:p w14:paraId="759F2703">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按照招标人要求安排相关人员到招标人指定场所开展作业,作业时间将依据招标人日常作业时间进行安排，招标人的工作日不同于国家法定工作日，包含国家法定节假日。一般每年元旦至春节期间为卷烟仓储和分拣的高峰期，高峰期业务量翻倍增长，高峰期投标人须加派人员采取两班倒连轴作业。卷烟装卸和卷烟分拣外包业务运行效率须达到招标人规定的最低运行效率，否则招标人有权追究投标人违约责任。</w:t>
      </w:r>
    </w:p>
    <w:p w14:paraId="319C0A23">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卷烟装卸具体服务内容为卷烟到站卸货和卷烟中转装车服务。卷烟装卸日常结算量为“卷烟到站卸货量”和“卷烟中转装车量”两部分累计数。</w:t>
      </w:r>
    </w:p>
    <w:p w14:paraId="505C1F61">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卷烟分拣具体服务内容为分拣劳务工作，包含卷烟出库，卷烟分拣日常结算以卷烟分拣数量予以结算。</w:t>
      </w:r>
    </w:p>
    <w:p w14:paraId="6F27FB70">
      <w:pPr>
        <w:widowControl/>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2.4服务期限：</w:t>
      </w:r>
      <w:r>
        <w:rPr>
          <w:rFonts w:hint="eastAsia" w:ascii="仿宋" w:hAnsi="仿宋" w:eastAsia="仿宋" w:cs="仿宋"/>
          <w:bCs/>
          <w:color w:val="000000"/>
          <w:sz w:val="24"/>
          <w:highlight w:val="none"/>
        </w:rPr>
        <w:t>合同最长服务期限为2年</w:t>
      </w:r>
      <w:r>
        <w:rPr>
          <w:rFonts w:hint="eastAsia" w:ascii="仿宋" w:hAnsi="仿宋" w:eastAsia="仿宋" w:cs="仿宋"/>
          <w:color w:val="000000"/>
          <w:sz w:val="24"/>
          <w:szCs w:val="24"/>
          <w:highlight w:val="none"/>
        </w:rPr>
        <w:t>。服务期限内，由于招标人因政策变革、业务模式变更以及其他不可抗力等因素导致招标人相关业务暂停或取消的，涉及的相关业务自动暂停或终止。</w:t>
      </w:r>
    </w:p>
    <w:p w14:paraId="4D27605A">
      <w:pPr>
        <w:widowControl/>
        <w:spacing w:line="520" w:lineRule="exact"/>
        <w:ind w:firstLine="482" w:firstLineChars="200"/>
        <w:jc w:val="left"/>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特别说明：预计招标人的卷烟仓储分拣业务将于2026年9月整合至区域物流中心，但整合日期须以招标人区域物流整合实际发生之日为准，此处说明仅供参考。招标人完成区域物流整合之日起，招标人有权立即解除合同或直接终止项目，投标人须配合招标人完成区域物流整合和合同解除等收尾相关工作。</w:t>
      </w:r>
    </w:p>
    <w:p w14:paraId="677AC810">
      <w:pPr>
        <w:pStyle w:val="2"/>
        <w:tabs>
          <w:tab w:val="left" w:pos="802"/>
        </w:tabs>
        <w:spacing w:before="95" w:after="0" w:line="520" w:lineRule="exact"/>
        <w:jc w:val="left"/>
        <w:rPr>
          <w:rFonts w:hint="eastAsia" w:ascii="仿宋" w:hAnsi="仿宋" w:eastAsia="仿宋" w:cs="仿宋"/>
          <w:color w:val="000000"/>
          <w:sz w:val="24"/>
          <w:szCs w:val="24"/>
          <w:highlight w:val="none"/>
        </w:rPr>
      </w:pPr>
      <w:bookmarkStart w:id="11" w:name="_Toc22816"/>
      <w:bookmarkStart w:id="12" w:name="_Toc24953"/>
      <w:bookmarkStart w:id="13" w:name="_Toc28344"/>
      <w:bookmarkStart w:id="14" w:name="_Toc29862"/>
      <w:r>
        <w:rPr>
          <w:rFonts w:hint="eastAsia" w:ascii="仿宋" w:hAnsi="仿宋" w:eastAsia="仿宋" w:cs="仿宋"/>
          <w:color w:val="000000"/>
          <w:sz w:val="24"/>
          <w:szCs w:val="24"/>
          <w:highlight w:val="none"/>
        </w:rPr>
        <w:t>3、投标人资格要求</w:t>
      </w:r>
      <w:bookmarkEnd w:id="11"/>
      <w:bookmarkEnd w:id="12"/>
      <w:bookmarkEnd w:id="13"/>
      <w:bookmarkEnd w:id="14"/>
    </w:p>
    <w:p w14:paraId="359EFA05">
      <w:pPr>
        <w:overflowPunct w:val="0"/>
        <w:spacing w:line="520" w:lineRule="exact"/>
        <w:ind w:firstLine="480" w:firstLineChars="200"/>
        <w:jc w:val="left"/>
        <w:rPr>
          <w:rFonts w:hint="eastAsia" w:ascii="仿宋" w:hAnsi="仿宋" w:eastAsia="仿宋" w:cs="仿宋"/>
          <w:color w:val="000000"/>
          <w:sz w:val="24"/>
          <w:szCs w:val="24"/>
          <w:highlight w:val="none"/>
        </w:rPr>
      </w:pPr>
      <w:bookmarkStart w:id="15" w:name="_bookmark5"/>
      <w:bookmarkEnd w:id="15"/>
      <w:bookmarkStart w:id="16" w:name="_Toc21318"/>
      <w:bookmarkStart w:id="17" w:name="_Toc23076"/>
      <w:bookmarkStart w:id="18" w:name="_Toc8504"/>
      <w:bookmarkStart w:id="19" w:name="_Toc2810"/>
      <w:r>
        <w:rPr>
          <w:rFonts w:hint="eastAsia" w:ascii="仿宋" w:hAnsi="仿宋" w:eastAsia="仿宋" w:cs="仿宋"/>
          <w:color w:val="000000"/>
          <w:sz w:val="24"/>
          <w:szCs w:val="24"/>
          <w:highlight w:val="none"/>
        </w:rPr>
        <w:t>3.1投标人指向招标人提供服务的法人、其他组织或者自然人,具有三证合一的营业执照，须具有履行合同所必需的设备和专业技术能力，并在人员、设备、资金等方面具有保障如期完成项目的能力；</w:t>
      </w:r>
    </w:p>
    <w:p w14:paraId="5B5CF930">
      <w:pPr>
        <w:overflowPunct w:val="0"/>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3.2具有良好的银行资信和商业信誉及健全的财务会计制度，在投标截止日前3年内，无骗取中标和严重违约及重大质量问题，没有处于被责令停业或破产状态，资产未被重组、接管和冻结；</w:t>
      </w:r>
    </w:p>
    <w:p w14:paraId="57C67C0A">
      <w:pPr>
        <w:overflowPunct w:val="0"/>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3.3有依法缴纳税收和社会保障资金的良好记录； </w:t>
      </w:r>
    </w:p>
    <w:p w14:paraId="3EEF0A99">
      <w:pPr>
        <w:overflowPunct w:val="0"/>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3.4单位负责人为同一人或者存在控股、管理关系的不同单位，不得参加同一标段投标或者未划分标段的同一招标项目投标。</w:t>
      </w:r>
    </w:p>
    <w:p w14:paraId="182F0D7B">
      <w:pPr>
        <w:overflowPunct w:val="0"/>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3.5若投标人为非独立法人公司，以分公司身份参与投标，必须提供由总公司出具的《投标授权书》、授权代表必须同时提供由总公司出具的《法定代表人授权委托书》。</w:t>
      </w:r>
    </w:p>
    <w:p w14:paraId="18CA82F6">
      <w:pPr>
        <w:overflowPunct w:val="0"/>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3.6参加采购活动前3年内，在经营活动中没有重大违法记录；</w:t>
      </w:r>
    </w:p>
    <w:p w14:paraId="50F93ADD">
      <w:pPr>
        <w:overflowPunct w:val="0"/>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3.7被列入行业内部存在行贿行为名单（即：行业或全区烟草商业企业行贿供应商名单以及行业其他省市行贿行为供应商名单）且在禁入期内的投标人，其投标将不被接受。相应措施适用于名单内法定代表人、主要负责人和行贿人，禁入期内上述人员担任法定代表人、主要负责人或实际控制人的其他企业，均不得参加采购项目。</w:t>
      </w:r>
    </w:p>
    <w:p w14:paraId="2DAF26F8">
      <w:pPr>
        <w:overflowPunct w:val="0"/>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3.8投标人在“信用中国”被列入“失信被执行人、企业经营异常名录、重大税收违法案件当事人名单”的；在“国家企业信用信息公示系统”被列入“经营异常名录、严重违法失信名单”的；通过“中国裁判文书网”查询近三年投标人及其法定代表人（负责人）或实际控制人存在行贿行为记录的，其投标将不被接受。</w:t>
      </w:r>
    </w:p>
    <w:p w14:paraId="0083A34B">
      <w:pPr>
        <w:overflowPunct w:val="0"/>
        <w:spacing w:line="520" w:lineRule="exact"/>
        <w:ind w:firstLine="480" w:firstLineChars="200"/>
        <w:jc w:val="left"/>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3.9本项目不接受联合体投标。</w:t>
      </w:r>
    </w:p>
    <w:p w14:paraId="2200D6AB">
      <w:pPr>
        <w:pStyle w:val="2"/>
        <w:tabs>
          <w:tab w:val="left" w:pos="802"/>
        </w:tabs>
        <w:spacing w:before="95" w:after="0" w:line="52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4、招标文件的获取</w:t>
      </w:r>
      <w:bookmarkEnd w:id="16"/>
      <w:bookmarkEnd w:id="17"/>
      <w:bookmarkEnd w:id="18"/>
      <w:bookmarkEnd w:id="19"/>
    </w:p>
    <w:p w14:paraId="27BAABF3">
      <w:pPr>
        <w:overflowPunct w:val="0"/>
        <w:spacing w:line="520" w:lineRule="exact"/>
        <w:ind w:firstLine="482" w:firstLineChars="200"/>
        <w:rPr>
          <w:rFonts w:hint="eastAsia" w:ascii="仿宋" w:hAnsi="仿宋" w:eastAsia="仿宋" w:cs="仿宋"/>
          <w:b/>
          <w:bCs/>
          <w:color w:val="000000"/>
          <w:sz w:val="24"/>
          <w:szCs w:val="24"/>
          <w:highlight w:val="none"/>
        </w:rPr>
      </w:pPr>
      <w:bookmarkStart w:id="20" w:name="_Toc24879"/>
      <w:bookmarkStart w:id="21" w:name="_Toc8103"/>
      <w:bookmarkStart w:id="22" w:name="_Toc7018"/>
      <w:bookmarkStart w:id="23" w:name="_Toc18132"/>
      <w:r>
        <w:rPr>
          <w:rFonts w:hint="eastAsia" w:ascii="仿宋" w:hAnsi="仿宋" w:eastAsia="仿宋" w:cs="仿宋"/>
          <w:b/>
          <w:bCs/>
          <w:color w:val="000000"/>
          <w:sz w:val="24"/>
          <w:szCs w:val="24"/>
          <w:highlight w:val="none"/>
        </w:rPr>
        <w:t>4.1 投标人应先在中招联合招标采购平台免费注册，注册为一次性工作，以后若有需要只需变更及完善相关信息；注册成功后，可以及时参与平台上所有发布的招标项目，平台咨询电话为：010-86397110。</w:t>
      </w:r>
    </w:p>
    <w:p w14:paraId="2D28F0F0">
      <w:pPr>
        <w:overflowPunct w:val="0"/>
        <w:spacing w:line="520" w:lineRule="exact"/>
        <w:ind w:firstLine="482" w:firstLineChars="200"/>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4.2 投标人应于</w:t>
      </w:r>
      <w:r>
        <w:rPr>
          <w:rFonts w:hint="eastAsia" w:ascii="仿宋" w:hAnsi="仿宋" w:eastAsia="仿宋" w:cs="仿宋"/>
          <w:b/>
          <w:bCs/>
          <w:color w:val="000000"/>
          <w:sz w:val="24"/>
          <w:szCs w:val="24"/>
          <w:highlight w:val="none"/>
        </w:rPr>
        <w:t>2025年11月</w:t>
      </w:r>
      <w:r>
        <w:rPr>
          <w:rFonts w:hint="eastAsia" w:ascii="仿宋" w:hAnsi="仿宋" w:eastAsia="仿宋" w:cs="仿宋"/>
          <w:b/>
          <w:bCs/>
          <w:color w:val="000000"/>
          <w:sz w:val="24"/>
          <w:szCs w:val="24"/>
          <w:highlight w:val="none"/>
          <w:lang w:val="en-US" w:eastAsia="zh-CN"/>
        </w:rPr>
        <w:t>13</w:t>
      </w:r>
      <w:r>
        <w:rPr>
          <w:rFonts w:hint="eastAsia" w:ascii="仿宋" w:hAnsi="仿宋" w:eastAsia="仿宋" w:cs="仿宋"/>
          <w:b/>
          <w:bCs/>
          <w:color w:val="000000"/>
          <w:sz w:val="24"/>
          <w:szCs w:val="24"/>
          <w:highlight w:val="none"/>
        </w:rPr>
        <w:t>日09:00至2025年11月</w:t>
      </w:r>
      <w:r>
        <w:rPr>
          <w:rFonts w:hint="eastAsia" w:ascii="仿宋" w:hAnsi="仿宋" w:eastAsia="仿宋" w:cs="仿宋"/>
          <w:b/>
          <w:bCs/>
          <w:color w:val="000000"/>
          <w:sz w:val="24"/>
          <w:szCs w:val="24"/>
          <w:highlight w:val="none"/>
          <w:lang w:val="en-US" w:eastAsia="zh-CN"/>
        </w:rPr>
        <w:t>19</w:t>
      </w:r>
      <w:r>
        <w:rPr>
          <w:rFonts w:hint="eastAsia" w:ascii="仿宋" w:hAnsi="仿宋" w:eastAsia="仿宋" w:cs="仿宋"/>
          <w:b/>
          <w:bCs/>
          <w:color w:val="000000"/>
          <w:sz w:val="24"/>
          <w:szCs w:val="24"/>
          <w:highlight w:val="none"/>
        </w:rPr>
        <w:t>日17：00（北京时间），</w:t>
      </w:r>
      <w:r>
        <w:rPr>
          <w:rFonts w:hint="eastAsia" w:ascii="仿宋" w:hAnsi="仿宋" w:eastAsia="仿宋" w:cs="仿宋"/>
          <w:b/>
          <w:bCs/>
          <w:color w:val="000000"/>
          <w:sz w:val="24"/>
          <w:szCs w:val="24"/>
          <w:highlight w:val="none"/>
        </w:rPr>
        <w:t>登录中招联合招标采购平台下载电子招标文件，逾期不再接受。</w:t>
      </w:r>
    </w:p>
    <w:p w14:paraId="49B97C8E">
      <w:pPr>
        <w:overflowPunct w:val="0"/>
        <w:spacing w:line="520" w:lineRule="exact"/>
        <w:ind w:firstLine="48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4.3 投标人通过平台找到本项目填写“购标申请”，获取电子版招标文件。电子版文件与纸质招标文件具有同等法律效力。 </w:t>
      </w:r>
    </w:p>
    <w:p w14:paraId="4AD18F2F">
      <w:pPr>
        <w:pStyle w:val="3"/>
        <w:tabs>
          <w:tab w:val="left" w:pos="3760"/>
        </w:tabs>
        <w:spacing w:line="520" w:lineRule="exact"/>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4.4投标人针对投标人注册、报名、CA证书办理、网上应答操作等相关业务的咨询，请直接拨打中招联合招标采购平台咨询电话为：010-86397110；平台将确保下载者的购买信息在开标前对平台公司有关工作人员保密；如下载者主动与平台公司工作人员联系咨询事宜，则视为下载者主动放弃信息保密的权利，平台公司将不承担任何责任。 </w:t>
      </w:r>
    </w:p>
    <w:p w14:paraId="43DEB56E">
      <w:pPr>
        <w:pStyle w:val="3"/>
        <w:tabs>
          <w:tab w:val="left" w:pos="3760"/>
        </w:tabs>
        <w:spacing w:line="520" w:lineRule="exact"/>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4.5投标人必须在制作电子投标文件之前完成CA证书的办理，并使用CA证书进行加密后才能投标；否则将无法正常投标。CA证书具体办理流程参见中招联合招标采购平台账户中“北京CA申请”</w:t>
      </w:r>
      <w:r>
        <w:rPr>
          <w:rFonts w:hint="eastAsia" w:ascii="仿宋" w:hAnsi="仿宋" w:eastAsia="仿宋" w:cs="仿宋"/>
          <w:sz w:val="24"/>
          <w:szCs w:val="24"/>
          <w:highlight w:val="none"/>
          <w:lang w:val="en-US"/>
        </w:rPr>
        <w:sym w:font="Wingdings" w:char="F0E0"/>
      </w:r>
      <w:r>
        <w:rPr>
          <w:rFonts w:hint="eastAsia" w:ascii="仿宋" w:hAnsi="仿宋" w:eastAsia="仿宋" w:cs="仿宋"/>
          <w:sz w:val="24"/>
          <w:szCs w:val="24"/>
          <w:highlight w:val="none"/>
          <w:lang w:val="en-US"/>
        </w:rPr>
        <w:t>“CA申请帮助”</w:t>
      </w:r>
      <w:r>
        <w:rPr>
          <w:rFonts w:hint="eastAsia" w:ascii="仿宋" w:hAnsi="仿宋" w:eastAsia="仿宋" w:cs="仿宋"/>
          <w:sz w:val="24"/>
          <w:szCs w:val="24"/>
          <w:highlight w:val="none"/>
          <w:lang w:val="en-US"/>
        </w:rPr>
        <w:sym w:font="Wingdings" w:char="F0E0"/>
      </w:r>
      <w:r>
        <w:rPr>
          <w:rFonts w:hint="eastAsia" w:ascii="仿宋" w:hAnsi="仿宋" w:eastAsia="仿宋" w:cs="仿宋"/>
          <w:sz w:val="24"/>
          <w:szCs w:val="24"/>
          <w:highlight w:val="none"/>
          <w:lang w:val="en-US"/>
        </w:rPr>
        <w:t>“CA办理指南”查看，也可拨打中招联合招标采购平台统一服务热线010-86397110进行咨询。</w:t>
      </w:r>
    </w:p>
    <w:p w14:paraId="4859B871">
      <w:pPr>
        <w:pStyle w:val="3"/>
        <w:tabs>
          <w:tab w:val="left" w:pos="3760"/>
        </w:tabs>
        <w:spacing w:line="520" w:lineRule="exact"/>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4.6投标文件的制作</w:t>
      </w:r>
    </w:p>
    <w:p w14:paraId="08DCF397">
      <w:pPr>
        <w:pStyle w:val="3"/>
        <w:tabs>
          <w:tab w:val="left" w:pos="3760"/>
        </w:tabs>
        <w:spacing w:line="520" w:lineRule="exact"/>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4.6.1投标人通过“环境检测”下载并安装检测工具。</w:t>
      </w:r>
    </w:p>
    <w:p w14:paraId="3DDD4ADA">
      <w:pPr>
        <w:pStyle w:val="3"/>
        <w:tabs>
          <w:tab w:val="left" w:pos="3760"/>
        </w:tabs>
        <w:spacing w:line="520" w:lineRule="exact"/>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4.6.2安装完成后启动检测工具，逐一安装检测工具中的插件。</w:t>
      </w:r>
    </w:p>
    <w:p w14:paraId="1BF4C5D9">
      <w:pPr>
        <w:pStyle w:val="3"/>
        <w:tabs>
          <w:tab w:val="left" w:pos="3760"/>
        </w:tabs>
        <w:spacing w:line="520" w:lineRule="exact"/>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4.6.3打开从中招联合招标采购平台上下载的后缀名为.zzlh的电子招标文件，按提示进行电子投标文件的制作。</w:t>
      </w:r>
    </w:p>
    <w:p w14:paraId="3AFC2603">
      <w:pPr>
        <w:pStyle w:val="3"/>
        <w:tabs>
          <w:tab w:val="left" w:pos="3760"/>
        </w:tabs>
        <w:spacing w:line="520" w:lineRule="exact"/>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4.6.4使用CA对制作好的电子投标文件进行加密并导出加密电子招标文件。</w:t>
      </w:r>
    </w:p>
    <w:p w14:paraId="481BFB8A">
      <w:pPr>
        <w:pStyle w:val="2"/>
        <w:tabs>
          <w:tab w:val="left" w:pos="802"/>
        </w:tabs>
        <w:spacing w:before="0" w:after="0" w:line="52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5、投标文件的递交</w:t>
      </w:r>
      <w:bookmarkEnd w:id="20"/>
      <w:bookmarkEnd w:id="21"/>
      <w:bookmarkEnd w:id="22"/>
      <w:bookmarkEnd w:id="23"/>
    </w:p>
    <w:p w14:paraId="5E03350B">
      <w:pPr>
        <w:pStyle w:val="3"/>
        <w:tabs>
          <w:tab w:val="left" w:pos="7538"/>
          <w:tab w:val="left" w:pos="8693"/>
        </w:tabs>
        <w:spacing w:line="520" w:lineRule="exact"/>
        <w:ind w:firstLine="480" w:firstLineChars="200"/>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rPr>
        <w:t>5.1</w:t>
      </w:r>
      <w:r>
        <w:rPr>
          <w:rFonts w:hint="eastAsia" w:ascii="仿宋" w:hAnsi="仿宋" w:eastAsia="仿宋" w:cs="仿宋"/>
          <w:color w:val="000000"/>
          <w:spacing w:val="-3"/>
          <w:sz w:val="24"/>
          <w:szCs w:val="24"/>
          <w:highlight w:val="none"/>
        </w:rPr>
        <w:t>投</w:t>
      </w:r>
      <w:r>
        <w:rPr>
          <w:rFonts w:hint="eastAsia" w:ascii="仿宋" w:hAnsi="仿宋" w:eastAsia="仿宋" w:cs="仿宋"/>
          <w:color w:val="000000"/>
          <w:sz w:val="24"/>
          <w:szCs w:val="24"/>
          <w:highlight w:val="none"/>
        </w:rPr>
        <w:t>标</w:t>
      </w:r>
      <w:r>
        <w:rPr>
          <w:rFonts w:hint="eastAsia" w:ascii="仿宋" w:hAnsi="仿宋" w:eastAsia="仿宋" w:cs="仿宋"/>
          <w:color w:val="000000"/>
          <w:spacing w:val="-3"/>
          <w:sz w:val="24"/>
          <w:szCs w:val="24"/>
          <w:highlight w:val="none"/>
        </w:rPr>
        <w:t>文</w:t>
      </w:r>
      <w:r>
        <w:rPr>
          <w:rFonts w:hint="eastAsia" w:ascii="仿宋" w:hAnsi="仿宋" w:eastAsia="仿宋" w:cs="仿宋"/>
          <w:color w:val="000000"/>
          <w:sz w:val="24"/>
          <w:szCs w:val="24"/>
          <w:highlight w:val="none"/>
        </w:rPr>
        <w:t>件上传</w:t>
      </w:r>
      <w:r>
        <w:rPr>
          <w:rFonts w:hint="eastAsia" w:ascii="仿宋" w:hAnsi="仿宋" w:eastAsia="仿宋" w:cs="仿宋"/>
          <w:color w:val="000000"/>
          <w:sz w:val="24"/>
          <w:szCs w:val="24"/>
          <w:highlight w:val="none"/>
          <w:lang w:val="en-US"/>
        </w:rPr>
        <w:t>/</w:t>
      </w:r>
      <w:r>
        <w:rPr>
          <w:rFonts w:hint="eastAsia" w:ascii="仿宋" w:hAnsi="仿宋" w:eastAsia="仿宋" w:cs="仿宋"/>
          <w:color w:val="000000"/>
          <w:spacing w:val="-3"/>
          <w:sz w:val="24"/>
          <w:szCs w:val="24"/>
          <w:highlight w:val="none"/>
        </w:rPr>
        <w:t>递</w:t>
      </w:r>
      <w:r>
        <w:rPr>
          <w:rFonts w:hint="eastAsia" w:ascii="仿宋" w:hAnsi="仿宋" w:eastAsia="仿宋" w:cs="仿宋"/>
          <w:color w:val="000000"/>
          <w:sz w:val="24"/>
          <w:szCs w:val="24"/>
          <w:highlight w:val="none"/>
        </w:rPr>
        <w:t>交</w:t>
      </w:r>
      <w:r>
        <w:rPr>
          <w:rFonts w:hint="eastAsia" w:ascii="仿宋" w:hAnsi="仿宋" w:eastAsia="仿宋" w:cs="仿宋"/>
          <w:color w:val="000000"/>
          <w:spacing w:val="-3"/>
          <w:sz w:val="24"/>
          <w:szCs w:val="24"/>
          <w:highlight w:val="none"/>
        </w:rPr>
        <w:t>的</w:t>
      </w:r>
      <w:r>
        <w:rPr>
          <w:rFonts w:hint="eastAsia" w:ascii="仿宋" w:hAnsi="仿宋" w:eastAsia="仿宋" w:cs="仿宋"/>
          <w:color w:val="000000"/>
          <w:sz w:val="24"/>
          <w:szCs w:val="24"/>
          <w:highlight w:val="none"/>
        </w:rPr>
        <w:t>截止</w:t>
      </w:r>
      <w:r>
        <w:rPr>
          <w:rFonts w:hint="eastAsia" w:ascii="仿宋" w:hAnsi="仿宋" w:eastAsia="仿宋" w:cs="仿宋"/>
          <w:color w:val="000000"/>
          <w:spacing w:val="-3"/>
          <w:sz w:val="24"/>
          <w:szCs w:val="24"/>
          <w:highlight w:val="none"/>
        </w:rPr>
        <w:t>时</w:t>
      </w:r>
      <w:r>
        <w:rPr>
          <w:rFonts w:hint="eastAsia" w:ascii="仿宋" w:hAnsi="仿宋" w:eastAsia="仿宋" w:cs="仿宋"/>
          <w:color w:val="000000"/>
          <w:sz w:val="24"/>
          <w:szCs w:val="24"/>
          <w:highlight w:val="none"/>
        </w:rPr>
        <w:t>间</w:t>
      </w:r>
      <w:r>
        <w:rPr>
          <w:rFonts w:hint="eastAsia" w:ascii="仿宋" w:hAnsi="仿宋" w:eastAsia="仿宋" w:cs="仿宋"/>
          <w:color w:val="000000"/>
          <w:spacing w:val="-3"/>
          <w:sz w:val="24"/>
          <w:szCs w:val="24"/>
          <w:highlight w:val="none"/>
          <w:lang w:val="en-US"/>
        </w:rPr>
        <w:t>（</w:t>
      </w:r>
      <w:r>
        <w:rPr>
          <w:rFonts w:hint="eastAsia" w:ascii="仿宋" w:hAnsi="仿宋" w:eastAsia="仿宋" w:cs="仿宋"/>
          <w:color w:val="000000"/>
          <w:sz w:val="24"/>
          <w:szCs w:val="24"/>
          <w:highlight w:val="none"/>
        </w:rPr>
        <w:t>投</w:t>
      </w:r>
      <w:r>
        <w:rPr>
          <w:rFonts w:hint="eastAsia" w:ascii="仿宋" w:hAnsi="仿宋" w:eastAsia="仿宋" w:cs="仿宋"/>
          <w:color w:val="000000"/>
          <w:spacing w:val="-3"/>
          <w:sz w:val="24"/>
          <w:szCs w:val="24"/>
          <w:highlight w:val="none"/>
        </w:rPr>
        <w:t>标</w:t>
      </w:r>
      <w:r>
        <w:rPr>
          <w:rFonts w:hint="eastAsia" w:ascii="仿宋" w:hAnsi="仿宋" w:eastAsia="仿宋" w:cs="仿宋"/>
          <w:color w:val="000000"/>
          <w:sz w:val="24"/>
          <w:szCs w:val="24"/>
          <w:highlight w:val="none"/>
        </w:rPr>
        <w:t>截</w:t>
      </w:r>
      <w:r>
        <w:rPr>
          <w:rFonts w:hint="eastAsia" w:ascii="仿宋" w:hAnsi="仿宋" w:eastAsia="仿宋" w:cs="仿宋"/>
          <w:color w:val="000000"/>
          <w:spacing w:val="-3"/>
          <w:sz w:val="24"/>
          <w:szCs w:val="24"/>
          <w:highlight w:val="none"/>
        </w:rPr>
        <w:t>止</w:t>
      </w:r>
      <w:r>
        <w:rPr>
          <w:rFonts w:hint="eastAsia" w:ascii="仿宋" w:hAnsi="仿宋" w:eastAsia="仿宋" w:cs="仿宋"/>
          <w:color w:val="000000"/>
          <w:sz w:val="24"/>
          <w:szCs w:val="24"/>
          <w:highlight w:val="none"/>
        </w:rPr>
        <w:t>时</w:t>
      </w:r>
      <w:r>
        <w:rPr>
          <w:rFonts w:hint="eastAsia" w:ascii="仿宋" w:hAnsi="仿宋" w:eastAsia="仿宋" w:cs="仿宋"/>
          <w:color w:val="000000"/>
          <w:spacing w:val="-3"/>
          <w:sz w:val="24"/>
          <w:szCs w:val="24"/>
          <w:highlight w:val="none"/>
        </w:rPr>
        <w:t>间</w:t>
      </w:r>
      <w:r>
        <w:rPr>
          <w:rFonts w:hint="eastAsia" w:ascii="仿宋" w:hAnsi="仿宋" w:eastAsia="仿宋" w:cs="仿宋"/>
          <w:color w:val="000000"/>
          <w:sz w:val="24"/>
          <w:szCs w:val="24"/>
          <w:highlight w:val="none"/>
          <w:lang w:val="en-US"/>
        </w:rPr>
        <w:t>，</w:t>
      </w:r>
      <w:r>
        <w:rPr>
          <w:rFonts w:hint="eastAsia" w:ascii="仿宋" w:hAnsi="仿宋" w:eastAsia="仿宋" w:cs="仿宋"/>
          <w:color w:val="000000"/>
          <w:sz w:val="24"/>
          <w:szCs w:val="24"/>
          <w:highlight w:val="none"/>
        </w:rPr>
        <w:t>下</w:t>
      </w:r>
      <w:r>
        <w:rPr>
          <w:rFonts w:hint="eastAsia" w:ascii="仿宋" w:hAnsi="仿宋" w:eastAsia="仿宋" w:cs="仿宋"/>
          <w:color w:val="000000"/>
          <w:spacing w:val="-3"/>
          <w:sz w:val="24"/>
          <w:szCs w:val="24"/>
          <w:highlight w:val="none"/>
        </w:rPr>
        <w:t>同</w:t>
      </w:r>
      <w:r>
        <w:rPr>
          <w:rFonts w:hint="eastAsia" w:ascii="仿宋" w:hAnsi="仿宋" w:eastAsia="仿宋" w:cs="仿宋"/>
          <w:color w:val="000000"/>
          <w:sz w:val="24"/>
          <w:szCs w:val="24"/>
          <w:highlight w:val="none"/>
          <w:lang w:val="en-US"/>
        </w:rPr>
        <w:t>）</w:t>
      </w:r>
      <w:r>
        <w:rPr>
          <w:rFonts w:hint="eastAsia" w:ascii="仿宋" w:hAnsi="仿宋" w:eastAsia="仿宋" w:cs="仿宋"/>
          <w:color w:val="000000"/>
          <w:spacing w:val="-3"/>
          <w:sz w:val="24"/>
          <w:szCs w:val="24"/>
          <w:highlight w:val="none"/>
        </w:rPr>
        <w:t>为</w:t>
      </w:r>
      <w:r>
        <w:rPr>
          <w:rFonts w:hint="eastAsia" w:ascii="仿宋" w:hAnsi="仿宋" w:eastAsia="仿宋" w:cs="仿宋"/>
          <w:color w:val="000000"/>
          <w:spacing w:val="-3"/>
          <w:sz w:val="24"/>
          <w:szCs w:val="24"/>
          <w:highlight w:val="none"/>
          <w:u w:val="single"/>
          <w:lang w:val="en-US"/>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lang w:val="en-US"/>
        </w:rPr>
        <w:t>1</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4</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lang w:val="en-US"/>
        </w:rPr>
        <w:t>09</w:t>
      </w:r>
      <w:r>
        <w:rPr>
          <w:rFonts w:hint="eastAsia" w:ascii="仿宋" w:hAnsi="仿宋" w:eastAsia="仿宋" w:cs="仿宋"/>
          <w:sz w:val="24"/>
          <w:szCs w:val="24"/>
          <w:highlight w:val="none"/>
        </w:rPr>
        <w:t>时</w:t>
      </w:r>
      <w:r>
        <w:rPr>
          <w:rFonts w:hint="eastAsia" w:ascii="仿宋" w:hAnsi="仿宋" w:eastAsia="仿宋" w:cs="仿宋"/>
          <w:sz w:val="24"/>
          <w:szCs w:val="24"/>
          <w:highlight w:val="none"/>
          <w:u w:val="single"/>
          <w:lang w:val="en-US"/>
        </w:rPr>
        <w:t>30</w:t>
      </w:r>
      <w:r>
        <w:rPr>
          <w:rFonts w:hint="eastAsia" w:ascii="仿宋" w:hAnsi="仿宋" w:eastAsia="仿宋" w:cs="仿宋"/>
          <w:spacing w:val="-3"/>
          <w:sz w:val="24"/>
          <w:szCs w:val="24"/>
          <w:highlight w:val="none"/>
        </w:rPr>
        <w:t>分</w:t>
      </w:r>
      <w:r>
        <w:rPr>
          <w:rFonts w:hint="eastAsia" w:ascii="仿宋" w:hAnsi="仿宋" w:eastAsia="仿宋" w:cs="仿宋"/>
          <w:color w:val="000000"/>
          <w:sz w:val="24"/>
          <w:szCs w:val="24"/>
          <w:highlight w:val="none"/>
          <w:lang w:val="en-US"/>
        </w:rPr>
        <w:t>，开标地点</w:t>
      </w:r>
      <w:r>
        <w:rPr>
          <w:rFonts w:hint="eastAsia" w:ascii="仿宋" w:hAnsi="仿宋" w:eastAsia="仿宋" w:cs="仿宋"/>
          <w:color w:val="000000"/>
          <w:spacing w:val="-3"/>
          <w:sz w:val="24"/>
          <w:szCs w:val="24"/>
          <w:highlight w:val="none"/>
        </w:rPr>
        <w:t>为远程开标大厅</w:t>
      </w:r>
      <w:r>
        <w:rPr>
          <w:rFonts w:hint="eastAsia" w:ascii="仿宋" w:hAnsi="仿宋" w:eastAsia="仿宋" w:cs="仿宋"/>
          <w:color w:val="000000"/>
          <w:spacing w:val="-3"/>
          <w:sz w:val="24"/>
          <w:szCs w:val="24"/>
          <w:highlight w:val="none"/>
          <w:lang w:val="en-US"/>
        </w:rPr>
        <w:t>（</w:t>
      </w:r>
      <w:r>
        <w:rPr>
          <w:rFonts w:hint="eastAsia" w:ascii="仿宋" w:hAnsi="仿宋" w:eastAsia="仿宋" w:cs="仿宋"/>
          <w:color w:val="000000"/>
          <w:spacing w:val="-3"/>
          <w:sz w:val="24"/>
          <w:szCs w:val="24"/>
          <w:highlight w:val="none"/>
        </w:rPr>
        <w:fldChar w:fldCharType="begin"/>
      </w:r>
      <w:r>
        <w:rPr>
          <w:rFonts w:hint="eastAsia" w:ascii="仿宋" w:hAnsi="仿宋" w:eastAsia="仿宋" w:cs="仿宋"/>
          <w:color w:val="000000"/>
          <w:spacing w:val="-3"/>
          <w:sz w:val="24"/>
          <w:szCs w:val="24"/>
          <w:highlight w:val="none"/>
          <w:lang w:val="en-US"/>
        </w:rPr>
        <w:instrText xml:space="preserve"> HYPERLINK "http://www.365trade.com.cn" </w:instrText>
      </w:r>
      <w:r>
        <w:rPr>
          <w:rFonts w:hint="eastAsia" w:ascii="仿宋" w:hAnsi="仿宋" w:eastAsia="仿宋" w:cs="仿宋"/>
          <w:color w:val="000000"/>
          <w:spacing w:val="-3"/>
          <w:sz w:val="24"/>
          <w:szCs w:val="24"/>
          <w:highlight w:val="none"/>
        </w:rPr>
        <w:fldChar w:fldCharType="separate"/>
      </w:r>
      <w:r>
        <w:rPr>
          <w:rStyle w:val="6"/>
          <w:rFonts w:hint="eastAsia" w:ascii="仿宋" w:hAnsi="仿宋" w:eastAsia="仿宋" w:cs="仿宋"/>
          <w:color w:val="000000"/>
          <w:spacing w:val="-3"/>
          <w:sz w:val="24"/>
          <w:szCs w:val="24"/>
          <w:highlight w:val="none"/>
          <w:lang w:val="en-US"/>
        </w:rPr>
        <w:t>www.365trade.com.cn</w:t>
      </w:r>
      <w:r>
        <w:rPr>
          <w:rFonts w:hint="eastAsia" w:ascii="仿宋" w:hAnsi="仿宋" w:eastAsia="仿宋" w:cs="仿宋"/>
          <w:color w:val="000000"/>
          <w:spacing w:val="-3"/>
          <w:sz w:val="24"/>
          <w:szCs w:val="24"/>
          <w:highlight w:val="none"/>
        </w:rPr>
        <w:fldChar w:fldCharType="end"/>
      </w:r>
      <w:r>
        <w:rPr>
          <w:rFonts w:hint="eastAsia" w:ascii="仿宋" w:hAnsi="仿宋" w:eastAsia="仿宋" w:cs="仿宋"/>
          <w:color w:val="000000"/>
          <w:spacing w:val="-3"/>
          <w:sz w:val="24"/>
          <w:szCs w:val="24"/>
          <w:highlight w:val="none"/>
          <w:lang w:val="en-US"/>
        </w:rPr>
        <w:t>）。</w:t>
      </w:r>
    </w:p>
    <w:p w14:paraId="30E43760">
      <w:pPr>
        <w:pStyle w:val="3"/>
        <w:spacing w:line="520" w:lineRule="exact"/>
        <w:ind w:firstLine="480" w:firstLineChars="200"/>
        <w:jc w:val="left"/>
        <w:rPr>
          <w:rFonts w:hint="eastAsia" w:ascii="仿宋" w:hAnsi="仿宋" w:eastAsia="仿宋" w:cs="仿宋"/>
          <w:color w:val="000000"/>
          <w:sz w:val="24"/>
          <w:szCs w:val="24"/>
          <w:highlight w:val="none"/>
        </w:rPr>
      </w:pPr>
      <w:bookmarkStart w:id="24" w:name="_bookmark7"/>
      <w:bookmarkEnd w:id="24"/>
      <w:bookmarkStart w:id="25" w:name="_Toc24651"/>
      <w:bookmarkStart w:id="26" w:name="_Toc8740"/>
      <w:bookmarkStart w:id="27" w:name="_Toc11128"/>
      <w:bookmarkStart w:id="28" w:name="_Toc4886"/>
      <w:r>
        <w:rPr>
          <w:rFonts w:hint="eastAsia" w:ascii="仿宋" w:hAnsi="仿宋" w:eastAsia="仿宋" w:cs="仿宋"/>
          <w:color w:val="000000"/>
          <w:sz w:val="24"/>
          <w:szCs w:val="24"/>
          <w:highlight w:val="none"/>
        </w:rPr>
        <w:t>5.2加密电子投标文件为“中招联合招标采购平台”网站提供的中招联合电子招投标平台投标文件制作工具制作生成的加密版投标文件。加密的电子投标文件（*.zfile格式）须在投标截止时间前通过“中招联合招标采购平台”上传递交。</w:t>
      </w:r>
    </w:p>
    <w:p w14:paraId="7A63BAF4">
      <w:pPr>
        <w:pStyle w:val="3"/>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本项目采用“远程不见面”开标方式，投标人无需到现场参加开标会议，无需到达现场提交原件资料。投标人应当在投标截止时间前，登录远程开标大厅，在线准时参加开标活动并使用CA证书进行投标文件解密等。</w:t>
      </w:r>
    </w:p>
    <w:p w14:paraId="1D1A2F6B">
      <w:pPr>
        <w:pStyle w:val="3"/>
        <w:kinsoku w:val="0"/>
        <w:overflowPunct w:val="0"/>
        <w:autoSpaceDE w:val="0"/>
        <w:autoSpaceDN w:val="0"/>
        <w:spacing w:line="520" w:lineRule="exact"/>
        <w:ind w:firstLine="480" w:firstLineChars="20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5.4不见面服务的具体事宜向中招联合招标采购平台统一服务热</w:t>
      </w:r>
      <w:r>
        <w:rPr>
          <w:rFonts w:hint="eastAsia" w:ascii="仿宋" w:hAnsi="仿宋" w:eastAsia="仿宋" w:cs="仿宋"/>
          <w:color w:val="000000"/>
          <w:sz w:val="24"/>
          <w:szCs w:val="24"/>
          <w:highlight w:val="none"/>
          <w:lang w:val="en-US"/>
        </w:rPr>
        <w:t>线</w:t>
      </w:r>
      <w:r>
        <w:rPr>
          <w:rFonts w:hint="eastAsia" w:ascii="仿宋" w:hAnsi="仿宋" w:eastAsia="仿宋" w:cs="仿宋"/>
          <w:color w:val="000000"/>
          <w:sz w:val="24"/>
          <w:szCs w:val="24"/>
          <w:highlight w:val="none"/>
        </w:rPr>
        <w:t>010-86397110进行咨询。</w:t>
      </w:r>
    </w:p>
    <w:p w14:paraId="4B9CAEDA">
      <w:pPr>
        <w:pStyle w:val="3"/>
        <w:spacing w:line="52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5.5 逾期上传的或者未上传的投标文件，招标人不予受理。</w:t>
      </w:r>
    </w:p>
    <w:p w14:paraId="739160AF">
      <w:pPr>
        <w:pStyle w:val="2"/>
        <w:tabs>
          <w:tab w:val="left" w:pos="802"/>
        </w:tabs>
        <w:spacing w:before="0" w:after="0" w:line="52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6、发布公告的媒介</w:t>
      </w:r>
      <w:bookmarkEnd w:id="25"/>
      <w:bookmarkEnd w:id="26"/>
      <w:bookmarkEnd w:id="27"/>
      <w:bookmarkEnd w:id="28"/>
    </w:p>
    <w:p w14:paraId="1BE3D051">
      <w:pPr>
        <w:pStyle w:val="3"/>
        <w:keepNext w:val="0"/>
        <w:keepLines w:val="0"/>
        <w:pageBreakBefore w:val="0"/>
        <w:widowControl w:val="0"/>
        <w:tabs>
          <w:tab w:val="left" w:pos="4180"/>
        </w:tabs>
        <w:kinsoku w:val="0"/>
        <w:wordWrap/>
        <w:overflowPunct w:val="0"/>
        <w:topLinePunct w:val="0"/>
        <w:autoSpaceDE w:val="0"/>
        <w:autoSpaceDN w:val="0"/>
        <w:bidi w:val="0"/>
        <w:adjustRightInd/>
        <w:snapToGrid/>
        <w:spacing w:line="520" w:lineRule="exact"/>
        <w:ind w:firstLine="480" w:firstLineChars="200"/>
        <w:jc w:val="lef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本次</w:t>
      </w:r>
      <w:r>
        <w:rPr>
          <w:rFonts w:hint="eastAsia" w:ascii="仿宋" w:hAnsi="仿宋" w:eastAsia="仿宋" w:cs="仿宋"/>
          <w:color w:val="000000"/>
          <w:spacing w:val="-3"/>
          <w:sz w:val="24"/>
          <w:szCs w:val="24"/>
          <w:highlight w:val="none"/>
        </w:rPr>
        <w:t>招</w:t>
      </w:r>
      <w:r>
        <w:rPr>
          <w:rFonts w:hint="eastAsia" w:ascii="仿宋" w:hAnsi="仿宋" w:eastAsia="仿宋" w:cs="仿宋"/>
          <w:color w:val="000000"/>
          <w:sz w:val="24"/>
          <w:szCs w:val="24"/>
          <w:highlight w:val="none"/>
        </w:rPr>
        <w:t>标</w:t>
      </w:r>
      <w:r>
        <w:rPr>
          <w:rFonts w:hint="eastAsia" w:ascii="仿宋" w:hAnsi="仿宋" w:eastAsia="仿宋" w:cs="仿宋"/>
          <w:color w:val="000000"/>
          <w:spacing w:val="-3"/>
          <w:sz w:val="24"/>
          <w:szCs w:val="24"/>
          <w:highlight w:val="none"/>
        </w:rPr>
        <w:t>公</w:t>
      </w:r>
      <w:r>
        <w:rPr>
          <w:rFonts w:hint="eastAsia" w:ascii="仿宋" w:hAnsi="仿宋" w:eastAsia="仿宋" w:cs="仿宋"/>
          <w:color w:val="000000"/>
          <w:sz w:val="24"/>
          <w:szCs w:val="24"/>
          <w:highlight w:val="none"/>
        </w:rPr>
        <w:t>告</w:t>
      </w:r>
      <w:r>
        <w:rPr>
          <w:rFonts w:hint="eastAsia" w:ascii="仿宋" w:hAnsi="仿宋" w:eastAsia="仿宋" w:cs="仿宋"/>
          <w:color w:val="000000"/>
          <w:spacing w:val="-3"/>
          <w:sz w:val="24"/>
          <w:szCs w:val="24"/>
          <w:highlight w:val="none"/>
        </w:rPr>
        <w:t>同</w:t>
      </w:r>
      <w:r>
        <w:rPr>
          <w:rFonts w:hint="eastAsia" w:ascii="仿宋" w:hAnsi="仿宋" w:eastAsia="仿宋" w:cs="仿宋"/>
          <w:color w:val="000000"/>
          <w:sz w:val="24"/>
          <w:szCs w:val="24"/>
          <w:highlight w:val="none"/>
        </w:rPr>
        <w:t>时</w:t>
      </w:r>
      <w:r>
        <w:rPr>
          <w:rFonts w:hint="eastAsia" w:ascii="仿宋" w:hAnsi="仿宋" w:eastAsia="仿宋" w:cs="仿宋"/>
          <w:color w:val="000000"/>
          <w:spacing w:val="-3"/>
          <w:sz w:val="24"/>
          <w:szCs w:val="24"/>
          <w:highlight w:val="none"/>
          <w:u w:val="none"/>
        </w:rPr>
        <w:t>在中国招标投标公共服务平台</w:t>
      </w:r>
      <w:r>
        <w:rPr>
          <w:rFonts w:hint="eastAsia" w:ascii="仿宋" w:hAnsi="仿宋" w:eastAsia="仿宋" w:cs="仿宋"/>
          <w:color w:val="000000"/>
          <w:spacing w:val="-3"/>
          <w:sz w:val="24"/>
          <w:szCs w:val="24"/>
          <w:highlight w:val="none"/>
          <w:u w:val="none"/>
          <w:lang w:eastAsia="zh-CN"/>
        </w:rPr>
        <w:t>（http://www.cebpubservice.com/）</w:t>
      </w:r>
      <w:r>
        <w:rPr>
          <w:rFonts w:hint="eastAsia" w:ascii="仿宋" w:hAnsi="仿宋" w:eastAsia="仿宋" w:cs="仿宋"/>
          <w:color w:val="000000"/>
          <w:spacing w:val="-3"/>
          <w:sz w:val="24"/>
          <w:szCs w:val="24"/>
          <w:highlight w:val="none"/>
          <w:u w:val="none"/>
        </w:rPr>
        <w:t>、中招联合招标采购平台</w:t>
      </w:r>
      <w:r>
        <w:rPr>
          <w:rFonts w:hint="eastAsia" w:ascii="仿宋" w:hAnsi="仿宋" w:eastAsia="仿宋" w:cs="仿宋"/>
          <w:color w:val="000000"/>
          <w:spacing w:val="-3"/>
          <w:sz w:val="24"/>
          <w:szCs w:val="24"/>
          <w:highlight w:val="none"/>
          <w:u w:val="none"/>
          <w:lang w:eastAsia="zh-CN"/>
        </w:rPr>
        <w:t>（http://www.365trade.com.cn/）</w:t>
      </w:r>
      <w:r>
        <w:rPr>
          <w:rFonts w:hint="eastAsia" w:ascii="仿宋" w:hAnsi="仿宋" w:eastAsia="仿宋" w:cs="仿宋"/>
          <w:color w:val="000000"/>
          <w:spacing w:val="-3"/>
          <w:sz w:val="24"/>
          <w:szCs w:val="24"/>
          <w:highlight w:val="none"/>
          <w:u w:val="none"/>
        </w:rPr>
        <w:t>、内蒙古招标投标公共服务平台</w:t>
      </w:r>
      <w:r>
        <w:rPr>
          <w:rFonts w:hint="eastAsia" w:ascii="仿宋" w:hAnsi="仿宋" w:eastAsia="仿宋" w:cs="仿宋"/>
          <w:color w:val="000000"/>
          <w:spacing w:val="-3"/>
          <w:sz w:val="24"/>
          <w:szCs w:val="24"/>
          <w:highlight w:val="none"/>
          <w:u w:val="none"/>
          <w:lang w:eastAsia="zh-CN"/>
        </w:rPr>
        <w:t>（https://www.nmgztb.com.cn/）</w:t>
      </w:r>
      <w:r>
        <w:rPr>
          <w:rFonts w:hint="eastAsia" w:ascii="仿宋" w:hAnsi="仿宋" w:eastAsia="仿宋" w:cs="仿宋"/>
          <w:color w:val="000000"/>
          <w:spacing w:val="-3"/>
          <w:sz w:val="24"/>
          <w:szCs w:val="24"/>
          <w:highlight w:val="none"/>
          <w:u w:val="none"/>
          <w:lang w:val="en-US"/>
        </w:rPr>
        <w:t>发布</w:t>
      </w:r>
      <w:r>
        <w:rPr>
          <w:rFonts w:hint="eastAsia" w:ascii="仿宋" w:hAnsi="仿宋" w:eastAsia="仿宋" w:cs="仿宋"/>
          <w:color w:val="000000"/>
          <w:sz w:val="24"/>
          <w:szCs w:val="24"/>
          <w:highlight w:val="none"/>
          <w:u w:val="none"/>
          <w:lang w:val="en-US"/>
        </w:rPr>
        <w:t>，</w:t>
      </w:r>
      <w:r>
        <w:rPr>
          <w:rFonts w:hint="eastAsia" w:ascii="仿宋" w:hAnsi="仿宋" w:eastAsia="仿宋" w:cs="仿宋"/>
          <w:color w:val="000000"/>
          <w:sz w:val="24"/>
          <w:szCs w:val="24"/>
          <w:highlight w:val="none"/>
        </w:rPr>
        <w:t>其它媒介转发无效。</w:t>
      </w:r>
    </w:p>
    <w:p w14:paraId="2D800112">
      <w:pPr>
        <w:pStyle w:val="2"/>
        <w:tabs>
          <w:tab w:val="left" w:pos="802"/>
        </w:tabs>
        <w:spacing w:before="0" w:after="0" w:line="520" w:lineRule="exact"/>
        <w:jc w:val="left"/>
        <w:rPr>
          <w:rFonts w:hint="eastAsia" w:ascii="仿宋" w:hAnsi="仿宋" w:eastAsia="仿宋" w:cs="仿宋"/>
          <w:color w:val="000000"/>
          <w:sz w:val="24"/>
          <w:szCs w:val="24"/>
          <w:highlight w:val="none"/>
        </w:rPr>
      </w:pPr>
      <w:bookmarkStart w:id="29" w:name="_bookmark8"/>
      <w:bookmarkEnd w:id="29"/>
      <w:bookmarkStart w:id="30" w:name="_Toc7612"/>
      <w:bookmarkStart w:id="31" w:name="_Toc22208"/>
      <w:bookmarkStart w:id="32" w:name="_Toc22997"/>
      <w:bookmarkStart w:id="33" w:name="_Toc23425"/>
      <w:r>
        <w:rPr>
          <w:rFonts w:hint="eastAsia" w:ascii="仿宋" w:hAnsi="仿宋" w:eastAsia="仿宋" w:cs="仿宋"/>
          <w:color w:val="000000"/>
          <w:sz w:val="24"/>
          <w:szCs w:val="24"/>
          <w:highlight w:val="none"/>
        </w:rPr>
        <w:t>7、联系方式</w:t>
      </w:r>
      <w:bookmarkEnd w:id="30"/>
      <w:bookmarkEnd w:id="31"/>
      <w:bookmarkEnd w:id="32"/>
      <w:bookmarkEnd w:id="33"/>
    </w:p>
    <w:p w14:paraId="0A29DB7A">
      <w:pPr>
        <w:overflowPunct w:val="0"/>
        <w:spacing w:line="5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招标人：内蒙古自治区烟草公司包头市公司</w:t>
      </w:r>
    </w:p>
    <w:p w14:paraId="59FE4968">
      <w:pPr>
        <w:overflowPunct w:val="0"/>
        <w:spacing w:line="5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地址：包头市稀土高新区友谊大街68号</w:t>
      </w:r>
    </w:p>
    <w:p w14:paraId="0AB0E8F0">
      <w:pPr>
        <w:overflowPunct w:val="0"/>
        <w:spacing w:line="5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联系人:刘国栋</w:t>
      </w:r>
      <w:bookmarkStart w:id="34" w:name="_GoBack"/>
      <w:bookmarkEnd w:id="34"/>
    </w:p>
    <w:p w14:paraId="4D215B3E">
      <w:pPr>
        <w:overflowPunct w:val="0"/>
        <w:spacing w:line="5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电话:15848242950</w:t>
      </w:r>
    </w:p>
    <w:p w14:paraId="4F47EF0B">
      <w:pPr>
        <w:overflowPunct w:val="0"/>
        <w:spacing w:line="520" w:lineRule="exact"/>
        <w:rPr>
          <w:rFonts w:hint="eastAsia" w:ascii="仿宋" w:hAnsi="仿宋" w:eastAsia="仿宋" w:cs="仿宋"/>
          <w:color w:val="000000"/>
          <w:sz w:val="24"/>
          <w:szCs w:val="24"/>
          <w:highlight w:val="none"/>
        </w:rPr>
      </w:pPr>
    </w:p>
    <w:p w14:paraId="29000748">
      <w:pPr>
        <w:overflowPunct w:val="0"/>
        <w:spacing w:line="5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招标代理机构：国能工程咨询管理（内蒙古）有限公司</w:t>
      </w:r>
    </w:p>
    <w:p w14:paraId="66879E97">
      <w:pPr>
        <w:overflowPunct w:val="0"/>
        <w:spacing w:line="520" w:lineRule="exact"/>
        <w:rPr>
          <w:rStyle w:val="7"/>
          <w:rFonts w:hint="eastAsia" w:ascii="仿宋" w:hAnsi="仿宋" w:eastAsia="仿宋" w:cs="仿宋"/>
          <w:highlight w:val="none"/>
        </w:rPr>
      </w:pPr>
      <w:r>
        <w:rPr>
          <w:rFonts w:hint="eastAsia" w:ascii="仿宋" w:hAnsi="仿宋" w:eastAsia="仿宋" w:cs="仿宋"/>
          <w:color w:val="000000"/>
          <w:sz w:val="24"/>
          <w:szCs w:val="24"/>
          <w:highlight w:val="none"/>
        </w:rPr>
        <w:t>地址：内蒙古呼和浩特市玉泉区锡林郭勒南路蓝宇花园酒店11楼1103室</w:t>
      </w:r>
    </w:p>
    <w:p w14:paraId="305E8FCB">
      <w:pPr>
        <w:overflowPunct w:val="0"/>
        <w:spacing w:line="5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联系人：卢工、谢俊峰、刘牡丹</w:t>
      </w:r>
    </w:p>
    <w:p w14:paraId="00D4D296">
      <w:pPr>
        <w:overflowPunct w:val="0"/>
        <w:spacing w:line="52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电话：0471-3469083/15598499997</w:t>
      </w:r>
    </w:p>
    <w:p w14:paraId="07E0E488">
      <w:pPr>
        <w:jc w:val="right"/>
        <w:rPr>
          <w:rFonts w:hint="eastAsia" w:ascii="仿宋" w:hAnsi="仿宋" w:eastAsia="仿宋" w:cs="仿宋"/>
          <w:color w:val="000000"/>
          <w:sz w:val="24"/>
          <w:szCs w:val="24"/>
          <w:highlight w:val="none"/>
        </w:rPr>
      </w:pPr>
    </w:p>
    <w:p w14:paraId="5563274E">
      <w:pPr>
        <w:jc w:val="right"/>
        <w:rPr>
          <w:rFonts w:hint="eastAsia" w:ascii="仿宋" w:hAnsi="仿宋" w:eastAsia="仿宋" w:cs="仿宋"/>
          <w:color w:val="000000"/>
          <w:highlight w:val="none"/>
        </w:rPr>
      </w:pPr>
      <w:r>
        <w:rPr>
          <w:rFonts w:hint="eastAsia" w:ascii="仿宋" w:hAnsi="仿宋" w:eastAsia="仿宋" w:cs="仿宋"/>
          <w:color w:val="000000"/>
          <w:sz w:val="24"/>
          <w:szCs w:val="24"/>
          <w:highlight w:val="none"/>
        </w:rPr>
        <w:t>2025年11月</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日</w:t>
      </w:r>
    </w:p>
    <w:p w14:paraId="1D701A4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
    <w:altName w:val="AMGDT"/>
    <w:panose1 w:val="00000000000000000000"/>
    <w:charset w:val="00"/>
    <w:family w:val="auto"/>
    <w:pitch w:val="default"/>
    <w:sig w:usb0="00000000" w:usb1="00000000" w:usb2="00000000" w:usb3="00000000" w:csb0="000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90F79"/>
    <w:rsid w:val="34790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Arial"/>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 w:hAnsi="??" w:eastAsia="宋体" w:cs="??"/>
      <w:lang w:val="zh-CN"/>
    </w:rPr>
  </w:style>
  <w:style w:type="character" w:styleId="6">
    <w:name w:val="Hyperlink"/>
    <w:uiPriority w:val="0"/>
    <w:rPr>
      <w:rFonts w:ascii="Times New Roman" w:hAnsi="Times New Roman" w:eastAsia="宋体" w:cs="Times New Roman"/>
      <w:color w:val="0000FF"/>
      <w:u w:val="single"/>
    </w:rPr>
  </w:style>
  <w:style w:type="character" w:styleId="7">
    <w:name w:val="annotation reference"/>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2025-11-12T01:22:00Z</dcterms:created>
  <dc:creator>ZTBW</dc:creator>
  <cp:lastModifiedBy>ZTBW</cp:lastModifiedBy>
  <dcterms:modified xsi:type="dcterms:W3CDTF">2025-11-12T01:22:49Z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65B158651313465DA525AF7D2852B159_11</vt:lpwstr>
  </property>
  <property fmtid="{D5CDD505-2E9C-101B-9397-08002B2CF9AE}" pid="4" name="KSOTemplateDocerSaveRecord">
    <vt:lpwstr>eyJoZGlkIjoiODNmMGZkMTRkNjU0OGI3ODllMWYwZjE0ZDgwZGViYmMiLCJ1c2VySWQiOiIxMjMyNzQxMzAzIn0=</vt:lpwstr>
  </property>
</Properties>
</file>