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tabs>
          <w:tab w:val="clear" w:pos="2977"/>
        </w:tabs>
        <w:jc w:val="center"/>
        <w:rPr>
          <w:rFonts w:hint="eastAsia" w:ascii="仿宋" w:hAnsi="仿宋" w:eastAsia="仿宋" w:cs="仿宋"/>
        </w:rPr>
      </w:pPr>
      <w:bookmarkStart w:id="0" w:name="_Toc9014"/>
      <w:bookmarkStart w:id="1" w:name="_Toc19215"/>
      <w:bookmarkStart w:id="2" w:name="_Toc24546"/>
      <w:r>
        <w:rPr>
          <w:rFonts w:hint="eastAsia" w:ascii="仿宋" w:hAnsi="仿宋" w:eastAsia="仿宋" w:cs="仿宋"/>
        </w:rPr>
        <w:t>招标公告</w:t>
      </w:r>
      <w:bookmarkEnd w:id="0"/>
      <w:bookmarkEnd w:id="1"/>
      <w:bookmarkEnd w:id="2"/>
    </w:p>
    <w:p>
      <w:pPr>
        <w:spacing w:line="480" w:lineRule="exact"/>
        <w:rPr>
          <w:rFonts w:hint="eastAsia" w:ascii="仿宋" w:hAnsi="仿宋" w:eastAsia="仿宋" w:cs="仿宋"/>
          <w:sz w:val="24"/>
        </w:rPr>
      </w:pPr>
      <w:bookmarkStart w:id="3" w:name="_Toc1489"/>
      <w:r>
        <w:rPr>
          <w:rFonts w:hint="eastAsia" w:ascii="仿宋" w:hAnsi="仿宋" w:eastAsia="仿宋" w:cs="仿宋"/>
          <w:sz w:val="24"/>
        </w:rPr>
        <w:t>1.招标条件</w:t>
      </w:r>
      <w:bookmarkEnd w:id="3"/>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bookmarkStart w:id="10" w:name="_GoBack"/>
      <w:r>
        <w:rPr>
          <w:rFonts w:hint="eastAsia" w:ascii="仿宋" w:hAnsi="仿宋" w:eastAsia="仿宋" w:cs="仿宋"/>
          <w:b/>
          <w:bCs/>
          <w:sz w:val="24"/>
          <w:u w:val="single"/>
        </w:rPr>
        <w:t>赤峰市医院新城区分院建设项目一期工程楼体亮化工程</w:t>
      </w:r>
      <w:bookmarkEnd w:id="10"/>
      <w:r>
        <w:rPr>
          <w:rFonts w:hint="eastAsia" w:ascii="仿宋" w:hAnsi="仿宋" w:eastAsia="仿宋" w:cs="仿宋"/>
          <w:b/>
          <w:bCs/>
          <w:sz w:val="24"/>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line="480" w:lineRule="exact"/>
        <w:rPr>
          <w:rFonts w:hint="eastAsia" w:ascii="仿宋" w:hAnsi="仿宋" w:eastAsia="仿宋" w:cs="仿宋"/>
          <w:sz w:val="24"/>
        </w:rPr>
      </w:pPr>
      <w:bookmarkStart w:id="4" w:name="_Toc495644243"/>
      <w:bookmarkStart w:id="5" w:name="_Toc13446"/>
      <w:r>
        <w:rPr>
          <w:rFonts w:hint="eastAsia" w:ascii="仿宋" w:hAnsi="仿宋" w:eastAsia="仿宋" w:cs="仿宋"/>
          <w:sz w:val="24"/>
        </w:rPr>
        <w:t>2.项目概况与招标范围</w:t>
      </w:r>
      <w:bookmarkEnd w:id="4"/>
      <w:bookmarkEnd w:id="5"/>
      <w:r>
        <w:rPr>
          <w:rFonts w:hint="eastAsia" w:ascii="仿宋" w:hAnsi="仿宋" w:eastAsia="仿宋" w:cs="仿宋"/>
          <w:sz w:val="24"/>
        </w:rPr>
        <w:t xml:space="preserve"> </w:t>
      </w:r>
    </w:p>
    <w:p>
      <w:pPr>
        <w:spacing w:line="480" w:lineRule="exact"/>
        <w:ind w:firstLine="360" w:firstLineChars="150"/>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lang w:val="en-US" w:eastAsia="zh-CN"/>
        </w:rPr>
        <w:t>0773-2640GNNMGCGK0152</w:t>
      </w:r>
      <w:r>
        <w:rPr>
          <w:rFonts w:hint="eastAsia" w:ascii="仿宋" w:hAnsi="仿宋" w:eastAsia="仿宋" w:cs="仿宋"/>
          <w:color w:val="FF0000"/>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2.2项目名称：赤峰市医院新城区分院建设项目一期工程楼体亮化工程</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2.4招标内容：赤峰市医院新城区分院建设项目一期工程楼体亮化工程，具体内容详见工程量清单。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2,240,177</w:t>
      </w:r>
      <w:r>
        <w:rPr>
          <w:rFonts w:hint="eastAsia" w:ascii="仿宋" w:hAnsi="仿宋" w:eastAsia="仿宋" w:cs="仿宋"/>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rPr>
      </w:pPr>
      <w:r>
        <w:rPr>
          <w:rFonts w:hint="eastAsia" w:ascii="仿宋" w:hAnsi="仿宋" w:eastAsia="仿宋" w:cs="仿宋"/>
          <w:sz w:val="24"/>
        </w:rPr>
        <w:t>计划开工日期：</w:t>
      </w:r>
      <w:r>
        <w:rPr>
          <w:rFonts w:hint="eastAsia" w:ascii="仿宋" w:hAnsi="仿宋" w:eastAsia="仿宋" w:cs="仿宋"/>
          <w:color w:val="auto"/>
          <w:sz w:val="24"/>
        </w:rPr>
        <w:t>2026年3月1日，计划竣工日期：2026年5月30日，总工期共计90日历天。</w:t>
      </w:r>
    </w:p>
    <w:p>
      <w:pPr>
        <w:spacing w:line="480" w:lineRule="exact"/>
        <w:rPr>
          <w:rFonts w:hint="eastAsia" w:ascii="仿宋" w:hAnsi="仿宋" w:eastAsia="仿宋" w:cs="仿宋"/>
          <w:sz w:val="24"/>
        </w:rPr>
      </w:pPr>
      <w:bookmarkStart w:id="6" w:name="_Toc495644244"/>
      <w:bookmarkStart w:id="7" w:name="_Toc529"/>
      <w:r>
        <w:rPr>
          <w:rFonts w:hint="eastAsia" w:ascii="仿宋" w:hAnsi="仿宋" w:eastAsia="仿宋" w:cs="仿宋"/>
          <w:sz w:val="24"/>
        </w:rPr>
        <w:t>3.投标人资格要求</w:t>
      </w:r>
      <w:bookmarkEnd w:id="6"/>
      <w:bookmarkEnd w:id="7"/>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3.7本次招标不接受联合体投标。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3.8更多资格要求（专用资格要求）</w:t>
      </w:r>
    </w:p>
    <w:p>
      <w:pPr>
        <w:spacing w:line="480" w:lineRule="exact"/>
        <w:ind w:firstLine="420"/>
        <w:rPr>
          <w:rFonts w:hint="eastAsia" w:ascii="仿宋" w:hAnsi="仿宋" w:eastAsia="仿宋" w:cs="仿宋"/>
          <w:sz w:val="24"/>
        </w:rPr>
      </w:pPr>
      <w:r>
        <w:rPr>
          <w:rFonts w:hint="eastAsia" w:ascii="仿宋" w:hAnsi="仿宋" w:eastAsia="仿宋" w:cs="仿宋"/>
          <w:sz w:val="24"/>
        </w:rPr>
        <w:t>3.8.1投标人须具备建设行政主管部门颁发的城市及道路照明工程专业承包三级及以上资质且资质证书在有效期内。</w:t>
      </w:r>
    </w:p>
    <w:p>
      <w:pPr>
        <w:spacing w:line="480" w:lineRule="exact"/>
        <w:ind w:firstLine="420"/>
        <w:rPr>
          <w:rFonts w:hint="eastAsia" w:ascii="仿宋" w:hAnsi="仿宋" w:eastAsia="仿宋" w:cs="仿宋"/>
          <w:sz w:val="24"/>
        </w:rPr>
      </w:pPr>
      <w:r>
        <w:rPr>
          <w:rFonts w:hint="eastAsia" w:ascii="仿宋" w:hAnsi="仿宋" w:eastAsia="仿宋" w:cs="仿宋"/>
          <w:sz w:val="24"/>
        </w:rPr>
        <w:t>3.8.2投标人须具有有效期内的建设行政主管部门核发的安全生产许可证。</w:t>
      </w:r>
    </w:p>
    <w:p>
      <w:pPr>
        <w:spacing w:line="480" w:lineRule="exact"/>
        <w:ind w:firstLine="420"/>
        <w:rPr>
          <w:rFonts w:hint="eastAsia" w:ascii="仿宋" w:hAnsi="仿宋" w:eastAsia="仿宋" w:cs="仿宋"/>
          <w:sz w:val="24"/>
        </w:rPr>
      </w:pPr>
      <w:r>
        <w:rPr>
          <w:rFonts w:hint="eastAsia" w:ascii="仿宋" w:hAnsi="仿宋" w:eastAsia="仿宋" w:cs="仿宋"/>
          <w:sz w:val="24"/>
        </w:rPr>
        <w:t>3.8.3投标人拟派项目负责人具有二级及以上注册建造师证书及安全考核合格证书，注册专业为机电工程，证书在有效期内，且未担任其它在建项目建设工程的项目负责人。</w:t>
      </w:r>
    </w:p>
    <w:p>
      <w:pPr>
        <w:pStyle w:val="10"/>
        <w:shd w:val="clear" w:color="auto" w:fill="FFFFFF"/>
        <w:spacing w:before="0" w:after="0" w:line="480" w:lineRule="exact"/>
        <w:ind w:firstLine="0"/>
        <w:rPr>
          <w:rFonts w:hint="eastAsia" w:ascii="仿宋" w:hAnsi="仿宋" w:eastAsia="仿宋" w:cs="仿宋"/>
          <w:b/>
          <w:kern w:val="2"/>
          <w:szCs w:val="24"/>
        </w:rPr>
      </w:pPr>
      <w:r>
        <w:rPr>
          <w:rFonts w:hint="eastAsia" w:ascii="仿宋" w:hAnsi="仿宋" w:eastAsia="仿宋" w:cs="仿宋"/>
          <w:b/>
          <w:kern w:val="2"/>
          <w:szCs w:val="24"/>
        </w:rPr>
        <w:t>4.招标文件的获取</w:t>
      </w:r>
    </w:p>
    <w:p>
      <w:pPr>
        <w:pStyle w:val="4"/>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 xml:space="preserve">4.1 </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color w:val="auto"/>
        </w:rPr>
        <w:t>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22</w:t>
      </w:r>
      <w:r>
        <w:rPr>
          <w:rFonts w:hint="eastAsia" w:ascii="仿宋" w:hAnsi="仿宋" w:eastAsia="仿宋" w:cs="仿宋"/>
          <w:color w:val="auto"/>
        </w:rPr>
        <w:t>日至2026年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28</w:t>
      </w:r>
      <w:r>
        <w:rPr>
          <w:rFonts w:hint="eastAsia" w:ascii="仿宋" w:hAnsi="仿宋" w:eastAsia="仿宋" w:cs="仿宋"/>
          <w:color w:val="auto"/>
        </w:rPr>
        <w:t>日17:30</w:t>
      </w:r>
      <w:r>
        <w:rPr>
          <w:rFonts w:hint="eastAsia" w:ascii="仿宋" w:hAnsi="仿宋" w:eastAsia="仿宋" w:cs="仿宋"/>
        </w:rPr>
        <w:t>（北京时间，下同，法定节假日除外）</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8" w:name="_Toc495644245"/>
      <w:r>
        <w:rPr>
          <w:rFonts w:hint="eastAsia" w:ascii="仿宋" w:hAnsi="仿宋" w:eastAsia="仿宋" w:cs="仿宋"/>
          <w:color w:val="auto"/>
          <w:szCs w:val="24"/>
        </w:rPr>
        <w:t>投标人信息表；（详见招标公告附件1）</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投标人更多资格要求需提供的资料。</w:t>
      </w:r>
    </w:p>
    <w:p>
      <w:pPr>
        <w:pStyle w:val="10"/>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10"/>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8"/>
      <w:r>
        <w:rPr>
          <w:rFonts w:hint="eastAsia" w:ascii="仿宋" w:hAnsi="仿宋" w:eastAsia="仿宋" w:cs="仿宋"/>
          <w:b/>
          <w:kern w:val="2"/>
          <w:szCs w:val="24"/>
        </w:rPr>
        <w:t>A、上述要求是对潜在投标单位的基本要求，如按照行业及相关部门另有规定的遵循其规定，标单位应提供相应的证明或资信材料。</w:t>
      </w:r>
    </w:p>
    <w:p>
      <w:pPr>
        <w:pStyle w:val="10"/>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B、如发现存在虚假材料，招标单位有权取消投标单位的投标/中标资格，并承担相应的法律责任，由此造成的后果由投标/中标单位自负。</w:t>
      </w:r>
    </w:p>
    <w:p>
      <w:pPr>
        <w:pStyle w:val="1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010-86397110；平台将确保下载者的购买信息在开标前对平台公司有关工作人员保密；如下载者主动与平台公司工作人员联系咨询事宜，则视为下载者主动放弃信息保密的权利，平台公司将不承担任何责任。</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CA证书的办理，并使用CA证书进行加密后才能上传；否则将无法正常参加投标活动。CA证书具体办理流程参见中招联合招标采购平台账户中“北京CA申请”“CA申请帮助”“CA办理指南”查看，也可拨打中招联合招标采购平台统一服务热线010-86397110进行咨询。</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1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1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1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（3）不见面服务的具体事宜请中招联合招标采购平台统一服务热线010-86397110进行咨询。</w:t>
      </w:r>
    </w:p>
    <w:p>
      <w:pPr>
        <w:pStyle w:val="10"/>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kern w:val="0"/>
          <w:sz w:val="24"/>
          <w:u w:val="single"/>
        </w:rPr>
        <w:t>202</w:t>
      </w:r>
      <w:r>
        <w:rPr>
          <w:rFonts w:hint="eastAsia" w:ascii="仿宋" w:hAnsi="仿宋" w:eastAsia="仿宋" w:cs="仿宋"/>
          <w:color w:val="auto"/>
          <w:kern w:val="0"/>
          <w:sz w:val="24"/>
          <w:u w:val="single"/>
        </w:rPr>
        <w:t>6年</w:t>
      </w:r>
      <w:r>
        <w:rPr>
          <w:rFonts w:hint="eastAsia" w:ascii="仿宋" w:hAnsi="仿宋" w:eastAsia="仿宋" w:cs="仿宋"/>
          <w:color w:val="auto"/>
          <w:kern w:val="0"/>
          <w:sz w:val="24"/>
          <w:u w:val="single"/>
          <w:lang w:val="en-US" w:eastAsia="zh-CN"/>
        </w:rPr>
        <w:t>02</w:t>
      </w:r>
      <w:r>
        <w:rPr>
          <w:rFonts w:hint="eastAsia" w:ascii="仿宋" w:hAnsi="仿宋" w:eastAsia="仿宋" w:cs="仿宋"/>
          <w:color w:val="auto"/>
          <w:kern w:val="0"/>
          <w:sz w:val="24"/>
          <w:u w:val="single"/>
        </w:rPr>
        <w:t>月</w:t>
      </w:r>
      <w:r>
        <w:rPr>
          <w:rFonts w:hint="eastAsia" w:ascii="仿宋" w:hAnsi="仿宋" w:eastAsia="仿宋" w:cs="仿宋"/>
          <w:color w:val="auto"/>
          <w:kern w:val="0"/>
          <w:sz w:val="24"/>
          <w:u w:val="single"/>
          <w:lang w:val="en-US" w:eastAsia="zh-CN"/>
        </w:rPr>
        <w:t>11</w:t>
      </w:r>
      <w:r>
        <w:rPr>
          <w:rFonts w:hint="eastAsia" w:ascii="仿宋" w:hAnsi="仿宋" w:eastAsia="仿宋" w:cs="仿宋"/>
          <w:color w:val="auto"/>
          <w:kern w:val="0"/>
          <w:sz w:val="24"/>
          <w:u w:val="single"/>
        </w:rPr>
        <w:t>日</w:t>
      </w:r>
      <w:r>
        <w:rPr>
          <w:rFonts w:hint="eastAsia" w:ascii="仿宋" w:hAnsi="仿宋" w:eastAsia="仿宋" w:cs="仿宋"/>
          <w:kern w:val="0"/>
          <w:sz w:val="24"/>
          <w:u w:val="single"/>
        </w:rPr>
        <w:t>09:30:00</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b/>
          <w:bCs/>
          <w:kern w:val="0"/>
          <w:sz w:val="24"/>
          <w:u w:val="single"/>
        </w:rPr>
        <w:t>同投标截止时间</w:t>
      </w:r>
    </w:p>
    <w:p>
      <w:pPr>
        <w:spacing w:line="480" w:lineRule="exact"/>
        <w:rPr>
          <w:rFonts w:hint="eastAsia" w:ascii="仿宋" w:hAnsi="仿宋" w:eastAsia="仿宋" w:cs="仿宋"/>
          <w:b/>
          <w:sz w:val="24"/>
        </w:rPr>
      </w:pPr>
      <w:bookmarkStart w:id="9" w:name="_Toc535582549"/>
      <w:r>
        <w:rPr>
          <w:rFonts w:hint="eastAsia" w:ascii="仿宋" w:hAnsi="仿宋" w:eastAsia="仿宋" w:cs="仿宋"/>
          <w:b/>
          <w:sz w:val="24"/>
        </w:rPr>
        <w:t>8.发布公告的媒介</w:t>
      </w:r>
      <w:bookmarkEnd w:id="9"/>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10"/>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电  话：13555883757</w:t>
      </w:r>
    </w:p>
    <w:p>
      <w:pPr>
        <w:pStyle w:val="3"/>
        <w:spacing w:line="480" w:lineRule="exact"/>
        <w:ind w:firstLine="480"/>
        <w:rPr>
          <w:rFonts w:hint="eastAsia" w:ascii="仿宋" w:hAnsi="仿宋" w:eastAsia="仿宋" w:cs="仿宋"/>
          <w:sz w:val="24"/>
        </w:rPr>
      </w:pP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3"/>
        <w:spacing w:line="480" w:lineRule="exact"/>
        <w:ind w:firstLine="480"/>
        <w:rPr>
          <w:rStyle w:val="15"/>
          <w:rFonts w:hint="eastAsia" w:ascii="仿宋" w:hAnsi="仿宋" w:eastAsia="仿宋" w:cs="仿宋"/>
          <w:sz w:val="24"/>
        </w:rPr>
      </w:pPr>
      <w:r>
        <w:rPr>
          <w:rFonts w:hint="eastAsia" w:ascii="仿宋" w:hAnsi="仿宋" w:eastAsia="仿宋" w:cs="仿宋"/>
          <w:sz w:val="24"/>
        </w:rPr>
        <w:t>邮箱：</w:t>
      </w:r>
      <w:r>
        <w:fldChar w:fldCharType="begin"/>
      </w:r>
      <w:r>
        <w:instrText xml:space="preserve"> HYPERLINK "mailto:zyxths@126.com" </w:instrText>
      </w:r>
      <w:r>
        <w:fldChar w:fldCharType="separate"/>
      </w:r>
      <w:r>
        <w:rPr>
          <w:rStyle w:val="15"/>
          <w:rFonts w:hint="eastAsia" w:ascii="仿宋" w:hAnsi="仿宋" w:eastAsia="仿宋" w:cs="仿宋"/>
          <w:sz w:val="24"/>
        </w:rPr>
        <w:t>v13947179088@163.com</w:t>
      </w:r>
      <w:r>
        <w:rPr>
          <w:rStyle w:val="15"/>
          <w:rFonts w:hint="eastAsia" w:ascii="仿宋" w:hAnsi="仿宋" w:eastAsia="仿宋" w:cs="仿宋"/>
          <w:sz w:val="24"/>
        </w:rPr>
        <w:fldChar w:fldCharType="end"/>
      </w:r>
    </w:p>
    <w:p>
      <w:pPr>
        <w:pStyle w:val="3"/>
        <w:spacing w:line="520" w:lineRule="exact"/>
        <w:ind w:firstLine="0" w:firstLineChars="0"/>
        <w:rPr>
          <w:rStyle w:val="15"/>
          <w:rFonts w:hint="eastAsia" w:ascii="仿宋" w:hAnsi="仿宋" w:eastAsia="仿宋" w:cs="仿宋"/>
          <w:sz w:val="24"/>
        </w:rPr>
      </w:pPr>
    </w:p>
    <w:p>
      <w:pPr>
        <w:pStyle w:val="3"/>
        <w:spacing w:line="520" w:lineRule="exact"/>
        <w:ind w:firstLine="0" w:firstLineChars="0"/>
        <w:rPr>
          <w:rStyle w:val="15"/>
          <w:rFonts w:hint="eastAsia" w:ascii="仿宋" w:hAnsi="仿宋" w:eastAsia="仿宋" w:cs="仿宋"/>
          <w:sz w:val="24"/>
        </w:rPr>
      </w:pPr>
    </w:p>
    <w:p>
      <w:pPr>
        <w:pStyle w:val="3"/>
        <w:spacing w:line="520" w:lineRule="exact"/>
        <w:ind w:firstLine="0" w:firstLineChars="0"/>
        <w:rPr>
          <w:rStyle w:val="15"/>
          <w:rFonts w:hint="eastAsia" w:ascii="仿宋" w:hAnsi="仿宋" w:eastAsia="仿宋" w:cs="仿宋"/>
          <w:sz w:val="24"/>
        </w:rPr>
      </w:pPr>
    </w:p>
    <w:p>
      <w:pPr>
        <w:pStyle w:val="3"/>
        <w:spacing w:line="520" w:lineRule="exact"/>
        <w:ind w:firstLine="0" w:firstLineChars="0"/>
        <w:rPr>
          <w:rStyle w:val="15"/>
          <w:rFonts w:hint="eastAsia" w:ascii="仿宋" w:hAnsi="仿宋" w:eastAsia="仿宋" w:cs="仿宋"/>
          <w:sz w:val="24"/>
        </w:rPr>
      </w:pPr>
    </w:p>
    <w:p>
      <w:pPr>
        <w:pStyle w:val="3"/>
        <w:spacing w:line="520" w:lineRule="exact"/>
        <w:ind w:firstLine="0" w:firstLineChars="0"/>
        <w:rPr>
          <w:rStyle w:val="15"/>
          <w:rFonts w:hint="eastAsia" w:ascii="仿宋" w:hAnsi="仿宋" w:eastAsia="仿宋" w:cs="仿宋"/>
          <w:sz w:val="24"/>
        </w:rPr>
      </w:pPr>
    </w:p>
    <w:p>
      <w:pPr>
        <w:pStyle w:val="3"/>
        <w:spacing w:line="520" w:lineRule="exact"/>
        <w:ind w:firstLine="0" w:firstLineChars="0"/>
        <w:rPr>
          <w:rStyle w:val="15"/>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2"/>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二、如公告要求交购买招标文件费的，请投标人及时办理购买招标文件事宜并付款后告知项目负责人，否则因未及时办理并告知项目负责人导致其投标失败的任何后果及损失投标人自负。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1"/>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3"/>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15875"/>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23495"/>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9685"/>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1"/>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1"/>
        <w:rPr>
          <w:rFonts w:hint="eastAsia" w:ascii="仿宋" w:hAnsi="仿宋" w:eastAsia="仿宋" w:cs="仿宋"/>
          <w:kern w:val="0"/>
        </w:rPr>
      </w:pPr>
    </w:p>
    <w:p>
      <w:pPr>
        <w:pStyle w:val="11"/>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3"/>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3"/>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9"/>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1430" b="1079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ind w:firstLine="420" w:firstLineChars="200"/>
        <w:rPr>
          <w:rFonts w:hint="eastAsia" w:ascii="仿宋" w:hAnsi="仿宋" w:eastAsia="仿宋" w:cs="仿宋"/>
          <w:kern w:val="0"/>
        </w:rPr>
      </w:pPr>
    </w:p>
    <w:p>
      <w:pPr>
        <w:pStyle w:val="3"/>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69504" behindDoc="0" locked="0" layoutInCell="1" allowOverlap="1">
            <wp:simplePos x="0" y="0"/>
            <wp:positionH relativeFrom="column">
              <wp:posOffset>167640</wp:posOffset>
            </wp:positionH>
            <wp:positionV relativeFrom="paragraph">
              <wp:posOffset>200660</wp:posOffset>
            </wp:positionV>
            <wp:extent cx="4827270" cy="2008505"/>
            <wp:effectExtent l="0" t="0" r="11430" b="1079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3039110"/>
            <wp:effectExtent l="0" t="0" r="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303911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1"/>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10160"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3"/>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3"/>
        <w:rPr>
          <w:rFonts w:hint="eastAsia" w:ascii="仿宋" w:hAnsi="仿宋" w:eastAsia="仿宋" w:cs="仿宋"/>
          <w:kern w:val="0"/>
        </w:rPr>
      </w:pPr>
      <w:r>
        <w:rPr>
          <w:rFonts w:hint="eastAsia" w:ascii="仿宋" w:hAnsi="仿宋" w:eastAsia="仿宋" w:cs="仿宋"/>
          <w:kern w:val="0"/>
        </w:rPr>
        <w:t>第1步：打开系统首页。</w:t>
      </w: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9525"/>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3"/>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17780"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3"/>
        <w:rPr>
          <w:rFonts w:hint="eastAsia" w:ascii="仿宋" w:hAnsi="仿宋" w:eastAsia="仿宋" w:cs="仿宋"/>
          <w:kern w:val="0"/>
        </w:rPr>
      </w:pPr>
    </w:p>
    <w:p>
      <w:pPr>
        <w:pStyle w:val="3"/>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66432" behindDoc="0" locked="0" layoutInCell="1" allowOverlap="1">
            <wp:simplePos x="0" y="0"/>
            <wp:positionH relativeFrom="column">
              <wp:posOffset>-368300</wp:posOffset>
            </wp:positionH>
            <wp:positionV relativeFrom="paragraph">
              <wp:posOffset>702310</wp:posOffset>
            </wp:positionV>
            <wp:extent cx="6233795" cy="1811655"/>
            <wp:effectExtent l="0" t="0" r="14605" b="17145"/>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0528"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71552" behindDoc="0" locked="0" layoutInCell="1" allowOverlap="1">
            <wp:simplePos x="0" y="0"/>
            <wp:positionH relativeFrom="column">
              <wp:posOffset>-17145</wp:posOffset>
            </wp:positionH>
            <wp:positionV relativeFrom="paragraph">
              <wp:posOffset>48260</wp:posOffset>
            </wp:positionV>
            <wp:extent cx="5593715" cy="1926590"/>
            <wp:effectExtent l="0" t="0" r="6985" b="16510"/>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422"/>
        <w:rPr>
          <w:rFonts w:hint="eastAsia" w:ascii="仿宋" w:hAnsi="仿宋" w:eastAsia="仿宋" w:cs="仿宋"/>
          <w:b/>
          <w:kern w:val="0"/>
        </w:rPr>
      </w:pPr>
    </w:p>
    <w:p>
      <w:pPr>
        <w:pStyle w:val="3"/>
        <w:ind w:firstLine="422"/>
        <w:rPr>
          <w:rFonts w:hint="eastAsia" w:ascii="仿宋" w:hAnsi="仿宋" w:eastAsia="仿宋" w:cs="仿宋"/>
          <w:b/>
          <w:kern w:val="0"/>
        </w:rPr>
      </w:pPr>
    </w:p>
    <w:p>
      <w:pPr>
        <w:pStyle w:val="3"/>
        <w:ind w:firstLine="422"/>
        <w:rPr>
          <w:rFonts w:hint="eastAsia" w:ascii="仿宋" w:hAnsi="仿宋" w:eastAsia="仿宋" w:cs="仿宋"/>
          <w:b/>
          <w:kern w:val="0"/>
        </w:rPr>
      </w:pPr>
    </w:p>
    <w:p>
      <w:pPr>
        <w:pStyle w:val="3"/>
        <w:ind w:firstLine="0" w:firstLineChars="0"/>
        <w:rPr>
          <w:rFonts w:hint="eastAsia" w:ascii="仿宋" w:hAnsi="仿宋" w:eastAsia="仿宋" w:cs="仿宋"/>
          <w:b/>
          <w:kern w:val="0"/>
        </w:rPr>
      </w:pPr>
    </w:p>
    <w:p>
      <w:pPr>
        <w:pStyle w:val="3"/>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5"/>
          <w:rFonts w:hint="eastAsia" w:ascii="仿宋" w:hAnsi="仿宋" w:eastAsia="仿宋" w:cs="仿宋"/>
          <w:b/>
          <w:kern w:val="0"/>
        </w:rPr>
        <w:t>http://www.wenshu.court.gov.cn</w:t>
      </w:r>
      <w:r>
        <w:rPr>
          <w:rStyle w:val="15"/>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6"/>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67456" behindDoc="0" locked="0" layoutInCell="1" allowOverlap="1">
            <wp:simplePos x="0" y="0"/>
            <wp:positionH relativeFrom="column">
              <wp:posOffset>-221615</wp:posOffset>
            </wp:positionH>
            <wp:positionV relativeFrom="paragraph">
              <wp:posOffset>47625</wp:posOffset>
            </wp:positionV>
            <wp:extent cx="5960110" cy="2770505"/>
            <wp:effectExtent l="0" t="0" r="2540" b="10795"/>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6"/>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1"/>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68480"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kern w:val="0"/>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2"/>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7A91572"/>
    <w:rsid w:val="6C954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character" w:default="1" w:styleId="13">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w:basedOn w:val="1"/>
    <w:next w:val="1"/>
    <w:qFormat/>
    <w:uiPriority w:val="0"/>
    <w:pPr>
      <w:spacing w:line="460" w:lineRule="exact"/>
    </w:pPr>
    <w:rPr>
      <w:sz w:val="24"/>
    </w:rPr>
  </w:style>
  <w:style w:type="paragraph" w:styleId="5">
    <w:name w:val="Body Text Indent"/>
    <w:basedOn w:val="1"/>
    <w:next w:val="6"/>
    <w:qFormat/>
    <w:uiPriority w:val="0"/>
    <w:pPr>
      <w:spacing w:after="120"/>
      <w:ind w:left="420" w:leftChars="200"/>
    </w:pPr>
    <w:rPr>
      <w:sz w:val="24"/>
    </w:rPr>
  </w:style>
  <w:style w:type="paragraph" w:styleId="6">
    <w:name w:val="footnote text"/>
    <w:basedOn w:val="1"/>
    <w:qFormat/>
    <w:uiPriority w:val="0"/>
    <w:pPr>
      <w:adjustRightInd w:val="0"/>
      <w:spacing w:line="312" w:lineRule="atLeast"/>
      <w:jc w:val="left"/>
      <w:textAlignment w:val="baseline"/>
    </w:pPr>
    <w:rPr>
      <w:kern w:val="0"/>
      <w:sz w:val="18"/>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jc w:val="center"/>
    </w:pPr>
    <w:rPr>
      <w:rFonts w:eastAsia="楷体_GB2312"/>
      <w:b/>
      <w:bCs/>
      <w:sz w:val="36"/>
      <w:szCs w:val="20"/>
    </w:rPr>
  </w:style>
  <w:style w:type="paragraph" w:styleId="10">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1">
    <w:name w:val="Body Text First Indent 2"/>
    <w:basedOn w:val="5"/>
    <w:semiHidden/>
    <w:qFormat/>
    <w:uiPriority w:val="0"/>
    <w:pPr>
      <w:ind w:left="0" w:leftChars="0" w:firstLine="420"/>
    </w:pPr>
  </w:style>
  <w:style w:type="character" w:styleId="14">
    <w:name w:val="page number"/>
    <w:basedOn w:val="13"/>
    <w:qFormat/>
    <w:uiPriority w:val="0"/>
    <w:rPr>
      <w:rFonts w:cs="Times New Roman"/>
    </w:rPr>
  </w:style>
  <w:style w:type="character" w:styleId="15">
    <w:name w:val="Hyperlink"/>
    <w:basedOn w:val="13"/>
    <w:qFormat/>
    <w:uiPriority w:val="99"/>
    <w:rPr>
      <w:rFonts w:cs="Times New Roman"/>
      <w:color w:val="0000FF"/>
      <w:u w:val="single"/>
    </w:rPr>
  </w:style>
  <w:style w:type="paragraph" w:customStyle="1" w:styleId="16">
    <w:name w:val="_Style 6"/>
    <w:basedOn w:val="1"/>
    <w:next w:val="17"/>
    <w:qFormat/>
    <w:uiPriority w:val="34"/>
    <w:pPr>
      <w:spacing w:line="360" w:lineRule="auto"/>
      <w:ind w:firstLine="420" w:firstLineChars="200"/>
    </w:pPr>
    <w:rPr>
      <w:rFonts w:ascii="宋体" w:hAnsi="宋体" w:cs="宋体"/>
      <w:szCs w:val="21"/>
      <w:lang w:eastAsia="en-US"/>
    </w:rPr>
  </w:style>
  <w:style w:type="paragraph" w:styleId="17">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2026-01-21T02:45:00Z</dcterms:created>
  <dc:creator>Administrator</dc:creator>
  <cp:lastModifiedBy>失控。</cp:lastModifiedBy>
  <dcterms:modified xsi:type="dcterms:W3CDTF">2026-01-21T05:58:15Z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eyJoZGlkIjoiYmY3NzkwZDAyNmZjZGIyYmVjYzQ2OTBlZjA3Y2ZhMjEiLCJ1c2VySWQiOiIzMDY4OTUzNjcifQ==</vt:lpwstr>
  </property>
  <property fmtid="{D5CDD505-2E9C-101B-9397-08002B2CF9AE}" pid="4" name="ICV">
    <vt:lpwstr>F9E511A56B69428DBB4AB19AD0D560DF_12</vt:lpwstr>
  </property>
</Properties>
</file>