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中国石油天然气股份有限公司内蒙古赤峰销售分公司消防器材配备、更新与维保及消防安全检查、建筑消防设施维保服务项目竞争性谈判采购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ZS-QCCF-H-2026-1004</w:t>
      </w:r>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中国石油天然气股份有限公司内蒙古赤峰销售分公司消防器材配备、更新与维保及消防安全检查、建筑消防设施维保服务项目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ZS-QCCF-H-2026-1004</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中国石油天然气股份有限公司内蒙古赤峰销售分公司消防器材配备、更新与维保及消防安全检查、建筑消防设施维保服务项目</w:t>
      </w:r>
      <w:r>
        <w:rPr>
          <w:rFonts w:hint="eastAsia" w:ascii="宋体" w:hAnsi="宋体" w:cs="宋体"/>
          <w:sz w:val="21"/>
          <w:szCs w:val="21"/>
        </w:rPr>
        <w:t>；</w:t>
      </w:r>
    </w:p>
    <w:p w14:paraId="0BE41E70">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）为</w:t>
      </w:r>
      <w:r>
        <w:rPr>
          <w:rFonts w:hint="eastAsia" w:ascii="宋体" w:hAnsi="宋体" w:cs="宋体"/>
          <w:sz w:val="21"/>
          <w:szCs w:val="21"/>
          <w:highlight w:val="none"/>
        </w:rPr>
        <w:t>分公司机关办公楼、所属库站</w:t>
      </w:r>
      <w:r>
        <w:rPr>
          <w:rFonts w:hint="eastAsia" w:ascii="宋体" w:hAnsi="宋体" w:cs="宋体"/>
          <w:sz w:val="21"/>
          <w:szCs w:val="21"/>
          <w:lang w:eastAsia="zh-CN"/>
        </w:rPr>
        <w:t>消防器材</w:t>
      </w:r>
      <w:r>
        <w:rPr>
          <w:rFonts w:hint="eastAsia" w:ascii="宋体" w:hAnsi="宋体" w:cs="宋体"/>
          <w:sz w:val="21"/>
          <w:szCs w:val="21"/>
          <w:highlight w:val="none"/>
        </w:rPr>
        <w:t>配备、更新、维护、保养</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color w:val="auto"/>
          <w:szCs w:val="21"/>
          <w:highlight w:val="none"/>
          <w:lang w:eastAsia="zh-CN"/>
        </w:rPr>
        <w:t>为分公司机关办公楼、赤峰油库、非油中央仓、林东油库开展</w:t>
      </w:r>
      <w:r>
        <w:rPr>
          <w:rFonts w:hint="eastAsia" w:ascii="宋体" w:hAnsi="宋体" w:cs="宋体"/>
          <w:sz w:val="21"/>
          <w:szCs w:val="21"/>
          <w:lang w:eastAsia="zh-CN"/>
        </w:rPr>
        <w:t>消防安全检查及</w:t>
      </w:r>
      <w:r>
        <w:rPr>
          <w:rFonts w:hint="eastAsia" w:ascii="宋体" w:hAnsi="宋体"/>
          <w:color w:val="auto"/>
          <w:szCs w:val="21"/>
          <w:highlight w:val="none"/>
          <w:lang w:eastAsia="zh-CN"/>
        </w:rPr>
        <w:t>建筑消防设施维保服务（每月一次），具体内容详见采购文件</w:t>
      </w:r>
      <w:r>
        <w:rPr>
          <w:rFonts w:hint="eastAsia" w:ascii="宋体" w:hAnsi="宋体" w:cs="宋体"/>
          <w:color w:val="auto"/>
          <w:sz w:val="21"/>
          <w:szCs w:val="21"/>
          <w:highlight w:val="none"/>
        </w:rPr>
        <w:t>。</w:t>
      </w:r>
    </w:p>
    <w:p w14:paraId="4E74DE3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440000.00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14166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2CBD1E4">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本项目划分两个标段，具体如下：</w:t>
      </w:r>
    </w:p>
    <w:tbl>
      <w:tblPr>
        <w:tblStyle w:val="5"/>
        <w:tblW w:w="47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763"/>
        <w:gridCol w:w="1699"/>
        <w:gridCol w:w="1442"/>
        <w:gridCol w:w="1786"/>
      </w:tblGrid>
      <w:tr w14:paraId="7BF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9" w:type="pct"/>
            <w:noWrap w:val="0"/>
            <w:vAlign w:val="center"/>
          </w:tcPr>
          <w:p w14:paraId="4F4738CF">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序号</w:t>
            </w:r>
          </w:p>
        </w:tc>
        <w:tc>
          <w:tcPr>
            <w:tcW w:w="2004" w:type="pct"/>
            <w:noWrap w:val="0"/>
            <w:vAlign w:val="center"/>
          </w:tcPr>
          <w:p w14:paraId="03F882F1">
            <w:pPr>
              <w:adjustRightInd w:val="0"/>
              <w:snapToGrid w:val="0"/>
              <w:spacing w:line="360" w:lineRule="auto"/>
              <w:ind w:left="-88" w:leftChars="-42"/>
              <w:jc w:val="center"/>
              <w:rPr>
                <w:rFonts w:hint="eastAsia" w:ascii="宋体" w:hAnsi="宋体" w:eastAsia="宋体" w:cs="宋体"/>
                <w:bCs/>
                <w:sz w:val="21"/>
                <w:szCs w:val="21"/>
                <w:highlight w:val="red"/>
                <w:lang w:val="en-US" w:eastAsia="zh-CN"/>
              </w:rPr>
            </w:pPr>
            <w:r>
              <w:rPr>
                <w:rFonts w:hint="eastAsia" w:ascii="宋体" w:hAnsi="宋体" w:eastAsia="宋体" w:cs="宋体"/>
                <w:bCs/>
                <w:sz w:val="21"/>
                <w:szCs w:val="21"/>
                <w:highlight w:val="none"/>
                <w:lang w:val="zh-CN"/>
              </w:rPr>
              <w:t>标段名称</w:t>
            </w:r>
          </w:p>
        </w:tc>
        <w:tc>
          <w:tcPr>
            <w:tcW w:w="905" w:type="pct"/>
            <w:noWrap w:val="0"/>
            <w:vAlign w:val="center"/>
          </w:tcPr>
          <w:p w14:paraId="749D0A4A">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控制价（元）</w:t>
            </w:r>
          </w:p>
        </w:tc>
        <w:tc>
          <w:tcPr>
            <w:tcW w:w="768" w:type="pct"/>
            <w:noWrap w:val="0"/>
            <w:vAlign w:val="center"/>
          </w:tcPr>
          <w:p w14:paraId="0BE64050">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服务期</w:t>
            </w:r>
          </w:p>
        </w:tc>
        <w:tc>
          <w:tcPr>
            <w:tcW w:w="951" w:type="pct"/>
            <w:noWrap w:val="0"/>
            <w:vAlign w:val="center"/>
          </w:tcPr>
          <w:p w14:paraId="2DD53839">
            <w:pPr>
              <w:spacing w:line="360" w:lineRule="auto"/>
              <w:ind w:firstLine="0" w:firstLineChars="0"/>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技术标准与要求</w:t>
            </w:r>
          </w:p>
        </w:tc>
      </w:tr>
      <w:tr w14:paraId="08A4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9" w:type="pct"/>
            <w:noWrap w:val="0"/>
            <w:vAlign w:val="center"/>
          </w:tcPr>
          <w:p w14:paraId="2C14F95E">
            <w:pPr>
              <w:spacing w:line="360" w:lineRule="auto"/>
              <w:ind w:firstLine="0" w:firstLineChars="0"/>
              <w:jc w:val="center"/>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lang w:val="en-US" w:eastAsia="zh-CN"/>
              </w:rPr>
              <w:t>1</w:t>
            </w:r>
          </w:p>
        </w:tc>
        <w:tc>
          <w:tcPr>
            <w:tcW w:w="2004" w:type="pct"/>
            <w:noWrap w:val="0"/>
            <w:vAlign w:val="center"/>
          </w:tcPr>
          <w:p w14:paraId="1FB0AAB2">
            <w:pPr>
              <w:adjustRightInd w:val="0"/>
              <w:snapToGrid w:val="0"/>
              <w:spacing w:line="360" w:lineRule="auto"/>
              <w:ind w:left="-88" w:leftChars="-42"/>
              <w:jc w:val="center"/>
              <w:rPr>
                <w:rFonts w:hint="eastAsia" w:ascii="宋体" w:hAnsi="宋体" w:eastAsia="宋体" w:cs="宋体"/>
                <w:bCs/>
                <w:color w:val="auto"/>
                <w:sz w:val="21"/>
                <w:szCs w:val="21"/>
                <w:highlight w:val="red"/>
                <w:lang w:val="en-US" w:eastAsia="zh-CN"/>
              </w:rPr>
            </w:pPr>
            <w:r>
              <w:rPr>
                <w:rFonts w:hint="eastAsia" w:ascii="宋体" w:hAnsi="宋体" w:eastAsia="宋体" w:cs="宋体"/>
                <w:color w:val="auto"/>
                <w:sz w:val="21"/>
                <w:szCs w:val="21"/>
                <w:lang w:eastAsia="zh-CN"/>
              </w:rPr>
              <w:t>一标段：</w:t>
            </w:r>
            <w:r>
              <w:rPr>
                <w:rFonts w:hint="eastAsia" w:ascii="宋体" w:hAnsi="宋体" w:cs="宋体"/>
                <w:color w:val="auto"/>
                <w:sz w:val="21"/>
                <w:szCs w:val="21"/>
                <w:lang w:eastAsia="zh-CN"/>
              </w:rPr>
              <w:t>消防器材配备、更新与维保</w:t>
            </w:r>
          </w:p>
        </w:tc>
        <w:tc>
          <w:tcPr>
            <w:tcW w:w="905" w:type="pct"/>
            <w:noWrap w:val="0"/>
            <w:vAlign w:val="center"/>
          </w:tcPr>
          <w:p w14:paraId="4CFBAF79">
            <w:pPr>
              <w:spacing w:line="360" w:lineRule="auto"/>
              <w:ind w:firstLine="0" w:firstLineChars="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300000.00</w:t>
            </w:r>
          </w:p>
        </w:tc>
        <w:tc>
          <w:tcPr>
            <w:tcW w:w="768" w:type="pct"/>
            <w:vMerge w:val="restart"/>
            <w:noWrap w:val="0"/>
            <w:vAlign w:val="center"/>
          </w:tcPr>
          <w:p w14:paraId="31BB970F">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自合同签订之日起至2026年12月31日止</w:t>
            </w:r>
          </w:p>
        </w:tc>
        <w:tc>
          <w:tcPr>
            <w:tcW w:w="951" w:type="pct"/>
            <w:vMerge w:val="restart"/>
            <w:noWrap w:val="0"/>
            <w:vAlign w:val="center"/>
          </w:tcPr>
          <w:p w14:paraId="10200378">
            <w:pPr>
              <w:spacing w:line="360" w:lineRule="auto"/>
              <w:ind w:firstLine="0" w:firstLineChars="0"/>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详见采购文件</w:t>
            </w:r>
          </w:p>
        </w:tc>
      </w:tr>
      <w:tr w14:paraId="7BC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69" w:type="pct"/>
            <w:noWrap w:val="0"/>
            <w:vAlign w:val="center"/>
          </w:tcPr>
          <w:p w14:paraId="7E86CD1A">
            <w:pPr>
              <w:spacing w:line="360" w:lineRule="auto"/>
              <w:ind w:firstLine="0" w:firstLineChars="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2004" w:type="pct"/>
            <w:noWrap w:val="0"/>
            <w:vAlign w:val="center"/>
          </w:tcPr>
          <w:p w14:paraId="0B20F822">
            <w:pPr>
              <w:adjustRightInd w:val="0"/>
              <w:snapToGrid w:val="0"/>
              <w:spacing w:line="360" w:lineRule="auto"/>
              <w:ind w:left="-88" w:leftChars="-42"/>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lang w:eastAsia="zh-CN"/>
              </w:rPr>
              <w:t>二标段：消防安全检查及建筑消防设施维保服务</w:t>
            </w:r>
          </w:p>
        </w:tc>
        <w:tc>
          <w:tcPr>
            <w:tcW w:w="905" w:type="pct"/>
            <w:noWrap w:val="0"/>
            <w:vAlign w:val="center"/>
          </w:tcPr>
          <w:p w14:paraId="444DEC1A">
            <w:pPr>
              <w:spacing w:line="360" w:lineRule="auto"/>
              <w:ind w:firstLine="0" w:firstLineChars="0"/>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140000.00</w:t>
            </w:r>
          </w:p>
        </w:tc>
        <w:tc>
          <w:tcPr>
            <w:tcW w:w="768" w:type="pct"/>
            <w:vMerge w:val="continue"/>
            <w:noWrap w:val="0"/>
            <w:vAlign w:val="center"/>
          </w:tcPr>
          <w:p w14:paraId="77FC2FE3">
            <w:pPr>
              <w:spacing w:line="360" w:lineRule="auto"/>
              <w:ind w:firstLine="0" w:firstLineChars="0"/>
              <w:jc w:val="center"/>
              <w:rPr>
                <w:rFonts w:hint="eastAsia" w:ascii="宋体" w:hAnsi="宋体" w:eastAsia="宋体" w:cs="宋体"/>
                <w:bCs/>
                <w:sz w:val="21"/>
                <w:szCs w:val="21"/>
                <w:highlight w:val="none"/>
                <w:lang w:eastAsia="zh-CN"/>
              </w:rPr>
            </w:pPr>
          </w:p>
        </w:tc>
        <w:tc>
          <w:tcPr>
            <w:tcW w:w="951" w:type="pct"/>
            <w:vMerge w:val="continue"/>
            <w:noWrap w:val="0"/>
            <w:vAlign w:val="center"/>
          </w:tcPr>
          <w:p w14:paraId="7D40C69F">
            <w:pPr>
              <w:spacing w:line="360" w:lineRule="auto"/>
              <w:ind w:firstLine="0" w:firstLineChars="0"/>
              <w:jc w:val="center"/>
              <w:rPr>
                <w:rFonts w:hint="eastAsia" w:ascii="宋体" w:hAnsi="宋体" w:eastAsia="宋体" w:cs="宋体"/>
                <w:bCs/>
                <w:sz w:val="21"/>
                <w:szCs w:val="21"/>
                <w:highlight w:val="none"/>
                <w:lang w:eastAsia="zh-CN"/>
              </w:rPr>
            </w:pPr>
          </w:p>
        </w:tc>
      </w:tr>
    </w:tbl>
    <w:p w14:paraId="51E30541">
      <w:pPr>
        <w:spacing w:line="360" w:lineRule="auto"/>
        <w:jc w:val="left"/>
        <w:rPr>
          <w:rFonts w:hint="eastAsia" w:ascii="宋体" w:hAnsi="宋体" w:eastAsia="宋体" w:cs="宋体"/>
          <w:b/>
          <w:bCs/>
          <w:sz w:val="21"/>
          <w:szCs w:val="21"/>
          <w:lang w:eastAsia="zh-CN"/>
        </w:rPr>
      </w:pPr>
      <w:r>
        <w:rPr>
          <w:rFonts w:hint="eastAsia" w:ascii="宋体" w:hAnsi="宋体" w:cs="宋体"/>
          <w:b/>
          <w:bCs/>
          <w:sz w:val="21"/>
          <w:szCs w:val="21"/>
          <w:lang w:eastAsia="zh-CN"/>
        </w:rPr>
        <w:t>注：本项目兼投不兼中，每个投标人最多只能被确定为1个标包的中标人。本项目按子包的顺序进行评审，依次按照评标总得分由高到低的顺序。如同一单位在两个标段中均排名第一，则按子包的顺序确定第一中标候选人。</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420F538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7、严禁列入采购人及其所隶属的中国石油天然气股份有限公司各级机构的供应商黑名单或在冻结或暂停状态内的供应商参与采购活动（提供承诺函）。</w:t>
      </w:r>
    </w:p>
    <w:p w14:paraId="4128837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val="en-US" w:eastAsia="zh-CN"/>
        </w:rPr>
        <w:t>二标段</w:t>
      </w:r>
      <w:r>
        <w:rPr>
          <w:rFonts w:hint="eastAsia" w:ascii="宋体" w:hAnsi="宋体" w:eastAsia="宋体" w:cs="宋体"/>
          <w:sz w:val="21"/>
          <w:szCs w:val="21"/>
          <w:highlight w:val="none"/>
          <w:lang w:val="en-US" w:eastAsia="zh-CN"/>
        </w:rPr>
        <w:t>供应商需在全国社会消防技术服务信息系统备案（提供备案证明）；</w:t>
      </w:r>
    </w:p>
    <w:p w14:paraId="50AA677E">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9、一标段供应商为投标产品的生产商或合法经销商，提供制造商针对本项目出具的授权（如投标人为设备制造商则无需提供该授权），同时由制造商承诺对本项目所有设备质保负责且相关设备可追溯，提供承诺书（格式自拟）；</w:t>
      </w:r>
    </w:p>
    <w:p w14:paraId="6C46AD6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2026年01月29日上午09:00（北京时间）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2026年01月29日上午09:00（北京时间）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70D70937">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01</w:t>
      </w:r>
      <w:r>
        <w:rPr>
          <w:rFonts w:hint="eastAsia" w:ascii="宋体" w:hAnsi="宋体" w:cs="宋体"/>
          <w:color w:val="auto"/>
        </w:rPr>
        <w:t>月</w:t>
      </w:r>
      <w:r>
        <w:rPr>
          <w:rFonts w:hint="eastAsia" w:ascii="宋体" w:hAnsi="宋体" w:cs="宋体"/>
          <w:color w:val="auto"/>
          <w:lang w:val="en-US" w:eastAsia="zh-CN"/>
        </w:rPr>
        <w:t>21</w:t>
      </w:r>
      <w:r>
        <w:rPr>
          <w:rFonts w:hint="eastAsia" w:ascii="宋体" w:hAnsi="宋体" w:cs="宋体"/>
          <w:color w:val="auto"/>
        </w:rPr>
        <w:t>日</w:t>
      </w:r>
    </w:p>
    <w:p w14:paraId="0E427CA8">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0D885891"/>
    <w:rsid w:val="12326CCA"/>
    <w:rsid w:val="17A54DB5"/>
    <w:rsid w:val="277A3B68"/>
    <w:rsid w:val="46E464B1"/>
    <w:rsid w:val="49184B37"/>
    <w:rsid w:val="4C576449"/>
    <w:rsid w:val="5936578C"/>
    <w:rsid w:val="76FD1F9C"/>
    <w:rsid w:val="7904460D"/>
    <w:rsid w:val="7BC4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paragraph" w:styleId="4">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3840</Words>
  <Characters>4333</Characters>
  <Lines>0</Lines>
  <Paragraphs>0</Paragraphs>
  <TotalTime>0</TotalTime>
  <ScaleCrop>false</ScaleCrop>
  <LinksUpToDate>false</LinksUpToDate>
  <CharactersWithSpaces>4459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2026-01-21T03:24:50Z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