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BB1F3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此项参数不存在以下情况：</w:t>
      </w:r>
    </w:p>
    <w:p w14:paraId="51E73C1B">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lang w:eastAsia="zh-CN"/>
        </w:rPr>
        <w:t>《</w:t>
      </w:r>
      <w:r>
        <w:rPr>
          <w:rFonts w:hint="eastAsia" w:asciiTheme="minorEastAsia" w:hAnsiTheme="minorEastAsia" w:eastAsiaTheme="minorEastAsia" w:cstheme="minorEastAsia"/>
          <w:b/>
          <w:sz w:val="21"/>
          <w:szCs w:val="21"/>
        </w:rPr>
        <w:t>政府采购法实施条例</w:t>
      </w:r>
      <w:r>
        <w:rPr>
          <w:rFonts w:hint="eastAsia" w:asciiTheme="minorEastAsia" w:hAnsiTheme="minorEastAsia" w:eastAsiaTheme="minorEastAsia" w:cstheme="minorEastAsia"/>
          <w:b/>
          <w:sz w:val="21"/>
          <w:szCs w:val="21"/>
          <w:lang w:eastAsia="zh-CN"/>
        </w:rPr>
        <w:t>》</w:t>
      </w:r>
      <w:r>
        <w:rPr>
          <w:rFonts w:hint="eastAsia" w:asciiTheme="minorEastAsia" w:hAnsiTheme="minorEastAsia" w:eastAsiaTheme="minorEastAsia" w:cstheme="minorEastAsia"/>
          <w:b/>
          <w:sz w:val="21"/>
          <w:szCs w:val="21"/>
        </w:rPr>
        <w:t>第二十条</w:t>
      </w:r>
      <w:r>
        <w:rPr>
          <w:rFonts w:hint="eastAsia" w:asciiTheme="minorEastAsia" w:hAnsiTheme="minorEastAsia" w:eastAsiaTheme="minorEastAsia" w:cstheme="minorEastAsia"/>
          <w:b/>
          <w:sz w:val="21"/>
          <w:szCs w:val="21"/>
          <w:lang w:eastAsia="zh-CN"/>
        </w:rPr>
        <w:t>：</w:t>
      </w:r>
    </w:p>
    <w:p w14:paraId="7ED12988">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采购人或者采购代理机构有下列情形之一的，属于以不合理的条件对供应商实行差别待遇或者歧视待遇： </w:t>
      </w:r>
    </w:p>
    <w:p w14:paraId="2FAF604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(一)就同一采购项目向供应商提供有差别的项目信息； </w:t>
      </w:r>
    </w:p>
    <w:p w14:paraId="1F1018BE">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(二)设定的资格、技术、商务条件与采购项目的具体特点和实际需要不相适应或者与合同履行无关； </w:t>
      </w:r>
    </w:p>
    <w:p w14:paraId="20020F1E">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(三)采购需求中的技术、服务等要求指向特定供应商、特定产品； </w:t>
      </w:r>
    </w:p>
    <w:p w14:paraId="5F8A5287">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(四)以特定行政区域或者特定行业的业绩、奖项作为加分条件或者中标、成交条件； </w:t>
      </w:r>
    </w:p>
    <w:p w14:paraId="4D27F67C">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(五)对供应商采取不同的资格审查或者评审标准； </w:t>
      </w:r>
    </w:p>
    <w:p w14:paraId="329B2EF3">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(六)限定或者指定特定的专利、商标、品牌或者供应商； </w:t>
      </w:r>
    </w:p>
    <w:p w14:paraId="387949C5">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(七)非法限定供应商的所有制形式、组织形式或者所在地； </w:t>
      </w:r>
    </w:p>
    <w:p w14:paraId="1FC2A488">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(八)以其他不合理条件限制或者排斥潜在供应商。</w:t>
      </w:r>
    </w:p>
    <w:p w14:paraId="6CF9C0E5">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 xml:space="preserve">是否使用试剂耗材：□是      □否      </w:t>
      </w:r>
    </w:p>
    <w:p w14:paraId="3E5E7FDA">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 xml:space="preserve">产地： □国产  □进口       国产同类设备生产企业类型：   □大型企业    □中型企业及以下 </w:t>
      </w:r>
    </w:p>
    <w:p w14:paraId="5CD1AF6B">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是否属于强检设备：□是，首次计量鉴定由供应商负责      □否</w:t>
      </w:r>
    </w:p>
    <w:p w14:paraId="2D8EAA49">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是否需要场地改造：□无     □需要改造内容：</w:t>
      </w:r>
    </w:p>
    <w:p w14:paraId="66B95DBB">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p>
    <w:p w14:paraId="49CEE171">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申请科室负责人：</w:t>
      </w:r>
    </w:p>
    <w:p w14:paraId="203F9FEF">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p>
    <w:p w14:paraId="462689B5">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 xml:space="preserve">撰写人（初审）签字：                  复审签字：                 终审签字： </w:t>
      </w:r>
    </w:p>
    <w:p w14:paraId="165F111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p>
    <w:p w14:paraId="132DDEFD">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heme="minorEastAsia" w:hAnsiTheme="minorEastAsia" w:eastAsiaTheme="minorEastAsia" w:cstheme="minorEastAsia"/>
          <w:b/>
          <w:sz w:val="21"/>
          <w:szCs w:val="21"/>
          <w:lang w:val="en-US"/>
        </w:rPr>
      </w:pPr>
      <w:r>
        <w:rPr>
          <w:rFonts w:hint="eastAsia" w:asciiTheme="minorEastAsia" w:hAnsiTheme="minorEastAsia" w:eastAsiaTheme="minorEastAsia" w:cstheme="minorEastAsia"/>
          <w:b/>
          <w:sz w:val="21"/>
          <w:szCs w:val="21"/>
          <w:lang w:val="en-US" w:eastAsia="zh-CN"/>
        </w:rPr>
        <w:t xml:space="preserve">医工科负责人：                                                    时间：  </w:t>
      </w:r>
    </w:p>
    <w:p w14:paraId="423C9491">
      <w:pPr>
        <w:spacing w:line="440" w:lineRule="exact"/>
        <w:jc w:val="center"/>
        <w:rPr>
          <w:rFonts w:hint="eastAsia"/>
          <w:b/>
          <w:sz w:val="40"/>
          <w:szCs w:val="40"/>
        </w:rPr>
      </w:pPr>
    </w:p>
    <w:p w14:paraId="2738C292">
      <w:pPr>
        <w:spacing w:line="440" w:lineRule="exact"/>
        <w:jc w:val="center"/>
        <w:rPr>
          <w:rFonts w:hint="eastAsia"/>
          <w:b/>
          <w:sz w:val="40"/>
          <w:szCs w:val="40"/>
        </w:rPr>
      </w:pPr>
      <w:r>
        <w:rPr>
          <w:rFonts w:hint="eastAsia"/>
          <w:b/>
          <w:sz w:val="40"/>
          <w:szCs w:val="40"/>
        </w:rPr>
        <w:t>超净工作台技术参数要求</w:t>
      </w:r>
    </w:p>
    <w:p w14:paraId="75E5638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720" w:leftChars="0" w:hanging="720" w:firstLineChars="0"/>
        <w:textAlignment w:val="auto"/>
        <w:rPr>
          <w:rFonts w:hint="eastAsia"/>
          <w:sz w:val="30"/>
          <w:szCs w:val="30"/>
        </w:rPr>
      </w:pPr>
      <w:r>
        <w:rPr>
          <w:rFonts w:hint="default" w:ascii="Calibri" w:hAnsi="Calibri" w:eastAsia="宋体" w:cs="Times New Roman"/>
          <w:kern w:val="2"/>
          <w:sz w:val="30"/>
          <w:szCs w:val="30"/>
          <w:lang w:val="en-US" w:eastAsia="zh-CN" w:bidi="ar-SA"/>
        </w:rPr>
        <w:t>一．</w:t>
      </w:r>
      <w:r>
        <w:rPr>
          <w:rFonts w:hint="eastAsia"/>
          <w:sz w:val="30"/>
          <w:szCs w:val="30"/>
        </w:rPr>
        <w:t>规格参数要求：</w:t>
      </w:r>
    </w:p>
    <w:p w14:paraId="1164D9B6">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sz w:val="30"/>
          <w:szCs w:val="30"/>
          <w:lang w:val="en-US" w:eastAsia="zh-CN"/>
        </w:rPr>
      </w:pPr>
      <w:r>
        <w:rPr>
          <w:rFonts w:hint="eastAsia"/>
          <w:sz w:val="30"/>
          <w:szCs w:val="30"/>
          <w:lang w:val="en-US" w:eastAsia="zh-CN"/>
        </w:rPr>
        <w:t>双人单面垂直送风净化工作台</w:t>
      </w:r>
    </w:p>
    <w:p w14:paraId="6EEDE2C7">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洁净等级：100 级 @≥0.5μM</w:t>
      </w:r>
    </w:p>
    <w:p w14:paraId="55189BE5">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菌落数：≤0.5 个 / 皿・时</w:t>
      </w:r>
    </w:p>
    <w:p w14:paraId="4E1293A9">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平均风速：0.25～0.45m/s</w:t>
      </w:r>
    </w:p>
    <w:p w14:paraId="39B79223">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噪音：≤62dB（A）</w:t>
      </w:r>
    </w:p>
    <w:p w14:paraId="6478A70B">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照度：≥300Lx</w:t>
      </w:r>
    </w:p>
    <w:p w14:paraId="371588F3">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lang w:val="en-US" w:eastAsia="zh-CN"/>
        </w:rPr>
        <w:t>具有紫外消毒灯</w:t>
      </w:r>
    </w:p>
    <w:p w14:paraId="33BC0514">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lang w:val="en-US" w:eastAsia="zh-CN"/>
        </w:rPr>
        <w:t>具有高效过滤器</w:t>
      </w:r>
    </w:p>
    <w:p w14:paraId="54183DC7">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sz w:val="30"/>
          <w:szCs w:val="30"/>
          <w:lang w:val="en-US" w:eastAsia="zh-CN"/>
        </w:rPr>
      </w:pPr>
      <w:r>
        <w:rPr>
          <w:rFonts w:hint="eastAsia"/>
          <w:sz w:val="30"/>
          <w:szCs w:val="30"/>
        </w:rPr>
        <w:t>工作区尺寸（W1×D1×H1）：</w:t>
      </w:r>
      <w:r>
        <w:rPr>
          <w:rFonts w:hint="eastAsia"/>
          <w:sz w:val="30"/>
          <w:szCs w:val="30"/>
          <w:lang w:val="en-US" w:eastAsia="zh-CN"/>
        </w:rPr>
        <w:t>≥</w:t>
      </w:r>
      <w:r>
        <w:rPr>
          <w:rFonts w:hint="eastAsia"/>
          <w:sz w:val="30"/>
          <w:szCs w:val="30"/>
        </w:rPr>
        <w:t>1150</w:t>
      </w:r>
      <w:r>
        <w:rPr>
          <w:rFonts w:hint="eastAsia"/>
          <w:sz w:val="30"/>
          <w:szCs w:val="30"/>
          <w:lang w:val="en-US" w:eastAsia="zh-CN"/>
        </w:rPr>
        <w:t>mm</w:t>
      </w:r>
      <w:r>
        <w:rPr>
          <w:rFonts w:hint="eastAsia"/>
          <w:sz w:val="30"/>
          <w:szCs w:val="30"/>
        </w:rPr>
        <w:t>×550</w:t>
      </w:r>
      <w:r>
        <w:rPr>
          <w:rFonts w:hint="eastAsia"/>
          <w:sz w:val="30"/>
          <w:szCs w:val="30"/>
          <w:lang w:val="en-US" w:eastAsia="zh-CN"/>
        </w:rPr>
        <w:t>mm</w:t>
      </w:r>
      <w:r>
        <w:rPr>
          <w:rFonts w:hint="eastAsia"/>
          <w:sz w:val="30"/>
          <w:szCs w:val="30"/>
        </w:rPr>
        <w:t>×580</w:t>
      </w:r>
      <w:r>
        <w:rPr>
          <w:rFonts w:hint="eastAsia"/>
          <w:sz w:val="30"/>
          <w:szCs w:val="30"/>
          <w:lang w:val="en-US" w:eastAsia="zh-CN"/>
        </w:rPr>
        <w:t>mm</w:t>
      </w:r>
    </w:p>
    <w:p w14:paraId="4E8D6EB9">
      <w:pPr>
        <w:rPr>
          <w:rFonts w:hint="eastAsia"/>
          <w:lang w:val="en-US" w:eastAsia="zh-CN"/>
        </w:rPr>
      </w:pPr>
    </w:p>
    <w:p w14:paraId="06DE5A8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default" w:ascii="等线" w:hAnsi="等线" w:eastAsia="等线" w:cs="等线"/>
          <w:lang w:val="en-US" w:eastAsia="zh-CN"/>
        </w:rPr>
      </w:pPr>
    </w:p>
    <w:p w14:paraId="1A84F74F">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思源黑体 Normal" w:hAnsi="思源黑体 Normal" w:eastAsia="思源黑体 Normal" w:cs="Arial"/>
          <w:b/>
          <w:bCs/>
          <w:color w:val="auto"/>
          <w:kern w:val="0"/>
          <w:sz w:val="18"/>
          <w:szCs w:val="18"/>
          <w:lang w:val="en-US" w:eastAsia="zh-CN"/>
        </w:rPr>
      </w:pPr>
    </w:p>
    <w:p w14:paraId="74B1DEF5">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思源黑体 Normal" w:hAnsi="思源黑体 Normal" w:eastAsia="思源黑体 Normal" w:cs="Arial"/>
          <w:b/>
          <w:bCs/>
          <w:color w:val="auto"/>
          <w:kern w:val="0"/>
          <w:sz w:val="18"/>
          <w:szCs w:val="18"/>
          <w:lang w:val="en-US" w:eastAsia="zh-CN"/>
        </w:rPr>
      </w:pPr>
      <w:bookmarkStart w:id="0" w:name="_GoBack"/>
      <w:bookmarkEnd w:id="0"/>
    </w:p>
    <w:p w14:paraId="16E594E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720" w:leftChars="0" w:hanging="720" w:firstLineChars="0"/>
        <w:textAlignment w:val="auto"/>
        <w:rPr>
          <w:rFonts w:hint="eastAsia"/>
          <w:sz w:val="30"/>
          <w:szCs w:val="30"/>
        </w:rPr>
      </w:pPr>
      <w:r>
        <w:rPr>
          <w:rFonts w:hint="eastAsia" w:cs="Times New Roman"/>
          <w:kern w:val="2"/>
          <w:sz w:val="30"/>
          <w:szCs w:val="30"/>
          <w:lang w:val="en-US" w:eastAsia="zh-CN" w:bidi="ar-SA"/>
        </w:rPr>
        <w:t>二</w:t>
      </w:r>
      <w:r>
        <w:rPr>
          <w:rFonts w:hint="default" w:ascii="Calibri" w:hAnsi="Calibri" w:eastAsia="宋体" w:cs="Times New Roman"/>
          <w:kern w:val="2"/>
          <w:sz w:val="30"/>
          <w:szCs w:val="30"/>
          <w:lang w:val="en-US" w:eastAsia="zh-CN" w:bidi="ar-SA"/>
        </w:rPr>
        <w:t>．</w:t>
      </w:r>
      <w:r>
        <w:rPr>
          <w:rFonts w:hint="eastAsia"/>
          <w:sz w:val="30"/>
          <w:szCs w:val="30"/>
        </w:rPr>
        <w:t>其他技术性要求：</w:t>
      </w:r>
    </w:p>
    <w:p w14:paraId="69C7208C">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负责设备的安装、调试、培训等工作。</w:t>
      </w:r>
    </w:p>
    <w:p w14:paraId="3262FACA">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lang w:val="en-US" w:eastAsia="zh-CN"/>
        </w:rPr>
        <w:t>须列出所有设备易损件清单及价格。</w:t>
      </w:r>
    </w:p>
    <w:p w14:paraId="69D75918">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lang w:val="en-US" w:eastAsia="zh-CN"/>
        </w:rPr>
        <w:t>须列出所有设备维保服务类型及价格。</w:t>
      </w:r>
    </w:p>
    <w:p w14:paraId="234948B0">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如标配中含有打印机的，要求配置医院现有品牌（所用耗材需与医院现有耗材一致）。</w:t>
      </w:r>
    </w:p>
    <w:p w14:paraId="6A0B6473">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sz w:val="30"/>
          <w:szCs w:val="30"/>
        </w:rPr>
      </w:pPr>
      <w:r>
        <w:rPr>
          <w:rFonts w:hint="eastAsia"/>
          <w:sz w:val="30"/>
          <w:szCs w:val="30"/>
        </w:rPr>
        <w:t>如具有数据存储功能，产生信息数据的设备必须终生免费开放各类数据接口，包含但不限于DICOM、WEBservice等数据接口格式，以保证与我院现有信息系统的数据对接。</w:t>
      </w:r>
    </w:p>
    <w:p w14:paraId="302EB744">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 xml:space="preserve">如具备工作站或相关操作系统，厂商应具备系统接口定制化开发能力，并免费完成我院信息化接口开发、测试及对接上线，包含但不限于HIS、LIS、PACS、CA数字签名、无纸化归档、专科应用系统等医院生产系统接口开发。新增数据接口应完全满足医院信息化业务流程需求。 </w:t>
      </w:r>
    </w:p>
    <w:p w14:paraId="50E7791E">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如</w:t>
      </w:r>
      <w:r>
        <w:rPr>
          <w:sz w:val="30"/>
          <w:szCs w:val="30"/>
        </w:rPr>
        <w:t>具有</w:t>
      </w:r>
      <w:r>
        <w:rPr>
          <w:rFonts w:hint="eastAsia"/>
          <w:sz w:val="30"/>
          <w:szCs w:val="30"/>
        </w:rPr>
        <w:t>工作站或相关</w:t>
      </w:r>
      <w:r>
        <w:rPr>
          <w:sz w:val="30"/>
          <w:szCs w:val="30"/>
        </w:rPr>
        <w:t>操作</w:t>
      </w:r>
      <w:r>
        <w:rPr>
          <w:rFonts w:hint="eastAsia"/>
          <w:sz w:val="30"/>
          <w:szCs w:val="30"/>
        </w:rPr>
        <w:t>系统，其中</w:t>
      </w:r>
      <w:r>
        <w:rPr>
          <w:sz w:val="30"/>
          <w:szCs w:val="30"/>
        </w:rPr>
        <w:t>包</w:t>
      </w:r>
      <w:r>
        <w:rPr>
          <w:rFonts w:hint="eastAsia"/>
          <w:sz w:val="30"/>
          <w:szCs w:val="30"/>
        </w:rPr>
        <w:t xml:space="preserve">含的所有软件，无年度维护费用；软件中涉及到存储病人就诊信息的，无单独就诊卡或芯片类存储介质。 </w:t>
      </w:r>
    </w:p>
    <w:p w14:paraId="51FA2A02">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自验收合格之日起计保修期，提供整机（包含附件，如稳压电源、脚踏、推车等）原厂保修服务≥</w:t>
      </w:r>
      <w:r>
        <w:rPr>
          <w:sz w:val="30"/>
          <w:szCs w:val="30"/>
        </w:rPr>
        <w:t>3</w:t>
      </w:r>
      <w:r>
        <w:rPr>
          <w:rFonts w:hint="eastAsia"/>
          <w:sz w:val="30"/>
          <w:szCs w:val="30"/>
        </w:rPr>
        <w:t>年，承担保修期内设备任何故障产生的费用。</w:t>
      </w:r>
    </w:p>
    <w:p w14:paraId="7E642DE0">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保修期内每季度定期由专业工程师对设备进行巡检，并出具相应工单交使用科室及医学工程科备案。</w:t>
      </w:r>
    </w:p>
    <w:sectPr>
      <w:headerReference r:id="rId5" w:type="first"/>
      <w:footerReference r:id="rId8" w:type="first"/>
      <w:headerReference r:id="rId3" w:type="default"/>
      <w:footerReference r:id="rId6" w:type="default"/>
      <w:headerReference r:id="rId4" w:type="even"/>
      <w:footerReference r:id="rId7" w:type="even"/>
      <w:pgSz w:w="11906" w:h="16838"/>
      <w:pgMar w:top="851" w:right="1133" w:bottom="1276" w:left="1134" w:header="851" w:footer="386"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思源黑体 Normal">
    <w:altName w:val="微软雅黑"/>
    <w:panose1 w:val="020B0400000000000000"/>
    <w:charset w:val="86"/>
    <w:family w:val="swiss"/>
    <w:pitch w:val="default"/>
    <w:sig w:usb0="00000000" w:usb1="00000000" w:usb2="00000016" w:usb3="00000000" w:csb0="002E0107" w:csb1="00000000"/>
  </w:font>
  <w:font w:name="Meiryo">
    <w:panose1 w:val="020B0604030504040204"/>
    <w:charset w:val="80"/>
    <w:family w:val="auto"/>
    <w:pitch w:val="default"/>
    <w:sig w:usb0="E10102FF" w:usb1="EAC7FFFF" w:usb2="00010012" w:usb3="00000000" w:csb0="6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3EC2B0">
    <w:pPr>
      <w:pStyle w:val="3"/>
      <w:pBdr>
        <w:top w:val="single" w:color="auto" w:sz="4" w:space="1"/>
      </w:pBdr>
      <w:rPr>
        <w:sz w:val="28"/>
        <w:szCs w:val="28"/>
      </w:rPr>
    </w:pPr>
    <w:r>
      <w:rPr>
        <w:rFonts w:hint="eastAsia"/>
        <w:sz w:val="28"/>
        <w:szCs w:val="28"/>
        <w:lang w:val="en-US" w:eastAsia="zh-CN"/>
      </w:rPr>
      <w:t xml:space="preserve">         </w:t>
    </w:r>
    <w:r>
      <w:rPr>
        <w:rFonts w:hint="eastAsia"/>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1EDE82">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1FE238">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0CBEFF">
    <w:pPr>
      <w:pStyle w:val="4"/>
      <w:jc w:val="both"/>
      <w:rPr>
        <w:rFonts w:hint="default" w:eastAsia="宋体"/>
        <w:sz w:val="28"/>
        <w:szCs w:val="28"/>
        <w:lang w:val="en-US" w:eastAsia="zh-CN"/>
      </w:rPr>
    </w:pPr>
    <w:r>
      <w:rPr>
        <w:rFonts w:hint="eastAsia"/>
        <w:sz w:val="28"/>
        <w:szCs w:val="28"/>
      </w:rPr>
      <w:t>申请科室：</w:t>
    </w:r>
    <w:r>
      <w:rPr>
        <w:rFonts w:hint="eastAsia"/>
        <w:sz w:val="28"/>
        <w:szCs w:val="28"/>
        <w:lang w:val="en-US" w:eastAsia="zh-CN"/>
      </w:rPr>
      <w:t>王增亮</w:t>
    </w:r>
    <w:r>
      <w:rPr>
        <w:rFonts w:hint="eastAsia"/>
        <w:sz w:val="28"/>
        <w:szCs w:val="28"/>
      </w:rPr>
      <w:t xml:space="preserve"> </w:t>
    </w:r>
    <w:r>
      <w:rPr>
        <w:rFonts w:hint="eastAsia"/>
        <w:sz w:val="28"/>
        <w:szCs w:val="28"/>
        <w:lang w:val="en-US" w:eastAsia="zh-CN"/>
      </w:rPr>
      <w:t xml:space="preserve">        </w:t>
    </w:r>
    <w:r>
      <w:rPr>
        <w:rFonts w:hint="eastAsia"/>
        <w:sz w:val="28"/>
        <w:szCs w:val="28"/>
      </w:rPr>
      <w:t xml:space="preserve"> 报告号：sb2025105</w:t>
    </w:r>
    <w:r>
      <w:rPr>
        <w:rFonts w:hint="eastAsia"/>
        <w:sz w:val="28"/>
        <w:szCs w:val="28"/>
        <w:lang w:val="en-US" w:eastAsia="zh-CN"/>
      </w:rPr>
      <w:t xml:space="preserve">              数量：1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617AC2">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524354">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D3E833"/>
    <w:multiLevelType w:val="multilevel"/>
    <w:tmpl w:val="3ED3E833"/>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5764680D"/>
    <w:multiLevelType w:val="multilevel"/>
    <w:tmpl w:val="5764680D"/>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bordersDoNotSurroundHeader w:val="0"/>
  <w:bordersDoNotSurroundFooter w:val="0"/>
  <w:documentProtection w:enforcement="0"/>
  <w:defaultTabStop w:val="21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Y2ODJiYjExMjJlZWU1Y2Y1M2EzOThjZWQxZDU5ZTYifQ=="/>
  </w:docVars>
  <w:rsids>
    <w:rsidRoot w:val="00983A88"/>
    <w:rsid w:val="000013A3"/>
    <w:rsid w:val="000218BB"/>
    <w:rsid w:val="00030065"/>
    <w:rsid w:val="00032C50"/>
    <w:rsid w:val="00032E66"/>
    <w:rsid w:val="00063780"/>
    <w:rsid w:val="00097B6E"/>
    <w:rsid w:val="000A1F80"/>
    <w:rsid w:val="000E3FCE"/>
    <w:rsid w:val="000E5040"/>
    <w:rsid w:val="000F0F3A"/>
    <w:rsid w:val="000F5C24"/>
    <w:rsid w:val="00117B31"/>
    <w:rsid w:val="00120A49"/>
    <w:rsid w:val="00125A0E"/>
    <w:rsid w:val="00131432"/>
    <w:rsid w:val="00137280"/>
    <w:rsid w:val="00145EBB"/>
    <w:rsid w:val="00146F35"/>
    <w:rsid w:val="00167619"/>
    <w:rsid w:val="001737A7"/>
    <w:rsid w:val="001C478F"/>
    <w:rsid w:val="001E3423"/>
    <w:rsid w:val="001E572D"/>
    <w:rsid w:val="001E60AC"/>
    <w:rsid w:val="00214EAA"/>
    <w:rsid w:val="00223538"/>
    <w:rsid w:val="0022424E"/>
    <w:rsid w:val="00226737"/>
    <w:rsid w:val="00233865"/>
    <w:rsid w:val="00241465"/>
    <w:rsid w:val="00281266"/>
    <w:rsid w:val="00281880"/>
    <w:rsid w:val="00281ED0"/>
    <w:rsid w:val="00282325"/>
    <w:rsid w:val="002963A0"/>
    <w:rsid w:val="002A1976"/>
    <w:rsid w:val="002C6D16"/>
    <w:rsid w:val="002D7A76"/>
    <w:rsid w:val="002E1D80"/>
    <w:rsid w:val="0030161B"/>
    <w:rsid w:val="00314D26"/>
    <w:rsid w:val="00320A51"/>
    <w:rsid w:val="00340970"/>
    <w:rsid w:val="00356F2D"/>
    <w:rsid w:val="00365A92"/>
    <w:rsid w:val="003864F0"/>
    <w:rsid w:val="003A74D9"/>
    <w:rsid w:val="003B42B5"/>
    <w:rsid w:val="003B7781"/>
    <w:rsid w:val="003C16C8"/>
    <w:rsid w:val="003D24CC"/>
    <w:rsid w:val="003F38DB"/>
    <w:rsid w:val="003F3B63"/>
    <w:rsid w:val="00406D11"/>
    <w:rsid w:val="00423FCF"/>
    <w:rsid w:val="004433AC"/>
    <w:rsid w:val="004459DF"/>
    <w:rsid w:val="00495171"/>
    <w:rsid w:val="004A13E1"/>
    <w:rsid w:val="004A3ADB"/>
    <w:rsid w:val="004B4723"/>
    <w:rsid w:val="004F495D"/>
    <w:rsid w:val="004F70B4"/>
    <w:rsid w:val="00517DA4"/>
    <w:rsid w:val="00520C0E"/>
    <w:rsid w:val="00571927"/>
    <w:rsid w:val="005A72ED"/>
    <w:rsid w:val="005B0167"/>
    <w:rsid w:val="005C3110"/>
    <w:rsid w:val="005D1B3F"/>
    <w:rsid w:val="005E0501"/>
    <w:rsid w:val="005E6D7F"/>
    <w:rsid w:val="0064582B"/>
    <w:rsid w:val="00655F02"/>
    <w:rsid w:val="00656DB1"/>
    <w:rsid w:val="00657BC3"/>
    <w:rsid w:val="00661854"/>
    <w:rsid w:val="00666486"/>
    <w:rsid w:val="00691A30"/>
    <w:rsid w:val="00692EC4"/>
    <w:rsid w:val="006C1ACA"/>
    <w:rsid w:val="006C7C20"/>
    <w:rsid w:val="006D632F"/>
    <w:rsid w:val="00700184"/>
    <w:rsid w:val="00702D7F"/>
    <w:rsid w:val="00704893"/>
    <w:rsid w:val="00706DB5"/>
    <w:rsid w:val="00743B8A"/>
    <w:rsid w:val="00756CA8"/>
    <w:rsid w:val="007675E4"/>
    <w:rsid w:val="0077126F"/>
    <w:rsid w:val="007731FF"/>
    <w:rsid w:val="00777ECE"/>
    <w:rsid w:val="007A4518"/>
    <w:rsid w:val="007B5959"/>
    <w:rsid w:val="007D4F0B"/>
    <w:rsid w:val="007E7D46"/>
    <w:rsid w:val="008111F7"/>
    <w:rsid w:val="00825615"/>
    <w:rsid w:val="00876145"/>
    <w:rsid w:val="008804F9"/>
    <w:rsid w:val="00892F2F"/>
    <w:rsid w:val="008937DC"/>
    <w:rsid w:val="00895390"/>
    <w:rsid w:val="008B7B6E"/>
    <w:rsid w:val="008C70C8"/>
    <w:rsid w:val="008D3F72"/>
    <w:rsid w:val="00935524"/>
    <w:rsid w:val="009665E0"/>
    <w:rsid w:val="00983301"/>
    <w:rsid w:val="00983A88"/>
    <w:rsid w:val="009946DF"/>
    <w:rsid w:val="009B6278"/>
    <w:rsid w:val="009E0823"/>
    <w:rsid w:val="009E1380"/>
    <w:rsid w:val="009E1E7A"/>
    <w:rsid w:val="009E346E"/>
    <w:rsid w:val="009F2B03"/>
    <w:rsid w:val="009F4C17"/>
    <w:rsid w:val="009F74CF"/>
    <w:rsid w:val="00A00979"/>
    <w:rsid w:val="00A11936"/>
    <w:rsid w:val="00A12844"/>
    <w:rsid w:val="00A26CA6"/>
    <w:rsid w:val="00A701DA"/>
    <w:rsid w:val="00A77A22"/>
    <w:rsid w:val="00A876CC"/>
    <w:rsid w:val="00A922DC"/>
    <w:rsid w:val="00A95BC2"/>
    <w:rsid w:val="00AA051B"/>
    <w:rsid w:val="00AB403E"/>
    <w:rsid w:val="00AE2F13"/>
    <w:rsid w:val="00AE4794"/>
    <w:rsid w:val="00B0609D"/>
    <w:rsid w:val="00B17F52"/>
    <w:rsid w:val="00B378F0"/>
    <w:rsid w:val="00B40FA2"/>
    <w:rsid w:val="00B51305"/>
    <w:rsid w:val="00B55AC0"/>
    <w:rsid w:val="00B67644"/>
    <w:rsid w:val="00B823EB"/>
    <w:rsid w:val="00B90F17"/>
    <w:rsid w:val="00B9142C"/>
    <w:rsid w:val="00B93FA5"/>
    <w:rsid w:val="00BA55AE"/>
    <w:rsid w:val="00BF2412"/>
    <w:rsid w:val="00BF6288"/>
    <w:rsid w:val="00C060C1"/>
    <w:rsid w:val="00C12F02"/>
    <w:rsid w:val="00C35E5A"/>
    <w:rsid w:val="00C36A75"/>
    <w:rsid w:val="00C41723"/>
    <w:rsid w:val="00C41DC4"/>
    <w:rsid w:val="00C4608A"/>
    <w:rsid w:val="00C533A9"/>
    <w:rsid w:val="00C53D67"/>
    <w:rsid w:val="00C657A1"/>
    <w:rsid w:val="00C776E0"/>
    <w:rsid w:val="00C81744"/>
    <w:rsid w:val="00C821A3"/>
    <w:rsid w:val="00CA7E4C"/>
    <w:rsid w:val="00CE541F"/>
    <w:rsid w:val="00D04C83"/>
    <w:rsid w:val="00D222EA"/>
    <w:rsid w:val="00D313FF"/>
    <w:rsid w:val="00D33197"/>
    <w:rsid w:val="00D40C9A"/>
    <w:rsid w:val="00D42539"/>
    <w:rsid w:val="00D511FE"/>
    <w:rsid w:val="00DA28FE"/>
    <w:rsid w:val="00DA5730"/>
    <w:rsid w:val="00DD2F26"/>
    <w:rsid w:val="00DD43A2"/>
    <w:rsid w:val="00DD49B1"/>
    <w:rsid w:val="00DD6136"/>
    <w:rsid w:val="00DD76A4"/>
    <w:rsid w:val="00DD7A37"/>
    <w:rsid w:val="00E02B2F"/>
    <w:rsid w:val="00E04962"/>
    <w:rsid w:val="00E12790"/>
    <w:rsid w:val="00E27F30"/>
    <w:rsid w:val="00E42431"/>
    <w:rsid w:val="00E6539E"/>
    <w:rsid w:val="00E87352"/>
    <w:rsid w:val="00EA0F8F"/>
    <w:rsid w:val="00EB7629"/>
    <w:rsid w:val="00ED1DED"/>
    <w:rsid w:val="00EE4B11"/>
    <w:rsid w:val="00EF6B35"/>
    <w:rsid w:val="00F05580"/>
    <w:rsid w:val="00F10B13"/>
    <w:rsid w:val="00F12960"/>
    <w:rsid w:val="00F17D67"/>
    <w:rsid w:val="00F32392"/>
    <w:rsid w:val="00F34471"/>
    <w:rsid w:val="00F82B75"/>
    <w:rsid w:val="00FA7D59"/>
    <w:rsid w:val="00FB1E84"/>
    <w:rsid w:val="00FC1553"/>
    <w:rsid w:val="00FC3CA1"/>
    <w:rsid w:val="00FD2EC0"/>
    <w:rsid w:val="00FD36B4"/>
    <w:rsid w:val="00FD3F21"/>
    <w:rsid w:val="00FD500E"/>
    <w:rsid w:val="00FE24F5"/>
    <w:rsid w:val="023652F8"/>
    <w:rsid w:val="0BA324F6"/>
    <w:rsid w:val="0DE9270E"/>
    <w:rsid w:val="0EAA135B"/>
    <w:rsid w:val="1C4D317B"/>
    <w:rsid w:val="26A04B3E"/>
    <w:rsid w:val="27AB42A3"/>
    <w:rsid w:val="32B86FDC"/>
    <w:rsid w:val="34916BF9"/>
    <w:rsid w:val="37312289"/>
    <w:rsid w:val="39581647"/>
    <w:rsid w:val="3B171863"/>
    <w:rsid w:val="43E84E95"/>
    <w:rsid w:val="50110C94"/>
    <w:rsid w:val="52147831"/>
    <w:rsid w:val="53F02B45"/>
    <w:rsid w:val="555624E0"/>
    <w:rsid w:val="56310C61"/>
    <w:rsid w:val="56796D20"/>
    <w:rsid w:val="62075C87"/>
    <w:rsid w:val="68561868"/>
    <w:rsid w:val="76AF1A14"/>
    <w:rsid w:val="7753740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qFormat="1"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qFormat="1"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qFormat="1"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qFormat="1"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qFormat="1"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2">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14"/>
    <w:unhideWhenUsed/>
    <w:qFormat/>
    <w:uiPriority w:val="99"/>
    <w:rPr>
      <w:sz w:val="18"/>
      <w:szCs w:val="18"/>
    </w:rPr>
  </w:style>
  <w:style w:type="paragraph" w:styleId="3">
    <w:name w:val="footer"/>
    <w:basedOn w:val="1"/>
    <w:link w:val="15"/>
    <w:unhideWhenUsed/>
    <w:qFormat/>
    <w:uiPriority w:val="99"/>
    <w:pPr>
      <w:tabs>
        <w:tab w:val="center" w:pos="4153"/>
        <w:tab w:val="right" w:pos="8306"/>
      </w:tabs>
      <w:snapToGrid w:val="0"/>
      <w:jc w:val="left"/>
    </w:pPr>
    <w:rPr>
      <w:sz w:val="18"/>
      <w:szCs w:val="18"/>
    </w:rPr>
  </w:style>
  <w:style w:type="paragraph" w:styleId="4">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7">
    <w:name w:val="Light Shading"/>
    <w:basedOn w:val="5"/>
    <w:qFormat/>
    <w:uiPriority w:val="60"/>
    <w:rPr>
      <w:color w:val="000000"/>
    </w:rPr>
    <w:tblPr>
      <w:tblBorders>
        <w:top w:val="single" w:color="000000" w:sz="8" w:space="0"/>
        <w:bottom w:val="single" w:color="000000" w:sz="8" w:space="0"/>
      </w:tblBorders>
    </w:tblPr>
    <w:tblStylePr w:type="firstRow">
      <w:pPr>
        <w:spacing w:before="0" w:after="0" w:line="240" w:lineRule="auto"/>
      </w:pPr>
      <w:rPr>
        <w:b/>
        <w:bCs/>
      </w:rPr>
      <w:tblPr/>
      <w:tcPr>
        <w:tcBorders>
          <w:top w:val="single" w:color="000000" w:sz="8" w:space="0"/>
          <w:left w:val="single" w:color="000000"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styleId="8">
    <w:name w:val="Light Shading Accent 2"/>
    <w:basedOn w:val="5"/>
    <w:qFormat/>
    <w:uiPriority w:val="60"/>
    <w:rPr>
      <w:color w:val="943634"/>
    </w:rPr>
    <w:tblPr>
      <w:tblBorders>
        <w:top w:val="single" w:color="C0504D" w:sz="8" w:space="0"/>
        <w:bottom w:val="single" w:color="C0504D" w:sz="8" w:space="0"/>
      </w:tblBorders>
    </w:tblPr>
    <w:tblStylePr w:type="firstRow">
      <w:pPr>
        <w:spacing w:before="0" w:after="0" w:line="240" w:lineRule="auto"/>
      </w:pPr>
      <w:rPr>
        <w:b/>
        <w:bCs/>
      </w:rPr>
      <w:tblPr/>
      <w:tcPr>
        <w:tcBorders>
          <w:top w:val="single" w:color="C0504D" w:sz="8" w:space="0"/>
          <w:left w:val="single" w:color="C0504D"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C0504D" w:sz="8" w:space="0"/>
          <w:left w:val="single" w:color="C0504D"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FD3D2"/>
      </w:tcPr>
    </w:tblStylePr>
    <w:tblStylePr w:type="band1Horz">
      <w:tblPr/>
      <w:tcPr>
        <w:tcBorders>
          <w:top w:val="nil"/>
          <w:left w:val="nil"/>
          <w:bottom w:val="nil"/>
          <w:right w:val="nil"/>
          <w:insideH w:val="nil"/>
          <w:insideV w:val="nil"/>
          <w:tl2br w:val="nil"/>
          <w:tr2bl w:val="nil"/>
        </w:tcBorders>
        <w:shd w:val="clear" w:color="auto" w:fill="EFD3D2"/>
      </w:tcPr>
    </w:tblStylePr>
  </w:style>
  <w:style w:type="table" w:styleId="9">
    <w:name w:val="Light Shading Accent 3"/>
    <w:basedOn w:val="5"/>
    <w:qFormat/>
    <w:uiPriority w:val="60"/>
    <w:rPr>
      <w:color w:val="76923C"/>
    </w:rPr>
    <w:tblPr>
      <w:tblBorders>
        <w:top w:val="single" w:color="9BBB59" w:sz="8" w:space="0"/>
        <w:bottom w:val="single" w:color="9BBB59" w:sz="8" w:space="0"/>
      </w:tblBorders>
    </w:tblPr>
    <w:tblStylePr w:type="firstRow">
      <w:pPr>
        <w:spacing w:before="0" w:after="0" w:line="240" w:lineRule="auto"/>
      </w:pPr>
      <w:rPr>
        <w:b/>
        <w:bCs/>
      </w:rPr>
      <w:tblPr/>
      <w:tcPr>
        <w:tcBorders>
          <w:top w:val="single" w:color="9BBB59" w:sz="8" w:space="0"/>
          <w:left w:val="single" w:color="9BBB59"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9BBB59" w:sz="8" w:space="0"/>
          <w:left w:val="single" w:color="9BBB59"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6EED5"/>
      </w:tcPr>
    </w:tblStylePr>
    <w:tblStylePr w:type="band1Horz">
      <w:tblPr/>
      <w:tcPr>
        <w:tcBorders>
          <w:top w:val="nil"/>
          <w:left w:val="nil"/>
          <w:bottom w:val="nil"/>
          <w:right w:val="nil"/>
          <w:insideH w:val="nil"/>
          <w:insideV w:val="nil"/>
          <w:tl2br w:val="nil"/>
          <w:tr2bl w:val="nil"/>
        </w:tcBorders>
        <w:shd w:val="clear" w:color="auto" w:fill="E6EED5"/>
      </w:tcPr>
    </w:tblStylePr>
  </w:style>
  <w:style w:type="table" w:styleId="10">
    <w:name w:val="Light Shading Accent 4"/>
    <w:basedOn w:val="5"/>
    <w:qFormat/>
    <w:uiPriority w:val="60"/>
    <w:rPr>
      <w:color w:val="5F497A"/>
    </w:rPr>
    <w:tblPr>
      <w:tblBorders>
        <w:top w:val="single" w:color="8064A2" w:sz="8" w:space="0"/>
        <w:bottom w:val="single" w:color="8064A2" w:sz="8" w:space="0"/>
      </w:tblBorders>
    </w:tblPr>
    <w:tblStylePr w:type="firstRow">
      <w:pPr>
        <w:spacing w:before="0" w:after="0" w:line="240" w:lineRule="auto"/>
      </w:pPr>
      <w:rPr>
        <w:b/>
        <w:bCs/>
      </w:rPr>
      <w:tblPr/>
      <w:tcPr>
        <w:tcBorders>
          <w:top w:val="single" w:color="8064A2" w:sz="8" w:space="0"/>
          <w:left w:val="single" w:color="8064A2"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8064A2" w:sz="8" w:space="0"/>
          <w:left w:val="single" w:color="8064A2"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FD8E8"/>
      </w:tcPr>
    </w:tblStylePr>
    <w:tblStylePr w:type="band1Horz">
      <w:tblPr/>
      <w:tcPr>
        <w:tcBorders>
          <w:top w:val="nil"/>
          <w:left w:val="nil"/>
          <w:bottom w:val="nil"/>
          <w:right w:val="nil"/>
          <w:insideH w:val="nil"/>
          <w:insideV w:val="nil"/>
          <w:tl2br w:val="nil"/>
          <w:tr2bl w:val="nil"/>
        </w:tcBorders>
        <w:shd w:val="clear" w:color="auto" w:fill="DFD8E8"/>
      </w:tcPr>
    </w:tblStylePr>
  </w:style>
  <w:style w:type="table" w:styleId="11">
    <w:name w:val="Light Shading Accent 5"/>
    <w:basedOn w:val="5"/>
    <w:qFormat/>
    <w:uiPriority w:val="60"/>
    <w:rPr>
      <w:color w:val="31849B"/>
    </w:rPr>
    <w:tblPr>
      <w:tblBorders>
        <w:top w:val="single" w:color="4BACC6" w:sz="8" w:space="0"/>
        <w:bottom w:val="single" w:color="4BACC6" w:sz="8" w:space="0"/>
      </w:tblBorders>
    </w:tblPr>
    <w:tblStylePr w:type="firstRow">
      <w:pPr>
        <w:spacing w:before="0" w:after="0" w:line="240" w:lineRule="auto"/>
      </w:pPr>
      <w:rPr>
        <w:b/>
        <w:bCs/>
      </w:rPr>
      <w:tblPr/>
      <w:tcPr>
        <w:tcBorders>
          <w:top w:val="single" w:color="4BACC6" w:sz="8" w:space="0"/>
          <w:left w:val="single" w:color="4BACC6"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4BACC6" w:sz="8" w:space="0"/>
          <w:left w:val="single" w:color="4BACC6"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2EAF1"/>
      </w:tcPr>
    </w:tblStylePr>
    <w:tblStylePr w:type="band1Horz">
      <w:tblPr/>
      <w:tcPr>
        <w:tcBorders>
          <w:top w:val="nil"/>
          <w:left w:val="nil"/>
          <w:bottom w:val="nil"/>
          <w:right w:val="nil"/>
          <w:insideH w:val="nil"/>
          <w:insideV w:val="nil"/>
          <w:tl2br w:val="nil"/>
          <w:tr2bl w:val="nil"/>
        </w:tcBorders>
        <w:shd w:val="clear" w:color="auto" w:fill="D2EAF1"/>
      </w:tcPr>
    </w:tblStylePr>
  </w:style>
  <w:style w:type="character" w:styleId="13">
    <w:name w:val="Strong"/>
    <w:qFormat/>
    <w:uiPriority w:val="22"/>
    <w:rPr>
      <w:b/>
      <w:bCs/>
    </w:rPr>
  </w:style>
  <w:style w:type="character" w:customStyle="1" w:styleId="14">
    <w:name w:val="批注框文本 Char"/>
    <w:link w:val="2"/>
    <w:semiHidden/>
    <w:qFormat/>
    <w:uiPriority w:val="99"/>
    <w:rPr>
      <w:kern w:val="2"/>
      <w:sz w:val="18"/>
      <w:szCs w:val="18"/>
    </w:rPr>
  </w:style>
  <w:style w:type="character" w:customStyle="1" w:styleId="15">
    <w:name w:val="页脚 Char"/>
    <w:link w:val="3"/>
    <w:qFormat/>
    <w:uiPriority w:val="99"/>
    <w:rPr>
      <w:kern w:val="2"/>
      <w:sz w:val="18"/>
      <w:szCs w:val="18"/>
    </w:rPr>
  </w:style>
  <w:style w:type="character" w:customStyle="1" w:styleId="16">
    <w:name w:val="页眉 Char"/>
    <w:link w:val="4"/>
    <w:qFormat/>
    <w:uiPriority w:val="99"/>
    <w:rPr>
      <w:kern w:val="2"/>
      <w:sz w:val="18"/>
      <w:szCs w:val="18"/>
    </w:rPr>
  </w:style>
  <w:style w:type="table" w:customStyle="1" w:styleId="17">
    <w:name w:val="浅色底纹 - 强调文字颜色 11"/>
    <w:basedOn w:val="5"/>
    <w:qFormat/>
    <w:uiPriority w:val="60"/>
    <w:rPr>
      <w:color w:val="365F91"/>
    </w:rPr>
    <w:tblPr>
      <w:tblBorders>
        <w:top w:val="single" w:color="4F81BD" w:sz="8" w:space="0"/>
        <w:bottom w:val="single" w:color="4F81BD" w:sz="8" w:space="0"/>
      </w:tblBorders>
    </w:tblPr>
    <w:tblStylePr w:type="firstRow">
      <w:pPr>
        <w:spacing w:before="0" w:after="0" w:line="240" w:lineRule="auto"/>
      </w:pPr>
      <w:rPr>
        <w:b/>
        <w:bCs/>
      </w:rPr>
      <w:tcPr>
        <w:tcBorders>
          <w:top w:val="single" w:color="4F81BD" w:sz="8" w:space="0"/>
          <w:left w:val="single" w:color="4F81BD" w:sz="8" w:space="0"/>
          <w:bottom w:val="nil"/>
          <w:right w:val="nil"/>
          <w:insideH w:val="nil"/>
          <w:insideV w:val="nil"/>
          <w:tl2br w:val="nil"/>
          <w:tr2bl w:val="nil"/>
        </w:tcBorders>
      </w:tcPr>
    </w:tblStylePr>
    <w:tblStylePr w:type="lastRow">
      <w:pPr>
        <w:spacing w:before="0" w:after="0" w:line="240" w:lineRule="auto"/>
      </w:pPr>
      <w:rPr>
        <w:b/>
        <w:bCs/>
      </w:rPr>
      <w:tcPr>
        <w:tcBorders>
          <w:top w:val="single" w:color="4F81BD" w:sz="8" w:space="0"/>
          <w:left w:val="single" w:color="4F81BD"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D3DFEE"/>
      </w:tcPr>
    </w:tblStylePr>
    <w:tblStylePr w:type="band1Horz">
      <w:tcPr>
        <w:tcBorders>
          <w:top w:val="nil"/>
          <w:left w:val="nil"/>
          <w:bottom w:val="nil"/>
          <w:right w:val="nil"/>
          <w:insideH w:val="nil"/>
          <w:insideV w:val="nil"/>
          <w:tl2br w:val="nil"/>
          <w:tr2bl w:val="nil"/>
        </w:tcBorders>
        <w:shd w:val="clear" w:color="auto" w:fill="D3DFEE"/>
      </w:tcPr>
    </w:tblStylePr>
  </w:style>
  <w:style w:type="paragraph" w:styleId="1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1007</Words>
  <Characters>1068</Characters>
  <Lines>4</Lines>
  <Paragraphs>1</Paragraphs>
  <TotalTime>1</TotalTime>
  <ScaleCrop>false</ScaleCrop>
  <LinksUpToDate>false</LinksUpToDate>
  <CharactersWithSpaces>1214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2014-01-03T03:46:00Z</dcterms:created>
  <dc:creator>柳洋</dc:creator>
  <cp:lastModifiedBy>阳光灿烂</cp:lastModifiedBy>
  <cp:lastPrinted>2024-12-20T03:14:00Z</cp:lastPrinted>
  <dcterms:modified xsi:type="dcterms:W3CDTF">2026-01-07T10:48:24Z</dcterms:modified>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2779A1CA8A404A3F833EBA6BBD92CF4A_13</vt:lpwstr>
  </property>
  <property fmtid="{D5CDD505-2E9C-101B-9397-08002B2CF9AE}" pid="4" name="KSOTemplateDocerSaveRecord">
    <vt:lpwstr>eyJoZGlkIjoiOWZkMGQwODUyZDAzNDQ3YzNhNzcyMzMzOTE2MzEzMzciLCJ1c2VySWQiOiIxMTMzMTUyMTI0In0=</vt:lpwstr>
  </property>
</Properties>
</file>