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BB1F36">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lang w:val="en-US" w:eastAsia="zh-CN"/>
        </w:rPr>
      </w:pPr>
      <w:r>
        <w:rPr>
          <w:rFonts w:hint="eastAsia" w:asciiTheme="minorEastAsia" w:hAnsiTheme="minorEastAsia" w:eastAsiaTheme="minorEastAsia" w:cstheme="minorEastAsia"/>
          <w:b/>
          <w:sz w:val="21"/>
          <w:szCs w:val="21"/>
          <w:lang w:val="en-US" w:eastAsia="zh-CN"/>
        </w:rPr>
        <w:t>此项参数不存在以下情况：</w:t>
      </w:r>
    </w:p>
    <w:p w14:paraId="51E73C1B">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lang w:eastAsia="zh-CN"/>
        </w:rPr>
        <w:t>《</w:t>
      </w:r>
      <w:r>
        <w:rPr>
          <w:rFonts w:hint="eastAsia" w:asciiTheme="minorEastAsia" w:hAnsiTheme="minorEastAsia" w:eastAsiaTheme="minorEastAsia" w:cstheme="minorEastAsia"/>
          <w:b/>
          <w:sz w:val="21"/>
          <w:szCs w:val="21"/>
        </w:rPr>
        <w:t>政府采购法实施条例</w:t>
      </w:r>
      <w:r>
        <w:rPr>
          <w:rFonts w:hint="eastAsia" w:asciiTheme="minorEastAsia" w:hAnsiTheme="minorEastAsia" w:eastAsiaTheme="minorEastAsia" w:cstheme="minorEastAsia"/>
          <w:b/>
          <w:sz w:val="21"/>
          <w:szCs w:val="21"/>
          <w:lang w:eastAsia="zh-CN"/>
        </w:rPr>
        <w:t>》</w:t>
      </w:r>
      <w:r>
        <w:rPr>
          <w:rFonts w:hint="eastAsia" w:asciiTheme="minorEastAsia" w:hAnsiTheme="minorEastAsia" w:eastAsiaTheme="minorEastAsia" w:cstheme="minorEastAsia"/>
          <w:b/>
          <w:sz w:val="21"/>
          <w:szCs w:val="21"/>
        </w:rPr>
        <w:t>第二十条</w:t>
      </w:r>
      <w:r>
        <w:rPr>
          <w:rFonts w:hint="eastAsia" w:asciiTheme="minorEastAsia" w:hAnsiTheme="minorEastAsia" w:eastAsiaTheme="minorEastAsia" w:cstheme="minorEastAsia"/>
          <w:b/>
          <w:sz w:val="21"/>
          <w:szCs w:val="21"/>
          <w:lang w:eastAsia="zh-CN"/>
        </w:rPr>
        <w:t>：</w:t>
      </w:r>
    </w:p>
    <w:p w14:paraId="7ED12988">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 xml:space="preserve">采购人或者采购代理机构有下列情形之一的，属于以不合理的条件对供应商实行差别待遇或者歧视待遇： </w:t>
      </w:r>
    </w:p>
    <w:p w14:paraId="2FAF6046">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 xml:space="preserve">(一)就同一采购项目向供应商提供有差别的项目信息； </w:t>
      </w:r>
    </w:p>
    <w:p w14:paraId="1F1018BE">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 xml:space="preserve">(二)设定的资格、技术、商务条件与采购项目的具体特点和实际需要不相适应或者与合同履行无关； </w:t>
      </w:r>
    </w:p>
    <w:p w14:paraId="20020F1E">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 xml:space="preserve">(三)采购需求中的技术、服务等要求指向特定供应商、特定产品； </w:t>
      </w:r>
    </w:p>
    <w:p w14:paraId="5F8A5287">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 xml:space="preserve">(四)以特定行政区域或者特定行业的业绩、奖项作为加分条件或者中标、成交条件； </w:t>
      </w:r>
    </w:p>
    <w:p w14:paraId="4D27F67C">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 xml:space="preserve">(五)对供应商采取不同的资格审查或者评审标准； </w:t>
      </w:r>
    </w:p>
    <w:p w14:paraId="329B2EF3">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 xml:space="preserve">(六)限定或者指定特定的专利、商标、品牌或者供应商； </w:t>
      </w:r>
    </w:p>
    <w:p w14:paraId="387949C5">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 xml:space="preserve">(七)非法限定供应商的所有制形式、组织形式或者所在地； </w:t>
      </w:r>
    </w:p>
    <w:p w14:paraId="1FC2A488">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(八)以其他不合理条件限制或者排斥潜在供应商。</w:t>
      </w:r>
    </w:p>
    <w:p w14:paraId="6CF9C0E5">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lang w:val="en-US" w:eastAsia="zh-CN"/>
        </w:rPr>
      </w:pPr>
      <w:r>
        <w:rPr>
          <w:rFonts w:hint="eastAsia" w:asciiTheme="minorEastAsia" w:hAnsiTheme="minorEastAsia" w:eastAsiaTheme="minorEastAsia" w:cstheme="minorEastAsia"/>
          <w:b/>
          <w:sz w:val="21"/>
          <w:szCs w:val="21"/>
          <w:lang w:val="en-US" w:eastAsia="zh-CN"/>
        </w:rPr>
        <w:t xml:space="preserve">是否使用试剂耗材：□是      □否      </w:t>
      </w:r>
    </w:p>
    <w:p w14:paraId="3E5E7FDA">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lang w:val="en-US" w:eastAsia="zh-CN"/>
        </w:rPr>
      </w:pPr>
      <w:r>
        <w:rPr>
          <w:rFonts w:hint="eastAsia" w:asciiTheme="minorEastAsia" w:hAnsiTheme="minorEastAsia" w:eastAsiaTheme="minorEastAsia" w:cstheme="minorEastAsia"/>
          <w:b/>
          <w:sz w:val="21"/>
          <w:szCs w:val="21"/>
          <w:lang w:val="en-US" w:eastAsia="zh-CN"/>
        </w:rPr>
        <w:t xml:space="preserve">产地： □国产  □进口       国产同类设备生产企业类型：   □大型企业    □中型企业及以下 </w:t>
      </w:r>
    </w:p>
    <w:p w14:paraId="5CD1AF6B">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lang w:val="en-US" w:eastAsia="zh-CN"/>
        </w:rPr>
      </w:pPr>
      <w:r>
        <w:rPr>
          <w:rFonts w:hint="eastAsia" w:asciiTheme="minorEastAsia" w:hAnsiTheme="minorEastAsia" w:eastAsiaTheme="minorEastAsia" w:cstheme="minorEastAsia"/>
          <w:b/>
          <w:sz w:val="21"/>
          <w:szCs w:val="21"/>
          <w:lang w:val="en-US" w:eastAsia="zh-CN"/>
        </w:rPr>
        <w:t>是否属于强检设备：□是，首次计量鉴定由供应商负责      □否</w:t>
      </w:r>
    </w:p>
    <w:p w14:paraId="2D8EAA49">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lang w:val="en-US" w:eastAsia="zh-CN"/>
        </w:rPr>
      </w:pPr>
      <w:r>
        <w:rPr>
          <w:rFonts w:hint="eastAsia" w:asciiTheme="minorEastAsia" w:hAnsiTheme="minorEastAsia" w:eastAsiaTheme="minorEastAsia" w:cstheme="minorEastAsia"/>
          <w:b/>
          <w:sz w:val="21"/>
          <w:szCs w:val="21"/>
          <w:lang w:val="en-US" w:eastAsia="zh-CN"/>
        </w:rPr>
        <w:t>是否需要场地改造：□无     □需要改造内容：</w:t>
      </w:r>
    </w:p>
    <w:p w14:paraId="66B95DBB">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lang w:val="en-US" w:eastAsia="zh-CN"/>
        </w:rPr>
      </w:pPr>
    </w:p>
    <w:p w14:paraId="49CEE171">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lang w:val="en-US" w:eastAsia="zh-CN"/>
        </w:rPr>
      </w:pPr>
      <w:r>
        <w:rPr>
          <w:rFonts w:hint="eastAsia" w:asciiTheme="minorEastAsia" w:hAnsiTheme="minorEastAsia" w:eastAsiaTheme="minorEastAsia" w:cstheme="minorEastAsia"/>
          <w:b/>
          <w:sz w:val="21"/>
          <w:szCs w:val="21"/>
          <w:lang w:val="en-US" w:eastAsia="zh-CN"/>
        </w:rPr>
        <w:t>申请科室负责人：</w:t>
      </w:r>
    </w:p>
    <w:p w14:paraId="203F9FEF">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lang w:val="en-US" w:eastAsia="zh-CN"/>
        </w:rPr>
      </w:pPr>
    </w:p>
    <w:p w14:paraId="462689B5">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lang w:val="en-US" w:eastAsia="zh-CN"/>
        </w:rPr>
      </w:pPr>
      <w:r>
        <w:rPr>
          <w:rFonts w:hint="eastAsia" w:asciiTheme="minorEastAsia" w:hAnsiTheme="minorEastAsia" w:eastAsiaTheme="minorEastAsia" w:cstheme="minorEastAsia"/>
          <w:b/>
          <w:sz w:val="21"/>
          <w:szCs w:val="21"/>
          <w:lang w:val="en-US" w:eastAsia="zh-CN"/>
        </w:rPr>
        <w:t xml:space="preserve">撰写人（初审）签字：                  复审签字：                 终审签字： </w:t>
      </w:r>
    </w:p>
    <w:p w14:paraId="165F1116">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lang w:val="en-US" w:eastAsia="zh-CN"/>
        </w:rPr>
      </w:pPr>
    </w:p>
    <w:p w14:paraId="132DDEFD">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heme="minorEastAsia" w:hAnsiTheme="minorEastAsia" w:eastAsiaTheme="minorEastAsia" w:cstheme="minorEastAsia"/>
          <w:b/>
          <w:sz w:val="21"/>
          <w:szCs w:val="21"/>
          <w:lang w:val="en-US"/>
        </w:rPr>
      </w:pPr>
      <w:r>
        <w:rPr>
          <w:rFonts w:hint="eastAsia" w:asciiTheme="minorEastAsia" w:hAnsiTheme="minorEastAsia" w:eastAsiaTheme="minorEastAsia" w:cstheme="minorEastAsia"/>
          <w:b/>
          <w:sz w:val="21"/>
          <w:szCs w:val="21"/>
          <w:lang w:val="en-US" w:eastAsia="zh-CN"/>
        </w:rPr>
        <w:t xml:space="preserve">医工科负责人：                                                    时间：  </w:t>
      </w:r>
    </w:p>
    <w:p w14:paraId="423C9491">
      <w:pPr>
        <w:spacing w:line="440" w:lineRule="exact"/>
        <w:jc w:val="center"/>
        <w:rPr>
          <w:rFonts w:hint="eastAsia"/>
          <w:b/>
          <w:sz w:val="40"/>
          <w:szCs w:val="40"/>
        </w:rPr>
      </w:pPr>
    </w:p>
    <w:p w14:paraId="2738C292">
      <w:pPr>
        <w:spacing w:line="440" w:lineRule="exact"/>
        <w:jc w:val="center"/>
        <w:rPr>
          <w:rFonts w:hint="eastAsia"/>
          <w:b/>
          <w:sz w:val="40"/>
          <w:szCs w:val="40"/>
        </w:rPr>
      </w:pPr>
      <w:r>
        <w:rPr>
          <w:rFonts w:hint="eastAsia"/>
          <w:b/>
          <w:sz w:val="40"/>
          <w:szCs w:val="40"/>
        </w:rPr>
        <w:t>电</w:t>
      </w:r>
      <w:r>
        <w:rPr>
          <w:rFonts w:hint="eastAsia"/>
          <w:b/>
          <w:sz w:val="40"/>
          <w:szCs w:val="40"/>
          <w:lang w:val="en-US" w:eastAsia="zh-CN"/>
        </w:rPr>
        <w:t>热</w:t>
      </w:r>
      <w:r>
        <w:rPr>
          <w:rFonts w:hint="eastAsia"/>
          <w:b/>
          <w:sz w:val="40"/>
          <w:szCs w:val="40"/>
        </w:rPr>
        <w:t>恒温箱技术参数要求</w:t>
      </w:r>
    </w:p>
    <w:p w14:paraId="75E5638C">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720" w:leftChars="0" w:hanging="720" w:firstLineChars="0"/>
        <w:textAlignment w:val="auto"/>
        <w:rPr>
          <w:rFonts w:hint="eastAsia"/>
          <w:sz w:val="30"/>
          <w:szCs w:val="30"/>
        </w:rPr>
      </w:pPr>
      <w:r>
        <w:rPr>
          <w:rFonts w:hint="default" w:ascii="Calibri" w:hAnsi="Calibri" w:eastAsia="宋体" w:cs="Times New Roman"/>
          <w:kern w:val="2"/>
          <w:sz w:val="30"/>
          <w:szCs w:val="30"/>
          <w:lang w:val="en-US" w:eastAsia="zh-CN" w:bidi="ar-SA"/>
        </w:rPr>
        <w:t>一．</w:t>
      </w:r>
      <w:r>
        <w:rPr>
          <w:rFonts w:hint="eastAsia"/>
          <w:sz w:val="30"/>
          <w:szCs w:val="30"/>
        </w:rPr>
        <w:t>规格参数要求：</w:t>
      </w:r>
    </w:p>
    <w:p w14:paraId="495F8A89">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360" w:leftChars="0" w:hanging="360" w:firstLineChars="0"/>
        <w:textAlignment w:val="auto"/>
        <w:rPr>
          <w:rFonts w:hint="eastAsia"/>
          <w:sz w:val="30"/>
          <w:szCs w:val="30"/>
          <w:lang w:val="en-US" w:eastAsia="zh-CN"/>
        </w:rPr>
      </w:pPr>
      <w:r>
        <w:rPr>
          <w:rFonts w:hint="eastAsia" w:cs="Times New Roman"/>
          <w:kern w:val="2"/>
          <w:sz w:val="30"/>
          <w:szCs w:val="30"/>
          <w:lang w:val="en-US" w:eastAsia="zh-CN" w:bidi="ar-SA"/>
        </w:rPr>
        <w:t>1</w:t>
      </w:r>
      <w:r>
        <w:rPr>
          <w:rFonts w:hint="eastAsia"/>
          <w:sz w:val="30"/>
          <w:szCs w:val="30"/>
          <w:lang w:val="en-US" w:eastAsia="zh-CN"/>
        </w:rPr>
        <w:t>. 公称容积：≥100L</w:t>
      </w:r>
    </w:p>
    <w:p w14:paraId="71528A59">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360" w:leftChars="0" w:hanging="360" w:firstLineChars="0"/>
        <w:textAlignment w:val="auto"/>
        <w:rPr>
          <w:rFonts w:hint="eastAsia"/>
          <w:sz w:val="30"/>
          <w:szCs w:val="30"/>
          <w:lang w:val="en-US" w:eastAsia="zh-CN"/>
        </w:rPr>
      </w:pPr>
      <w:r>
        <w:rPr>
          <w:rFonts w:hint="eastAsia"/>
          <w:sz w:val="30"/>
          <w:szCs w:val="30"/>
          <w:lang w:val="en-US" w:eastAsia="zh-CN"/>
        </w:rPr>
        <w:t>2. 额定功率：≤1100W</w:t>
      </w:r>
    </w:p>
    <w:p w14:paraId="06927DB5">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360" w:leftChars="0" w:hanging="360" w:firstLineChars="0"/>
        <w:textAlignment w:val="auto"/>
        <w:rPr>
          <w:rFonts w:hint="eastAsia"/>
          <w:sz w:val="30"/>
          <w:szCs w:val="30"/>
          <w:lang w:val="en-US" w:eastAsia="zh-CN"/>
        </w:rPr>
      </w:pPr>
      <w:r>
        <w:rPr>
          <w:rFonts w:hint="eastAsia"/>
          <w:sz w:val="30"/>
          <w:szCs w:val="30"/>
          <w:lang w:val="en-US" w:eastAsia="zh-CN"/>
        </w:rPr>
        <w:t>3. 温度控制方式：薄膜</w:t>
      </w:r>
      <w:r>
        <w:rPr>
          <w:rFonts w:hint="default"/>
          <w:sz w:val="30"/>
          <w:szCs w:val="30"/>
          <w:lang w:val="en-US" w:eastAsia="zh-CN"/>
        </w:rPr>
        <w:fldChar w:fldCharType="begin"/>
      </w:r>
      <w:r>
        <w:rPr>
          <w:rFonts w:hint="default"/>
          <w:sz w:val="30"/>
          <w:szCs w:val="30"/>
          <w:lang w:val="en-US" w:eastAsia="zh-CN"/>
        </w:rPr>
        <w:instrText xml:space="preserve"> HYPERLINK "https://baike.baidu.com/item/%E9%93%82%E7%94%B5%E9%98%BB/0?fromModule=lemma_inlink" \t "https://baike.baidu.com/item/pt100/_blank" </w:instrText>
      </w:r>
      <w:r>
        <w:rPr>
          <w:rFonts w:hint="default"/>
          <w:sz w:val="30"/>
          <w:szCs w:val="30"/>
          <w:lang w:val="en-US" w:eastAsia="zh-CN"/>
        </w:rPr>
        <w:fldChar w:fldCharType="separate"/>
      </w:r>
      <w:r>
        <w:rPr>
          <w:rFonts w:hint="default"/>
          <w:sz w:val="30"/>
          <w:szCs w:val="30"/>
          <w:lang w:val="en-US" w:eastAsia="zh-CN"/>
        </w:rPr>
        <w:t>铂电阻</w:t>
      </w:r>
      <w:r>
        <w:rPr>
          <w:rFonts w:hint="default"/>
          <w:sz w:val="30"/>
          <w:szCs w:val="30"/>
          <w:lang w:val="en-US" w:eastAsia="zh-CN"/>
        </w:rPr>
        <w:fldChar w:fldCharType="end"/>
      </w:r>
    </w:p>
    <w:p w14:paraId="3CED4885">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360" w:leftChars="0" w:hanging="360" w:firstLineChars="0"/>
        <w:textAlignment w:val="auto"/>
        <w:rPr>
          <w:rFonts w:hint="eastAsia"/>
          <w:sz w:val="30"/>
          <w:szCs w:val="30"/>
          <w:lang w:val="en-US" w:eastAsia="zh-CN"/>
        </w:rPr>
      </w:pPr>
      <w:r>
        <w:rPr>
          <w:rFonts w:hint="eastAsia"/>
          <w:sz w:val="30"/>
          <w:szCs w:val="30"/>
          <w:lang w:val="en-US" w:eastAsia="zh-CN"/>
        </w:rPr>
        <w:t>4. 温度控制范围：≥0～100℃</w:t>
      </w:r>
    </w:p>
    <w:p w14:paraId="427F1F0E">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360" w:leftChars="0" w:hanging="360" w:firstLineChars="0"/>
        <w:textAlignment w:val="auto"/>
        <w:rPr>
          <w:rFonts w:hint="eastAsia"/>
          <w:sz w:val="30"/>
          <w:szCs w:val="30"/>
          <w:lang w:val="en-US" w:eastAsia="zh-CN"/>
        </w:rPr>
      </w:pPr>
      <w:r>
        <w:rPr>
          <w:rFonts w:hint="eastAsia"/>
          <w:sz w:val="30"/>
          <w:szCs w:val="30"/>
          <w:lang w:val="en-US" w:eastAsia="zh-CN"/>
        </w:rPr>
        <w:t>5. 温度波动度：≤±1℃（@37℃）</w:t>
      </w:r>
    </w:p>
    <w:p w14:paraId="0DB13C45">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360" w:leftChars="0" w:hanging="360" w:firstLineChars="0"/>
        <w:textAlignment w:val="auto"/>
        <w:rPr>
          <w:rFonts w:hint="eastAsia"/>
          <w:sz w:val="30"/>
          <w:szCs w:val="30"/>
          <w:lang w:val="en-US" w:eastAsia="zh-CN"/>
        </w:rPr>
      </w:pPr>
      <w:r>
        <w:rPr>
          <w:rFonts w:hint="eastAsia"/>
          <w:sz w:val="30"/>
          <w:szCs w:val="30"/>
          <w:lang w:val="en-US" w:eastAsia="zh-CN"/>
        </w:rPr>
        <w:t>6. 温度均匀性：≤±2℃（@37℃）</w:t>
      </w:r>
    </w:p>
    <w:p w14:paraId="5B260904">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360" w:leftChars="0" w:hanging="360" w:firstLineChars="0"/>
        <w:textAlignment w:val="auto"/>
        <w:rPr>
          <w:rFonts w:hint="eastAsia"/>
          <w:sz w:val="30"/>
          <w:szCs w:val="30"/>
          <w:lang w:val="en-US" w:eastAsia="zh-CN"/>
        </w:rPr>
      </w:pPr>
      <w:r>
        <w:rPr>
          <w:rFonts w:hint="eastAsia"/>
          <w:sz w:val="30"/>
          <w:szCs w:val="30"/>
          <w:lang w:val="en-US" w:eastAsia="zh-CN"/>
        </w:rPr>
        <w:t>7. 隔板：标配≥ 3 块</w:t>
      </w:r>
    </w:p>
    <w:p w14:paraId="637BE747">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360" w:leftChars="0" w:hanging="360" w:firstLineChars="0"/>
        <w:textAlignment w:val="auto"/>
        <w:rPr>
          <w:rFonts w:hint="eastAsia"/>
          <w:sz w:val="30"/>
          <w:szCs w:val="30"/>
          <w:lang w:val="en-US" w:eastAsia="zh-CN"/>
        </w:rPr>
      </w:pPr>
      <w:r>
        <w:rPr>
          <w:rFonts w:hint="eastAsia"/>
          <w:sz w:val="30"/>
          <w:szCs w:val="30"/>
          <w:lang w:val="en-US" w:eastAsia="zh-CN"/>
        </w:rPr>
        <w:t>8. 显示屏：≥7 寸触摸屏</w:t>
      </w:r>
    </w:p>
    <w:p w14:paraId="4938DBE5">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360" w:leftChars="0" w:hanging="360" w:firstLineChars="0"/>
        <w:textAlignment w:val="auto"/>
        <w:rPr>
          <w:rFonts w:hint="eastAsia"/>
          <w:sz w:val="30"/>
          <w:szCs w:val="30"/>
          <w:lang w:val="en-US" w:eastAsia="zh-CN"/>
        </w:rPr>
      </w:pPr>
      <w:r>
        <w:rPr>
          <w:rFonts w:hint="eastAsia"/>
          <w:sz w:val="30"/>
          <w:szCs w:val="30"/>
          <w:lang w:val="en-US" w:eastAsia="zh-CN"/>
        </w:rPr>
        <w:t>9. 电加热钢化玻璃门，透明可观察，具有防凝露功能</w:t>
      </w:r>
    </w:p>
    <w:p w14:paraId="07530F8C">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360" w:leftChars="0" w:hanging="360" w:firstLineChars="0"/>
        <w:textAlignment w:val="auto"/>
        <w:rPr>
          <w:rFonts w:hint="default"/>
          <w:sz w:val="30"/>
          <w:szCs w:val="30"/>
          <w:lang w:val="en-US" w:eastAsia="zh-CN"/>
        </w:rPr>
      </w:pPr>
      <w:r>
        <w:rPr>
          <w:rFonts w:hint="eastAsia"/>
          <w:sz w:val="30"/>
          <w:szCs w:val="30"/>
          <w:lang w:val="en-US" w:eastAsia="zh-CN"/>
        </w:rPr>
        <w:t>10. 具有箱体内部照明及消毒功能</w:t>
      </w:r>
    </w:p>
    <w:p w14:paraId="322EBCB4">
      <w:pPr>
        <w:rPr>
          <w:rFonts w:hint="default"/>
          <w:lang w:val="en-US" w:eastAsia="zh-CN"/>
        </w:rPr>
      </w:pPr>
    </w:p>
    <w:p w14:paraId="750EBCAF">
      <w:pPr>
        <w:rPr>
          <w:rFonts w:hint="default"/>
          <w:lang w:val="en-US" w:eastAsia="zh-CN"/>
        </w:rPr>
      </w:pPr>
    </w:p>
    <w:p w14:paraId="18721A53">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default" w:ascii="Calibri" w:hAnsi="Calibri" w:eastAsia="宋体" w:cs="Times New Roman"/>
          <w:kern w:val="2"/>
          <w:sz w:val="30"/>
          <w:szCs w:val="30"/>
          <w:lang w:val="en-US" w:eastAsia="zh-CN" w:bidi="ar-SA"/>
        </w:rPr>
      </w:pPr>
    </w:p>
    <w:p w14:paraId="1164D9B6">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default" w:ascii="Calibri" w:hAnsi="Calibri" w:eastAsia="宋体" w:cs="Times New Roman"/>
          <w:kern w:val="2"/>
          <w:sz w:val="30"/>
          <w:szCs w:val="30"/>
          <w:lang w:val="en-US" w:eastAsia="zh-CN" w:bidi="ar-SA"/>
        </w:rPr>
      </w:pPr>
    </w:p>
    <w:p w14:paraId="16E594E5">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sz w:val="30"/>
          <w:szCs w:val="30"/>
        </w:rPr>
      </w:pPr>
      <w:r>
        <w:rPr>
          <w:rFonts w:hint="eastAsia" w:cs="Times New Roman"/>
          <w:kern w:val="2"/>
          <w:sz w:val="30"/>
          <w:szCs w:val="30"/>
          <w:lang w:val="en-US" w:eastAsia="zh-CN" w:bidi="ar-SA"/>
        </w:rPr>
        <w:t>二</w:t>
      </w:r>
      <w:r>
        <w:rPr>
          <w:rFonts w:hint="default" w:ascii="Calibri" w:hAnsi="Calibri" w:eastAsia="宋体" w:cs="Times New Roman"/>
          <w:kern w:val="2"/>
          <w:sz w:val="30"/>
          <w:szCs w:val="30"/>
          <w:lang w:val="en-US" w:eastAsia="zh-CN" w:bidi="ar-SA"/>
        </w:rPr>
        <w:t>．</w:t>
      </w:r>
      <w:r>
        <w:rPr>
          <w:rFonts w:hint="eastAsia"/>
          <w:sz w:val="30"/>
          <w:szCs w:val="30"/>
        </w:rPr>
        <w:t>其他技术性要求：</w:t>
      </w:r>
    </w:p>
    <w:p w14:paraId="69C7208C">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360" w:leftChars="0" w:hanging="360" w:firstLineChars="0"/>
        <w:textAlignment w:val="auto"/>
        <w:rPr>
          <w:rFonts w:hint="eastAsia"/>
          <w:sz w:val="30"/>
          <w:szCs w:val="30"/>
        </w:rPr>
      </w:pPr>
      <w:r>
        <w:rPr>
          <w:rFonts w:hint="eastAsia" w:cs="Times New Roman"/>
          <w:kern w:val="2"/>
          <w:sz w:val="30"/>
          <w:szCs w:val="30"/>
          <w:lang w:val="en-US" w:eastAsia="zh-CN" w:bidi="ar-SA"/>
        </w:rPr>
        <w:t>1</w:t>
      </w:r>
      <w:r>
        <w:rPr>
          <w:rFonts w:hint="default" w:ascii="Calibri" w:hAnsi="Calibri" w:eastAsia="宋体" w:cs="Times New Roman"/>
          <w:kern w:val="2"/>
          <w:sz w:val="30"/>
          <w:szCs w:val="30"/>
          <w:lang w:val="en-US" w:eastAsia="zh-CN" w:bidi="ar-SA"/>
        </w:rPr>
        <w:t>.</w:t>
      </w:r>
      <w:r>
        <w:rPr>
          <w:rFonts w:hint="eastAsia"/>
          <w:sz w:val="30"/>
          <w:szCs w:val="30"/>
        </w:rPr>
        <w:t>负责设备的安装、调试、培训等工作。</w:t>
      </w:r>
    </w:p>
    <w:p w14:paraId="3262FACA">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360" w:leftChars="0" w:hanging="360" w:firstLineChars="0"/>
        <w:textAlignment w:val="auto"/>
        <w:rPr>
          <w:rFonts w:hint="eastAsia"/>
          <w:sz w:val="30"/>
          <w:szCs w:val="30"/>
        </w:rPr>
      </w:pPr>
      <w:r>
        <w:rPr>
          <w:rFonts w:hint="eastAsia" w:cs="Times New Roman"/>
          <w:kern w:val="2"/>
          <w:sz w:val="30"/>
          <w:szCs w:val="30"/>
          <w:lang w:val="en-US" w:eastAsia="zh-CN" w:bidi="ar-SA"/>
        </w:rPr>
        <w:t>2</w:t>
      </w:r>
      <w:r>
        <w:rPr>
          <w:rFonts w:hint="default" w:ascii="Calibri" w:hAnsi="Calibri" w:eastAsia="宋体" w:cs="Times New Roman"/>
          <w:kern w:val="2"/>
          <w:sz w:val="30"/>
          <w:szCs w:val="30"/>
          <w:lang w:val="en-US" w:eastAsia="zh-CN" w:bidi="ar-SA"/>
        </w:rPr>
        <w:t>.</w:t>
      </w:r>
      <w:r>
        <w:rPr>
          <w:rFonts w:hint="eastAsia"/>
          <w:sz w:val="30"/>
          <w:szCs w:val="30"/>
          <w:lang w:val="en-US" w:eastAsia="zh-CN"/>
        </w:rPr>
        <w:t>须列出所有设备易损件清单及价格。</w:t>
      </w:r>
    </w:p>
    <w:p w14:paraId="69D75918">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360" w:leftChars="0" w:hanging="360" w:firstLineChars="0"/>
        <w:textAlignment w:val="auto"/>
        <w:rPr>
          <w:rFonts w:hint="eastAsia"/>
          <w:sz w:val="30"/>
          <w:szCs w:val="30"/>
        </w:rPr>
      </w:pPr>
      <w:r>
        <w:rPr>
          <w:rFonts w:hint="eastAsia" w:cs="Times New Roman"/>
          <w:kern w:val="2"/>
          <w:sz w:val="30"/>
          <w:szCs w:val="30"/>
          <w:lang w:val="en-US" w:eastAsia="zh-CN" w:bidi="ar-SA"/>
        </w:rPr>
        <w:t>3</w:t>
      </w:r>
      <w:r>
        <w:rPr>
          <w:rFonts w:hint="default" w:ascii="Calibri" w:hAnsi="Calibri" w:eastAsia="宋体" w:cs="Times New Roman"/>
          <w:kern w:val="2"/>
          <w:sz w:val="30"/>
          <w:szCs w:val="30"/>
          <w:lang w:val="en-US" w:eastAsia="zh-CN" w:bidi="ar-SA"/>
        </w:rPr>
        <w:t>.</w:t>
      </w:r>
      <w:r>
        <w:rPr>
          <w:rFonts w:hint="eastAsia"/>
          <w:sz w:val="30"/>
          <w:szCs w:val="30"/>
          <w:lang w:val="en-US" w:eastAsia="zh-CN"/>
        </w:rPr>
        <w:t>须列出所有设备维保服务类型及价格。</w:t>
      </w:r>
    </w:p>
    <w:p w14:paraId="234948B0">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360" w:leftChars="0" w:hanging="360" w:firstLineChars="0"/>
        <w:textAlignment w:val="auto"/>
        <w:rPr>
          <w:rFonts w:hint="eastAsia"/>
          <w:sz w:val="30"/>
          <w:szCs w:val="30"/>
        </w:rPr>
      </w:pPr>
      <w:r>
        <w:rPr>
          <w:rFonts w:hint="eastAsia" w:cs="Times New Roman"/>
          <w:kern w:val="2"/>
          <w:sz w:val="30"/>
          <w:szCs w:val="30"/>
          <w:lang w:val="en-US" w:eastAsia="zh-CN" w:bidi="ar-SA"/>
        </w:rPr>
        <w:t>4</w:t>
      </w:r>
      <w:r>
        <w:rPr>
          <w:rFonts w:hint="default" w:ascii="Calibri" w:hAnsi="Calibri" w:eastAsia="宋体" w:cs="Times New Roman"/>
          <w:kern w:val="2"/>
          <w:sz w:val="30"/>
          <w:szCs w:val="30"/>
          <w:lang w:val="en-US" w:eastAsia="zh-CN" w:bidi="ar-SA"/>
        </w:rPr>
        <w:t>.</w:t>
      </w:r>
      <w:r>
        <w:rPr>
          <w:rFonts w:hint="eastAsia"/>
          <w:sz w:val="30"/>
          <w:szCs w:val="30"/>
        </w:rPr>
        <w:t>如标配中含有打印机的，要求配置医院现有品牌（所用耗材需与医院现有耗材一致）。</w:t>
      </w:r>
    </w:p>
    <w:p w14:paraId="6A0B6473">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360" w:leftChars="0" w:hanging="360" w:firstLineChars="0"/>
        <w:textAlignment w:val="auto"/>
        <w:rPr>
          <w:sz w:val="30"/>
          <w:szCs w:val="30"/>
        </w:rPr>
      </w:pPr>
      <w:r>
        <w:rPr>
          <w:rFonts w:hint="eastAsia" w:cs="Times New Roman"/>
          <w:kern w:val="2"/>
          <w:sz w:val="30"/>
          <w:szCs w:val="30"/>
          <w:lang w:val="en-US" w:eastAsia="zh-CN" w:bidi="ar-SA"/>
        </w:rPr>
        <w:t>5</w:t>
      </w:r>
      <w:r>
        <w:rPr>
          <w:rFonts w:hint="default" w:ascii="Calibri" w:hAnsi="Calibri" w:eastAsia="宋体" w:cs="Times New Roman"/>
          <w:kern w:val="2"/>
          <w:sz w:val="30"/>
          <w:szCs w:val="30"/>
          <w:lang w:val="en-US" w:eastAsia="zh-CN" w:bidi="ar-SA"/>
        </w:rPr>
        <w:t>.</w:t>
      </w:r>
      <w:r>
        <w:rPr>
          <w:rFonts w:hint="eastAsia"/>
          <w:sz w:val="30"/>
          <w:szCs w:val="30"/>
        </w:rPr>
        <w:t>如具有数据存储功能，产生信息数据的设备必须终生免费开放各类数据接口，包含但不限于DICOM、WEBservice等数据接口格式，以保证与我院现有信息系统的数据对接。</w:t>
      </w:r>
    </w:p>
    <w:p w14:paraId="302EB744">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360" w:leftChars="0" w:hanging="360" w:firstLineChars="0"/>
        <w:textAlignment w:val="auto"/>
        <w:rPr>
          <w:rFonts w:hint="eastAsia"/>
          <w:sz w:val="30"/>
          <w:szCs w:val="30"/>
        </w:rPr>
      </w:pPr>
      <w:r>
        <w:rPr>
          <w:rFonts w:hint="eastAsia" w:cs="Times New Roman"/>
          <w:kern w:val="2"/>
          <w:sz w:val="30"/>
          <w:szCs w:val="30"/>
          <w:lang w:val="en-US" w:eastAsia="zh-CN" w:bidi="ar-SA"/>
        </w:rPr>
        <w:t>6</w:t>
      </w:r>
      <w:r>
        <w:rPr>
          <w:rFonts w:hint="default" w:ascii="Calibri" w:hAnsi="Calibri" w:eastAsia="宋体" w:cs="Times New Roman"/>
          <w:kern w:val="2"/>
          <w:sz w:val="30"/>
          <w:szCs w:val="30"/>
          <w:lang w:val="en-US" w:eastAsia="zh-CN" w:bidi="ar-SA"/>
        </w:rPr>
        <w:t>.</w:t>
      </w:r>
      <w:r>
        <w:rPr>
          <w:rFonts w:hint="eastAsia"/>
          <w:sz w:val="30"/>
          <w:szCs w:val="30"/>
        </w:rPr>
        <w:t xml:space="preserve">如具备工作站或相关操作系统，厂商应具备系统接口定制化开发能力，并免费完成我院信息化接口开发、测试及对接上线，包含但不限于HIS、LIS、PACS、CA数字签名、无纸化归档、专科应用系统等医院生产系统接口开发。新增数据接口应完全满足医院信息化业务流程需求。 </w:t>
      </w:r>
    </w:p>
    <w:p w14:paraId="50E7791E">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360" w:leftChars="0" w:hanging="360" w:firstLineChars="0"/>
        <w:textAlignment w:val="auto"/>
        <w:rPr>
          <w:rFonts w:hint="eastAsia"/>
          <w:sz w:val="30"/>
          <w:szCs w:val="30"/>
        </w:rPr>
      </w:pPr>
      <w:r>
        <w:rPr>
          <w:rFonts w:hint="eastAsia" w:cs="Times New Roman"/>
          <w:kern w:val="2"/>
          <w:sz w:val="30"/>
          <w:szCs w:val="30"/>
          <w:lang w:val="en-US" w:eastAsia="zh-CN" w:bidi="ar-SA"/>
        </w:rPr>
        <w:t>7</w:t>
      </w:r>
      <w:r>
        <w:rPr>
          <w:rFonts w:hint="default" w:ascii="Calibri" w:hAnsi="Calibri" w:eastAsia="宋体" w:cs="Times New Roman"/>
          <w:kern w:val="2"/>
          <w:sz w:val="30"/>
          <w:szCs w:val="30"/>
          <w:lang w:val="en-US" w:eastAsia="zh-CN" w:bidi="ar-SA"/>
        </w:rPr>
        <w:t>.</w:t>
      </w:r>
      <w:r>
        <w:rPr>
          <w:rFonts w:hint="eastAsia"/>
          <w:sz w:val="30"/>
          <w:szCs w:val="30"/>
        </w:rPr>
        <w:t>如</w:t>
      </w:r>
      <w:r>
        <w:rPr>
          <w:sz w:val="30"/>
          <w:szCs w:val="30"/>
        </w:rPr>
        <w:t>具有</w:t>
      </w:r>
      <w:r>
        <w:rPr>
          <w:rFonts w:hint="eastAsia"/>
          <w:sz w:val="30"/>
          <w:szCs w:val="30"/>
        </w:rPr>
        <w:t>工作站或相关</w:t>
      </w:r>
      <w:r>
        <w:rPr>
          <w:sz w:val="30"/>
          <w:szCs w:val="30"/>
        </w:rPr>
        <w:t>操作</w:t>
      </w:r>
      <w:r>
        <w:rPr>
          <w:rFonts w:hint="eastAsia"/>
          <w:sz w:val="30"/>
          <w:szCs w:val="30"/>
        </w:rPr>
        <w:t>系统，其中</w:t>
      </w:r>
      <w:r>
        <w:rPr>
          <w:sz w:val="30"/>
          <w:szCs w:val="30"/>
        </w:rPr>
        <w:t>包</w:t>
      </w:r>
      <w:r>
        <w:rPr>
          <w:rFonts w:hint="eastAsia"/>
          <w:sz w:val="30"/>
          <w:szCs w:val="30"/>
        </w:rPr>
        <w:t xml:space="preserve">含的所有软件，无年度维护费用；软件中涉及到存储病人就诊信息的，无单独就诊卡或芯片类存储介质。 </w:t>
      </w:r>
    </w:p>
    <w:p w14:paraId="51FA2A02">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360" w:leftChars="0" w:hanging="360" w:firstLineChars="0"/>
        <w:textAlignment w:val="auto"/>
        <w:rPr>
          <w:rFonts w:hint="eastAsia"/>
          <w:sz w:val="30"/>
          <w:szCs w:val="30"/>
        </w:rPr>
      </w:pPr>
      <w:r>
        <w:rPr>
          <w:rFonts w:hint="eastAsia" w:cs="Times New Roman"/>
          <w:kern w:val="2"/>
          <w:sz w:val="30"/>
          <w:szCs w:val="30"/>
          <w:lang w:val="en-US" w:eastAsia="zh-CN" w:bidi="ar-SA"/>
        </w:rPr>
        <w:t>8</w:t>
      </w:r>
      <w:r>
        <w:rPr>
          <w:rFonts w:hint="default" w:ascii="Calibri" w:hAnsi="Calibri" w:eastAsia="宋体" w:cs="Times New Roman"/>
          <w:kern w:val="2"/>
          <w:sz w:val="30"/>
          <w:szCs w:val="30"/>
          <w:lang w:val="en-US" w:eastAsia="zh-CN" w:bidi="ar-SA"/>
        </w:rPr>
        <w:t>.</w:t>
      </w:r>
      <w:r>
        <w:rPr>
          <w:rFonts w:hint="eastAsia"/>
          <w:sz w:val="30"/>
          <w:szCs w:val="30"/>
        </w:rPr>
        <w:t>自验收合格之日起计保修期，提供整机（包含附件，如稳压电源、脚踏、推车等）原厂保</w:t>
      </w:r>
      <w:bookmarkStart w:id="0" w:name="_GoBack"/>
      <w:bookmarkEnd w:id="0"/>
      <w:r>
        <w:rPr>
          <w:rFonts w:hint="eastAsia"/>
          <w:sz w:val="30"/>
          <w:szCs w:val="30"/>
        </w:rPr>
        <w:t>修服务≥</w:t>
      </w:r>
      <w:r>
        <w:rPr>
          <w:sz w:val="30"/>
          <w:szCs w:val="30"/>
        </w:rPr>
        <w:t>3</w:t>
      </w:r>
      <w:r>
        <w:rPr>
          <w:rFonts w:hint="eastAsia"/>
          <w:sz w:val="30"/>
          <w:szCs w:val="30"/>
        </w:rPr>
        <w:t>年，承担保修期内设备任何故障产生的费用。</w:t>
      </w:r>
    </w:p>
    <w:p w14:paraId="7E642DE0">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360" w:leftChars="0" w:hanging="360" w:firstLineChars="0"/>
        <w:textAlignment w:val="auto"/>
        <w:rPr>
          <w:rFonts w:hint="eastAsia"/>
          <w:sz w:val="30"/>
          <w:szCs w:val="30"/>
        </w:rPr>
      </w:pPr>
      <w:r>
        <w:rPr>
          <w:rFonts w:hint="eastAsia" w:cs="Times New Roman"/>
          <w:kern w:val="2"/>
          <w:sz w:val="30"/>
          <w:szCs w:val="30"/>
          <w:lang w:val="en-US" w:eastAsia="zh-CN" w:bidi="ar-SA"/>
        </w:rPr>
        <w:t>9</w:t>
      </w:r>
      <w:r>
        <w:rPr>
          <w:rFonts w:hint="default" w:ascii="Calibri" w:hAnsi="Calibri" w:eastAsia="宋体" w:cs="Times New Roman"/>
          <w:kern w:val="2"/>
          <w:sz w:val="30"/>
          <w:szCs w:val="30"/>
          <w:lang w:val="en-US" w:eastAsia="zh-CN" w:bidi="ar-SA"/>
        </w:rPr>
        <w:t>.</w:t>
      </w:r>
      <w:r>
        <w:rPr>
          <w:rFonts w:hint="eastAsia"/>
          <w:sz w:val="30"/>
          <w:szCs w:val="30"/>
        </w:rPr>
        <w:t>保修期内每季度定期由专业工程师对设备进行巡检，并出具相应工单交使用科室及医学工程科备案。</w:t>
      </w:r>
    </w:p>
    <w:sectPr>
      <w:headerReference r:id="rId5" w:type="first"/>
      <w:footerReference r:id="rId8" w:type="first"/>
      <w:headerReference r:id="rId3" w:type="default"/>
      <w:footerReference r:id="rId6" w:type="default"/>
      <w:headerReference r:id="rId4" w:type="even"/>
      <w:footerReference r:id="rId7" w:type="even"/>
      <w:pgSz w:w="11906" w:h="16838"/>
      <w:pgMar w:top="851" w:right="1133" w:bottom="1276" w:left="1134" w:header="851" w:footer="386"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思源黑体 Normal">
    <w:altName w:val="微软雅黑"/>
    <w:panose1 w:val="020B0400000000000000"/>
    <w:charset w:val="86"/>
    <w:family w:val="swiss"/>
    <w:pitch w:val="default"/>
    <w:sig w:usb0="00000000" w:usb1="00000000" w:usb2="00000016" w:usb3="00000000" w:csb0="002E0107"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3EC2B0">
    <w:pPr>
      <w:pStyle w:val="3"/>
      <w:pBdr>
        <w:top w:val="single" w:color="auto" w:sz="4" w:space="1"/>
      </w:pBdr>
      <w:rPr>
        <w:sz w:val="28"/>
        <w:szCs w:val="28"/>
      </w:rPr>
    </w:pPr>
    <w:r>
      <w:rPr>
        <w:rFonts w:hint="eastAsia"/>
        <w:sz w:val="28"/>
        <w:szCs w:val="28"/>
        <w:lang w:val="en-US" w:eastAsia="zh-CN"/>
      </w:rPr>
      <w:t xml:space="preserve">         </w:t>
    </w:r>
    <w:r>
      <w:rPr>
        <w:rFonts w:hint="eastAsia"/>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1EDE82">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1FE238">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0CBEFF">
    <w:pPr>
      <w:pStyle w:val="4"/>
      <w:jc w:val="both"/>
      <w:rPr>
        <w:rFonts w:hint="default" w:eastAsia="宋体"/>
        <w:sz w:val="28"/>
        <w:szCs w:val="28"/>
        <w:lang w:val="en-US" w:eastAsia="zh-CN"/>
      </w:rPr>
    </w:pPr>
    <w:r>
      <w:rPr>
        <w:rFonts w:hint="eastAsia"/>
        <w:sz w:val="28"/>
        <w:szCs w:val="28"/>
      </w:rPr>
      <w:t>申请科室：</w:t>
    </w:r>
    <w:r>
      <w:rPr>
        <w:rFonts w:hint="eastAsia"/>
        <w:sz w:val="28"/>
        <w:szCs w:val="28"/>
        <w:lang w:val="en-US" w:eastAsia="zh-CN"/>
      </w:rPr>
      <w:t>王增亮</w:t>
    </w:r>
    <w:r>
      <w:rPr>
        <w:rFonts w:hint="eastAsia"/>
        <w:sz w:val="28"/>
        <w:szCs w:val="28"/>
      </w:rPr>
      <w:t xml:space="preserve"> </w:t>
    </w:r>
    <w:r>
      <w:rPr>
        <w:rFonts w:hint="eastAsia"/>
        <w:sz w:val="28"/>
        <w:szCs w:val="28"/>
        <w:lang w:val="en-US" w:eastAsia="zh-CN"/>
      </w:rPr>
      <w:t xml:space="preserve">        </w:t>
    </w:r>
    <w:r>
      <w:rPr>
        <w:rFonts w:hint="eastAsia"/>
        <w:sz w:val="28"/>
        <w:szCs w:val="28"/>
      </w:rPr>
      <w:t xml:space="preserve"> 报告号：sb2025105</w:t>
    </w:r>
    <w:r>
      <w:rPr>
        <w:rFonts w:hint="eastAsia"/>
        <w:sz w:val="28"/>
        <w:szCs w:val="28"/>
        <w:lang w:val="en-US" w:eastAsia="zh-CN"/>
      </w:rPr>
      <w:t xml:space="preserve">              数量：1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617AC2">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524354">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bordersDoNotSurroundHeader w:val="0"/>
  <w:bordersDoNotSurroundFooter w:val="0"/>
  <w:documentProtection w:enforcement="0"/>
  <w:defaultTabStop w:val="21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Y2ODJiYjExMjJlZWU1Y2Y1M2EzOThjZWQxZDU5ZTYifQ=="/>
  </w:docVars>
  <w:rsids>
    <w:rsidRoot w:val="00983A88"/>
    <w:rsid w:val="000013A3"/>
    <w:rsid w:val="000218BB"/>
    <w:rsid w:val="00030065"/>
    <w:rsid w:val="00032C50"/>
    <w:rsid w:val="00032E66"/>
    <w:rsid w:val="00063780"/>
    <w:rsid w:val="00097B6E"/>
    <w:rsid w:val="000A1F80"/>
    <w:rsid w:val="000E3FCE"/>
    <w:rsid w:val="000E5040"/>
    <w:rsid w:val="000F0F3A"/>
    <w:rsid w:val="000F5C24"/>
    <w:rsid w:val="00117B31"/>
    <w:rsid w:val="00120A49"/>
    <w:rsid w:val="00125A0E"/>
    <w:rsid w:val="00131432"/>
    <w:rsid w:val="00137280"/>
    <w:rsid w:val="00145EBB"/>
    <w:rsid w:val="00146F35"/>
    <w:rsid w:val="00167619"/>
    <w:rsid w:val="001737A7"/>
    <w:rsid w:val="001C478F"/>
    <w:rsid w:val="001E3423"/>
    <w:rsid w:val="001E572D"/>
    <w:rsid w:val="001E60AC"/>
    <w:rsid w:val="00214EAA"/>
    <w:rsid w:val="00223538"/>
    <w:rsid w:val="0022424E"/>
    <w:rsid w:val="00226737"/>
    <w:rsid w:val="00233865"/>
    <w:rsid w:val="00241465"/>
    <w:rsid w:val="00281266"/>
    <w:rsid w:val="00281880"/>
    <w:rsid w:val="00281ED0"/>
    <w:rsid w:val="00282325"/>
    <w:rsid w:val="002963A0"/>
    <w:rsid w:val="002A1976"/>
    <w:rsid w:val="002C6D16"/>
    <w:rsid w:val="002D7A76"/>
    <w:rsid w:val="002E1D80"/>
    <w:rsid w:val="0030161B"/>
    <w:rsid w:val="00314D26"/>
    <w:rsid w:val="00320A51"/>
    <w:rsid w:val="00340970"/>
    <w:rsid w:val="00356F2D"/>
    <w:rsid w:val="00365A92"/>
    <w:rsid w:val="003864F0"/>
    <w:rsid w:val="003A74D9"/>
    <w:rsid w:val="003B42B5"/>
    <w:rsid w:val="003B7781"/>
    <w:rsid w:val="003C16C8"/>
    <w:rsid w:val="003D24CC"/>
    <w:rsid w:val="003F38DB"/>
    <w:rsid w:val="003F3B63"/>
    <w:rsid w:val="00406D11"/>
    <w:rsid w:val="00423FCF"/>
    <w:rsid w:val="004433AC"/>
    <w:rsid w:val="004459DF"/>
    <w:rsid w:val="00495171"/>
    <w:rsid w:val="004A13E1"/>
    <w:rsid w:val="004A3ADB"/>
    <w:rsid w:val="004B4723"/>
    <w:rsid w:val="004F495D"/>
    <w:rsid w:val="004F70B4"/>
    <w:rsid w:val="00517DA4"/>
    <w:rsid w:val="00520C0E"/>
    <w:rsid w:val="00571927"/>
    <w:rsid w:val="005A72ED"/>
    <w:rsid w:val="005B0167"/>
    <w:rsid w:val="005C3110"/>
    <w:rsid w:val="005D1B3F"/>
    <w:rsid w:val="005E0501"/>
    <w:rsid w:val="005E6D7F"/>
    <w:rsid w:val="0064582B"/>
    <w:rsid w:val="00655F02"/>
    <w:rsid w:val="00656DB1"/>
    <w:rsid w:val="00657BC3"/>
    <w:rsid w:val="00661854"/>
    <w:rsid w:val="00666486"/>
    <w:rsid w:val="00691A30"/>
    <w:rsid w:val="00692EC4"/>
    <w:rsid w:val="006C1ACA"/>
    <w:rsid w:val="006C7C20"/>
    <w:rsid w:val="006D632F"/>
    <w:rsid w:val="00700184"/>
    <w:rsid w:val="00702D7F"/>
    <w:rsid w:val="00704893"/>
    <w:rsid w:val="00706DB5"/>
    <w:rsid w:val="00743B8A"/>
    <w:rsid w:val="00756CA8"/>
    <w:rsid w:val="007675E4"/>
    <w:rsid w:val="0077126F"/>
    <w:rsid w:val="007731FF"/>
    <w:rsid w:val="00777ECE"/>
    <w:rsid w:val="007A4518"/>
    <w:rsid w:val="007B5959"/>
    <w:rsid w:val="007D4F0B"/>
    <w:rsid w:val="007E7D46"/>
    <w:rsid w:val="008111F7"/>
    <w:rsid w:val="00825615"/>
    <w:rsid w:val="00876145"/>
    <w:rsid w:val="008804F9"/>
    <w:rsid w:val="00892F2F"/>
    <w:rsid w:val="008937DC"/>
    <w:rsid w:val="00895390"/>
    <w:rsid w:val="008B7B6E"/>
    <w:rsid w:val="008C70C8"/>
    <w:rsid w:val="008D3F72"/>
    <w:rsid w:val="00935524"/>
    <w:rsid w:val="009665E0"/>
    <w:rsid w:val="00983301"/>
    <w:rsid w:val="00983A88"/>
    <w:rsid w:val="009946DF"/>
    <w:rsid w:val="009B6278"/>
    <w:rsid w:val="009E0823"/>
    <w:rsid w:val="009E1380"/>
    <w:rsid w:val="009E1E7A"/>
    <w:rsid w:val="009E346E"/>
    <w:rsid w:val="009F2B03"/>
    <w:rsid w:val="009F4C17"/>
    <w:rsid w:val="009F74CF"/>
    <w:rsid w:val="00A00979"/>
    <w:rsid w:val="00A11936"/>
    <w:rsid w:val="00A12844"/>
    <w:rsid w:val="00A26CA6"/>
    <w:rsid w:val="00A701DA"/>
    <w:rsid w:val="00A77A22"/>
    <w:rsid w:val="00A876CC"/>
    <w:rsid w:val="00A922DC"/>
    <w:rsid w:val="00A95BC2"/>
    <w:rsid w:val="00AA051B"/>
    <w:rsid w:val="00AB403E"/>
    <w:rsid w:val="00AE2F13"/>
    <w:rsid w:val="00AE4794"/>
    <w:rsid w:val="00B0609D"/>
    <w:rsid w:val="00B17F52"/>
    <w:rsid w:val="00B378F0"/>
    <w:rsid w:val="00B40FA2"/>
    <w:rsid w:val="00B51305"/>
    <w:rsid w:val="00B55AC0"/>
    <w:rsid w:val="00B67644"/>
    <w:rsid w:val="00B823EB"/>
    <w:rsid w:val="00B90F17"/>
    <w:rsid w:val="00B9142C"/>
    <w:rsid w:val="00B93FA5"/>
    <w:rsid w:val="00BA55AE"/>
    <w:rsid w:val="00BF2412"/>
    <w:rsid w:val="00BF6288"/>
    <w:rsid w:val="00C060C1"/>
    <w:rsid w:val="00C12F02"/>
    <w:rsid w:val="00C35E5A"/>
    <w:rsid w:val="00C36A75"/>
    <w:rsid w:val="00C41723"/>
    <w:rsid w:val="00C41DC4"/>
    <w:rsid w:val="00C4608A"/>
    <w:rsid w:val="00C533A9"/>
    <w:rsid w:val="00C53D67"/>
    <w:rsid w:val="00C657A1"/>
    <w:rsid w:val="00C776E0"/>
    <w:rsid w:val="00C81744"/>
    <w:rsid w:val="00C821A3"/>
    <w:rsid w:val="00CA7E4C"/>
    <w:rsid w:val="00CE541F"/>
    <w:rsid w:val="00D04C83"/>
    <w:rsid w:val="00D222EA"/>
    <w:rsid w:val="00D313FF"/>
    <w:rsid w:val="00D33197"/>
    <w:rsid w:val="00D40C9A"/>
    <w:rsid w:val="00D42539"/>
    <w:rsid w:val="00D511FE"/>
    <w:rsid w:val="00DA28FE"/>
    <w:rsid w:val="00DA5730"/>
    <w:rsid w:val="00DD2F26"/>
    <w:rsid w:val="00DD43A2"/>
    <w:rsid w:val="00DD49B1"/>
    <w:rsid w:val="00DD6136"/>
    <w:rsid w:val="00DD76A4"/>
    <w:rsid w:val="00DD7A37"/>
    <w:rsid w:val="00E02B2F"/>
    <w:rsid w:val="00E04962"/>
    <w:rsid w:val="00E12790"/>
    <w:rsid w:val="00E27F30"/>
    <w:rsid w:val="00E42431"/>
    <w:rsid w:val="00E6539E"/>
    <w:rsid w:val="00E87352"/>
    <w:rsid w:val="00EA0F8F"/>
    <w:rsid w:val="00EB7629"/>
    <w:rsid w:val="00ED1DED"/>
    <w:rsid w:val="00EE4B11"/>
    <w:rsid w:val="00EF6B35"/>
    <w:rsid w:val="00F05580"/>
    <w:rsid w:val="00F10B13"/>
    <w:rsid w:val="00F12960"/>
    <w:rsid w:val="00F17D67"/>
    <w:rsid w:val="00F32392"/>
    <w:rsid w:val="00F34471"/>
    <w:rsid w:val="00F82B75"/>
    <w:rsid w:val="00FA7D59"/>
    <w:rsid w:val="00FB1E84"/>
    <w:rsid w:val="00FC1553"/>
    <w:rsid w:val="00FC3CA1"/>
    <w:rsid w:val="00FD2EC0"/>
    <w:rsid w:val="00FD36B4"/>
    <w:rsid w:val="00FD3F21"/>
    <w:rsid w:val="00FD500E"/>
    <w:rsid w:val="00FE24F5"/>
    <w:rsid w:val="023652F8"/>
    <w:rsid w:val="08ED3989"/>
    <w:rsid w:val="0BA324F6"/>
    <w:rsid w:val="0DE9270E"/>
    <w:rsid w:val="0EAA135B"/>
    <w:rsid w:val="1C4D317B"/>
    <w:rsid w:val="1C8D0766"/>
    <w:rsid w:val="27AB42A3"/>
    <w:rsid w:val="32B86FDC"/>
    <w:rsid w:val="34916BF9"/>
    <w:rsid w:val="37312289"/>
    <w:rsid w:val="39581647"/>
    <w:rsid w:val="3B171863"/>
    <w:rsid w:val="428B4A24"/>
    <w:rsid w:val="43E84E95"/>
    <w:rsid w:val="50110C94"/>
    <w:rsid w:val="52147831"/>
    <w:rsid w:val="53F02B45"/>
    <w:rsid w:val="555624E0"/>
    <w:rsid w:val="62075C87"/>
    <w:rsid w:val="68561868"/>
    <w:rsid w:val="6E106FB6"/>
    <w:rsid w:val="719678A7"/>
    <w:rsid w:val="76AF1A14"/>
    <w:rsid w:val="7753740E"/>
    <w:rsid w:val="7D96461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qFormat="1"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qFormat="1"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qFormat="1"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qFormat="1"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qFormat="1"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12">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Balloon Text"/>
    <w:basedOn w:val="1"/>
    <w:link w:val="15"/>
    <w:unhideWhenUsed/>
    <w:qFormat/>
    <w:uiPriority w:val="99"/>
    <w:rPr>
      <w:sz w:val="18"/>
      <w:szCs w:val="18"/>
    </w:rPr>
  </w:style>
  <w:style w:type="paragraph" w:styleId="3">
    <w:name w:val="footer"/>
    <w:basedOn w:val="1"/>
    <w:link w:val="16"/>
    <w:unhideWhenUsed/>
    <w:qFormat/>
    <w:uiPriority w:val="99"/>
    <w:pPr>
      <w:tabs>
        <w:tab w:val="center" w:pos="4153"/>
        <w:tab w:val="right" w:pos="8306"/>
      </w:tabs>
      <w:snapToGrid w:val="0"/>
      <w:jc w:val="left"/>
    </w:pPr>
    <w:rPr>
      <w:sz w:val="18"/>
      <w:szCs w:val="18"/>
    </w:rPr>
  </w:style>
  <w:style w:type="paragraph" w:styleId="4">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7">
    <w:name w:val="Light Shading"/>
    <w:basedOn w:val="5"/>
    <w:qFormat/>
    <w:uiPriority w:val="60"/>
    <w:rPr>
      <w:color w:val="000000"/>
    </w:rPr>
    <w:tblPr>
      <w:tblBorders>
        <w:top w:val="single" w:color="000000" w:sz="8" w:space="0"/>
        <w:bottom w:val="single" w:color="000000" w:sz="8" w:space="0"/>
      </w:tblBorders>
    </w:tblPr>
    <w:tblStylePr w:type="firstRow">
      <w:pPr>
        <w:spacing w:before="0" w:after="0" w:line="240" w:lineRule="auto"/>
      </w:pPr>
      <w:rPr>
        <w:b/>
        <w:bCs/>
      </w:rPr>
      <w:tblPr/>
      <w:tcPr>
        <w:tcBorders>
          <w:top w:val="single" w:color="000000" w:sz="8" w:space="0"/>
          <w:left w:val="single" w:color="000000" w:sz="8" w:space="0"/>
          <w:bottom w:val="nil"/>
          <w:right w:val="nil"/>
          <w:insideH w:val="nil"/>
          <w:insideV w:val="nil"/>
          <w:tl2br w:val="nil"/>
          <w:tr2bl w:val="nil"/>
        </w:tcBorders>
      </w:tcPr>
    </w:tblStylePr>
    <w:tblStylePr w:type="lastRow">
      <w:pPr>
        <w:spacing w:before="0" w:after="0" w:line="240" w:lineRule="auto"/>
      </w:pPr>
      <w:rPr>
        <w:b/>
        <w:bCs/>
      </w:rPr>
      <w:tblPr/>
      <w:tcPr>
        <w:tcBorders>
          <w:top w:val="single" w:color="000000" w:sz="8" w:space="0"/>
          <w:left w:val="single" w:color="000000" w:sz="8" w:space="0"/>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styleId="8">
    <w:name w:val="Light Shading Accent 2"/>
    <w:basedOn w:val="5"/>
    <w:qFormat/>
    <w:uiPriority w:val="60"/>
    <w:rPr>
      <w:color w:val="943634"/>
    </w:rPr>
    <w:tblPr>
      <w:tblBorders>
        <w:top w:val="single" w:color="C0504D" w:sz="8" w:space="0"/>
        <w:bottom w:val="single" w:color="C0504D" w:sz="8" w:space="0"/>
      </w:tblBorders>
    </w:tblPr>
    <w:tblStylePr w:type="firstRow">
      <w:pPr>
        <w:spacing w:before="0" w:after="0" w:line="240" w:lineRule="auto"/>
      </w:pPr>
      <w:rPr>
        <w:b/>
        <w:bCs/>
      </w:rPr>
      <w:tblPr/>
      <w:tcPr>
        <w:tcBorders>
          <w:top w:val="single" w:color="C0504D" w:sz="8" w:space="0"/>
          <w:left w:val="single" w:color="C0504D" w:sz="8" w:space="0"/>
          <w:bottom w:val="nil"/>
          <w:right w:val="nil"/>
          <w:insideH w:val="nil"/>
          <w:insideV w:val="nil"/>
          <w:tl2br w:val="nil"/>
          <w:tr2bl w:val="nil"/>
        </w:tcBorders>
      </w:tcPr>
    </w:tblStylePr>
    <w:tblStylePr w:type="lastRow">
      <w:pPr>
        <w:spacing w:before="0" w:after="0" w:line="240" w:lineRule="auto"/>
      </w:pPr>
      <w:rPr>
        <w:b/>
        <w:bCs/>
      </w:rPr>
      <w:tblPr/>
      <w:tcPr>
        <w:tcBorders>
          <w:top w:val="single" w:color="C0504D" w:sz="8" w:space="0"/>
          <w:left w:val="single" w:color="C0504D" w:sz="8" w:space="0"/>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EFD3D2"/>
      </w:tcPr>
    </w:tblStylePr>
    <w:tblStylePr w:type="band1Horz">
      <w:tblPr/>
      <w:tcPr>
        <w:tcBorders>
          <w:top w:val="nil"/>
          <w:left w:val="nil"/>
          <w:bottom w:val="nil"/>
          <w:right w:val="nil"/>
          <w:insideH w:val="nil"/>
          <w:insideV w:val="nil"/>
          <w:tl2br w:val="nil"/>
          <w:tr2bl w:val="nil"/>
        </w:tcBorders>
        <w:shd w:val="clear" w:color="auto" w:fill="EFD3D2"/>
      </w:tcPr>
    </w:tblStylePr>
  </w:style>
  <w:style w:type="table" w:styleId="9">
    <w:name w:val="Light Shading Accent 3"/>
    <w:basedOn w:val="5"/>
    <w:qFormat/>
    <w:uiPriority w:val="60"/>
    <w:rPr>
      <w:color w:val="76923C"/>
    </w:rPr>
    <w:tblPr>
      <w:tblBorders>
        <w:top w:val="single" w:color="9BBB59" w:sz="8" w:space="0"/>
        <w:bottom w:val="single" w:color="9BBB59" w:sz="8" w:space="0"/>
      </w:tblBorders>
    </w:tblPr>
    <w:tblStylePr w:type="firstRow">
      <w:pPr>
        <w:spacing w:before="0" w:after="0" w:line="240" w:lineRule="auto"/>
      </w:pPr>
      <w:rPr>
        <w:b/>
        <w:bCs/>
      </w:rPr>
      <w:tblPr/>
      <w:tcPr>
        <w:tcBorders>
          <w:top w:val="single" w:color="9BBB59" w:sz="8" w:space="0"/>
          <w:left w:val="single" w:color="9BBB59" w:sz="8" w:space="0"/>
          <w:bottom w:val="nil"/>
          <w:right w:val="nil"/>
          <w:insideH w:val="nil"/>
          <w:insideV w:val="nil"/>
          <w:tl2br w:val="nil"/>
          <w:tr2bl w:val="nil"/>
        </w:tcBorders>
      </w:tcPr>
    </w:tblStylePr>
    <w:tblStylePr w:type="lastRow">
      <w:pPr>
        <w:spacing w:before="0" w:after="0" w:line="240" w:lineRule="auto"/>
      </w:pPr>
      <w:rPr>
        <w:b/>
        <w:bCs/>
      </w:rPr>
      <w:tblPr/>
      <w:tcPr>
        <w:tcBorders>
          <w:top w:val="single" w:color="9BBB59" w:sz="8" w:space="0"/>
          <w:left w:val="single" w:color="9BBB59" w:sz="8" w:space="0"/>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E6EED5"/>
      </w:tcPr>
    </w:tblStylePr>
    <w:tblStylePr w:type="band1Horz">
      <w:tblPr/>
      <w:tcPr>
        <w:tcBorders>
          <w:top w:val="nil"/>
          <w:left w:val="nil"/>
          <w:bottom w:val="nil"/>
          <w:right w:val="nil"/>
          <w:insideH w:val="nil"/>
          <w:insideV w:val="nil"/>
          <w:tl2br w:val="nil"/>
          <w:tr2bl w:val="nil"/>
        </w:tcBorders>
        <w:shd w:val="clear" w:color="auto" w:fill="E6EED5"/>
      </w:tcPr>
    </w:tblStylePr>
  </w:style>
  <w:style w:type="table" w:styleId="10">
    <w:name w:val="Light Shading Accent 4"/>
    <w:basedOn w:val="5"/>
    <w:qFormat/>
    <w:uiPriority w:val="60"/>
    <w:rPr>
      <w:color w:val="5F497A"/>
    </w:rPr>
    <w:tblPr>
      <w:tblBorders>
        <w:top w:val="single" w:color="8064A2" w:sz="8" w:space="0"/>
        <w:bottom w:val="single" w:color="8064A2" w:sz="8" w:space="0"/>
      </w:tblBorders>
    </w:tblPr>
    <w:tblStylePr w:type="firstRow">
      <w:pPr>
        <w:spacing w:before="0" w:after="0" w:line="240" w:lineRule="auto"/>
      </w:pPr>
      <w:rPr>
        <w:b/>
        <w:bCs/>
      </w:rPr>
      <w:tblPr/>
      <w:tcPr>
        <w:tcBorders>
          <w:top w:val="single" w:color="8064A2" w:sz="8" w:space="0"/>
          <w:left w:val="single" w:color="8064A2" w:sz="8" w:space="0"/>
          <w:bottom w:val="nil"/>
          <w:right w:val="nil"/>
          <w:insideH w:val="nil"/>
          <w:insideV w:val="nil"/>
          <w:tl2br w:val="nil"/>
          <w:tr2bl w:val="nil"/>
        </w:tcBorders>
      </w:tcPr>
    </w:tblStylePr>
    <w:tblStylePr w:type="lastRow">
      <w:pPr>
        <w:spacing w:before="0" w:after="0" w:line="240" w:lineRule="auto"/>
      </w:pPr>
      <w:rPr>
        <w:b/>
        <w:bCs/>
      </w:rPr>
      <w:tblPr/>
      <w:tcPr>
        <w:tcBorders>
          <w:top w:val="single" w:color="8064A2" w:sz="8" w:space="0"/>
          <w:left w:val="single" w:color="8064A2" w:sz="8" w:space="0"/>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FD8E8"/>
      </w:tcPr>
    </w:tblStylePr>
    <w:tblStylePr w:type="band1Horz">
      <w:tblPr/>
      <w:tcPr>
        <w:tcBorders>
          <w:top w:val="nil"/>
          <w:left w:val="nil"/>
          <w:bottom w:val="nil"/>
          <w:right w:val="nil"/>
          <w:insideH w:val="nil"/>
          <w:insideV w:val="nil"/>
          <w:tl2br w:val="nil"/>
          <w:tr2bl w:val="nil"/>
        </w:tcBorders>
        <w:shd w:val="clear" w:color="auto" w:fill="DFD8E8"/>
      </w:tcPr>
    </w:tblStylePr>
  </w:style>
  <w:style w:type="table" w:styleId="11">
    <w:name w:val="Light Shading Accent 5"/>
    <w:basedOn w:val="5"/>
    <w:qFormat/>
    <w:uiPriority w:val="60"/>
    <w:rPr>
      <w:color w:val="31849B"/>
    </w:rPr>
    <w:tblPr>
      <w:tblBorders>
        <w:top w:val="single" w:color="4BACC6" w:sz="8" w:space="0"/>
        <w:bottom w:val="single" w:color="4BACC6" w:sz="8" w:space="0"/>
      </w:tblBorders>
    </w:tblPr>
    <w:tblStylePr w:type="firstRow">
      <w:pPr>
        <w:spacing w:before="0" w:after="0" w:line="240" w:lineRule="auto"/>
      </w:pPr>
      <w:rPr>
        <w:b/>
        <w:bCs/>
      </w:rPr>
      <w:tblPr/>
      <w:tcPr>
        <w:tcBorders>
          <w:top w:val="single" w:color="4BACC6" w:sz="8" w:space="0"/>
          <w:left w:val="single" w:color="4BACC6" w:sz="8" w:space="0"/>
          <w:bottom w:val="nil"/>
          <w:right w:val="nil"/>
          <w:insideH w:val="nil"/>
          <w:insideV w:val="nil"/>
          <w:tl2br w:val="nil"/>
          <w:tr2bl w:val="nil"/>
        </w:tcBorders>
      </w:tcPr>
    </w:tblStylePr>
    <w:tblStylePr w:type="lastRow">
      <w:pPr>
        <w:spacing w:before="0" w:after="0" w:line="240" w:lineRule="auto"/>
      </w:pPr>
      <w:rPr>
        <w:b/>
        <w:bCs/>
      </w:rPr>
      <w:tblPr/>
      <w:tcPr>
        <w:tcBorders>
          <w:top w:val="single" w:color="4BACC6" w:sz="8" w:space="0"/>
          <w:left w:val="single" w:color="4BACC6" w:sz="8" w:space="0"/>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2EAF1"/>
      </w:tcPr>
    </w:tblStylePr>
    <w:tblStylePr w:type="band1Horz">
      <w:tblPr/>
      <w:tcPr>
        <w:tcBorders>
          <w:top w:val="nil"/>
          <w:left w:val="nil"/>
          <w:bottom w:val="nil"/>
          <w:right w:val="nil"/>
          <w:insideH w:val="nil"/>
          <w:insideV w:val="nil"/>
          <w:tl2br w:val="nil"/>
          <w:tr2bl w:val="nil"/>
        </w:tcBorders>
        <w:shd w:val="clear" w:color="auto" w:fill="D2EAF1"/>
      </w:tcPr>
    </w:tblStylePr>
  </w:style>
  <w:style w:type="character" w:styleId="13">
    <w:name w:val="Strong"/>
    <w:qFormat/>
    <w:uiPriority w:val="22"/>
    <w:rPr>
      <w:b/>
      <w:bCs/>
    </w:rPr>
  </w:style>
  <w:style w:type="character" w:styleId="14">
    <w:name w:val="Hyperlink"/>
    <w:basedOn w:val="12"/>
    <w:semiHidden/>
    <w:unhideWhenUsed/>
    <w:qFormat/>
    <w:uiPriority w:val="99"/>
    <w:rPr>
      <w:color w:val="0000FF"/>
      <w:u w:val="single"/>
    </w:rPr>
  </w:style>
  <w:style w:type="character" w:customStyle="1" w:styleId="15">
    <w:name w:val="批注框文本 Char"/>
    <w:link w:val="2"/>
    <w:semiHidden/>
    <w:qFormat/>
    <w:uiPriority w:val="99"/>
    <w:rPr>
      <w:kern w:val="2"/>
      <w:sz w:val="18"/>
      <w:szCs w:val="18"/>
    </w:rPr>
  </w:style>
  <w:style w:type="character" w:customStyle="1" w:styleId="16">
    <w:name w:val="页脚 Char"/>
    <w:link w:val="3"/>
    <w:qFormat/>
    <w:uiPriority w:val="99"/>
    <w:rPr>
      <w:kern w:val="2"/>
      <w:sz w:val="18"/>
      <w:szCs w:val="18"/>
    </w:rPr>
  </w:style>
  <w:style w:type="character" w:customStyle="1" w:styleId="17">
    <w:name w:val="页眉 Char"/>
    <w:link w:val="4"/>
    <w:qFormat/>
    <w:uiPriority w:val="99"/>
    <w:rPr>
      <w:kern w:val="2"/>
      <w:sz w:val="18"/>
      <w:szCs w:val="18"/>
    </w:rPr>
  </w:style>
  <w:style w:type="table" w:customStyle="1" w:styleId="18">
    <w:name w:val="浅色底纹 - 强调文字颜色 11"/>
    <w:basedOn w:val="5"/>
    <w:qFormat/>
    <w:uiPriority w:val="60"/>
    <w:rPr>
      <w:color w:val="365F91"/>
    </w:rPr>
    <w:tblPr>
      <w:tblBorders>
        <w:top w:val="single" w:color="4F81BD" w:sz="8" w:space="0"/>
        <w:bottom w:val="single" w:color="4F81BD" w:sz="8" w:space="0"/>
      </w:tblBorders>
    </w:tblPr>
    <w:tblStylePr w:type="firstRow">
      <w:pPr>
        <w:spacing w:before="0" w:after="0" w:line="240" w:lineRule="auto"/>
      </w:pPr>
      <w:rPr>
        <w:b/>
        <w:bCs/>
      </w:rPr>
      <w:tcPr>
        <w:tcBorders>
          <w:top w:val="single" w:color="4F81BD" w:sz="8" w:space="0"/>
          <w:left w:val="single" w:color="4F81BD" w:sz="8" w:space="0"/>
          <w:bottom w:val="nil"/>
          <w:right w:val="nil"/>
          <w:insideH w:val="nil"/>
          <w:insideV w:val="nil"/>
          <w:tl2br w:val="nil"/>
          <w:tr2bl w:val="nil"/>
        </w:tcBorders>
      </w:tcPr>
    </w:tblStylePr>
    <w:tblStylePr w:type="lastRow">
      <w:pPr>
        <w:spacing w:before="0" w:after="0" w:line="240" w:lineRule="auto"/>
      </w:pPr>
      <w:rPr>
        <w:b/>
        <w:bCs/>
      </w:rPr>
      <w:tcPr>
        <w:tcBorders>
          <w:top w:val="single" w:color="4F81BD" w:sz="8" w:space="0"/>
          <w:left w:val="single" w:color="4F81BD" w:sz="8" w:space="0"/>
          <w:bottom w:val="nil"/>
          <w:right w:val="nil"/>
          <w:insideH w:val="nil"/>
          <w:insideV w:val="nil"/>
          <w:tl2br w:val="nil"/>
          <w:tr2bl w:val="nil"/>
        </w:tcBorders>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D3DFEE"/>
      </w:tcPr>
    </w:tblStylePr>
    <w:tblStylePr w:type="band1Horz">
      <w:tcPr>
        <w:tcBorders>
          <w:top w:val="nil"/>
          <w:left w:val="nil"/>
          <w:bottom w:val="nil"/>
          <w:right w:val="nil"/>
          <w:insideH w:val="nil"/>
          <w:insideV w:val="nil"/>
          <w:tl2br w:val="nil"/>
          <w:tr2bl w:val="nil"/>
        </w:tcBorders>
        <w:shd w:val="clear" w:color="auto" w:fill="D3DFEE"/>
      </w:tcPr>
    </w:tblStylePr>
  </w:style>
  <w:style w:type="paragraph" w:styleId="1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1054</Words>
  <Characters>1117</Characters>
  <Lines>4</Lines>
  <Paragraphs>1</Paragraphs>
  <TotalTime>1</TotalTime>
  <ScaleCrop>false</ScaleCrop>
  <LinksUpToDate>false</LinksUpToDate>
  <CharactersWithSpaces>1271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2014-01-03T03:46:00Z</dcterms:created>
  <dc:creator>柳洋</dc:creator>
  <cp:lastModifiedBy>阳光灿烂</cp:lastModifiedBy>
  <cp:lastPrinted>2024-12-20T03:14:00Z</cp:lastPrinted>
  <dcterms:modified xsi:type="dcterms:W3CDTF">2026-01-07T10:49:36Z</dcterms:modified>
  <cp:revision>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2779A1CA8A404A3F833EBA6BBD92CF4A_13</vt:lpwstr>
  </property>
  <property fmtid="{D5CDD505-2E9C-101B-9397-08002B2CF9AE}" pid="4" name="KSOTemplateDocerSaveRecord">
    <vt:lpwstr>eyJoZGlkIjoiOWZkMGQwODUyZDAzNDQ3YzNhNzcyMzMzOTE2MzEzMzciLCJ1c2VySWQiOiIxMTMzMTUyMTI0In0=</vt:lpwstr>
  </property>
</Properties>
</file>