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膜分离系统</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3F0F434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正压过滤，耐受的最大压力≥6.2 bar；</w:t>
      </w:r>
    </w:p>
    <w:p w14:paraId="4795464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主体材质为硼硅酸盐玻璃；</w:t>
      </w:r>
    </w:p>
    <w:p w14:paraId="44B6B85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具有磁力搅拌棒，可兼容磁力搅拌器；</w:t>
      </w:r>
    </w:p>
    <w:p w14:paraId="1C62400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工作温度4-40℃；</w:t>
      </w:r>
    </w:p>
    <w:p w14:paraId="2F2ED84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灭菌方式：高温高压灭菌；</w:t>
      </w:r>
    </w:p>
    <w:p w14:paraId="0040166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单次工作体积≥10-300mL；</w:t>
      </w:r>
    </w:p>
    <w:p w14:paraId="35A7510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最大截留体积 ≤1mL；</w:t>
      </w:r>
    </w:p>
    <w:p w14:paraId="6EDCE99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搭配超滤膜片或微滤膜片，过滤面积≥40cm2；</w:t>
      </w:r>
    </w:p>
    <w:p w14:paraId="5069E4E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可提供至少两种材质的超滤膜片</w:t>
      </w:r>
    </w:p>
    <w:p w14:paraId="5A229CD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超滤膜分子量可以覆盖1到500NMWL(K)范围，至少能提供6种分子量选择；</w:t>
      </w:r>
    </w:p>
    <w:p w14:paraId="7CE7DDE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微滤膜片可以提供0.1μm、0.22μm、0.45μm三种规格；</w:t>
      </w:r>
    </w:p>
    <w:p w14:paraId="40EAC4E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rPr>
        <w:t>设备包含：</w:t>
      </w:r>
      <w:r>
        <w:rPr>
          <w:rFonts w:hint="eastAsia"/>
          <w:sz w:val="30"/>
          <w:szCs w:val="30"/>
          <w:lang w:val="en-US" w:eastAsia="zh-CN"/>
        </w:rPr>
        <w:t>316L不锈钢</w:t>
      </w:r>
      <w:r>
        <w:rPr>
          <w:rFonts w:hint="eastAsia"/>
          <w:sz w:val="30"/>
          <w:szCs w:val="30"/>
        </w:rPr>
        <w:t>盖子</w:t>
      </w:r>
      <w:r>
        <w:rPr>
          <w:rFonts w:hint="eastAsia"/>
          <w:sz w:val="30"/>
          <w:szCs w:val="30"/>
          <w:lang w:val="en-US" w:eastAsia="zh-CN"/>
        </w:rPr>
        <w:t>和316</w:t>
      </w:r>
      <w:bookmarkStart w:id="0" w:name="_GoBack"/>
      <w:bookmarkEnd w:id="0"/>
      <w:r>
        <w:rPr>
          <w:rFonts w:hint="eastAsia"/>
          <w:sz w:val="30"/>
          <w:szCs w:val="30"/>
          <w:lang w:val="en-US" w:eastAsia="zh-CN"/>
        </w:rPr>
        <w:t>L不锈钢底座</w:t>
      </w:r>
      <w:r>
        <w:rPr>
          <w:rFonts w:hint="eastAsia"/>
          <w:sz w:val="30"/>
          <w:szCs w:val="30"/>
        </w:rPr>
        <w:t>、垫圈、磁力搅拌棒、杯体、O型环（密封圈）、滤膜支撑圈以及液体导管</w:t>
      </w: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CA5352F"/>
    <w:rsid w:val="0DE9270E"/>
    <w:rsid w:val="1C4D317B"/>
    <w:rsid w:val="1DDB508D"/>
    <w:rsid w:val="27AB42A3"/>
    <w:rsid w:val="34916BF9"/>
    <w:rsid w:val="37312289"/>
    <w:rsid w:val="386350EF"/>
    <w:rsid w:val="39581647"/>
    <w:rsid w:val="3B171863"/>
    <w:rsid w:val="53F02B45"/>
    <w:rsid w:val="555624E0"/>
    <w:rsid w:val="62075C87"/>
    <w:rsid w:val="68561868"/>
    <w:rsid w:val="69CE70C2"/>
    <w:rsid w:val="6DFA0A0B"/>
    <w:rsid w:val="6E6669E4"/>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0</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2026-01-06T02:12:15Z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