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E79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spacing w:before="163" w:line="226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1"/>
          <w:szCs w:val="31"/>
          <w:highlight w:val="none"/>
          <w:lang w:val="en-US" w:eastAsia="zh-CN"/>
        </w:rPr>
      </w:pPr>
      <w:bookmarkStart w:id="0" w:name="_Toc3044"/>
      <w:r>
        <w:rPr>
          <w:rFonts w:hint="eastAsia" w:ascii="宋体" w:hAnsi="宋体" w:eastAsia="宋体" w:cs="宋体"/>
          <w:b/>
          <w:bCs/>
          <w:color w:val="auto"/>
          <w:sz w:val="31"/>
          <w:szCs w:val="31"/>
          <w:highlight w:val="none"/>
          <w:lang w:val="en-US" w:eastAsia="zh-CN"/>
        </w:rPr>
        <w:t>附件</w:t>
      </w:r>
    </w:p>
    <w:p w14:paraId="339F5F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spacing w:before="163" w:line="226" w:lineRule="auto"/>
        <w:ind w:left="2116"/>
        <w:outlineLvl w:val="0"/>
        <w:rPr>
          <w:rFonts w:hint="eastAsia" w:ascii="宋体" w:hAnsi="宋体" w:eastAsia="宋体" w:cs="宋体"/>
          <w:color w:val="auto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1"/>
          <w:szCs w:val="31"/>
          <w:highlight w:val="none"/>
        </w:rPr>
        <w:t>第二章</w:t>
      </w:r>
      <w:r>
        <w:rPr>
          <w:rFonts w:hint="eastAsia" w:ascii="宋体" w:hAnsi="宋体" w:eastAsia="宋体" w:cs="宋体"/>
          <w:color w:val="auto"/>
          <w:sz w:val="31"/>
          <w:szCs w:val="31"/>
          <w:highlight w:val="none"/>
        </w:rPr>
        <w:t xml:space="preserve"> 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sz w:val="31"/>
          <w:szCs w:val="31"/>
          <w:highlight w:val="none"/>
        </w:rPr>
        <w:t>项目名称、内容和要求</w:t>
      </w:r>
      <w:bookmarkEnd w:id="0"/>
    </w:p>
    <w:p w14:paraId="0E1896E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7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8"/>
          <w:sz w:val="24"/>
          <w:szCs w:val="24"/>
          <w:highlight w:val="none"/>
        </w:rPr>
        <w:t>1、项目名称</w:t>
      </w:r>
    </w:p>
    <w:p w14:paraId="7454B40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 w:right="129" w:firstLine="553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河南新桥烟草科技服务有限公司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行业烟用香精香料研发生产平台建设项目全过程跟踪审计项目</w:t>
      </w:r>
    </w:p>
    <w:p w14:paraId="1CA0F1C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工程概况</w:t>
      </w:r>
    </w:p>
    <w:p w14:paraId="27493E9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" w:firstLine="476" w:firstLineChars="200"/>
        <w:textAlignment w:val="baseline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总投资额为62800万元，项目建设内容包括购置土地及建筑物和配套设施设备，新建柔性调配车间(甲类)、智能立体仓库、综合实验楼、充电棚、门卫房，购置功能性香基柔性调配生产线，购置香原料精制设备，配套建设通用香原料、功能性香基成品智能化仓储物流系统，购置烟用香精香料研发和品控等实验室设施设备，配套建设给排水、暖通、配电等公用设施及环保、节能、消防、安全、职业卫生等设施，配套建设弱电及智能化、信息化系统，配套建设道路广场、室外管线、景观绿化等室外工程等。</w:t>
      </w:r>
    </w:p>
    <w:p w14:paraId="5EAA323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"/>
        <w:textAlignment w:val="baseline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  <w:t>3、审计咨询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  <w:t>范围及内容：</w:t>
      </w:r>
    </w:p>
    <w:p w14:paraId="67EDB3B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根据《烟草行业工程审计管理办法及实施细则》（国烟审〔2020〕180号）、《烟草行业工程审计中介机构使用考评管理办法》（国烟办综〔2015〕22号）及相关工程审计文件及规定，对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河南新桥烟草科技服务有限公司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行业烟用香精香料研发生产平台建设项目进行全过程跟踪审计，包括前期管理制度完善的咨询服务、工程量清单编制开始到工程结算的全部造价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咨询服务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按要求出具竣工结算审计报告和管理审计报告。主要内容包括但不限于下述八方面审计：</w:t>
      </w:r>
    </w:p>
    <w:p w14:paraId="5268667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立项和初步设计阶段审计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对工程建设项目投资决策执行情况、初步设计及概算编制完备性等内容进行审查和评价。重点关注：投资的真实性、合理性；决策程序及内容的合规性；立项报告、初步设计方案及概算的可行性、完整性、合规性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0C4E5BB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施工图设计阶段审计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对工程建设项目施工图设计的完备性、经济性、合理性等内容进行审查和评价。重点关注：施工图设计深度；图纸会审、技术交底程序的合规性；设计文件的规范性、完整性；施工图预算编制依据的合法性、有效性；施工图预算编制的完整性、合理性、合规性等。</w:t>
      </w:r>
    </w:p>
    <w:p w14:paraId="0A6E15A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招投标环节审计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对工程建设各项业务采购环节进行审查和评价。重点关注：采购环节内部控制及风险管理的适当性、合法性和有效性；采购方式决策的合规性；招标控制价制定的合理性；招标文件的合规性；招投标及其他采购方式执行过程及其结果的真实性、合法性和公正性等。</w:t>
      </w:r>
    </w:p>
    <w:p w14:paraId="2234E20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合同管理环节审计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对工程建设过程中各专项合同内容的审查和评价。重点关注：合同管理环节的内部控制及风险管理的适当性、合法性和有效性；合同条款的完备性；合同（含补充协议）签订、履行、变更、终止的真实性、合法性以及合同（含补充协议）对整个项目投资经济性的影响等。</w:t>
      </w:r>
    </w:p>
    <w:p w14:paraId="2865C56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施工阶段审计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对工程建设项目实施过程进行审查和评价。重点关注：工程管理环节内部控制及风险管理的适当性和有效性；进度控制、质量控制、投资控制的有效性；设计变更、现场签证的真实性、合理性、合法性等。</w:t>
      </w:r>
    </w:p>
    <w:p w14:paraId="1016630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竣工验收阶段审计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对已完工程建设项目的验收及整体运营情况进行审查和评价。重点关注：工程结算的真实性、合理性；交付资产的建设产能、建设规模、建设内容、建设标准与立项批复、初步设计批复的一致性；交付资产的完整性、工程建设其他投资及预备费的使用情况等。</w:t>
      </w:r>
    </w:p>
    <w:p w14:paraId="549BB1C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工程进度款的审核：根据工程进度，审核实物工程量及工程进度款。重点关注：是否符合申报程序，所报进度是否与实际工程进度及实物工程量相符，计量计价方式及支付办法是否与合同约定相符，是否存在重复申报或将委托人直接采购的材料、设备虚报的现象，工程预付款是否按合同约定比例支付和扣回等。</w:t>
      </w:r>
    </w:p>
    <w:p w14:paraId="35F0B0D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索赔费用的审核：在施工过程中，对可能引起索赔的因素重点跟踪，并及时提供相关审计咨询建议，力求避免索赔事件的发生。对已经发生的索赔事件，根据合同的约定，及时做好事件发生、发展、终结等相关记录，必要时现场拍照，收集相关证据。</w:t>
      </w:r>
    </w:p>
    <w:p w14:paraId="3E3B41C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工程量清单和控制价审核，必须提供详细的工程量计算底稿，即和编制清单和控制价的中介机构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  <w:t>背靠背编制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。</w:t>
      </w:r>
    </w:p>
    <w:p w14:paraId="329DB627">
      <w:pPr>
        <w:pStyle w:val="2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涉及到询价的相关工作，供应商须独立完成并提供相应的询价成果文件。</w:t>
      </w:r>
    </w:p>
    <w:p w14:paraId="1973BEE4">
      <w:pPr>
        <w:pStyle w:val="2"/>
        <w:rPr>
          <w:rFonts w:hint="eastAsia"/>
          <w:color w:val="auto"/>
          <w:highlight w:val="none"/>
        </w:rPr>
      </w:pPr>
    </w:p>
    <w:p w14:paraId="291C26D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t>4、参加此次谈判的供应商需具备的资质和要求：</w:t>
      </w:r>
    </w:p>
    <w:p w14:paraId="2E528CF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7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</w:rPr>
        <w:t>详见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第一章“竞争谈判公告”中“3、供应商资格条件”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的规定</w:t>
      </w:r>
      <w:r>
        <w:rPr>
          <w:rFonts w:hint="eastAsia" w:ascii="宋体" w:hAnsi="宋体" w:eastAsia="宋体" w:cs="宋体"/>
          <w:color w:val="auto"/>
          <w:spacing w:val="7"/>
          <w:sz w:val="24"/>
          <w:szCs w:val="24"/>
          <w:highlight w:val="none"/>
          <w:lang w:eastAsia="zh-CN"/>
        </w:rPr>
        <w:t>。</w:t>
      </w:r>
    </w:p>
    <w:p w14:paraId="470F89C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5、对本项目的技术要求：</w:t>
      </w:r>
    </w:p>
    <w:p w14:paraId="6EA0975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" w:firstLine="464" w:firstLineChars="200"/>
        <w:textAlignment w:val="baseline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4"/>
          <w:sz w:val="24"/>
          <w:szCs w:val="24"/>
          <w:highlight w:val="none"/>
        </w:rPr>
        <w:t>符合法律法规及国家、行业、地方、技术标准、规范及政策要求，满足采购人要求，确保审计成果的真实性、合法性、准确性和完整性。</w:t>
      </w:r>
    </w:p>
    <w:p w14:paraId="1F9DF93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6、报价要求：</w:t>
      </w:r>
    </w:p>
    <w:p w14:paraId="496B254A"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4" w:firstLineChars="200"/>
        <w:textAlignment w:val="baseline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24"/>
          <w:szCs w:val="24"/>
          <w:highlight w:val="none"/>
          <w:lang w:eastAsia="zh-CN"/>
        </w:rPr>
        <w:t>本项目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24"/>
          <w:szCs w:val="24"/>
          <w:highlight w:val="none"/>
          <w:lang w:val="en-US" w:eastAsia="zh-CN"/>
        </w:rPr>
        <w:t>招标采用投标费率（折扣率）方式进行，投标限价为100%。供应商的投标费率（折扣率）不得超过最高限价，若投标费率（折扣率）超过最高限价（即100%），采购人将拒绝其投标。</w:t>
      </w:r>
    </w:p>
    <w:p w14:paraId="2AD7D0C3">
      <w:pPr>
        <w:numPr>
          <w:ilvl w:val="0"/>
          <w:numId w:val="2"/>
        </w:numPr>
        <w:spacing w:line="360" w:lineRule="auto"/>
        <w:ind w:firstLine="472" w:firstLineChars="200"/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供应商的服务酬金按以下方式结算：以投标费率（折扣率）乘以本计算方式中约定的费率，最终得出服务酬金。【计算方式：服务酬金 = 概算审核费 × 投标折扣率（概算） + 基本收费 × 投标折扣率（基本） + 效益收费 × 投标折扣率（效益）】</w:t>
      </w:r>
    </w:p>
    <w:p w14:paraId="071E447D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2" w:firstLineChars="200"/>
        <w:textAlignment w:val="baseline"/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其中，概算审核费、基本收费根据约定的差额累进费率及经确认的实际投资额计算得出；效益收费 = 审减（增）额 × 6%。各项投标折扣率即为供应商二次报价时填报的折扣率。</w:t>
      </w:r>
    </w:p>
    <w:p w14:paraId="33A31BA2">
      <w:pPr>
        <w:keepNext w:val="0"/>
        <w:keepLines w:val="0"/>
        <w:pageBreakBefore w:val="0"/>
        <w:widowControl/>
        <w:numPr>
          <w:ilvl w:val="0"/>
          <w:numId w:val="0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2" w:firstLineChars="200"/>
        <w:textAlignment w:val="baseline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服务酬金为完成合同约定业务内容对应的全部酬金，具体如下：</w:t>
      </w:r>
    </w:p>
    <w:p w14:paraId="7F9F857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①概算审核费 </w:t>
      </w:r>
    </w:p>
    <w:p w14:paraId="005DC21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概算审核费以成交供应商最终出具概算审核报告确认的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建设项目总投资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为计费基数，并经双方确认。计费费率为差额累进费率，具体为：</w:t>
      </w:r>
    </w:p>
    <w:tbl>
      <w:tblPr>
        <w:tblStyle w:val="20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96"/>
        <w:gridCol w:w="1913"/>
        <w:gridCol w:w="2043"/>
        <w:gridCol w:w="1266"/>
        <w:gridCol w:w="1397"/>
      </w:tblGrid>
      <w:tr w14:paraId="2876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66" w:type="dxa"/>
            <w:noWrap w:val="0"/>
            <w:vAlign w:val="center"/>
          </w:tcPr>
          <w:p w14:paraId="3DA547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计费基数</w:t>
            </w:r>
          </w:p>
        </w:tc>
        <w:tc>
          <w:tcPr>
            <w:tcW w:w="1396" w:type="dxa"/>
            <w:noWrap w:val="0"/>
            <w:vAlign w:val="center"/>
          </w:tcPr>
          <w:p w14:paraId="3924C1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≤500万元</w:t>
            </w:r>
          </w:p>
        </w:tc>
        <w:tc>
          <w:tcPr>
            <w:tcW w:w="1913" w:type="dxa"/>
            <w:noWrap w:val="0"/>
            <w:vAlign w:val="center"/>
          </w:tcPr>
          <w:p w14:paraId="75B052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500～5000万元</w:t>
            </w:r>
          </w:p>
        </w:tc>
        <w:tc>
          <w:tcPr>
            <w:tcW w:w="2043" w:type="dxa"/>
            <w:noWrap w:val="0"/>
            <w:vAlign w:val="center"/>
          </w:tcPr>
          <w:p w14:paraId="1DB8AC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5千万元～1亿元</w:t>
            </w:r>
          </w:p>
        </w:tc>
        <w:tc>
          <w:tcPr>
            <w:tcW w:w="1266" w:type="dxa"/>
            <w:noWrap w:val="0"/>
            <w:vAlign w:val="center"/>
          </w:tcPr>
          <w:p w14:paraId="67F2E3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1～5亿元</w:t>
            </w:r>
          </w:p>
        </w:tc>
        <w:tc>
          <w:tcPr>
            <w:tcW w:w="1397" w:type="dxa"/>
            <w:noWrap w:val="0"/>
            <w:vAlign w:val="center"/>
          </w:tcPr>
          <w:p w14:paraId="6A07E6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亿元</w:t>
            </w:r>
          </w:p>
        </w:tc>
      </w:tr>
      <w:tr w14:paraId="4F93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66" w:type="dxa"/>
            <w:noWrap w:val="0"/>
            <w:vAlign w:val="center"/>
          </w:tcPr>
          <w:p w14:paraId="150B92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费率</w:t>
            </w:r>
          </w:p>
        </w:tc>
        <w:tc>
          <w:tcPr>
            <w:tcW w:w="1396" w:type="dxa"/>
            <w:noWrap/>
            <w:vAlign w:val="top"/>
          </w:tcPr>
          <w:p w14:paraId="225673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‰</w:t>
            </w:r>
          </w:p>
        </w:tc>
        <w:tc>
          <w:tcPr>
            <w:tcW w:w="1913" w:type="dxa"/>
            <w:noWrap/>
            <w:vAlign w:val="top"/>
          </w:tcPr>
          <w:p w14:paraId="62CD69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‰</w:t>
            </w:r>
          </w:p>
        </w:tc>
        <w:tc>
          <w:tcPr>
            <w:tcW w:w="2043" w:type="dxa"/>
            <w:noWrap/>
            <w:vAlign w:val="top"/>
          </w:tcPr>
          <w:p w14:paraId="588A36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‰</w:t>
            </w:r>
          </w:p>
        </w:tc>
        <w:tc>
          <w:tcPr>
            <w:tcW w:w="1266" w:type="dxa"/>
            <w:noWrap w:val="0"/>
            <w:vAlign w:val="top"/>
          </w:tcPr>
          <w:p w14:paraId="12A803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‰</w:t>
            </w:r>
          </w:p>
        </w:tc>
        <w:tc>
          <w:tcPr>
            <w:tcW w:w="1397" w:type="dxa"/>
            <w:noWrap w:val="0"/>
            <w:vAlign w:val="top"/>
          </w:tcPr>
          <w:p w14:paraId="245653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‰</w:t>
            </w:r>
          </w:p>
        </w:tc>
      </w:tr>
    </w:tbl>
    <w:p w14:paraId="6234447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基本收费</w:t>
      </w:r>
    </w:p>
    <w:p w14:paraId="4C3D8DC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基本费用以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最终出具工程结算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报告确认的总投资额作为计费基数，并经双方确认。总投资额须扣除土地费用及政府规费，专卖设备、工程建设其他费用（如设计费、监理费、咨询费等二类费用）按20%的折扣计取。</w:t>
      </w:r>
    </w:p>
    <w:p w14:paraId="50D0D06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计费费率为差额累进费率，具体为： </w:t>
      </w:r>
    </w:p>
    <w:tbl>
      <w:tblPr>
        <w:tblStyle w:val="20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96"/>
        <w:gridCol w:w="1913"/>
        <w:gridCol w:w="2043"/>
        <w:gridCol w:w="1266"/>
        <w:gridCol w:w="1397"/>
      </w:tblGrid>
      <w:tr w14:paraId="3389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66" w:type="dxa"/>
            <w:noWrap w:val="0"/>
            <w:vAlign w:val="center"/>
          </w:tcPr>
          <w:p w14:paraId="316BB9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计费基数</w:t>
            </w:r>
          </w:p>
        </w:tc>
        <w:tc>
          <w:tcPr>
            <w:tcW w:w="1396" w:type="dxa"/>
            <w:noWrap w:val="0"/>
            <w:vAlign w:val="center"/>
          </w:tcPr>
          <w:p w14:paraId="496318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≤500万元</w:t>
            </w:r>
          </w:p>
        </w:tc>
        <w:tc>
          <w:tcPr>
            <w:tcW w:w="1913" w:type="dxa"/>
            <w:noWrap w:val="0"/>
            <w:vAlign w:val="center"/>
          </w:tcPr>
          <w:p w14:paraId="05D9A5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500～5000万元</w:t>
            </w:r>
          </w:p>
        </w:tc>
        <w:tc>
          <w:tcPr>
            <w:tcW w:w="2043" w:type="dxa"/>
            <w:noWrap w:val="0"/>
            <w:vAlign w:val="center"/>
          </w:tcPr>
          <w:p w14:paraId="74C9B6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5千万元～1亿元</w:t>
            </w:r>
          </w:p>
        </w:tc>
        <w:tc>
          <w:tcPr>
            <w:tcW w:w="1266" w:type="dxa"/>
            <w:noWrap w:val="0"/>
            <w:vAlign w:val="center"/>
          </w:tcPr>
          <w:p w14:paraId="0FEF55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1～5亿元</w:t>
            </w:r>
          </w:p>
        </w:tc>
        <w:tc>
          <w:tcPr>
            <w:tcW w:w="1397" w:type="dxa"/>
            <w:noWrap w:val="0"/>
            <w:vAlign w:val="center"/>
          </w:tcPr>
          <w:p w14:paraId="5B50F2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亿元</w:t>
            </w:r>
          </w:p>
        </w:tc>
      </w:tr>
      <w:tr w14:paraId="15F9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66" w:type="dxa"/>
            <w:noWrap w:val="0"/>
            <w:vAlign w:val="center"/>
          </w:tcPr>
          <w:p w14:paraId="74AA68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费率</w:t>
            </w:r>
          </w:p>
        </w:tc>
        <w:tc>
          <w:tcPr>
            <w:tcW w:w="1396" w:type="dxa"/>
            <w:noWrap/>
            <w:vAlign w:val="top"/>
          </w:tcPr>
          <w:p w14:paraId="2CDEBB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12‰</w:t>
            </w:r>
          </w:p>
        </w:tc>
        <w:tc>
          <w:tcPr>
            <w:tcW w:w="1913" w:type="dxa"/>
            <w:noWrap/>
            <w:vAlign w:val="top"/>
          </w:tcPr>
          <w:p w14:paraId="79AB96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10‰</w:t>
            </w:r>
          </w:p>
        </w:tc>
        <w:tc>
          <w:tcPr>
            <w:tcW w:w="2043" w:type="dxa"/>
            <w:noWrap/>
            <w:vAlign w:val="top"/>
          </w:tcPr>
          <w:p w14:paraId="63D48F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9‰</w:t>
            </w:r>
          </w:p>
        </w:tc>
        <w:tc>
          <w:tcPr>
            <w:tcW w:w="1266" w:type="dxa"/>
            <w:noWrap w:val="0"/>
            <w:vAlign w:val="top"/>
          </w:tcPr>
          <w:p w14:paraId="277AA3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5‰</w:t>
            </w:r>
          </w:p>
        </w:tc>
        <w:tc>
          <w:tcPr>
            <w:tcW w:w="1397" w:type="dxa"/>
            <w:noWrap w:val="0"/>
            <w:vAlign w:val="top"/>
          </w:tcPr>
          <w:p w14:paraId="1330B1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3‰</w:t>
            </w:r>
          </w:p>
        </w:tc>
      </w:tr>
    </w:tbl>
    <w:p w14:paraId="6EAD6A9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效益收费</w:t>
      </w:r>
    </w:p>
    <w:p w14:paraId="76F2964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效益收费为审减（增）额的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%。效益收费的审减（增）额包括对清单、控制价、变更洽商、材料设备价格、竣工结算以及合理化建议节约额等。其中过程控制中审减额不得在结算时重复计取。竣工结算审减额以受托方最终出具的工程结算审计报告为准。主材、设备价格的审减原则上必须取得施工单位、建设单位、监理公司等认可，且审定价格必须有充分依据。</w:t>
      </w:r>
    </w:p>
    <w:p w14:paraId="58D5B35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报价的其他事项</w:t>
      </w:r>
    </w:p>
    <w:p w14:paraId="2F059FC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en-US"/>
        </w:rPr>
        <w:t>本项目投标报价及合同支付、结算均采用人民币为计量单位。</w:t>
      </w:r>
    </w:p>
    <w:p w14:paraId="13DB995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en-US"/>
        </w:rPr>
        <w:t>投标报价时依据本次采购范围、项目需求及供应商自身的技术实力、经验、企业成本、管理水平和现行市场行情，充分考虑各种风险因素，根据供应商实力，合理自主优惠报价，但不得低于企业成本。</w:t>
      </w:r>
    </w:p>
    <w:p w14:paraId="579FB5E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0" w:firstLineChars="196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en-US"/>
        </w:rPr>
        <w:t>投标报价如有错漏或项目实施过程中发生其它费用概由供应商负责。供应商只能提出一个不变价格，采购人不接受任何选择价。</w:t>
      </w:r>
    </w:p>
    <w:p w14:paraId="61870A8A">
      <w:pPr>
        <w:ind w:firstLine="480" w:firstLineChars="200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en-US"/>
        </w:rPr>
        <w:t>中标价格是履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行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合同期间发生的其他费用及一切完成本项目所需的相关全部费用。</w:t>
      </w:r>
    </w:p>
    <w:p w14:paraId="4799E9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896C2"/>
    <w:multiLevelType w:val="singleLevel"/>
    <w:tmpl w:val="C74896C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6847F11"/>
    <w:multiLevelType w:val="singleLevel"/>
    <w:tmpl w:val="56847F1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35529"/>
    <w:rsid w:val="021B4A75"/>
    <w:rsid w:val="023A58FE"/>
    <w:rsid w:val="033914D9"/>
    <w:rsid w:val="03FC445E"/>
    <w:rsid w:val="05203AB6"/>
    <w:rsid w:val="05A755CC"/>
    <w:rsid w:val="05C15F55"/>
    <w:rsid w:val="05D2339B"/>
    <w:rsid w:val="05DB1741"/>
    <w:rsid w:val="06041989"/>
    <w:rsid w:val="06313AA6"/>
    <w:rsid w:val="063D2F0C"/>
    <w:rsid w:val="072C74C1"/>
    <w:rsid w:val="078F6B42"/>
    <w:rsid w:val="07940CF0"/>
    <w:rsid w:val="07E51AAD"/>
    <w:rsid w:val="089A695D"/>
    <w:rsid w:val="09C26708"/>
    <w:rsid w:val="0A03621B"/>
    <w:rsid w:val="0D2C0761"/>
    <w:rsid w:val="161B559A"/>
    <w:rsid w:val="168A5C65"/>
    <w:rsid w:val="18805B2E"/>
    <w:rsid w:val="18B3705E"/>
    <w:rsid w:val="18E45469"/>
    <w:rsid w:val="194D0DD5"/>
    <w:rsid w:val="19E35529"/>
    <w:rsid w:val="1AB85319"/>
    <w:rsid w:val="1ACE62BE"/>
    <w:rsid w:val="1B647695"/>
    <w:rsid w:val="1DEF25AD"/>
    <w:rsid w:val="1F564648"/>
    <w:rsid w:val="1F5D5579"/>
    <w:rsid w:val="20A1260C"/>
    <w:rsid w:val="20BF5D61"/>
    <w:rsid w:val="21067DB2"/>
    <w:rsid w:val="21A56DD7"/>
    <w:rsid w:val="21F21B49"/>
    <w:rsid w:val="22425CF7"/>
    <w:rsid w:val="23550258"/>
    <w:rsid w:val="238563D6"/>
    <w:rsid w:val="24B77ED6"/>
    <w:rsid w:val="256176D7"/>
    <w:rsid w:val="25A77F4A"/>
    <w:rsid w:val="25BB6AEC"/>
    <w:rsid w:val="2604539D"/>
    <w:rsid w:val="26D31F58"/>
    <w:rsid w:val="2753038A"/>
    <w:rsid w:val="277E551B"/>
    <w:rsid w:val="281343BC"/>
    <w:rsid w:val="287D6F1A"/>
    <w:rsid w:val="288F3B95"/>
    <w:rsid w:val="28B37B16"/>
    <w:rsid w:val="28C45FD5"/>
    <w:rsid w:val="29CD4D18"/>
    <w:rsid w:val="2B5957D6"/>
    <w:rsid w:val="2C0C0B07"/>
    <w:rsid w:val="2C1515ED"/>
    <w:rsid w:val="2C862667"/>
    <w:rsid w:val="2D0668E8"/>
    <w:rsid w:val="2D4F6EF6"/>
    <w:rsid w:val="2D8524C7"/>
    <w:rsid w:val="2DD42276"/>
    <w:rsid w:val="2DFE46ED"/>
    <w:rsid w:val="2F19035F"/>
    <w:rsid w:val="2F5467CC"/>
    <w:rsid w:val="2FCA189C"/>
    <w:rsid w:val="36635968"/>
    <w:rsid w:val="36B87DE8"/>
    <w:rsid w:val="36FB3FC0"/>
    <w:rsid w:val="376D0801"/>
    <w:rsid w:val="37757A8B"/>
    <w:rsid w:val="3AFC2808"/>
    <w:rsid w:val="3BA50921"/>
    <w:rsid w:val="3C3E5466"/>
    <w:rsid w:val="3C3F0FEF"/>
    <w:rsid w:val="3C652412"/>
    <w:rsid w:val="3CE4419E"/>
    <w:rsid w:val="3D877BAA"/>
    <w:rsid w:val="3E1E4648"/>
    <w:rsid w:val="3E4A7954"/>
    <w:rsid w:val="3EEF2EA7"/>
    <w:rsid w:val="411063D7"/>
    <w:rsid w:val="41260750"/>
    <w:rsid w:val="420E7F0F"/>
    <w:rsid w:val="42A367ED"/>
    <w:rsid w:val="44BE0C76"/>
    <w:rsid w:val="4544045B"/>
    <w:rsid w:val="4609146B"/>
    <w:rsid w:val="46152F39"/>
    <w:rsid w:val="46575514"/>
    <w:rsid w:val="473A07C7"/>
    <w:rsid w:val="477737C9"/>
    <w:rsid w:val="47DF7F53"/>
    <w:rsid w:val="486A26DD"/>
    <w:rsid w:val="49635483"/>
    <w:rsid w:val="4A223FAD"/>
    <w:rsid w:val="4C0C58FB"/>
    <w:rsid w:val="4CB44E46"/>
    <w:rsid w:val="4D09797C"/>
    <w:rsid w:val="4D9D4296"/>
    <w:rsid w:val="4E9817C1"/>
    <w:rsid w:val="4FE07EEE"/>
    <w:rsid w:val="5030605F"/>
    <w:rsid w:val="516625FC"/>
    <w:rsid w:val="519D207E"/>
    <w:rsid w:val="52247E9D"/>
    <w:rsid w:val="537868FE"/>
    <w:rsid w:val="54411407"/>
    <w:rsid w:val="56AD37D9"/>
    <w:rsid w:val="57395D79"/>
    <w:rsid w:val="57722DF9"/>
    <w:rsid w:val="57C245EC"/>
    <w:rsid w:val="58604D95"/>
    <w:rsid w:val="59684D1F"/>
    <w:rsid w:val="59C4508E"/>
    <w:rsid w:val="5AB741B0"/>
    <w:rsid w:val="5AED7BFD"/>
    <w:rsid w:val="5C882FDD"/>
    <w:rsid w:val="5C891B7C"/>
    <w:rsid w:val="5D1458EA"/>
    <w:rsid w:val="5E1A3ACD"/>
    <w:rsid w:val="5EC9593A"/>
    <w:rsid w:val="5F2636B2"/>
    <w:rsid w:val="5FC402E5"/>
    <w:rsid w:val="5FC51F39"/>
    <w:rsid w:val="61A97E84"/>
    <w:rsid w:val="632B0F7E"/>
    <w:rsid w:val="637A27BA"/>
    <w:rsid w:val="63A75F41"/>
    <w:rsid w:val="63BD75BB"/>
    <w:rsid w:val="6423511C"/>
    <w:rsid w:val="645A50D6"/>
    <w:rsid w:val="64830495"/>
    <w:rsid w:val="64B17363"/>
    <w:rsid w:val="64BB489D"/>
    <w:rsid w:val="65086AE7"/>
    <w:rsid w:val="65553E59"/>
    <w:rsid w:val="65672EDF"/>
    <w:rsid w:val="65931376"/>
    <w:rsid w:val="66044934"/>
    <w:rsid w:val="661A594A"/>
    <w:rsid w:val="66630D48"/>
    <w:rsid w:val="66836A47"/>
    <w:rsid w:val="66A32411"/>
    <w:rsid w:val="67F07212"/>
    <w:rsid w:val="687462FE"/>
    <w:rsid w:val="68CE7CF6"/>
    <w:rsid w:val="6A1875BD"/>
    <w:rsid w:val="6A2E7AC1"/>
    <w:rsid w:val="6ACA5C71"/>
    <w:rsid w:val="6B064BC4"/>
    <w:rsid w:val="6C15726E"/>
    <w:rsid w:val="6CE16E6B"/>
    <w:rsid w:val="6D156B14"/>
    <w:rsid w:val="6D760068"/>
    <w:rsid w:val="6E34121C"/>
    <w:rsid w:val="6E7F53D5"/>
    <w:rsid w:val="6F90081A"/>
    <w:rsid w:val="6FB04B0E"/>
    <w:rsid w:val="70401AA5"/>
    <w:rsid w:val="70444EB7"/>
    <w:rsid w:val="715A59CF"/>
    <w:rsid w:val="71A212BE"/>
    <w:rsid w:val="726D5E28"/>
    <w:rsid w:val="73AC06DE"/>
    <w:rsid w:val="753F7A48"/>
    <w:rsid w:val="7615478E"/>
    <w:rsid w:val="76A578B0"/>
    <w:rsid w:val="76CB6C29"/>
    <w:rsid w:val="77DF7211"/>
    <w:rsid w:val="783E17EB"/>
    <w:rsid w:val="79C52174"/>
    <w:rsid w:val="7A0D0F6A"/>
    <w:rsid w:val="7B3F654B"/>
    <w:rsid w:val="7B4042AA"/>
    <w:rsid w:val="7C460838"/>
    <w:rsid w:val="7C8F51E8"/>
    <w:rsid w:val="7E0F7C74"/>
    <w:rsid w:val="7EDF57C0"/>
    <w:rsid w:val="7F90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widowControl w:val="0"/>
      <w:suppressLineNumbers w:val="0"/>
      <w:spacing w:beforeAutospacing="0" w:afterAutospacing="0" w:line="360" w:lineRule="auto"/>
      <w:ind w:left="0" w:right="0" w:firstLine="0" w:firstLineChars="0"/>
      <w:jc w:val="center"/>
      <w:outlineLvl w:val="0"/>
    </w:pPr>
    <w:rPr>
      <w:rFonts w:ascii="宋体" w:hAnsi="宋体" w:eastAsia="宋体" w:cs="宋体"/>
      <w:b/>
      <w:bCs/>
      <w:kern w:val="44"/>
      <w:sz w:val="32"/>
      <w:szCs w:val="32"/>
      <w:lang w:bidi="ar"/>
    </w:rPr>
  </w:style>
  <w:style w:type="paragraph" w:styleId="4">
    <w:name w:val="heading 2"/>
    <w:basedOn w:val="1"/>
    <w:next w:val="1"/>
    <w:link w:val="25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0" w:firstLineChars="0"/>
      <w:jc w:val="center"/>
      <w:outlineLvl w:val="1"/>
    </w:pPr>
    <w:rPr>
      <w:rFonts w:hint="eastAsia" w:ascii="宋体" w:hAnsi="宋体" w:eastAsia="宋体" w:cs="宋体"/>
      <w:b/>
      <w:bCs/>
      <w:kern w:val="0"/>
      <w:sz w:val="30"/>
      <w:szCs w:val="30"/>
      <w:lang w:bidi="ar"/>
    </w:rPr>
  </w:style>
  <w:style w:type="paragraph" w:styleId="5">
    <w:name w:val="heading 3"/>
    <w:basedOn w:val="1"/>
    <w:next w:val="1"/>
    <w:link w:val="23"/>
    <w:semiHidden/>
    <w:unhideWhenUsed/>
    <w:qFormat/>
    <w:uiPriority w:val="0"/>
    <w:pPr>
      <w:keepNext/>
      <w:keepLines/>
      <w:widowControl w:val="0"/>
      <w:suppressLineNumbers w:val="0"/>
      <w:spacing w:beforeAutospacing="0" w:afterAutospacing="0" w:line="360" w:lineRule="auto"/>
      <w:ind w:left="0" w:right="0" w:firstLine="0" w:firstLineChars="0"/>
      <w:jc w:val="center"/>
      <w:outlineLvl w:val="2"/>
    </w:pPr>
    <w:rPr>
      <w:rFonts w:ascii="宋体" w:hAnsi="宋体" w:eastAsia="宋体" w:cs="宋体"/>
      <w:b/>
      <w:bCs/>
      <w:sz w:val="28"/>
      <w:szCs w:val="28"/>
      <w:lang w:bidi="ar"/>
    </w:rPr>
  </w:style>
  <w:style w:type="paragraph" w:styleId="6">
    <w:name w:val="heading 4"/>
    <w:basedOn w:val="1"/>
    <w:next w:val="1"/>
    <w:link w:val="26"/>
    <w:semiHidden/>
    <w:unhideWhenUsed/>
    <w:qFormat/>
    <w:uiPriority w:val="0"/>
    <w:pPr>
      <w:keepNext/>
      <w:keepLines/>
      <w:widowControl w:val="0"/>
      <w:suppressLineNumbers w:val="0"/>
      <w:spacing w:before="0" w:beforeAutospacing="0" w:after="0" w:afterAutospacing="0" w:line="360" w:lineRule="auto"/>
      <w:ind w:left="0" w:right="0"/>
      <w:jc w:val="center"/>
      <w:outlineLvl w:val="3"/>
    </w:pPr>
    <w:rPr>
      <w:rFonts w:ascii="宋体" w:hAnsi="宋体" w:eastAsia="宋体" w:cs="宋体"/>
      <w:b/>
      <w:bCs/>
      <w:sz w:val="24"/>
      <w:szCs w:val="24"/>
      <w:lang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4"/>
    </w:pPr>
    <w:rPr>
      <w:rFonts w:ascii="宋体" w:hAnsi="宋体" w:eastAsia="宋体" w:cs="宋体"/>
      <w:b/>
      <w:sz w:val="21"/>
      <w:szCs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5"/>
    </w:pPr>
    <w:rPr>
      <w:rFonts w:ascii="宋体" w:hAnsi="宋体" w:eastAsia="宋体" w:cs="宋体"/>
      <w:b/>
      <w:bCs/>
      <w:sz w:val="18"/>
      <w:szCs w:val="18"/>
    </w:rPr>
  </w:style>
  <w:style w:type="character" w:default="1" w:styleId="21">
    <w:name w:val="Default Paragraph Font"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next w:val="10"/>
    <w:link w:val="29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264" w:lineRule="auto"/>
      <w:ind w:left="0" w:right="0" w:firstLine="0" w:firstLineChars="0"/>
      <w:jc w:val="center"/>
    </w:pPr>
    <w:rPr>
      <w:rFonts w:ascii="宋体" w:hAnsi="宋体" w:eastAsia="宋体" w:cs="宋体"/>
      <w:sz w:val="24"/>
      <w:szCs w:val="24"/>
      <w:lang w:bidi="ar"/>
    </w:rPr>
  </w:style>
  <w:style w:type="paragraph" w:styleId="10">
    <w:name w:val="Body Text 2"/>
    <w:basedOn w:val="1"/>
    <w:uiPriority w:val="0"/>
    <w:pPr>
      <w:spacing w:after="120" w:afterLines="0" w:afterAutospacing="0" w:line="480" w:lineRule="auto"/>
    </w:pPr>
  </w:style>
  <w:style w:type="paragraph" w:styleId="11">
    <w:name w:val="toc 5"/>
    <w:basedOn w:val="1"/>
    <w:next w:val="1"/>
    <w:qFormat/>
    <w:uiPriority w:val="0"/>
    <w:pPr>
      <w:autoSpaceDE/>
      <w:autoSpaceDN/>
      <w:spacing w:line="288" w:lineRule="auto"/>
      <w:ind w:left="0" w:leftChars="0" w:firstLine="1080" w:firstLineChars="450"/>
      <w:jc w:val="both"/>
    </w:pPr>
    <w:rPr>
      <w:rFonts w:ascii="宋体" w:hAnsi="宋体" w:cs="宋体"/>
      <w:kern w:val="2"/>
      <w:sz w:val="24"/>
    </w:rPr>
  </w:style>
  <w:style w:type="paragraph" w:styleId="12">
    <w:name w:val="toc 3"/>
    <w:basedOn w:val="1"/>
    <w:next w:val="1"/>
    <w:qFormat/>
    <w:uiPriority w:val="0"/>
    <w:pPr>
      <w:ind w:left="0" w:leftChars="0" w:firstLine="723" w:firstLineChars="300"/>
    </w:pPr>
    <w:rPr>
      <w:rFonts w:ascii="宋体" w:hAnsi="宋体" w:eastAsia="宋体" w:cs="宋体"/>
    </w:rPr>
  </w:style>
  <w:style w:type="paragraph" w:styleId="13">
    <w:name w:val="Plain Text"/>
    <w:basedOn w:val="1"/>
    <w:qFormat/>
    <w:uiPriority w:val="0"/>
    <w:pPr>
      <w:spacing w:line="312" w:lineRule="auto"/>
      <w:ind w:firstLine="0" w:firstLineChars="0"/>
      <w:jc w:val="center"/>
    </w:pPr>
    <w:rPr>
      <w:rFonts w:cs="宋体"/>
    </w:rPr>
  </w:style>
  <w:style w:type="paragraph" w:styleId="14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宋体" w:hAnsi="宋体" w:eastAsia="宋体" w:cs="宋体"/>
      <w:sz w:val="21"/>
      <w:szCs w:val="18"/>
    </w:rPr>
  </w:style>
  <w:style w:type="paragraph" w:styleId="15">
    <w:name w:val="toc 1"/>
    <w:basedOn w:val="1"/>
    <w:next w:val="1"/>
    <w:qFormat/>
    <w:uiPriority w:val="0"/>
    <w:pPr>
      <w:ind w:firstLine="0" w:firstLineChars="0"/>
    </w:pPr>
    <w:rPr>
      <w:rFonts w:ascii="宋体" w:hAnsi="宋体" w:eastAsia="宋体" w:cs="宋体"/>
    </w:rPr>
  </w:style>
  <w:style w:type="paragraph" w:styleId="16">
    <w:name w:val="toc 4"/>
    <w:basedOn w:val="1"/>
    <w:next w:val="1"/>
    <w:qFormat/>
    <w:uiPriority w:val="0"/>
    <w:pPr>
      <w:spacing w:line="312" w:lineRule="auto"/>
      <w:ind w:left="0" w:leftChars="0" w:firstLine="1080" w:firstLineChars="450"/>
    </w:pPr>
    <w:rPr>
      <w:rFonts w:ascii="Times New Roman" w:hAnsi="Times New Roman" w:eastAsia="宋体" w:cs="宋体"/>
    </w:rPr>
  </w:style>
  <w:style w:type="paragraph" w:styleId="17">
    <w:name w:val="toc 2"/>
    <w:basedOn w:val="1"/>
    <w:next w:val="1"/>
    <w:qFormat/>
    <w:uiPriority w:val="0"/>
    <w:pPr>
      <w:ind w:left="0" w:leftChars="0" w:firstLine="361" w:firstLineChars="150"/>
    </w:pPr>
    <w:rPr>
      <w:rFonts w:ascii="宋体" w:hAnsi="宋体" w:eastAsia="宋体" w:cs="宋体"/>
    </w:rPr>
  </w:style>
  <w:style w:type="paragraph" w:styleId="1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9">
    <w:name w:val="Body Text First Indent"/>
    <w:basedOn w:val="9"/>
    <w:qFormat/>
    <w:uiPriority w:val="0"/>
    <w:pPr>
      <w:ind w:firstLine="420" w:firstLineChars="100"/>
    </w:pPr>
  </w:style>
  <w:style w:type="paragraph" w:customStyle="1" w:styleId="22">
    <w:name w:val="表格"/>
    <w:basedOn w:val="1"/>
    <w:qFormat/>
    <w:uiPriority w:val="0"/>
    <w:pPr>
      <w:ind w:firstLine="0" w:firstLineChars="0"/>
      <w:jc w:val="both"/>
    </w:pPr>
    <w:rPr>
      <w:lang w:eastAsia="en-US"/>
    </w:rPr>
  </w:style>
  <w:style w:type="character" w:customStyle="1" w:styleId="23">
    <w:name w:val="标题 3 Char"/>
    <w:basedOn w:val="21"/>
    <w:link w:val="5"/>
    <w:qFormat/>
    <w:uiPriority w:val="0"/>
    <w:rPr>
      <w:rFonts w:ascii="宋体" w:hAnsi="宋体" w:eastAsia="宋体" w:cs="宋体"/>
      <w:b/>
      <w:bCs/>
      <w:kern w:val="2"/>
      <w:sz w:val="28"/>
      <w:szCs w:val="28"/>
    </w:rPr>
  </w:style>
  <w:style w:type="character" w:customStyle="1" w:styleId="24">
    <w:name w:val="标题 1 Char"/>
    <w:basedOn w:val="21"/>
    <w:link w:val="3"/>
    <w:qFormat/>
    <w:uiPriority w:val="0"/>
    <w:rPr>
      <w:rFonts w:ascii="宋体" w:hAnsi="宋体" w:eastAsia="宋体" w:cs="宋体"/>
      <w:b/>
      <w:bCs/>
      <w:kern w:val="44"/>
      <w:sz w:val="32"/>
      <w:szCs w:val="32"/>
    </w:rPr>
  </w:style>
  <w:style w:type="character" w:customStyle="1" w:styleId="25">
    <w:name w:val="标题 2 Char"/>
    <w:basedOn w:val="21"/>
    <w:link w:val="4"/>
    <w:qFormat/>
    <w:uiPriority w:val="0"/>
    <w:rPr>
      <w:rFonts w:hint="eastAsia" w:ascii="宋体" w:hAnsi="宋体" w:eastAsia="宋体" w:cs="宋体"/>
      <w:b/>
      <w:bCs/>
      <w:sz w:val="30"/>
      <w:szCs w:val="30"/>
    </w:rPr>
  </w:style>
  <w:style w:type="character" w:customStyle="1" w:styleId="26">
    <w:name w:val="标题 4 Char"/>
    <w:basedOn w:val="21"/>
    <w:link w:val="6"/>
    <w:qFormat/>
    <w:uiPriority w:val="9"/>
    <w:rPr>
      <w:rFonts w:hint="default" w:ascii="宋体" w:hAnsi="宋体" w:eastAsia="宋体" w:cs="宋体"/>
      <w:b/>
      <w:bCs/>
      <w:kern w:val="2"/>
      <w:sz w:val="24"/>
      <w:szCs w:val="24"/>
    </w:rPr>
  </w:style>
  <w:style w:type="paragraph" w:customStyle="1" w:styleId="27">
    <w:name w:val="目录4"/>
    <w:basedOn w:val="1"/>
    <w:uiPriority w:val="0"/>
    <w:pPr>
      <w:tabs>
        <w:tab w:val="right" w:leader="dot" w:pos="9631"/>
      </w:tabs>
      <w:spacing w:line="288" w:lineRule="auto"/>
      <w:ind w:firstLine="1080" w:firstLineChars="450"/>
    </w:pPr>
    <w:rPr>
      <w:rFonts w:hint="eastAsia" w:cs="宋体"/>
    </w:rPr>
  </w:style>
  <w:style w:type="paragraph" w:customStyle="1" w:styleId="28">
    <w:name w:val="表格文本"/>
    <w:basedOn w:val="1"/>
    <w:qFormat/>
    <w:uiPriority w:val="0"/>
    <w:pPr>
      <w:spacing w:line="240" w:lineRule="auto"/>
      <w:ind w:firstLine="0" w:firstLineChars="0"/>
      <w:jc w:val="center"/>
    </w:pPr>
  </w:style>
  <w:style w:type="character" w:customStyle="1" w:styleId="29">
    <w:name w:val="正文文本 Char"/>
    <w:basedOn w:val="21"/>
    <w:link w:val="9"/>
    <w:qFormat/>
    <w:uiPriority w:val="0"/>
    <w:rPr>
      <w:rFonts w:ascii="宋体" w:hAnsi="宋体" w:eastAsia="宋体" w:cs="宋体"/>
      <w:kern w:val="2"/>
      <w:sz w:val="24"/>
      <w:szCs w:val="24"/>
    </w:rPr>
  </w:style>
  <w:style w:type="character" w:customStyle="1" w:styleId="30">
    <w:name w:val="页脚 Char"/>
    <w:link w:val="14"/>
    <w:qFormat/>
    <w:uiPriority w:val="99"/>
    <w:rPr>
      <w:rFonts w:ascii="宋体" w:hAnsi="宋体" w:eastAsia="宋体" w:cs="宋体"/>
      <w:kern w:val="2"/>
      <w:sz w:val="21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2026-03-16T09:37:00Z</dcterms:created>
  <dc:creator>A</dc:creator>
  <cp:lastModifiedBy>A</cp:lastModifiedBy>
  <dcterms:modified xsi:type="dcterms:W3CDTF">2026-03-16T09:38:00Z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698AB43872014A668F00E8D763886A17_11</vt:lpwstr>
  </property>
  <property fmtid="{D5CDD505-2E9C-101B-9397-08002B2CF9AE}" pid="4" name="KSOTemplateDocerSaveRecord">
    <vt:lpwstr>eyJoZGlkIjoiMjU0Yzc4MjJiMDkxZjFmZTEwNzBhODZkOWI2YWZkMmUiLCJ1c2VySWQiOiI1OTM1MDAwMjIifQ==</vt:lpwstr>
  </property>
</Properties>
</file>