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tabs>
          <w:tab w:val="clear" w:pos="2977"/>
        </w:tabs>
        <w:jc w:val="center"/>
        <w:rPr>
          <w:rFonts w:hint="eastAsia" w:ascii="仿宋" w:hAnsi="仿宋" w:eastAsia="仿宋" w:cs="仿宋"/>
        </w:rPr>
      </w:pPr>
      <w:bookmarkStart w:id="0" w:name="_Toc21356"/>
      <w:r>
        <w:rPr>
          <w:rFonts w:hint="eastAsia"/>
        </w:rPr>
        <w:t>招标公告</w:t>
      </w:r>
      <w:bookmarkEnd w:id="0"/>
    </w:p>
    <w:p>
      <w:pPr>
        <w:spacing w:line="480" w:lineRule="exact"/>
        <w:rPr>
          <w:rFonts w:hint="eastAsia" w:ascii="仿宋" w:hAnsi="仿宋" w:eastAsia="仿宋" w:cs="仿宋"/>
          <w:sz w:val="24"/>
        </w:rPr>
      </w:pPr>
      <w:bookmarkStart w:id="1" w:name="_Toc1489"/>
      <w:r>
        <w:rPr>
          <w:rFonts w:hint="eastAsia" w:ascii="仿宋" w:hAnsi="仿宋" w:eastAsia="仿宋" w:cs="仿宋"/>
          <w:sz w:val="24"/>
        </w:rPr>
        <w:t>1.招标条件</w:t>
      </w:r>
      <w:bookmarkEnd w:id="1"/>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lang w:eastAsia="zh-CN"/>
        </w:rPr>
        <w:t>赤峰市医院新城区分院建设项目一期工程外线高压供电工程（四次）</w:t>
      </w:r>
      <w:r>
        <w:rPr>
          <w:rFonts w:hint="eastAsia" w:ascii="仿宋" w:hAnsi="仿宋" w:eastAsia="仿宋" w:cs="仿宋"/>
          <w:b/>
          <w:bCs/>
          <w:sz w:val="24"/>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line="480" w:lineRule="exact"/>
        <w:rPr>
          <w:rFonts w:hint="eastAsia" w:ascii="仿宋" w:hAnsi="仿宋" w:eastAsia="仿宋" w:cs="仿宋"/>
          <w:sz w:val="24"/>
          <w:highlight w:val="yellow"/>
        </w:rPr>
      </w:pPr>
      <w:bookmarkStart w:id="2" w:name="_Toc13446"/>
      <w:bookmarkStart w:id="3" w:name="_Toc495644243"/>
      <w:r>
        <w:rPr>
          <w:rFonts w:hint="eastAsia" w:ascii="仿宋" w:hAnsi="仿宋" w:eastAsia="仿宋" w:cs="仿宋"/>
          <w:sz w:val="24"/>
        </w:rPr>
        <w:t>2.项目概况与招标范围</w:t>
      </w:r>
      <w:bookmarkEnd w:id="2"/>
      <w:bookmarkEnd w:id="3"/>
      <w:r>
        <w:rPr>
          <w:rFonts w:hint="eastAsia" w:ascii="仿宋" w:hAnsi="仿宋" w:eastAsia="仿宋" w:cs="仿宋"/>
          <w:sz w:val="24"/>
        </w:rPr>
        <w:t xml:space="preserve"> </w:t>
      </w:r>
    </w:p>
    <w:p>
      <w:pPr>
        <w:spacing w:line="1100" w:lineRule="exact"/>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rPr>
        <w:tab/>
      </w:r>
      <w:r>
        <w:rPr>
          <w:rFonts w:hint="eastAsia" w:ascii="仿宋" w:hAnsi="仿宋" w:eastAsia="仿宋" w:cs="仿宋"/>
          <w:sz w:val="24"/>
          <w:lang w:val="en-US" w:eastAsia="zh-CN"/>
        </w:rPr>
        <w:t>0773-2640GNNMGCGK0153</w:t>
      </w:r>
    </w:p>
    <w:p>
      <w:pPr>
        <w:spacing w:line="480" w:lineRule="exact"/>
        <w:ind w:firstLine="420"/>
        <w:rPr>
          <w:rFonts w:hint="eastAsia" w:ascii="仿宋" w:hAnsi="仿宋" w:eastAsia="仿宋" w:cs="仿宋"/>
          <w:sz w:val="24"/>
          <w:lang w:eastAsia="zh-CN"/>
        </w:rPr>
      </w:pPr>
      <w:r>
        <w:rPr>
          <w:rFonts w:hint="eastAsia" w:ascii="仿宋" w:hAnsi="仿宋" w:eastAsia="仿宋" w:cs="仿宋"/>
          <w:sz w:val="24"/>
        </w:rPr>
        <w:t>2.2项目名称：</w:t>
      </w:r>
      <w:r>
        <w:rPr>
          <w:rFonts w:hint="eastAsia" w:ascii="仿宋" w:hAnsi="仿宋" w:eastAsia="仿宋" w:cs="仿宋"/>
          <w:sz w:val="24"/>
          <w:lang w:eastAsia="zh-CN"/>
        </w:rPr>
        <w:t>赤峰市医院新城区分院建设项目一期工程外线高压供电工程（四次）</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w:t>
      </w:r>
      <w:r>
        <w:rPr>
          <w:rFonts w:hint="eastAsia" w:ascii="仿宋" w:hAnsi="仿宋" w:eastAsia="仿宋" w:cs="仿宋"/>
          <w:sz w:val="24"/>
          <w:lang w:eastAsia="zh-CN"/>
        </w:rPr>
        <w:t>赤峰市医院新城区分院建设项目一期工程外线高压供电工程（四次）</w:t>
      </w:r>
      <w:r>
        <w:rPr>
          <w:rFonts w:hint="eastAsia" w:ascii="仿宋" w:hAnsi="仿宋" w:eastAsia="仿宋" w:cs="仿宋"/>
          <w:sz w:val="24"/>
        </w:rPr>
        <w:t>，具体内容详见工程量清单。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2,983,909</w:t>
      </w:r>
      <w:r>
        <w:rPr>
          <w:rFonts w:hint="eastAsia" w:ascii="仿宋" w:hAnsi="仿宋" w:eastAsia="仿宋" w:cs="仿宋"/>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lang w:eastAsia="zh-CN"/>
        </w:rPr>
      </w:pPr>
      <w:r>
        <w:rPr>
          <w:rFonts w:hint="eastAsia" w:ascii="仿宋" w:hAnsi="仿宋" w:eastAsia="仿宋" w:cs="仿宋"/>
          <w:sz w:val="24"/>
          <w:lang w:eastAsia="zh-CN"/>
        </w:rPr>
        <w:t>计划开工日期：2026年</w:t>
      </w:r>
      <w:r>
        <w:rPr>
          <w:rFonts w:hint="eastAsia" w:ascii="仿宋" w:hAnsi="仿宋" w:eastAsia="仿宋" w:cs="仿宋"/>
          <w:sz w:val="24"/>
          <w:lang w:val="en-US" w:eastAsia="zh-CN"/>
        </w:rPr>
        <w:t>5</w:t>
      </w:r>
      <w:r>
        <w:rPr>
          <w:rFonts w:hint="eastAsia" w:ascii="仿宋" w:hAnsi="仿宋" w:eastAsia="仿宋" w:cs="仿宋"/>
          <w:sz w:val="24"/>
          <w:lang w:eastAsia="zh-CN"/>
        </w:rPr>
        <w:t>月1</w:t>
      </w:r>
      <w:r>
        <w:rPr>
          <w:rFonts w:hint="eastAsia" w:ascii="仿宋" w:hAnsi="仿宋" w:eastAsia="仿宋" w:cs="仿宋"/>
          <w:sz w:val="24"/>
          <w:lang w:val="en-US" w:eastAsia="zh-CN"/>
        </w:rPr>
        <w:t>5</w:t>
      </w:r>
      <w:r>
        <w:rPr>
          <w:rFonts w:hint="eastAsia" w:ascii="仿宋" w:hAnsi="仿宋" w:eastAsia="仿宋" w:cs="仿宋"/>
          <w:sz w:val="24"/>
          <w:lang w:eastAsia="zh-CN"/>
        </w:rPr>
        <w:t>日，计划竣工日期：2026年</w:t>
      </w:r>
      <w:r>
        <w:rPr>
          <w:rFonts w:hint="eastAsia" w:ascii="仿宋" w:hAnsi="仿宋" w:eastAsia="仿宋" w:cs="仿宋"/>
          <w:sz w:val="24"/>
          <w:lang w:val="en-US" w:eastAsia="zh-CN"/>
        </w:rPr>
        <w:t>6</w:t>
      </w:r>
      <w:r>
        <w:rPr>
          <w:rFonts w:hint="eastAsia" w:ascii="仿宋" w:hAnsi="仿宋" w:eastAsia="仿宋" w:cs="仿宋"/>
          <w:sz w:val="24"/>
          <w:lang w:eastAsia="zh-CN"/>
        </w:rPr>
        <w:t>月</w:t>
      </w:r>
      <w:r>
        <w:rPr>
          <w:rFonts w:hint="eastAsia" w:ascii="仿宋" w:hAnsi="仿宋" w:eastAsia="仿宋" w:cs="仿宋"/>
          <w:sz w:val="24"/>
          <w:lang w:val="en-US" w:eastAsia="zh-CN"/>
        </w:rPr>
        <w:t>15</w:t>
      </w:r>
      <w:r>
        <w:rPr>
          <w:rFonts w:hint="eastAsia" w:ascii="仿宋" w:hAnsi="仿宋" w:eastAsia="仿宋" w:cs="仿宋"/>
          <w:sz w:val="24"/>
          <w:lang w:eastAsia="zh-CN"/>
        </w:rPr>
        <w:t>日，总工期共计</w:t>
      </w:r>
      <w:r>
        <w:rPr>
          <w:rFonts w:hint="eastAsia" w:ascii="仿宋" w:hAnsi="仿宋" w:eastAsia="仿宋" w:cs="仿宋"/>
          <w:sz w:val="24"/>
          <w:lang w:val="en-US" w:eastAsia="zh-CN"/>
        </w:rPr>
        <w:t>30</w:t>
      </w:r>
      <w:r>
        <w:rPr>
          <w:rFonts w:hint="eastAsia" w:ascii="仿宋" w:hAnsi="仿宋" w:eastAsia="仿宋" w:cs="仿宋"/>
          <w:sz w:val="24"/>
          <w:lang w:eastAsia="zh-CN"/>
        </w:rPr>
        <w:t>日历天。</w:t>
      </w:r>
    </w:p>
    <w:p>
      <w:pPr>
        <w:spacing w:line="480" w:lineRule="exact"/>
        <w:rPr>
          <w:rFonts w:hint="eastAsia" w:ascii="仿宋" w:hAnsi="仿宋" w:eastAsia="仿宋" w:cs="仿宋"/>
          <w:sz w:val="24"/>
        </w:rPr>
      </w:pPr>
      <w:bookmarkStart w:id="4" w:name="_Toc495644244"/>
      <w:bookmarkStart w:id="5" w:name="_Toc529"/>
      <w:r>
        <w:rPr>
          <w:rFonts w:hint="eastAsia" w:ascii="仿宋" w:hAnsi="仿宋" w:eastAsia="仿宋" w:cs="仿宋"/>
          <w:sz w:val="24"/>
        </w:rPr>
        <w:t>3.投标人资格要求</w:t>
      </w:r>
      <w:bookmarkEnd w:id="4"/>
      <w:bookmarkEnd w:id="5"/>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rPr>
        <w:t>3.7本次</w:t>
      </w:r>
      <w:r>
        <w:rPr>
          <w:rFonts w:hint="eastAsia" w:ascii="仿宋" w:hAnsi="仿宋" w:eastAsia="仿宋" w:cs="仿宋"/>
          <w:sz w:val="24"/>
          <w:highlight w:val="none"/>
        </w:rPr>
        <w:t>招标不接受联合体投标。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highlight w:val="none"/>
        </w:rPr>
        <w:t>3.8更多资格要求（专用资格要求）</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3.8.1投标人须具备建设行政主管部门颁发的电力工程施工总承包三级及以上资质或者输变电工程专业承包三级及以上资质，且资质证书在有效期内; </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3.8.2投标人须具有有效期内的建设行政主管部门核发的安全生产许可证。</w:t>
      </w:r>
    </w:p>
    <w:p>
      <w:pPr>
        <w:spacing w:line="480" w:lineRule="exact"/>
        <w:ind w:firstLine="420"/>
        <w:rPr>
          <w:rFonts w:hint="eastAsia" w:ascii="仿宋" w:hAnsi="仿宋" w:eastAsia="仿宋" w:cs="仿宋"/>
          <w:sz w:val="24"/>
          <w:highlight w:val="none"/>
        </w:rPr>
      </w:pPr>
      <w:r>
        <w:rPr>
          <w:rFonts w:hint="eastAsia" w:ascii="仿宋" w:hAnsi="仿宋" w:eastAsia="仿宋" w:cs="仿宋"/>
          <w:color w:val="auto"/>
          <w:sz w:val="24"/>
          <w:highlight w:val="none"/>
        </w:rPr>
        <w:t>3.8.3投标人拟派项目负责人具有二级及以上注册建造师证书及安全考核合格证书，</w:t>
      </w:r>
      <w:r>
        <w:rPr>
          <w:rFonts w:hint="eastAsia" w:ascii="仿宋" w:hAnsi="仿宋" w:eastAsia="仿宋" w:cs="仿宋"/>
          <w:sz w:val="24"/>
          <w:highlight w:val="none"/>
        </w:rPr>
        <w:t>注册专业为机电工程，证书在有效期内，且未担任其它在建项目建设工程的项目负责人。</w:t>
      </w:r>
    </w:p>
    <w:p>
      <w:pPr>
        <w:pStyle w:val="9"/>
        <w:shd w:val="clear" w:color="auto" w:fill="FFFFFF"/>
        <w:spacing w:before="0" w:after="0" w:line="480" w:lineRule="exact"/>
        <w:ind w:firstLine="0"/>
        <w:rPr>
          <w:rFonts w:hint="eastAsia" w:ascii="仿宋" w:hAnsi="仿宋" w:eastAsia="仿宋" w:cs="仿宋"/>
          <w:b/>
          <w:kern w:val="2"/>
          <w:szCs w:val="24"/>
          <w:highlight w:val="none"/>
        </w:rPr>
      </w:pPr>
      <w:r>
        <w:rPr>
          <w:rFonts w:hint="eastAsia" w:ascii="仿宋" w:hAnsi="仿宋" w:eastAsia="仿宋" w:cs="仿宋"/>
          <w:b/>
          <w:kern w:val="2"/>
          <w:szCs w:val="24"/>
          <w:highlight w:val="none"/>
        </w:rPr>
        <w:t>4.招标文件的获取</w:t>
      </w:r>
    </w:p>
    <w:p>
      <w:pPr>
        <w:pStyle w:val="2"/>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4.1</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color w:val="auto"/>
        </w:rPr>
        <w:t>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04</w:t>
      </w:r>
      <w:r>
        <w:rPr>
          <w:rFonts w:hint="eastAsia" w:ascii="仿宋" w:hAnsi="仿宋" w:eastAsia="仿宋" w:cs="仿宋"/>
          <w:color w:val="auto"/>
        </w:rPr>
        <w:t>月</w:t>
      </w:r>
      <w:r>
        <w:rPr>
          <w:rFonts w:hint="eastAsia" w:ascii="仿宋" w:hAnsi="仿宋" w:eastAsia="仿宋" w:cs="仿宋"/>
          <w:color w:val="auto"/>
          <w:lang w:val="en-US" w:eastAsia="zh-CN"/>
        </w:rPr>
        <w:t>23</w:t>
      </w:r>
      <w:r>
        <w:rPr>
          <w:rFonts w:hint="eastAsia" w:ascii="仿宋" w:hAnsi="仿宋" w:eastAsia="仿宋" w:cs="仿宋"/>
          <w:color w:val="auto"/>
        </w:rPr>
        <w:t>日至202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04</w:t>
      </w:r>
      <w:r>
        <w:rPr>
          <w:rFonts w:hint="eastAsia" w:ascii="仿宋" w:hAnsi="仿宋" w:eastAsia="仿宋" w:cs="仿宋"/>
          <w:color w:val="auto"/>
        </w:rPr>
        <w:t>月</w:t>
      </w:r>
      <w:r>
        <w:rPr>
          <w:rFonts w:hint="eastAsia" w:ascii="仿宋" w:hAnsi="仿宋" w:eastAsia="仿宋" w:cs="仿宋"/>
          <w:color w:val="auto"/>
          <w:lang w:val="en-US" w:eastAsia="zh-CN"/>
        </w:rPr>
        <w:t>28</w:t>
      </w:r>
      <w:r>
        <w:rPr>
          <w:rFonts w:hint="eastAsia" w:ascii="仿宋" w:hAnsi="仿宋" w:eastAsia="仿宋" w:cs="仿宋"/>
          <w:color w:val="auto"/>
        </w:rPr>
        <w:t>日17:30（北京时</w:t>
      </w:r>
      <w:r>
        <w:rPr>
          <w:rFonts w:hint="eastAsia" w:ascii="仿宋" w:hAnsi="仿宋" w:eastAsia="仿宋" w:cs="仿宋"/>
        </w:rPr>
        <w:t>间，下同）</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6" w:name="_Toc495644245"/>
      <w:r>
        <w:rPr>
          <w:rFonts w:hint="eastAsia" w:ascii="仿宋" w:hAnsi="仿宋" w:eastAsia="仿宋" w:cs="仿宋"/>
          <w:color w:val="auto"/>
          <w:szCs w:val="24"/>
        </w:rPr>
        <w:t>投标人信息表；（详见招标公告附件1）</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投标人更多资格要求需提供的资料。</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6"/>
      <w:r>
        <w:rPr>
          <w:rFonts w:hint="eastAsia" w:ascii="仿宋" w:hAnsi="仿宋" w:eastAsia="仿宋" w:cs="仿宋"/>
          <w:b/>
          <w:kern w:val="2"/>
          <w:szCs w:val="24"/>
        </w:rPr>
        <w:t>A、上述要求是对潜在投标单位的基本要求，如按照行业及相关部门另有规定的遵循其规定，标单位应提供相应的证明或资信材料。</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B、如发现存在虚假材料，招标单位有权取消投标单位的投标/中标资格，并承担相应的法律责任，由此造成的后果由投标/中标单位自负。</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；平台将确保下载者的购买信息在开标前对平台公司有关工作人员保密；如下载者主动与平台公司工作人员联系咨询事宜，则视为下载者主动放弃信息保密的权利，平台公司将不承担任何责任。</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w:t>
      </w:r>
      <w:r>
        <w:rPr>
          <w:rFonts w:ascii="仿宋" w:hAnsi="仿宋" w:eastAsia="仿宋" w:cs="仿宋"/>
          <w:bCs/>
          <w:kern w:val="2"/>
          <w:szCs w:val="24"/>
        </w:rPr>
        <w:t>CA</w:t>
      </w:r>
      <w:r>
        <w:rPr>
          <w:rFonts w:hint="eastAsia" w:ascii="仿宋" w:hAnsi="仿宋" w:eastAsia="仿宋" w:cs="仿宋"/>
          <w:bCs/>
          <w:kern w:val="2"/>
          <w:szCs w:val="24"/>
        </w:rPr>
        <w:t>证书的办理，并使用</w:t>
      </w:r>
      <w:r>
        <w:rPr>
          <w:rFonts w:ascii="仿宋" w:hAnsi="仿宋" w:eastAsia="仿宋" w:cs="仿宋"/>
          <w:bCs/>
          <w:kern w:val="2"/>
          <w:szCs w:val="24"/>
        </w:rPr>
        <w:t>CA</w:t>
      </w:r>
      <w:r>
        <w:rPr>
          <w:rFonts w:hint="eastAsia" w:ascii="仿宋" w:hAnsi="仿宋" w:eastAsia="仿宋" w:cs="仿宋"/>
          <w:bCs/>
          <w:kern w:val="2"/>
          <w:szCs w:val="24"/>
        </w:rPr>
        <w:t>证书进行加密后才能上传；否则将无法正常参加投标活动。</w:t>
      </w:r>
      <w:r>
        <w:rPr>
          <w:rFonts w:ascii="仿宋" w:hAnsi="仿宋" w:eastAsia="仿宋" w:cs="仿宋"/>
          <w:bCs/>
          <w:kern w:val="2"/>
          <w:szCs w:val="24"/>
        </w:rPr>
        <w:t>CA</w:t>
      </w:r>
      <w:r>
        <w:rPr>
          <w:rFonts w:hint="eastAsia" w:ascii="仿宋" w:hAnsi="仿宋" w:eastAsia="仿宋" w:cs="仿宋"/>
          <w:bCs/>
          <w:kern w:val="2"/>
          <w:szCs w:val="24"/>
        </w:rPr>
        <w:t>证书具体办理流程参见中招联合招标采购平台账户中“北京</w:t>
      </w:r>
      <w:r>
        <w:rPr>
          <w:rFonts w:ascii="仿宋" w:hAnsi="仿宋" w:eastAsia="仿宋" w:cs="仿宋"/>
          <w:bCs/>
          <w:kern w:val="2"/>
          <w:szCs w:val="24"/>
        </w:rPr>
        <w:t>CA</w:t>
      </w:r>
      <w:r>
        <w:rPr>
          <w:rFonts w:hint="eastAsia" w:ascii="仿宋" w:hAnsi="仿宋" w:eastAsia="仿宋" w:cs="仿宋"/>
          <w:bCs/>
          <w:kern w:val="2"/>
          <w:szCs w:val="24"/>
        </w:rPr>
        <w:t>申请”“</w:t>
      </w:r>
      <w:r>
        <w:rPr>
          <w:rFonts w:ascii="仿宋" w:hAnsi="仿宋" w:eastAsia="仿宋" w:cs="仿宋"/>
          <w:bCs/>
          <w:kern w:val="2"/>
          <w:szCs w:val="24"/>
        </w:rPr>
        <w:t>CA</w:t>
      </w:r>
      <w:r>
        <w:rPr>
          <w:rFonts w:hint="eastAsia" w:ascii="仿宋" w:hAnsi="仿宋" w:eastAsia="仿宋" w:cs="仿宋"/>
          <w:bCs/>
          <w:kern w:val="2"/>
          <w:szCs w:val="24"/>
        </w:rPr>
        <w:t>申请帮助”“</w:t>
      </w:r>
      <w:r>
        <w:rPr>
          <w:rFonts w:ascii="仿宋" w:hAnsi="仿宋" w:eastAsia="仿宋" w:cs="仿宋"/>
          <w:bCs/>
          <w:kern w:val="2"/>
          <w:szCs w:val="24"/>
        </w:rPr>
        <w:t>CA</w:t>
      </w:r>
      <w:r>
        <w:rPr>
          <w:rFonts w:hint="eastAsia" w:ascii="仿宋" w:hAnsi="仿宋" w:eastAsia="仿宋" w:cs="仿宋"/>
          <w:bCs/>
          <w:kern w:val="2"/>
          <w:szCs w:val="24"/>
        </w:rPr>
        <w:t>办理指南”查看，也可拨打中招联合招标采购平台统一服务热线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w:t>
      </w:r>
      <w:bookmarkStart w:id="8" w:name="_GoBack"/>
      <w:bookmarkEnd w:id="8"/>
      <w:r>
        <w:rPr>
          <w:rFonts w:hint="eastAsia" w:ascii="仿宋" w:hAnsi="仿宋" w:eastAsia="仿宋" w:cs="仿宋"/>
          <w:b/>
          <w:kern w:val="0"/>
          <w:sz w:val="24"/>
        </w:rPr>
        <w:t>：</w:t>
      </w:r>
      <w:r>
        <w:rPr>
          <w:rFonts w:hint="eastAsia" w:ascii="仿宋" w:hAnsi="仿宋" w:eastAsia="仿宋" w:cs="仿宋"/>
          <w:color w:val="auto"/>
          <w:kern w:val="0"/>
          <w:sz w:val="24"/>
          <w:u w:val="single"/>
          <w:lang w:eastAsia="zh-CN"/>
        </w:rPr>
        <w:t>2026年0</w:t>
      </w:r>
      <w:r>
        <w:rPr>
          <w:rFonts w:hint="eastAsia" w:ascii="仿宋" w:hAnsi="仿宋" w:eastAsia="仿宋" w:cs="仿宋"/>
          <w:color w:val="auto"/>
          <w:kern w:val="0"/>
          <w:sz w:val="24"/>
          <w:u w:val="single"/>
          <w:lang w:val="en-US" w:eastAsia="zh-CN"/>
        </w:rPr>
        <w:t>5</w:t>
      </w:r>
      <w:r>
        <w:rPr>
          <w:rFonts w:hint="eastAsia" w:ascii="仿宋" w:hAnsi="仿宋" w:eastAsia="仿宋" w:cs="仿宋"/>
          <w:color w:val="auto"/>
          <w:kern w:val="0"/>
          <w:sz w:val="24"/>
          <w:u w:val="single"/>
          <w:lang w:eastAsia="zh-CN"/>
        </w:rPr>
        <w:t>月</w:t>
      </w:r>
      <w:r>
        <w:rPr>
          <w:rFonts w:hint="eastAsia" w:ascii="仿宋" w:hAnsi="仿宋" w:eastAsia="仿宋" w:cs="仿宋"/>
          <w:color w:val="auto"/>
          <w:kern w:val="0"/>
          <w:sz w:val="24"/>
          <w:u w:val="single"/>
          <w:lang w:val="en-US" w:eastAsia="zh-CN"/>
        </w:rPr>
        <w:t>13</w:t>
      </w:r>
      <w:r>
        <w:rPr>
          <w:rFonts w:hint="eastAsia" w:ascii="仿宋" w:hAnsi="仿宋" w:eastAsia="仿宋" w:cs="仿宋"/>
          <w:color w:val="auto"/>
          <w:kern w:val="0"/>
          <w:sz w:val="24"/>
          <w:u w:val="single"/>
          <w:lang w:eastAsia="zh-CN"/>
        </w:rPr>
        <w:t>日</w:t>
      </w:r>
      <w:r>
        <w:rPr>
          <w:rFonts w:hint="eastAsia" w:ascii="仿宋" w:hAnsi="仿宋" w:eastAsia="仿宋" w:cs="仿宋"/>
          <w:color w:val="auto"/>
          <w:kern w:val="0"/>
          <w:sz w:val="24"/>
          <w:u w:val="single"/>
          <w:lang w:val="en-US" w:eastAsia="zh-CN"/>
        </w:rPr>
        <w:t>09</w:t>
      </w:r>
      <w:r>
        <w:rPr>
          <w:rFonts w:hint="eastAsia" w:ascii="仿宋" w:hAnsi="仿宋" w:eastAsia="仿宋" w:cs="仿宋"/>
          <w:color w:val="auto"/>
          <w:kern w:val="0"/>
          <w:sz w:val="24"/>
          <w:u w:val="single"/>
          <w:lang w:eastAsia="zh-CN"/>
        </w:rPr>
        <w:t>:30:00</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b/>
          <w:bCs/>
          <w:kern w:val="0"/>
          <w:sz w:val="24"/>
          <w:u w:val="single"/>
        </w:rPr>
        <w:t>同投标截止时间</w:t>
      </w:r>
    </w:p>
    <w:p>
      <w:pPr>
        <w:spacing w:line="480" w:lineRule="exact"/>
        <w:rPr>
          <w:rFonts w:hint="eastAsia" w:ascii="仿宋" w:hAnsi="仿宋" w:eastAsia="仿宋" w:cs="仿宋"/>
          <w:b/>
          <w:sz w:val="24"/>
        </w:rPr>
      </w:pPr>
      <w:bookmarkStart w:id="7" w:name="_Toc535582549"/>
      <w:r>
        <w:rPr>
          <w:rFonts w:hint="eastAsia" w:ascii="仿宋" w:hAnsi="仿宋" w:eastAsia="仿宋" w:cs="仿宋"/>
          <w:b/>
          <w:sz w:val="24"/>
        </w:rPr>
        <w:t>8.发布公告的媒介</w:t>
      </w:r>
      <w:bookmarkEnd w:id="7"/>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9"/>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w:t>
      </w:r>
      <w:r>
        <w:rPr>
          <w:rFonts w:ascii="仿宋" w:hAnsi="仿宋" w:eastAsia="仿宋" w:cs="仿宋"/>
          <w:sz w:val="24"/>
        </w:rPr>
        <w:t>13555883757</w:t>
      </w:r>
    </w:p>
    <w:p>
      <w:pPr>
        <w:pStyle w:val="4"/>
        <w:spacing w:line="480" w:lineRule="exact"/>
        <w:ind w:firstLine="480"/>
        <w:rPr>
          <w:rFonts w:hint="eastAsia" w:ascii="仿宋" w:hAnsi="仿宋" w:eastAsia="仿宋" w:cs="仿宋"/>
          <w:sz w:val="24"/>
        </w:rPr>
      </w:pP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4"/>
        <w:spacing w:line="480" w:lineRule="exact"/>
        <w:ind w:firstLine="480"/>
        <w:rPr>
          <w:rStyle w:val="14"/>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r>
        <w:rPr>
          <w:rFonts w:hint="eastAsia" w:ascii="仿宋" w:hAnsi="仿宋" w:eastAsia="仿宋" w:cs="仿宋"/>
          <w:sz w:val="24"/>
        </w:rPr>
        <w:t>箱：</w:t>
      </w:r>
      <w:r>
        <w:fldChar w:fldCharType="begin"/>
      </w:r>
      <w:r>
        <w:instrText xml:space="preserve"> HYPERLINK "mailto:zyxths@126.com" </w:instrText>
      </w:r>
      <w:r>
        <w:fldChar w:fldCharType="separate"/>
      </w:r>
      <w:r>
        <w:rPr>
          <w:rStyle w:val="14"/>
          <w:rFonts w:hint="eastAsia" w:ascii="仿宋" w:hAnsi="仿宋" w:eastAsia="仿宋" w:cs="仿宋"/>
          <w:sz w:val="24"/>
        </w:rPr>
        <w:t>v13947179088@163.com</w:t>
      </w:r>
      <w:r>
        <w:rPr>
          <w:rStyle w:val="14"/>
          <w:rFonts w:hint="eastAsia" w:ascii="仿宋" w:hAnsi="仿宋" w:eastAsia="仿宋" w:cs="仿宋"/>
          <w:sz w:val="24"/>
        </w:rPr>
        <w:fldChar w:fldCharType="end"/>
      </w: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1"/>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二、如公告要求交购买招标文件费的，请投标人及时办理购买招标文件事宜并付款后告知项目负责人，否则因未及时办理并告知项目负责人导致其投标失败的任何后果及损失投标人自负。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0"/>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8"/>
            </w:pPr>
          </w:p>
          <w:p>
            <w:pPr>
              <w:pStyle w:val="8"/>
            </w:pPr>
          </w:p>
          <w:p>
            <w:pPr>
              <w:pStyle w:val="8"/>
            </w:pPr>
          </w:p>
          <w:p>
            <w:pPr>
              <w:pStyle w:val="8"/>
            </w:pPr>
          </w:p>
          <w:p>
            <w:pPr>
              <w:pStyle w:val="8"/>
            </w:pPr>
          </w:p>
          <w:p>
            <w:pPr>
              <w:pStyle w:val="8"/>
            </w:pPr>
          </w:p>
          <w:p>
            <w:pPr>
              <w:pStyle w:val="8"/>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4"/>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6350"/>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13970"/>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0160"/>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0"/>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0"/>
        <w:rPr>
          <w:rFonts w:hint="eastAsia" w:ascii="仿宋" w:hAnsi="仿宋" w:eastAsia="仿宋" w:cs="仿宋"/>
          <w:kern w:val="0"/>
        </w:rPr>
      </w:pPr>
    </w:p>
    <w:p>
      <w:pPr>
        <w:pStyle w:val="10"/>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4"/>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8"/>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905" b="127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8"/>
        <w:rPr>
          <w:rFonts w:hint="eastAsia" w:ascii="仿宋" w:hAnsi="仿宋" w:eastAsia="仿宋" w:cs="仿宋"/>
          <w:kern w:val="0"/>
        </w:rPr>
      </w:pPr>
    </w:p>
    <w:p>
      <w:pPr>
        <w:pStyle w:val="8"/>
        <w:rPr>
          <w:rFonts w:hint="eastAsia" w:ascii="仿宋" w:hAnsi="仿宋" w:eastAsia="仿宋" w:cs="仿宋"/>
          <w:kern w:val="0"/>
        </w:rPr>
      </w:pPr>
    </w:p>
    <w:p>
      <w:pPr>
        <w:pStyle w:val="8"/>
        <w:rPr>
          <w:rFonts w:hint="eastAsia" w:ascii="仿宋" w:hAnsi="仿宋" w:eastAsia="仿宋" w:cs="仿宋"/>
          <w:kern w:val="0"/>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5648" behindDoc="0" locked="0" layoutInCell="1" allowOverlap="1">
            <wp:simplePos x="0" y="0"/>
            <wp:positionH relativeFrom="column">
              <wp:posOffset>167640</wp:posOffset>
            </wp:positionH>
            <wp:positionV relativeFrom="paragraph">
              <wp:posOffset>200660</wp:posOffset>
            </wp:positionV>
            <wp:extent cx="4827270" cy="2008505"/>
            <wp:effectExtent l="0" t="0" r="1905" b="127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2582545"/>
            <wp:effectExtent l="0" t="0" r="0"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2582545"/>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0"/>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63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4"/>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0"/>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63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4"/>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8255"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72576" behindDoc="0" locked="0" layoutInCell="1" allowOverlap="1">
            <wp:simplePos x="0" y="0"/>
            <wp:positionH relativeFrom="column">
              <wp:posOffset>-368300</wp:posOffset>
            </wp:positionH>
            <wp:positionV relativeFrom="paragraph">
              <wp:posOffset>702310</wp:posOffset>
            </wp:positionV>
            <wp:extent cx="6233795" cy="1811655"/>
            <wp:effectExtent l="0" t="0" r="5080" b="7620"/>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6672"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7696" behindDoc="0" locked="0" layoutInCell="1" allowOverlap="1">
            <wp:simplePos x="0" y="0"/>
            <wp:positionH relativeFrom="column">
              <wp:posOffset>-17145</wp:posOffset>
            </wp:positionH>
            <wp:positionV relativeFrom="paragraph">
              <wp:posOffset>48260</wp:posOffset>
            </wp:positionV>
            <wp:extent cx="5593715" cy="1926590"/>
            <wp:effectExtent l="0" t="0" r="6985" b="6985"/>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0" w:firstLineChars="0"/>
        <w:rPr>
          <w:rFonts w:hint="eastAsia" w:ascii="仿宋" w:hAnsi="仿宋" w:eastAsia="仿宋" w:cs="仿宋"/>
          <w:b/>
          <w:kern w:val="0"/>
        </w:rPr>
      </w:pPr>
    </w:p>
    <w:p>
      <w:pPr>
        <w:pStyle w:val="4"/>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4"/>
          <w:rFonts w:hint="eastAsia" w:ascii="仿宋" w:hAnsi="仿宋" w:eastAsia="仿宋" w:cs="仿宋"/>
          <w:b/>
          <w:kern w:val="0"/>
        </w:rPr>
        <w:t>http://www.wenshu.court.gov.cn</w:t>
      </w:r>
      <w:r>
        <w:rPr>
          <w:rStyle w:val="14"/>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5"/>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73600" behindDoc="0" locked="0" layoutInCell="1" allowOverlap="1">
            <wp:simplePos x="0" y="0"/>
            <wp:positionH relativeFrom="column">
              <wp:posOffset>-221615</wp:posOffset>
            </wp:positionH>
            <wp:positionV relativeFrom="paragraph">
              <wp:posOffset>47625</wp:posOffset>
            </wp:positionV>
            <wp:extent cx="5960110" cy="2770505"/>
            <wp:effectExtent l="0" t="0" r="2540" b="1270"/>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5"/>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0"/>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74624"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3"/>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EF15B9"/>
    <w:rsid w:val="12A90C9E"/>
    <w:rsid w:val="1A2F50A5"/>
    <w:rsid w:val="259D28DF"/>
    <w:rsid w:val="36AC265D"/>
    <w:rsid w:val="43606415"/>
    <w:rsid w:val="4C6243F4"/>
    <w:rsid w:val="4F9E2F2B"/>
    <w:rsid w:val="63021555"/>
    <w:rsid w:val="63B44C7B"/>
    <w:rsid w:val="6DFA7469"/>
    <w:rsid w:val="7994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styleId="4">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rPr>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jc w:val="center"/>
    </w:pPr>
    <w:rPr>
      <w:rFonts w:eastAsia="楷体_GB2312"/>
      <w:b/>
      <w:bCs/>
      <w:sz w:val="36"/>
      <w:szCs w:val="20"/>
    </w:rPr>
  </w:style>
  <w:style w:type="paragraph" w:styleId="9">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0">
    <w:name w:val="Body Text First Indent 2"/>
    <w:basedOn w:val="5"/>
    <w:semiHidden/>
    <w:qFormat/>
    <w:uiPriority w:val="0"/>
    <w:pPr>
      <w:ind w:left="0" w:leftChars="0" w:firstLine="420"/>
    </w:pPr>
  </w:style>
  <w:style w:type="character" w:styleId="13">
    <w:name w:val="page number"/>
    <w:basedOn w:val="12"/>
    <w:qFormat/>
    <w:uiPriority w:val="0"/>
    <w:rPr>
      <w:rFonts w:cs="Times New Roman"/>
    </w:rPr>
  </w:style>
  <w:style w:type="character" w:styleId="14">
    <w:name w:val="Hyperlink"/>
    <w:basedOn w:val="12"/>
    <w:qFormat/>
    <w:uiPriority w:val="99"/>
    <w:rPr>
      <w:rFonts w:cs="Times New Roman"/>
      <w:color w:val="0000FF"/>
      <w:u w:val="single"/>
    </w:rPr>
  </w:style>
  <w:style w:type="paragraph" w:customStyle="1" w:styleId="15">
    <w:name w:val="_Style 6"/>
    <w:basedOn w:val="1"/>
    <w:next w:val="16"/>
    <w:qFormat/>
    <w:uiPriority w:val="34"/>
    <w:pPr>
      <w:spacing w:line="360" w:lineRule="auto"/>
      <w:ind w:firstLine="420" w:firstLineChars="200"/>
    </w:pPr>
    <w:rPr>
      <w:rFonts w:ascii="宋体" w:hAnsi="宋体" w:cs="宋体"/>
      <w:szCs w:val="21"/>
      <w:lang w:eastAsia="en-US"/>
    </w:rPr>
  </w:style>
  <w:style w:type="paragraph" w:styleId="16">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2026-03-02T07:22:00Z</dcterms:created>
  <dc:creator>shuai</dc:creator>
  <cp:lastModifiedBy>失控。</cp:lastModifiedBy>
  <dcterms:modified xsi:type="dcterms:W3CDTF">2026-04-22T01:23:09Z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