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AA49D">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中国石油天然气股份有限公司内蒙古赤峰销售分公司安全现状评价及标准化评审、应急预案备案、职业危害场所检测及厂界-非甲烷总烃及噪声等点位监测服务项目竞争性谈判采购</w:t>
      </w:r>
      <w:r>
        <w:rPr>
          <w:rFonts w:hint="eastAsia" w:ascii="宋体" w:hAnsi="宋体"/>
          <w:b/>
          <w:bCs/>
          <w:sz w:val="24"/>
          <w:szCs w:val="24"/>
        </w:rPr>
        <w:t>公告</w:t>
      </w:r>
    </w:p>
    <w:p w14:paraId="64C56513">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ZS-QCCF-H-2026-1020</w:t>
      </w:r>
    </w:p>
    <w:p w14:paraId="46554EAE">
      <w:pPr>
        <w:pStyle w:val="10"/>
        <w:ind w:left="2100"/>
        <w:jc w:val="right"/>
        <w:rPr>
          <w:sz w:val="21"/>
          <w:szCs w:val="21"/>
        </w:rPr>
      </w:pPr>
    </w:p>
    <w:p w14:paraId="7DBEC5BC">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10BE0AC7">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中国石油天然气股份有限公司内蒙古赤峰销售分公司安全现状评价及标准化评审、应急预案备案、职业危害场所检测及厂界-非甲烷总烃及噪声等点位监测服务项目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ZS-QCCF-H-2026-1020</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479079EA">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49E9BFE7">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中国石油天然气股份有限公司内蒙古赤峰销售分公司安全现状评价及标准化评审、应急预案备案、职业危害场所检测及厂界-非甲烷总烃及噪声等点位监测服务项目</w:t>
      </w:r>
      <w:r>
        <w:rPr>
          <w:rFonts w:hint="eastAsia" w:ascii="宋体" w:hAnsi="宋体" w:cs="宋体"/>
          <w:sz w:val="21"/>
          <w:szCs w:val="21"/>
        </w:rPr>
        <w:t>；</w:t>
      </w:r>
    </w:p>
    <w:p w14:paraId="6DA362A4">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p>
    <w:p w14:paraId="4BC6071B">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一标段：对招标人所属元宝山园区站、古山站；红山铁南站；阿旗小泡子服务区南站、北站；喀旗锦山收费站加油站；克旗达莱诺日服务区南站、北站、热水站；右旗巴彦汗路10座加油站进行安全现状评价、标准化及专家评审，所发生的费用自理，</w:t>
      </w:r>
      <w:r>
        <w:rPr>
          <w:rFonts w:hint="eastAsia" w:ascii="宋体" w:hAnsi="宋体" w:cs="宋体"/>
          <w:sz w:val="21"/>
          <w:szCs w:val="21"/>
          <w:highlight w:val="none"/>
        </w:rPr>
        <w:t>具体详见采购文件</w:t>
      </w:r>
      <w:r>
        <w:rPr>
          <w:rFonts w:hint="eastAsia" w:ascii="宋体" w:hAnsi="宋体" w:cs="宋体"/>
          <w:sz w:val="21"/>
          <w:szCs w:val="21"/>
          <w:highlight w:val="none"/>
          <w:lang w:val="en-US" w:eastAsia="zh-CN"/>
        </w:rPr>
        <w:t>；</w:t>
      </w:r>
    </w:p>
    <w:p w14:paraId="364D417D">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二标段：对赤峰分公司进行安全现状评价及应急预案备案评审；对招标人所属赤峰油库进行安全现状评价、一级重大危险源评估、生产安全事故应急预案备案及评审,具体详见采购文件</w:t>
      </w:r>
      <w:r>
        <w:rPr>
          <w:rFonts w:hint="eastAsia" w:ascii="宋体" w:hAnsi="宋体" w:cs="宋体"/>
          <w:color w:val="auto"/>
          <w:sz w:val="21"/>
          <w:szCs w:val="21"/>
          <w:highlight w:val="none"/>
        </w:rPr>
        <w:t>。</w:t>
      </w:r>
    </w:p>
    <w:p w14:paraId="453F5A16">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三标段：对招标人所属2座油库和148座加油站进行职业危害场所检测并出具报告，</w:t>
      </w:r>
      <w:r>
        <w:rPr>
          <w:rFonts w:hint="eastAsia" w:ascii="宋体" w:hAnsi="宋体" w:cs="宋体"/>
          <w:sz w:val="21"/>
          <w:szCs w:val="21"/>
          <w:highlight w:val="none"/>
        </w:rPr>
        <w:t>具体详见采购文件</w:t>
      </w:r>
      <w:r>
        <w:rPr>
          <w:rFonts w:hint="eastAsia" w:ascii="宋体" w:hAnsi="宋体" w:cs="宋体"/>
          <w:sz w:val="21"/>
          <w:szCs w:val="21"/>
          <w:highlight w:val="none"/>
          <w:lang w:val="en-US" w:eastAsia="zh-CN"/>
        </w:rPr>
        <w:t>；</w:t>
      </w:r>
    </w:p>
    <w:p w14:paraId="2155AB9F">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四标段：对招标人所属69座加油（加气）站进行厂界-非甲烷总烃及噪声等点位监测，并按照排污许可证规定提交排污许可证执行报告,具体详见采购文件</w:t>
      </w:r>
      <w:r>
        <w:rPr>
          <w:rFonts w:hint="eastAsia" w:ascii="宋体" w:hAnsi="宋体" w:cs="宋体"/>
          <w:color w:val="auto"/>
          <w:sz w:val="21"/>
          <w:szCs w:val="21"/>
          <w:highlight w:val="none"/>
        </w:rPr>
        <w:t>。</w:t>
      </w:r>
    </w:p>
    <w:p w14:paraId="5A4D75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总</w:t>
      </w:r>
      <w:r>
        <w:rPr>
          <w:rFonts w:hint="eastAsia" w:ascii="宋体" w:hAnsi="宋体" w:eastAsia="宋体" w:cs="Times New Roman"/>
          <w:color w:val="auto"/>
          <w:szCs w:val="21"/>
          <w:highlight w:val="none"/>
          <w:lang w:val="en-US" w:eastAsia="zh-CN"/>
        </w:rPr>
        <w:t>预算金额</w:t>
      </w:r>
      <w:bookmarkStart w:id="0" w:name="_GoBack"/>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755800.00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bookmarkEnd w:id="0"/>
    </w:p>
    <w:p w14:paraId="3A601A1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2BFA072B">
      <w:pPr>
        <w:pStyle w:val="11"/>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本项目划分四个标段，具体如下：</w:t>
      </w:r>
    </w:p>
    <w:tbl>
      <w:tblPr>
        <w:tblStyle w:val="6"/>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721"/>
        <w:gridCol w:w="1439"/>
        <w:gridCol w:w="3604"/>
        <w:gridCol w:w="1154"/>
      </w:tblGrid>
      <w:tr w14:paraId="7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4FFA6D4D">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序号</w:t>
            </w:r>
          </w:p>
        </w:tc>
        <w:tc>
          <w:tcPr>
            <w:tcW w:w="1414" w:type="pct"/>
            <w:noWrap w:val="0"/>
            <w:vAlign w:val="center"/>
          </w:tcPr>
          <w:p w14:paraId="3D58459F">
            <w:pPr>
              <w:adjustRightInd w:val="0"/>
              <w:snapToGrid w:val="0"/>
              <w:spacing w:line="360" w:lineRule="auto"/>
              <w:ind w:left="-88" w:leftChars="-42"/>
              <w:jc w:val="center"/>
              <w:rPr>
                <w:rFonts w:hint="eastAsia" w:ascii="宋体" w:hAnsi="宋体" w:eastAsia="宋体" w:cs="宋体"/>
                <w:bCs/>
                <w:sz w:val="21"/>
                <w:szCs w:val="21"/>
                <w:highlight w:val="red"/>
                <w:lang w:val="en-US" w:eastAsia="zh-CN"/>
              </w:rPr>
            </w:pPr>
            <w:r>
              <w:rPr>
                <w:rFonts w:hint="eastAsia" w:ascii="宋体" w:hAnsi="宋体" w:eastAsia="宋体" w:cs="宋体"/>
                <w:bCs/>
                <w:sz w:val="21"/>
                <w:szCs w:val="21"/>
                <w:highlight w:val="none"/>
                <w:lang w:val="zh-CN"/>
              </w:rPr>
              <w:t>标段名称</w:t>
            </w:r>
          </w:p>
        </w:tc>
        <w:tc>
          <w:tcPr>
            <w:tcW w:w="747" w:type="pct"/>
            <w:noWrap w:val="0"/>
            <w:vAlign w:val="center"/>
          </w:tcPr>
          <w:p w14:paraId="6F41A3DF">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控制价（元）</w:t>
            </w:r>
          </w:p>
        </w:tc>
        <w:tc>
          <w:tcPr>
            <w:tcW w:w="1873" w:type="pct"/>
            <w:noWrap w:val="0"/>
            <w:vAlign w:val="center"/>
          </w:tcPr>
          <w:p w14:paraId="0988762D">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服务期</w:t>
            </w:r>
          </w:p>
        </w:tc>
        <w:tc>
          <w:tcPr>
            <w:tcW w:w="599" w:type="pct"/>
            <w:noWrap w:val="0"/>
            <w:vAlign w:val="center"/>
          </w:tcPr>
          <w:p w14:paraId="4E8821A8">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技术标准与要求</w:t>
            </w:r>
          </w:p>
        </w:tc>
      </w:tr>
      <w:tr w14:paraId="71D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0FA2794B">
            <w:pPr>
              <w:spacing w:line="360" w:lineRule="auto"/>
              <w:ind w:firstLine="0" w:firstLine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lang w:val="en-US" w:eastAsia="zh-CN"/>
              </w:rPr>
              <w:t>1</w:t>
            </w:r>
          </w:p>
        </w:tc>
        <w:tc>
          <w:tcPr>
            <w:tcW w:w="1414" w:type="pct"/>
            <w:noWrap w:val="0"/>
            <w:vAlign w:val="center"/>
          </w:tcPr>
          <w:p w14:paraId="68069B39">
            <w:pPr>
              <w:adjustRightInd w:val="0"/>
              <w:snapToGrid w:val="0"/>
              <w:spacing w:line="360" w:lineRule="auto"/>
              <w:ind w:left="-88" w:leftChars="-42"/>
              <w:jc w:val="center"/>
              <w:rPr>
                <w:rFonts w:hint="eastAsia" w:ascii="宋体" w:hAnsi="宋体" w:eastAsia="宋体" w:cs="宋体"/>
                <w:bCs/>
                <w:color w:val="auto"/>
                <w:sz w:val="21"/>
                <w:szCs w:val="21"/>
                <w:highlight w:val="red"/>
                <w:lang w:val="en-US" w:eastAsia="zh-CN"/>
              </w:rPr>
            </w:pPr>
            <w:r>
              <w:rPr>
                <w:rFonts w:hint="eastAsia" w:ascii="宋体" w:hAnsi="宋体" w:eastAsia="宋体" w:cs="宋体"/>
                <w:color w:val="auto"/>
                <w:sz w:val="21"/>
                <w:szCs w:val="21"/>
                <w:lang w:eastAsia="zh-CN"/>
              </w:rPr>
              <w:t>一标段：</w:t>
            </w:r>
            <w:r>
              <w:rPr>
                <w:rFonts w:hint="eastAsia" w:ascii="宋体" w:hAnsi="宋体" w:cs="宋体"/>
                <w:color w:val="auto"/>
                <w:sz w:val="21"/>
                <w:szCs w:val="21"/>
                <w:lang w:eastAsia="zh-CN"/>
              </w:rPr>
              <w:t>加油站安全现状评价及标准化评审项目</w:t>
            </w:r>
          </w:p>
        </w:tc>
        <w:tc>
          <w:tcPr>
            <w:tcW w:w="747" w:type="pct"/>
            <w:noWrap w:val="0"/>
            <w:vAlign w:val="center"/>
          </w:tcPr>
          <w:p w14:paraId="3B76B2B2">
            <w:pPr>
              <w:spacing w:line="36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cs="Times New Roman"/>
                <w:color w:val="auto"/>
                <w:szCs w:val="21"/>
                <w:highlight w:val="none"/>
                <w:lang w:val="en-US" w:eastAsia="zh-CN"/>
              </w:rPr>
              <w:t>120000.00</w:t>
            </w:r>
          </w:p>
        </w:tc>
        <w:tc>
          <w:tcPr>
            <w:tcW w:w="1873" w:type="pct"/>
            <w:vMerge w:val="restart"/>
            <w:noWrap w:val="0"/>
            <w:vAlign w:val="center"/>
          </w:tcPr>
          <w:p w14:paraId="0907C2D4">
            <w:pPr>
              <w:spacing w:line="360" w:lineRule="auto"/>
              <w:ind w:firstLine="0" w:firstLineChars="0"/>
              <w:jc w:val="center"/>
              <w:rPr>
                <w:rFonts w:hint="eastAsia" w:ascii="宋体" w:hAnsi="宋体" w:eastAsia="宋体" w:cs="宋体"/>
                <w:bCs/>
                <w:sz w:val="21"/>
                <w:szCs w:val="21"/>
                <w:highlight w:val="none"/>
                <w:lang w:eastAsia="zh-CN"/>
              </w:rPr>
            </w:pPr>
            <w:r>
              <w:rPr>
                <w:rFonts w:hint="default" w:ascii="宋体" w:hAnsi="宋体" w:eastAsia="宋体" w:cs="宋体"/>
                <w:bCs/>
                <w:sz w:val="21"/>
                <w:szCs w:val="21"/>
                <w:highlight w:val="none"/>
                <w:lang w:val="en-US" w:eastAsia="zh-CN"/>
              </w:rPr>
              <w:t>自合同签订之日起至2026年12月31日止</w:t>
            </w:r>
            <w:r>
              <w:rPr>
                <w:rFonts w:hint="eastAsia" w:ascii="宋体" w:hAnsi="宋体" w:cs="宋体"/>
                <w:bCs/>
                <w:sz w:val="21"/>
                <w:szCs w:val="21"/>
                <w:highlight w:val="none"/>
                <w:lang w:val="en-US" w:eastAsia="zh-CN"/>
              </w:rPr>
              <w:t>，</w:t>
            </w:r>
            <w:r>
              <w:rPr>
                <w:rFonts w:hint="default" w:ascii="宋体" w:hAnsi="宋体" w:eastAsia="宋体" w:cs="宋体"/>
                <w:bCs/>
                <w:sz w:val="21"/>
                <w:szCs w:val="21"/>
                <w:highlight w:val="none"/>
                <w:lang w:val="en-US" w:eastAsia="zh-CN"/>
              </w:rPr>
              <w:t>报告按照中国石油天然气股份有限公司内蒙古赤峰销售分公司要求的时间于2026年年度内完成</w:t>
            </w:r>
          </w:p>
        </w:tc>
        <w:tc>
          <w:tcPr>
            <w:tcW w:w="599" w:type="pct"/>
            <w:vMerge w:val="restart"/>
            <w:noWrap w:val="0"/>
            <w:vAlign w:val="center"/>
          </w:tcPr>
          <w:p w14:paraId="4073FB72">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详见采购文件</w:t>
            </w:r>
          </w:p>
        </w:tc>
      </w:tr>
      <w:tr w14:paraId="5AA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1D0DB87F">
            <w:pPr>
              <w:spacing w:line="360" w:lineRule="auto"/>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414" w:type="pct"/>
            <w:noWrap w:val="0"/>
            <w:vAlign w:val="center"/>
          </w:tcPr>
          <w:p w14:paraId="2C0E908A">
            <w:pPr>
              <w:adjustRightInd w:val="0"/>
              <w:snapToGrid w:val="0"/>
              <w:spacing w:line="360" w:lineRule="auto"/>
              <w:ind w:left="-88" w:leftChars="-42"/>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lang w:eastAsia="zh-CN"/>
              </w:rPr>
              <w:t>二标段：</w:t>
            </w:r>
            <w:r>
              <w:rPr>
                <w:rFonts w:hint="eastAsia" w:ascii="宋体" w:hAnsi="宋体" w:cs="宋体"/>
                <w:sz w:val="21"/>
                <w:szCs w:val="21"/>
                <w:lang w:eastAsia="zh-CN"/>
              </w:rPr>
              <w:t>安全现状评价及应急预案备案项目</w:t>
            </w:r>
          </w:p>
        </w:tc>
        <w:tc>
          <w:tcPr>
            <w:tcW w:w="747" w:type="pct"/>
            <w:noWrap w:val="0"/>
            <w:vAlign w:val="center"/>
          </w:tcPr>
          <w:p w14:paraId="2A3855A2">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175000.00</w:t>
            </w:r>
          </w:p>
        </w:tc>
        <w:tc>
          <w:tcPr>
            <w:tcW w:w="1873" w:type="pct"/>
            <w:vMerge w:val="continue"/>
            <w:noWrap w:val="0"/>
            <w:vAlign w:val="center"/>
          </w:tcPr>
          <w:p w14:paraId="7D0B98FB">
            <w:pPr>
              <w:spacing w:line="360" w:lineRule="auto"/>
              <w:ind w:firstLine="0" w:firstLineChars="0"/>
              <w:jc w:val="center"/>
              <w:rPr>
                <w:rFonts w:hint="eastAsia" w:ascii="宋体" w:hAnsi="宋体" w:eastAsia="宋体" w:cs="宋体"/>
                <w:bCs/>
                <w:sz w:val="21"/>
                <w:szCs w:val="21"/>
                <w:highlight w:val="none"/>
                <w:lang w:eastAsia="zh-CN"/>
              </w:rPr>
            </w:pPr>
          </w:p>
        </w:tc>
        <w:tc>
          <w:tcPr>
            <w:tcW w:w="599" w:type="pct"/>
            <w:vMerge w:val="continue"/>
            <w:noWrap w:val="0"/>
            <w:vAlign w:val="center"/>
          </w:tcPr>
          <w:p w14:paraId="15DEDB92">
            <w:pPr>
              <w:spacing w:line="360" w:lineRule="auto"/>
              <w:ind w:firstLine="0" w:firstLineChars="0"/>
              <w:jc w:val="center"/>
              <w:rPr>
                <w:rFonts w:hint="eastAsia" w:ascii="宋体" w:hAnsi="宋体" w:eastAsia="宋体" w:cs="宋体"/>
                <w:bCs/>
                <w:sz w:val="21"/>
                <w:szCs w:val="21"/>
                <w:highlight w:val="none"/>
                <w:lang w:eastAsia="zh-CN"/>
              </w:rPr>
            </w:pPr>
          </w:p>
        </w:tc>
      </w:tr>
      <w:tr w14:paraId="350D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78CD7CC0">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414" w:type="pct"/>
            <w:noWrap w:val="0"/>
            <w:vAlign w:val="center"/>
          </w:tcPr>
          <w:p w14:paraId="5907F4BC">
            <w:pPr>
              <w:adjustRightInd w:val="0"/>
              <w:snapToGrid w:val="0"/>
              <w:spacing w:line="360" w:lineRule="auto"/>
              <w:ind w:left="-88" w:leftChars="-42"/>
              <w:jc w:val="center"/>
              <w:rPr>
                <w:rFonts w:hint="eastAsia" w:ascii="宋体" w:hAnsi="宋体" w:eastAsia="宋体" w:cs="宋体"/>
                <w:sz w:val="21"/>
                <w:szCs w:val="21"/>
                <w:lang w:eastAsia="zh-CN"/>
              </w:rPr>
            </w:pPr>
            <w:r>
              <w:rPr>
                <w:rFonts w:hint="eastAsia" w:ascii="宋体" w:hAnsi="宋体" w:cs="宋体"/>
                <w:color w:val="auto"/>
                <w:sz w:val="21"/>
                <w:szCs w:val="21"/>
                <w:lang w:eastAsia="zh-CN"/>
              </w:rPr>
              <w:t>三</w:t>
            </w:r>
            <w:r>
              <w:rPr>
                <w:rFonts w:hint="eastAsia" w:ascii="宋体" w:hAnsi="宋体" w:eastAsia="宋体" w:cs="宋体"/>
                <w:color w:val="auto"/>
                <w:sz w:val="21"/>
                <w:szCs w:val="21"/>
                <w:lang w:eastAsia="zh-CN"/>
              </w:rPr>
              <w:t>标段：油库和加油站职业危害场所检测项目</w:t>
            </w:r>
          </w:p>
        </w:tc>
        <w:tc>
          <w:tcPr>
            <w:tcW w:w="747" w:type="pct"/>
            <w:noWrap w:val="0"/>
            <w:vAlign w:val="center"/>
          </w:tcPr>
          <w:p w14:paraId="1D34D097">
            <w:pPr>
              <w:spacing w:line="360" w:lineRule="auto"/>
              <w:ind w:firstLine="0" w:firstLineChars="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274500.00</w:t>
            </w:r>
          </w:p>
        </w:tc>
        <w:tc>
          <w:tcPr>
            <w:tcW w:w="1873" w:type="pct"/>
            <w:vMerge w:val="continue"/>
            <w:noWrap w:val="0"/>
            <w:vAlign w:val="center"/>
          </w:tcPr>
          <w:p w14:paraId="52B0EA43">
            <w:pPr>
              <w:spacing w:line="360" w:lineRule="auto"/>
              <w:ind w:firstLine="0" w:firstLineChars="0"/>
              <w:jc w:val="center"/>
              <w:rPr>
                <w:rFonts w:hint="eastAsia" w:ascii="宋体" w:hAnsi="宋体" w:cs="宋体"/>
                <w:bCs/>
                <w:sz w:val="21"/>
                <w:szCs w:val="21"/>
                <w:highlight w:val="none"/>
                <w:lang w:val="en-US" w:eastAsia="zh-CN"/>
              </w:rPr>
            </w:pPr>
          </w:p>
        </w:tc>
        <w:tc>
          <w:tcPr>
            <w:tcW w:w="599" w:type="pct"/>
            <w:vMerge w:val="continue"/>
            <w:noWrap w:val="0"/>
            <w:vAlign w:val="center"/>
          </w:tcPr>
          <w:p w14:paraId="56BE5B84">
            <w:pPr>
              <w:spacing w:line="360" w:lineRule="auto"/>
              <w:ind w:firstLine="0" w:firstLineChars="0"/>
              <w:jc w:val="center"/>
              <w:rPr>
                <w:rFonts w:hint="eastAsia" w:ascii="宋体" w:hAnsi="宋体" w:eastAsia="宋体" w:cs="宋体"/>
                <w:bCs/>
                <w:sz w:val="21"/>
                <w:szCs w:val="21"/>
                <w:highlight w:val="none"/>
                <w:lang w:eastAsia="zh-CN"/>
              </w:rPr>
            </w:pPr>
          </w:p>
        </w:tc>
      </w:tr>
      <w:tr w14:paraId="7802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2EF84AF8">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4</w:t>
            </w:r>
          </w:p>
        </w:tc>
        <w:tc>
          <w:tcPr>
            <w:tcW w:w="1414" w:type="pct"/>
            <w:noWrap w:val="0"/>
            <w:vAlign w:val="center"/>
          </w:tcPr>
          <w:p w14:paraId="29C7D620">
            <w:pPr>
              <w:adjustRightInd w:val="0"/>
              <w:snapToGrid w:val="0"/>
              <w:spacing w:line="360" w:lineRule="auto"/>
              <w:ind w:left="-88" w:leftChars="-42"/>
              <w:jc w:val="center"/>
              <w:rPr>
                <w:rFonts w:hint="eastAsia" w:ascii="宋体" w:hAnsi="宋体" w:eastAsia="宋体" w:cs="宋体"/>
                <w:sz w:val="21"/>
                <w:szCs w:val="21"/>
                <w:lang w:eastAsia="zh-CN"/>
              </w:rPr>
            </w:pPr>
            <w:r>
              <w:rPr>
                <w:rFonts w:hint="eastAsia" w:ascii="宋体" w:hAnsi="宋体" w:cs="宋体"/>
                <w:sz w:val="21"/>
                <w:szCs w:val="21"/>
                <w:lang w:eastAsia="zh-CN"/>
              </w:rPr>
              <w:t>四</w:t>
            </w:r>
            <w:r>
              <w:rPr>
                <w:rFonts w:hint="eastAsia" w:ascii="宋体" w:hAnsi="宋体" w:eastAsia="宋体" w:cs="宋体"/>
                <w:sz w:val="21"/>
                <w:szCs w:val="21"/>
                <w:lang w:eastAsia="zh-CN"/>
              </w:rPr>
              <w:t>标段：加油（加气）站厂界-非甲烷总烃及噪声等点位监测项目</w:t>
            </w:r>
          </w:p>
        </w:tc>
        <w:tc>
          <w:tcPr>
            <w:tcW w:w="747" w:type="pct"/>
            <w:noWrap w:val="0"/>
            <w:vAlign w:val="center"/>
          </w:tcPr>
          <w:p w14:paraId="340085B4">
            <w:pPr>
              <w:spacing w:line="360" w:lineRule="auto"/>
              <w:ind w:firstLine="0" w:firstLineChars="0"/>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186300.00</w:t>
            </w:r>
          </w:p>
        </w:tc>
        <w:tc>
          <w:tcPr>
            <w:tcW w:w="1873" w:type="pct"/>
            <w:vMerge w:val="continue"/>
            <w:noWrap w:val="0"/>
            <w:vAlign w:val="center"/>
          </w:tcPr>
          <w:p w14:paraId="2CADBA6F">
            <w:pPr>
              <w:spacing w:line="360" w:lineRule="auto"/>
              <w:ind w:firstLine="0" w:firstLineChars="0"/>
              <w:jc w:val="center"/>
              <w:rPr>
                <w:rFonts w:hint="eastAsia" w:ascii="宋体" w:hAnsi="宋体" w:cs="宋体"/>
                <w:bCs/>
                <w:sz w:val="21"/>
                <w:szCs w:val="21"/>
                <w:highlight w:val="none"/>
                <w:lang w:val="en-US" w:eastAsia="zh-CN"/>
              </w:rPr>
            </w:pPr>
          </w:p>
        </w:tc>
        <w:tc>
          <w:tcPr>
            <w:tcW w:w="599" w:type="pct"/>
            <w:vMerge w:val="continue"/>
            <w:noWrap w:val="0"/>
            <w:vAlign w:val="center"/>
          </w:tcPr>
          <w:p w14:paraId="61B2415A">
            <w:pPr>
              <w:spacing w:line="360" w:lineRule="auto"/>
              <w:ind w:firstLine="0" w:firstLineChars="0"/>
              <w:jc w:val="center"/>
              <w:rPr>
                <w:rFonts w:hint="eastAsia" w:ascii="宋体" w:hAnsi="宋体" w:eastAsia="宋体" w:cs="宋体"/>
                <w:bCs/>
                <w:sz w:val="21"/>
                <w:szCs w:val="21"/>
                <w:highlight w:val="none"/>
                <w:lang w:eastAsia="zh-CN"/>
              </w:rPr>
            </w:pPr>
          </w:p>
        </w:tc>
      </w:tr>
    </w:tbl>
    <w:p w14:paraId="7987778E">
      <w:pPr>
        <w:spacing w:line="360" w:lineRule="auto"/>
        <w:jc w:val="left"/>
        <w:rPr>
          <w:rFonts w:hint="eastAsia" w:ascii="宋体" w:hAnsi="宋体" w:cs="Times New Roman"/>
          <w:color w:val="auto"/>
          <w:szCs w:val="21"/>
          <w:lang w:val="en-US" w:eastAsia="zh-CN"/>
        </w:rPr>
      </w:pPr>
      <w:r>
        <w:rPr>
          <w:rFonts w:hint="eastAsia" w:ascii="宋体" w:hAnsi="宋体" w:cs="宋体"/>
          <w:b/>
          <w:bCs/>
          <w:sz w:val="21"/>
          <w:szCs w:val="21"/>
          <w:lang w:eastAsia="zh-CN"/>
        </w:rPr>
        <w:t>注：本项目兼投不兼中，每个投标人最多只能被确定为1个标包的中标人。本项目按子包的顺序进行评审，依次按照评标总得分由高到低的顺序。如同一单位在两个标段中均排名第一，则按子包的顺序确定第一中标候选人。</w:t>
      </w:r>
    </w:p>
    <w:p w14:paraId="14264A09">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5ABDC97B">
      <w:pPr>
        <w:spacing w:line="360" w:lineRule="auto"/>
        <w:ind w:firstLine="422" w:firstLineChars="200"/>
        <w:rPr>
          <w:rFonts w:hint="eastAsia" w:ascii="宋体" w:hAnsi="宋体" w:eastAsia="宋体" w:cs="宋体"/>
          <w:b/>
          <w:bCs/>
          <w:sz w:val="21"/>
          <w:szCs w:val="21"/>
          <w:lang w:eastAsia="zh-CN"/>
        </w:rPr>
      </w:pPr>
      <w:r>
        <w:rPr>
          <w:rFonts w:hint="eastAsia" w:ascii="宋体" w:hAnsi="宋体" w:cs="宋体"/>
          <w:b/>
          <w:bCs/>
          <w:sz w:val="21"/>
          <w:szCs w:val="21"/>
          <w:lang w:eastAsia="zh-CN"/>
        </w:rPr>
        <w:t>通用资格要求：</w:t>
      </w:r>
    </w:p>
    <w:p w14:paraId="12C01915">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具有有效的营业执照，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rPr>
        <w:t>；</w:t>
      </w:r>
    </w:p>
    <w:p w14:paraId="4AF0668A">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063D82D0">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0BBA3302">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511A8239">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7CC10A8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7F22BB9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4C07645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本项目不接受联合体投标。</w:t>
      </w:r>
    </w:p>
    <w:p w14:paraId="4E6D66D6">
      <w:pPr>
        <w:spacing w:line="360" w:lineRule="auto"/>
        <w:ind w:firstLine="422" w:firstLineChars="200"/>
        <w:rPr>
          <w:rFonts w:hint="eastAsia" w:ascii="宋体" w:hAnsi="宋体" w:cs="宋体"/>
          <w:b/>
          <w:bCs/>
          <w:sz w:val="21"/>
          <w:szCs w:val="21"/>
          <w:lang w:eastAsia="zh-CN"/>
        </w:rPr>
      </w:pPr>
      <w:r>
        <w:rPr>
          <w:rFonts w:hint="eastAsia" w:ascii="宋体" w:hAnsi="宋体" w:cs="宋体"/>
          <w:b/>
          <w:bCs/>
          <w:sz w:val="21"/>
          <w:szCs w:val="21"/>
          <w:lang w:eastAsia="zh-CN"/>
        </w:rPr>
        <w:t>专用资格要求：</w:t>
      </w:r>
    </w:p>
    <w:p w14:paraId="2A3F8C1B">
      <w:pPr>
        <w:pStyle w:val="2"/>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一标段</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标段：具有行政主管部门颁发的有效的安全评价机构资质证书，且拟派项目负责人具有安全影响评价工程师证书；</w:t>
      </w:r>
    </w:p>
    <w:p w14:paraId="5350C361">
      <w:pPr>
        <w:pStyle w:val="2"/>
        <w:spacing w:line="360" w:lineRule="auto"/>
        <w:ind w:firstLine="420" w:firstLineChars="200"/>
        <w:rPr>
          <w:rFonts w:hint="default"/>
          <w:lang w:val="en-US" w:eastAsia="zh-CN"/>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标段：具有行政主管部门颁发的有效的职业卫生技术服务机构资质证书（乙级及以上）；</w:t>
      </w:r>
    </w:p>
    <w:p w14:paraId="1E8EBD20">
      <w:pPr>
        <w:pStyle w:val="2"/>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eastAsia="zh-CN"/>
        </w:rPr>
        <w:t>标段：具有行政主管部门颁发的有效的CMA资质证书；</w:t>
      </w:r>
    </w:p>
    <w:p w14:paraId="2B7D1EFC">
      <w:pPr>
        <w:pStyle w:val="2"/>
        <w:rPr>
          <w:rFonts w:hint="eastAsia"/>
          <w:lang w:val="en-US" w:eastAsia="zh-CN"/>
        </w:rPr>
      </w:pPr>
    </w:p>
    <w:p w14:paraId="606CB07E">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5C7E0B64">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1B040AA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E3E7A6B">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25F751BC">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6506E05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5BFC7247">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0A402A60">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09FAF81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B57D5A8">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758FD5EE">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337F6F3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5470AA7E">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43B98DC6">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1BB40BF7">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07C8C06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2026年05月29日上午09:00（北京时间）</w:t>
      </w:r>
      <w:r>
        <w:rPr>
          <w:rFonts w:hint="eastAsia" w:ascii="宋体" w:hAnsi="宋体" w:eastAsia="宋体" w:cs="宋体"/>
          <w:bCs/>
          <w:color w:val="auto"/>
          <w:kern w:val="0"/>
          <w:sz w:val="21"/>
          <w:szCs w:val="21"/>
        </w:rPr>
        <w:t>。</w:t>
      </w:r>
    </w:p>
    <w:p w14:paraId="51E24B09">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9"/>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9"/>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162FF844">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9"/>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31F88D8E">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30AABF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57519A75">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64975DF7">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9963F73">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2026年05月29日上午09:00（北京时间）</w:t>
      </w:r>
      <w:r>
        <w:rPr>
          <w:rFonts w:hint="eastAsia" w:ascii="宋体" w:hAnsi="宋体" w:cs="宋体"/>
        </w:rPr>
        <w:t>。</w:t>
      </w:r>
    </w:p>
    <w:p w14:paraId="7269881A">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9"/>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6CCF41AE">
      <w:pPr>
        <w:pStyle w:val="12"/>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00DD16EB">
      <w:pPr>
        <w:pStyle w:val="12"/>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4BEC468B">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3D35291A">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2077F62D">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7C18F4B0">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17841450">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1E12B03A">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094E13DF">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42771E6C">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1038463D">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6563C708">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19D44B1D">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095FE8BF">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1388E00B">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2391632D">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6D18BF90">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7EF1C668">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746B2682">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2EF13679">
      <w:pPr>
        <w:ind w:firstLine="420" w:firstLineChars="200"/>
        <w:rPr>
          <w:rFonts w:hint="eastAsia"/>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05</w:t>
      </w:r>
      <w:r>
        <w:rPr>
          <w:rFonts w:hint="eastAsia" w:ascii="宋体" w:hAnsi="宋体" w:cs="宋体"/>
          <w:color w:val="auto"/>
        </w:rPr>
        <w:t>月</w:t>
      </w:r>
      <w:r>
        <w:rPr>
          <w:rFonts w:hint="eastAsia" w:ascii="宋体" w:hAnsi="宋体" w:cs="宋体"/>
          <w:color w:val="auto"/>
          <w:lang w:val="en-US" w:eastAsia="zh-CN"/>
        </w:rPr>
        <w:t>22</w:t>
      </w:r>
      <w:r>
        <w:rPr>
          <w:rFonts w:hint="eastAsia" w:ascii="宋体" w:hAnsi="宋体" w:cs="宋体"/>
          <w:color w:val="auto"/>
        </w:rPr>
        <w:t>日</w:t>
      </w:r>
    </w:p>
    <w:p w14:paraId="66DE3F4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A0D3A"/>
    <w:rsid w:val="388A1BAC"/>
    <w:rsid w:val="3DD2604D"/>
    <w:rsid w:val="645659F7"/>
    <w:rsid w:val="6E36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paragraph" w:styleId="3">
    <w:name w:val="Body Text"/>
    <w:basedOn w:val="1"/>
    <w:next w:val="1"/>
    <w:qFormat/>
    <w:uiPriority w:val="0"/>
    <w:pPr>
      <w:spacing w:line="360" w:lineRule="auto"/>
    </w:pPr>
    <w:rPr>
      <w:sz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index 61"/>
    <w:basedOn w:val="1"/>
    <w:next w:val="1"/>
    <w:qFormat/>
    <w:uiPriority w:val="0"/>
    <w:pPr>
      <w:ind w:left="1000" w:leftChars="1000"/>
    </w:pPr>
  </w:style>
  <w:style w:type="paragraph" w:customStyle="1" w:styleId="11">
    <w:name w:val="中文正文、"/>
    <w:basedOn w:val="1"/>
    <w:qFormat/>
    <w:uiPriority w:val="0"/>
    <w:pPr>
      <w:spacing w:line="360" w:lineRule="auto"/>
      <w:ind w:firstLine="420" w:firstLineChars="200"/>
      <w:jc w:val="left"/>
    </w:pPr>
    <w:rPr>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3302</Words>
  <Characters>3876</Characters>
  <Lines>0</Lines>
  <Paragraphs>0</Paragraphs>
  <TotalTime>0</TotalTime>
  <ScaleCrop>false</ScaleCrop>
  <LinksUpToDate>false</LinksUpToDate>
  <CharactersWithSpaces>4003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2026-05-13T08:25:00Z</dcterms:created>
  <dc:creator>Administrator</dc:creator>
  <cp:lastModifiedBy>王凯</cp:lastModifiedBy>
  <dcterms:modified xsi:type="dcterms:W3CDTF">2026-05-21T03:17:12Z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D9A21CB728664727A127540EEC09E8CD_12</vt:lpwstr>
  </property>
</Properties>
</file>