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6B566">
      <w:pPr>
        <w:bidi w:val="0"/>
        <w:spacing w:line="360" w:lineRule="auto"/>
        <w:jc w:val="center"/>
        <w:rPr>
          <w:rFonts w:hint="eastAsia"/>
          <w:b/>
          <w:bCs/>
          <w:spacing w:val="-2"/>
          <w:szCs w:val="32"/>
        </w:rPr>
      </w:pPr>
      <w:r>
        <w:rPr>
          <w:rFonts w:hint="eastAsia"/>
          <w:b/>
          <w:bCs/>
          <w:sz w:val="44"/>
          <w:szCs w:val="44"/>
        </w:rPr>
        <w:t>招标公告</w:t>
      </w:r>
    </w:p>
    <w:p w14:paraId="635E0E06">
      <w:pPr>
        <w:pStyle w:val="59"/>
        <w:tabs>
          <w:tab w:val="left" w:pos="1190"/>
          <w:tab w:val="left" w:pos="4694"/>
          <w:tab w:val="left" w:pos="6290"/>
        </w:tabs>
        <w:adjustRightInd w:val="0"/>
        <w:snapToGrid w:val="0"/>
        <w:spacing w:line="336" w:lineRule="auto"/>
        <w:ind w:left="0" w:firstLine="565" w:firstLineChars="201"/>
        <w:rPr>
          <w:rFonts w:hint="eastAsia" w:cs="Microsoft JhengHei"/>
          <w:b/>
          <w:bCs/>
          <w:sz w:val="28"/>
          <w:szCs w:val="28"/>
        </w:rPr>
      </w:pPr>
      <w:bookmarkStart w:id="0" w:name="_bookmark2"/>
      <w:bookmarkEnd w:id="0"/>
      <w:r>
        <w:rPr>
          <w:rFonts w:cs="Microsoft JhengHei"/>
          <w:b/>
          <w:bCs/>
          <w:sz w:val="28"/>
          <w:szCs w:val="28"/>
        </w:rPr>
        <w:t>1.招标条件</w:t>
      </w:r>
    </w:p>
    <w:p w14:paraId="13A57174">
      <w:pPr>
        <w:adjustRightInd w:val="0"/>
        <w:snapToGrid w:val="0"/>
        <w:spacing w:line="360" w:lineRule="auto"/>
        <w:ind w:firstLine="482" w:firstLineChars="201"/>
        <w:rPr>
          <w:rFonts w:hint="eastAsia"/>
          <w:sz w:val="24"/>
          <w:szCs w:val="24"/>
        </w:rPr>
      </w:pPr>
      <w:r>
        <w:rPr>
          <w:rFonts w:hint="eastAsia"/>
          <w:sz w:val="24"/>
          <w:szCs w:val="24"/>
        </w:rPr>
        <w:t>本招标项目中国石化销售股份有限公司广东广州石油分公司后勤、非油业务等服务外包业务，招标人为</w:t>
      </w:r>
      <w:bookmarkStart w:id="1" w:name="_Hlk228057236"/>
      <w:r>
        <w:rPr>
          <w:rFonts w:hint="eastAsia"/>
          <w:sz w:val="24"/>
          <w:szCs w:val="24"/>
        </w:rPr>
        <w:t>中国石化销售股份有限公司广东广州石油分公司</w:t>
      </w:r>
      <w:bookmarkEnd w:id="1"/>
      <w:r>
        <w:rPr>
          <w:rFonts w:hint="eastAsia"/>
          <w:sz w:val="24"/>
          <w:szCs w:val="24"/>
        </w:rPr>
        <w:t>，招标项目资金来自企业自筹，出资比例为</w:t>
      </w:r>
      <w:r>
        <w:rPr>
          <w:rFonts w:hint="eastAsia"/>
          <w:sz w:val="24"/>
          <w:szCs w:val="24"/>
          <w:lang w:val="en-US"/>
        </w:rPr>
        <w:t>100%</w:t>
      </w:r>
      <w:r>
        <w:rPr>
          <w:rFonts w:hint="eastAsia"/>
          <w:sz w:val="24"/>
          <w:szCs w:val="24"/>
        </w:rPr>
        <w:t>。该项目已具备招标条件，现进行公开招标。</w:t>
      </w:r>
    </w:p>
    <w:p w14:paraId="548A7C7B">
      <w:pPr>
        <w:pStyle w:val="59"/>
        <w:tabs>
          <w:tab w:val="left" w:pos="1190"/>
          <w:tab w:val="left" w:pos="4694"/>
          <w:tab w:val="left" w:pos="6290"/>
        </w:tabs>
        <w:spacing w:line="336" w:lineRule="auto"/>
        <w:ind w:left="0" w:firstLine="565" w:firstLineChars="201"/>
        <w:rPr>
          <w:rFonts w:hint="eastAsia" w:cs="Microsoft JhengHei"/>
          <w:b/>
          <w:bCs/>
          <w:sz w:val="28"/>
          <w:szCs w:val="28"/>
        </w:rPr>
      </w:pPr>
      <w:bookmarkStart w:id="2" w:name="_bookmark3"/>
      <w:bookmarkEnd w:id="2"/>
      <w:r>
        <w:rPr>
          <w:rFonts w:cs="Microsoft JhengHei"/>
          <w:b/>
          <w:bCs/>
          <w:sz w:val="28"/>
          <w:szCs w:val="28"/>
          <w:lang w:val="en-US"/>
        </w:rPr>
        <w:t>2.</w:t>
      </w:r>
      <w:r>
        <w:rPr>
          <w:rFonts w:cs="Microsoft JhengHei"/>
          <w:b/>
          <w:bCs/>
          <w:sz w:val="28"/>
          <w:szCs w:val="28"/>
        </w:rPr>
        <w:t>项目概况与招标范围</w:t>
      </w:r>
    </w:p>
    <w:p w14:paraId="79F503B0">
      <w:pPr>
        <w:pStyle w:val="59"/>
        <w:tabs>
          <w:tab w:val="left" w:pos="1190"/>
          <w:tab w:val="left" w:pos="4694"/>
          <w:tab w:val="left" w:pos="6290"/>
        </w:tabs>
        <w:adjustRightInd w:val="0"/>
        <w:snapToGrid w:val="0"/>
        <w:spacing w:line="360" w:lineRule="auto"/>
        <w:ind w:left="0" w:firstLine="480" w:firstLineChars="200"/>
        <w:jc w:val="both"/>
        <w:rPr>
          <w:sz w:val="24"/>
          <w:szCs w:val="24"/>
          <w:lang w:val="en-US"/>
        </w:rPr>
      </w:pPr>
      <w:r>
        <w:rPr>
          <w:sz w:val="24"/>
          <w:szCs w:val="24"/>
          <w:lang w:val="en-US"/>
        </w:rPr>
        <w:t>2</w:t>
      </w:r>
      <w:r>
        <w:rPr>
          <w:rFonts w:hint="eastAsia"/>
          <w:sz w:val="24"/>
          <w:szCs w:val="24"/>
          <w:lang w:val="en-US"/>
        </w:rPr>
        <w:t xml:space="preserve">.1 </w:t>
      </w:r>
      <w:r>
        <w:rPr>
          <w:rFonts w:hint="eastAsia"/>
          <w:sz w:val="24"/>
          <w:szCs w:val="24"/>
        </w:rPr>
        <w:t>项目名称：</w:t>
      </w:r>
      <w:bookmarkStart w:id="3" w:name="_Hlk228057073"/>
      <w:r>
        <w:rPr>
          <w:rFonts w:hint="eastAsia"/>
          <w:sz w:val="24"/>
          <w:szCs w:val="24"/>
        </w:rPr>
        <w:t>中国石化销售股份有限公司广东广州石油分公</w:t>
      </w:r>
      <w:r>
        <w:rPr>
          <w:rFonts w:hint="eastAsia"/>
          <w:sz w:val="24"/>
          <w:szCs w:val="24"/>
          <w:lang w:val="en-US"/>
        </w:rPr>
        <w:t>司</w:t>
      </w:r>
      <w:r>
        <w:rPr>
          <w:rFonts w:hint="eastAsia"/>
          <w:sz w:val="24"/>
          <w:szCs w:val="24"/>
        </w:rPr>
        <w:t>后勤、非油业务等服务外包业务</w:t>
      </w:r>
      <w:bookmarkEnd w:id="3"/>
      <w:r>
        <w:rPr>
          <w:rFonts w:hint="eastAsia"/>
          <w:sz w:val="24"/>
          <w:szCs w:val="24"/>
          <w:lang w:val="en-US"/>
        </w:rPr>
        <w:t xml:space="preserve">  </w:t>
      </w:r>
    </w:p>
    <w:p w14:paraId="308279D4">
      <w:pPr>
        <w:pStyle w:val="59"/>
        <w:tabs>
          <w:tab w:val="left" w:pos="1190"/>
          <w:tab w:val="left" w:pos="4694"/>
          <w:tab w:val="left" w:pos="6290"/>
        </w:tabs>
        <w:adjustRightInd w:val="0"/>
        <w:snapToGrid w:val="0"/>
        <w:spacing w:line="360" w:lineRule="auto"/>
        <w:ind w:left="0" w:firstLine="480" w:firstLineChars="200"/>
        <w:jc w:val="both"/>
        <w:rPr>
          <w:rFonts w:hint="eastAsia"/>
          <w:sz w:val="24"/>
          <w:szCs w:val="24"/>
        </w:rPr>
      </w:pPr>
      <w:r>
        <w:rPr>
          <w:sz w:val="24"/>
          <w:szCs w:val="24"/>
          <w:lang w:val="en-US"/>
        </w:rPr>
        <w:t>2</w:t>
      </w:r>
      <w:r>
        <w:rPr>
          <w:rFonts w:hint="eastAsia"/>
          <w:sz w:val="24"/>
          <w:szCs w:val="24"/>
          <w:lang w:val="en-US"/>
        </w:rPr>
        <w:t>.</w:t>
      </w:r>
      <w:r>
        <w:rPr>
          <w:sz w:val="24"/>
          <w:szCs w:val="24"/>
          <w:lang w:val="en-US"/>
        </w:rPr>
        <w:t>2</w:t>
      </w:r>
      <w:r>
        <w:rPr>
          <w:rFonts w:hint="eastAsia"/>
          <w:sz w:val="24"/>
          <w:szCs w:val="24"/>
          <w:lang w:val="en-US"/>
        </w:rPr>
        <w:t xml:space="preserve"> </w:t>
      </w:r>
      <w:r>
        <w:rPr>
          <w:rFonts w:hint="eastAsia"/>
          <w:sz w:val="24"/>
          <w:szCs w:val="24"/>
        </w:rPr>
        <w:t>项目类别：服务类</w:t>
      </w:r>
    </w:p>
    <w:p w14:paraId="5CCDDDF9">
      <w:pPr>
        <w:pStyle w:val="59"/>
        <w:tabs>
          <w:tab w:val="left" w:pos="1190"/>
          <w:tab w:val="left" w:pos="4694"/>
          <w:tab w:val="left" w:pos="6290"/>
        </w:tabs>
        <w:adjustRightInd w:val="0"/>
        <w:snapToGrid w:val="0"/>
        <w:spacing w:line="360" w:lineRule="auto"/>
        <w:ind w:left="0" w:firstLine="480" w:firstLineChars="200"/>
        <w:jc w:val="both"/>
        <w:rPr>
          <w:sz w:val="24"/>
          <w:szCs w:val="24"/>
          <w:lang w:val="en-US"/>
        </w:rPr>
      </w:pPr>
      <w:r>
        <w:rPr>
          <w:sz w:val="24"/>
          <w:szCs w:val="24"/>
          <w:lang w:val="en-US"/>
        </w:rPr>
        <w:t>2</w:t>
      </w:r>
      <w:r>
        <w:rPr>
          <w:rFonts w:hint="eastAsia"/>
          <w:sz w:val="24"/>
          <w:szCs w:val="24"/>
          <w:lang w:val="en-US"/>
        </w:rPr>
        <w:t>.</w:t>
      </w:r>
      <w:r>
        <w:rPr>
          <w:sz w:val="24"/>
          <w:szCs w:val="24"/>
          <w:lang w:val="en-US"/>
        </w:rPr>
        <w:t>3</w:t>
      </w:r>
      <w:r>
        <w:rPr>
          <w:rFonts w:hint="eastAsia"/>
          <w:sz w:val="24"/>
          <w:szCs w:val="24"/>
          <w:lang w:val="en-US"/>
        </w:rPr>
        <w:t xml:space="preserve"> </w:t>
      </w:r>
      <w:r>
        <w:rPr>
          <w:rFonts w:hint="eastAsia"/>
          <w:sz w:val="24"/>
          <w:szCs w:val="24"/>
        </w:rPr>
        <w:t>招标总预算：</w:t>
      </w:r>
      <w:r>
        <w:rPr>
          <w:rFonts w:hint="eastAsia"/>
          <w:sz w:val="24"/>
          <w:szCs w:val="24"/>
          <w:lang w:val="en-US"/>
        </w:rPr>
        <w:t>（</w:t>
      </w:r>
      <w:r>
        <w:rPr>
          <w:sz w:val="24"/>
          <w:szCs w:val="24"/>
          <w:lang w:val="en-US"/>
        </w:rPr>
        <w:t>1）标段一：</w:t>
      </w:r>
      <w:r>
        <w:rPr>
          <w:rFonts w:hint="eastAsia"/>
          <w:sz w:val="24"/>
          <w:szCs w:val="24"/>
          <w:lang w:val="en-US"/>
        </w:rPr>
        <w:t>机关</w:t>
      </w:r>
      <w:r>
        <w:rPr>
          <w:rFonts w:hint="eastAsia"/>
          <w:sz w:val="24"/>
          <w:szCs w:val="24"/>
        </w:rPr>
        <w:t>后勤、非油业务等服务</w:t>
      </w:r>
      <w:r>
        <w:rPr>
          <w:sz w:val="24"/>
          <w:szCs w:val="24"/>
          <w:lang w:val="en-US"/>
        </w:rPr>
        <w:t>，估算金额</w:t>
      </w:r>
      <w:r>
        <w:rPr>
          <w:rFonts w:hint="eastAsia"/>
          <w:sz w:val="24"/>
          <w:szCs w:val="24"/>
          <w:lang w:val="en-US" w:eastAsia="zh-CN"/>
        </w:rPr>
        <w:t>354</w:t>
      </w:r>
      <w:r>
        <w:rPr>
          <w:sz w:val="24"/>
          <w:szCs w:val="24"/>
          <w:lang w:val="en-US"/>
        </w:rPr>
        <w:t>万元</w:t>
      </w:r>
      <w:r>
        <w:rPr>
          <w:rFonts w:hint="eastAsia"/>
          <w:sz w:val="24"/>
          <w:szCs w:val="24"/>
          <w:lang w:val="en-US"/>
        </w:rPr>
        <w:t>（含税，</w:t>
      </w:r>
      <w:r>
        <w:rPr>
          <w:rFonts w:hint="eastAsia"/>
          <w:sz w:val="24"/>
          <w:szCs w:val="24"/>
          <w:highlight w:val="none"/>
          <w:lang w:val="en-US"/>
        </w:rPr>
        <w:t>不含税3</w:t>
      </w:r>
      <w:r>
        <w:rPr>
          <w:rFonts w:hint="eastAsia"/>
          <w:sz w:val="24"/>
          <w:szCs w:val="24"/>
          <w:highlight w:val="none"/>
          <w:lang w:val="en-US" w:eastAsia="zh-CN"/>
        </w:rPr>
        <w:t>34</w:t>
      </w:r>
      <w:r>
        <w:rPr>
          <w:rFonts w:hint="eastAsia"/>
          <w:sz w:val="24"/>
          <w:szCs w:val="24"/>
          <w:highlight w:val="none"/>
          <w:lang w:val="en-US"/>
        </w:rPr>
        <w:t>万元）</w:t>
      </w:r>
      <w:r>
        <w:rPr>
          <w:sz w:val="24"/>
          <w:szCs w:val="24"/>
          <w:highlight w:val="none"/>
          <w:lang w:val="en-US"/>
        </w:rPr>
        <w:t>；（2）标段二：</w:t>
      </w:r>
      <w:r>
        <w:rPr>
          <w:rFonts w:hint="eastAsia"/>
          <w:sz w:val="24"/>
          <w:szCs w:val="24"/>
          <w:highlight w:val="none"/>
          <w:lang w:val="en-US" w:eastAsia="zh-CN"/>
        </w:rPr>
        <w:t>加能站</w:t>
      </w:r>
      <w:r>
        <w:rPr>
          <w:sz w:val="24"/>
          <w:szCs w:val="24"/>
          <w:highlight w:val="none"/>
          <w:lang w:val="en-US"/>
        </w:rPr>
        <w:t>后勤服务，估算金额</w:t>
      </w:r>
      <w:r>
        <w:rPr>
          <w:rFonts w:hint="eastAsia"/>
          <w:sz w:val="24"/>
          <w:szCs w:val="24"/>
          <w:highlight w:val="none"/>
          <w:lang w:val="en-US"/>
        </w:rPr>
        <w:t>102</w:t>
      </w:r>
      <w:r>
        <w:rPr>
          <w:sz w:val="24"/>
          <w:szCs w:val="24"/>
          <w:highlight w:val="none"/>
          <w:lang w:val="en-US"/>
        </w:rPr>
        <w:t>万元</w:t>
      </w:r>
      <w:r>
        <w:rPr>
          <w:rFonts w:hint="eastAsia"/>
          <w:sz w:val="24"/>
          <w:szCs w:val="24"/>
          <w:highlight w:val="none"/>
          <w:lang w:val="en-US"/>
        </w:rPr>
        <w:t>（含税，不含税96万元）</w:t>
      </w:r>
      <w:r>
        <w:rPr>
          <w:rFonts w:hint="eastAsia"/>
          <w:sz w:val="24"/>
          <w:szCs w:val="24"/>
          <w:highlight w:val="none"/>
          <w:lang w:val="en-US" w:eastAsia="zh-CN"/>
        </w:rPr>
        <w:t>；（3）标段三：保安服务，估算金额54万元（含税，不含税51万元）</w:t>
      </w:r>
      <w:r>
        <w:rPr>
          <w:sz w:val="24"/>
          <w:szCs w:val="24"/>
          <w:lang w:val="en-US"/>
        </w:rPr>
        <w:t>。本估算金额仅作招标提醒，招标人不保证在约定期限内实际支付的服务金额一定达到估算金额，实际金额未达估算金额招标人不承担任何法律责任。</w:t>
      </w:r>
    </w:p>
    <w:p w14:paraId="72AF2466">
      <w:pPr>
        <w:pStyle w:val="59"/>
        <w:tabs>
          <w:tab w:val="left" w:pos="1190"/>
          <w:tab w:val="left" w:pos="4694"/>
          <w:tab w:val="left" w:pos="6290"/>
        </w:tabs>
        <w:adjustRightInd w:val="0"/>
        <w:snapToGrid w:val="0"/>
        <w:spacing w:line="360" w:lineRule="auto"/>
        <w:ind w:left="0" w:firstLine="480" w:firstLineChars="200"/>
        <w:jc w:val="both"/>
        <w:rPr>
          <w:rFonts w:hint="eastAsia"/>
          <w:sz w:val="24"/>
          <w:szCs w:val="24"/>
          <w:lang w:val="en-US"/>
        </w:rPr>
      </w:pPr>
      <w:r>
        <w:rPr>
          <w:rFonts w:hint="eastAsia"/>
          <w:sz w:val="24"/>
          <w:szCs w:val="24"/>
          <w:lang w:val="en-US"/>
        </w:rPr>
        <w:t xml:space="preserve">2.4 </w:t>
      </w:r>
      <w:r>
        <w:rPr>
          <w:rFonts w:hint="eastAsia"/>
          <w:b/>
          <w:bCs/>
          <w:color w:val="000000"/>
          <w:sz w:val="24"/>
          <w:szCs w:val="24"/>
        </w:rPr>
        <w:t>最高投标限价</w:t>
      </w:r>
      <w:r>
        <w:rPr>
          <w:rFonts w:hint="eastAsia"/>
          <w:sz w:val="24"/>
          <w:szCs w:val="24"/>
          <w:lang w:val="en-US"/>
        </w:rPr>
        <w:t>：</w:t>
      </w:r>
    </w:p>
    <w:p w14:paraId="288B77F8">
      <w:pPr>
        <w:pStyle w:val="59"/>
        <w:tabs>
          <w:tab w:val="left" w:pos="1190"/>
          <w:tab w:val="left" w:pos="4694"/>
          <w:tab w:val="left" w:pos="6290"/>
        </w:tabs>
        <w:adjustRightInd w:val="0"/>
        <w:snapToGrid w:val="0"/>
        <w:spacing w:line="360" w:lineRule="auto"/>
        <w:ind w:left="0" w:firstLine="480" w:firstLineChars="200"/>
        <w:jc w:val="both"/>
        <w:rPr>
          <w:sz w:val="24"/>
          <w:szCs w:val="24"/>
          <w:lang w:val="en-US"/>
        </w:rPr>
      </w:pPr>
      <w:r>
        <w:rPr>
          <w:sz w:val="24"/>
          <w:szCs w:val="24"/>
          <w:lang w:val="en-US"/>
        </w:rPr>
        <w:t>（1）标段一最高限价：机关后勤、非油业务等服务，管理服务费不超过60元/月/人，投标报价超出最高限价为无效报价。</w:t>
      </w:r>
    </w:p>
    <w:p w14:paraId="40357F9F">
      <w:pPr>
        <w:pStyle w:val="59"/>
        <w:tabs>
          <w:tab w:val="left" w:pos="1190"/>
          <w:tab w:val="left" w:pos="4694"/>
          <w:tab w:val="left" w:pos="6290"/>
        </w:tabs>
        <w:adjustRightInd w:val="0"/>
        <w:snapToGrid w:val="0"/>
        <w:spacing w:line="360" w:lineRule="auto"/>
        <w:ind w:left="0" w:firstLine="480" w:firstLineChars="200"/>
        <w:jc w:val="both"/>
        <w:rPr>
          <w:sz w:val="24"/>
          <w:szCs w:val="24"/>
          <w:lang w:val="en-US"/>
        </w:rPr>
      </w:pPr>
      <w:r>
        <w:rPr>
          <w:sz w:val="24"/>
          <w:szCs w:val="24"/>
          <w:lang w:val="en-US"/>
        </w:rPr>
        <w:t>说明：招标人支付给中标人的外包服务费含服务人员的工资、单位部分社保公积金、体检费等服务人员费用、管理服务费及税费（含开票税费和附加税）。业务外包服务费用=工资、单位部分社保公积金等服务人员费用+管理服务费+税费（含开票税费及其他附加税）</w:t>
      </w:r>
    </w:p>
    <w:p w14:paraId="546DF571">
      <w:pPr>
        <w:pStyle w:val="59"/>
        <w:numPr>
          <w:ilvl w:val="0"/>
          <w:numId w:val="1"/>
        </w:numPr>
        <w:tabs>
          <w:tab w:val="left" w:pos="1190"/>
          <w:tab w:val="left" w:pos="4694"/>
          <w:tab w:val="left" w:pos="6290"/>
        </w:tabs>
        <w:adjustRightInd w:val="0"/>
        <w:snapToGrid w:val="0"/>
        <w:spacing w:line="360" w:lineRule="auto"/>
        <w:ind w:left="0" w:firstLine="480" w:firstLineChars="200"/>
        <w:jc w:val="both"/>
        <w:rPr>
          <w:sz w:val="24"/>
          <w:szCs w:val="24"/>
          <w:lang w:val="en-US"/>
        </w:rPr>
      </w:pPr>
      <w:r>
        <w:rPr>
          <w:sz w:val="24"/>
          <w:szCs w:val="24"/>
          <w:lang w:val="en-US"/>
        </w:rPr>
        <w:t>标段二最高限价：</w:t>
      </w:r>
      <w:r>
        <w:rPr>
          <w:rFonts w:hint="eastAsia"/>
          <w:sz w:val="24"/>
          <w:szCs w:val="24"/>
          <w:lang w:val="en-US" w:eastAsia="zh-CN"/>
        </w:rPr>
        <w:t>加能站</w:t>
      </w:r>
      <w:r>
        <w:rPr>
          <w:sz w:val="24"/>
          <w:szCs w:val="24"/>
          <w:lang w:val="en-US"/>
        </w:rPr>
        <w:t>后勤服务，服务费费率最高限价为10.32%，投标报价超出最高限价为无效报价。</w:t>
      </w:r>
    </w:p>
    <w:p w14:paraId="723EECBF">
      <w:pPr>
        <w:pStyle w:val="59"/>
        <w:tabs>
          <w:tab w:val="left" w:pos="1190"/>
          <w:tab w:val="left" w:pos="4694"/>
          <w:tab w:val="left" w:pos="6290"/>
        </w:tabs>
        <w:adjustRightInd w:val="0"/>
        <w:snapToGrid w:val="0"/>
        <w:spacing w:line="360" w:lineRule="auto"/>
        <w:ind w:left="0" w:firstLine="480" w:firstLineChars="200"/>
        <w:jc w:val="both"/>
        <w:rPr>
          <w:sz w:val="24"/>
          <w:szCs w:val="24"/>
          <w:lang w:val="en-US"/>
        </w:rPr>
      </w:pPr>
      <w:r>
        <w:rPr>
          <w:sz w:val="24"/>
          <w:szCs w:val="24"/>
          <w:lang w:val="en-US"/>
        </w:rPr>
        <w:t>说明：招标人支付给中标人的外包服务费含基础费用和管理服务费两部分。①基础费用是服务人员的工资和保险</w:t>
      </w:r>
      <w:r>
        <w:rPr>
          <w:rFonts w:hint="eastAsia"/>
          <w:sz w:val="24"/>
          <w:szCs w:val="24"/>
          <w:lang w:val="en-US" w:eastAsia="zh-CN"/>
        </w:rPr>
        <w:t>等</w:t>
      </w:r>
      <w:r>
        <w:rPr>
          <w:sz w:val="24"/>
          <w:szCs w:val="24"/>
          <w:lang w:val="en-US"/>
        </w:rPr>
        <w:t>费用。②管理服务费是招标人支付给中标人的管理服务费用，含发票开票税费、招聘、培训、体检等中标人日常管理费用。业务外包服务费用=基础费用+管理服务费（基础费用*服务费率）</w:t>
      </w:r>
    </w:p>
    <w:p w14:paraId="66E4E535">
      <w:pPr>
        <w:pStyle w:val="59"/>
        <w:tabs>
          <w:tab w:val="left" w:pos="1190"/>
          <w:tab w:val="left" w:pos="4694"/>
          <w:tab w:val="left" w:pos="6290"/>
        </w:tabs>
        <w:adjustRightInd w:val="0"/>
        <w:snapToGrid w:val="0"/>
        <w:spacing w:line="360" w:lineRule="auto"/>
        <w:ind w:left="0" w:firstLine="480" w:firstLineChars="200"/>
        <w:jc w:val="both"/>
        <w:rPr>
          <w:rFonts w:hint="default" w:ascii="宋体" w:hAnsi="宋体" w:eastAsia="宋体" w:cs="宋体"/>
          <w:sz w:val="24"/>
          <w:szCs w:val="24"/>
          <w:highlight w:val="none"/>
          <w:lang w:val="en-US" w:eastAsia="zh-CN"/>
        </w:rPr>
      </w:pPr>
      <w:r>
        <w:rPr>
          <w:rFonts w:hint="eastAsia"/>
          <w:sz w:val="24"/>
          <w:szCs w:val="24"/>
          <w:lang w:val="en-US" w:eastAsia="zh-CN"/>
        </w:rPr>
        <w:t>（3）</w:t>
      </w:r>
      <w:r>
        <w:rPr>
          <w:rFonts w:hint="default"/>
          <w:sz w:val="24"/>
          <w:szCs w:val="24"/>
          <w:lang w:val="en-US" w:eastAsia="zh-CN"/>
        </w:rPr>
        <w:t>标段三最高限价：</w:t>
      </w:r>
      <w:r>
        <w:rPr>
          <w:rFonts w:hint="default" w:ascii="宋体" w:hAnsi="宋体" w:eastAsia="宋体" w:cs="宋体"/>
          <w:b w:val="0"/>
          <w:bCs w:val="0"/>
          <w:sz w:val="24"/>
          <w:szCs w:val="24"/>
          <w:highlight w:val="none"/>
          <w:lang w:val="en-US" w:eastAsia="zh-CN"/>
        </w:rPr>
        <w:t>保安服务</w:t>
      </w:r>
      <w:r>
        <w:rPr>
          <w:rFonts w:hint="eastAsia" w:cs="宋体"/>
          <w:b w:val="0"/>
          <w:bCs w:val="0"/>
          <w:sz w:val="24"/>
          <w:szCs w:val="24"/>
          <w:highlight w:val="none"/>
          <w:lang w:val="en-US" w:eastAsia="zh-CN"/>
        </w:rPr>
        <w:t>最高限价为</w:t>
      </w:r>
      <w:r>
        <w:rPr>
          <w:rFonts w:hint="default" w:ascii="宋体" w:hAnsi="宋体" w:eastAsia="宋体" w:cs="宋体"/>
          <w:b w:val="0"/>
          <w:bCs w:val="0"/>
          <w:sz w:val="24"/>
          <w:szCs w:val="24"/>
          <w:highlight w:val="none"/>
          <w:lang w:val="en-US" w:eastAsia="zh-CN"/>
        </w:rPr>
        <w:t>：</w:t>
      </w:r>
      <w:r>
        <w:rPr>
          <w:rFonts w:hint="eastAsia" w:cs="宋体"/>
          <w:b w:val="0"/>
          <w:bCs w:val="0"/>
          <w:sz w:val="24"/>
          <w:szCs w:val="24"/>
          <w:highlight w:val="none"/>
          <w:lang w:val="en-US" w:eastAsia="zh-CN"/>
        </w:rPr>
        <w:t>54万元。</w:t>
      </w:r>
      <w:r>
        <w:rPr>
          <w:b w:val="0"/>
          <w:bCs w:val="0"/>
          <w:sz w:val="24"/>
          <w:szCs w:val="24"/>
          <w:highlight w:val="none"/>
          <w:lang w:val="en-US"/>
        </w:rPr>
        <w:t>①</w:t>
      </w:r>
      <w:r>
        <w:rPr>
          <w:rFonts w:hint="default" w:ascii="宋体" w:hAnsi="宋体" w:eastAsia="宋体" w:cs="宋体"/>
          <w:b w:val="0"/>
          <w:bCs w:val="0"/>
          <w:sz w:val="24"/>
          <w:szCs w:val="24"/>
          <w:highlight w:val="none"/>
          <w:lang w:val="en-US" w:eastAsia="zh-CN"/>
        </w:rPr>
        <w:t>县区分公司</w:t>
      </w:r>
      <w:r>
        <w:rPr>
          <w:rFonts w:hint="eastAsia" w:cs="宋体"/>
          <w:b w:val="0"/>
          <w:bCs w:val="0"/>
          <w:sz w:val="24"/>
          <w:szCs w:val="24"/>
          <w:highlight w:val="none"/>
          <w:lang w:val="en-US" w:eastAsia="zh-CN"/>
        </w:rPr>
        <w:t>及</w:t>
      </w:r>
      <w:r>
        <w:rPr>
          <w:rFonts w:hint="default" w:ascii="宋体" w:hAnsi="宋体" w:eastAsia="宋体" w:cs="宋体"/>
          <w:b w:val="0"/>
          <w:bCs w:val="0"/>
          <w:sz w:val="24"/>
          <w:szCs w:val="24"/>
          <w:highlight w:val="none"/>
          <w:lang w:val="en-US" w:eastAsia="zh-CN"/>
        </w:rPr>
        <w:t>加能站保安总费用</w:t>
      </w:r>
      <w:r>
        <w:rPr>
          <w:rFonts w:hint="eastAsia" w:cs="宋体"/>
          <w:b w:val="0"/>
          <w:bCs w:val="0"/>
          <w:sz w:val="24"/>
          <w:szCs w:val="24"/>
          <w:highlight w:val="none"/>
          <w:lang w:val="en-US" w:eastAsia="zh-CN"/>
        </w:rPr>
        <w:t>最高限价为</w:t>
      </w:r>
      <w:r>
        <w:rPr>
          <w:rFonts w:hint="default" w:ascii="宋体" w:hAnsi="宋体" w:eastAsia="宋体" w:cs="宋体"/>
          <w:b w:val="0"/>
          <w:bCs w:val="0"/>
          <w:sz w:val="24"/>
          <w:szCs w:val="24"/>
          <w:highlight w:val="none"/>
          <w:lang w:val="en-US" w:eastAsia="zh-CN"/>
        </w:rPr>
        <w:t>26万元（含税，不含税25万元）；</w:t>
      </w:r>
      <w:r>
        <w:rPr>
          <w:b w:val="0"/>
          <w:bCs w:val="0"/>
          <w:sz w:val="24"/>
          <w:szCs w:val="24"/>
          <w:highlight w:val="none"/>
          <w:lang w:val="en-US"/>
        </w:rPr>
        <w:t>②</w:t>
      </w:r>
      <w:r>
        <w:rPr>
          <w:rFonts w:hint="default" w:ascii="宋体" w:hAnsi="宋体" w:eastAsia="宋体" w:cs="宋体"/>
          <w:b w:val="0"/>
          <w:bCs w:val="0"/>
          <w:sz w:val="24"/>
          <w:szCs w:val="24"/>
          <w:highlight w:val="none"/>
          <w:lang w:val="en-US" w:eastAsia="zh-CN"/>
        </w:rPr>
        <w:t>机关大楼总费用</w:t>
      </w:r>
      <w:r>
        <w:rPr>
          <w:rFonts w:hint="eastAsia" w:cs="宋体"/>
          <w:b w:val="0"/>
          <w:bCs w:val="0"/>
          <w:sz w:val="24"/>
          <w:szCs w:val="24"/>
          <w:highlight w:val="none"/>
          <w:lang w:val="en-US" w:eastAsia="zh-CN"/>
        </w:rPr>
        <w:t>最高限价为</w:t>
      </w:r>
      <w:r>
        <w:rPr>
          <w:rFonts w:hint="default" w:ascii="宋体" w:hAnsi="宋体" w:eastAsia="宋体" w:cs="宋体"/>
          <w:b w:val="0"/>
          <w:bCs w:val="0"/>
          <w:sz w:val="24"/>
          <w:szCs w:val="24"/>
          <w:highlight w:val="none"/>
          <w:lang w:val="en-US" w:eastAsia="zh-CN"/>
        </w:rPr>
        <w:t>28万元（含税，不含税26万元）。</w:t>
      </w:r>
      <w:r>
        <w:rPr>
          <w:rFonts w:hint="default" w:ascii="宋体" w:hAnsi="宋体" w:eastAsia="宋体" w:cs="宋体"/>
          <w:b w:val="0"/>
          <w:bCs w:val="0"/>
          <w:sz w:val="24"/>
          <w:szCs w:val="24"/>
          <w:highlight w:val="none"/>
          <w:lang w:val="en-US"/>
        </w:rPr>
        <w:t>投标报价超出最高限价为无效报价。</w:t>
      </w:r>
    </w:p>
    <w:p w14:paraId="04AFFB5B">
      <w:pPr>
        <w:pStyle w:val="59"/>
        <w:tabs>
          <w:tab w:val="left" w:pos="1190"/>
          <w:tab w:val="left" w:pos="4694"/>
          <w:tab w:val="left" w:pos="6290"/>
        </w:tabs>
        <w:adjustRightInd w:val="0"/>
        <w:snapToGrid w:val="0"/>
        <w:spacing w:line="360" w:lineRule="auto"/>
        <w:ind w:firstLine="480" w:firstLineChars="200"/>
        <w:jc w:val="both"/>
        <w:rPr>
          <w:rFonts w:hint="default" w:ascii="宋体" w:hAnsi="宋体" w:eastAsia="宋体" w:cs="宋体"/>
          <w:bCs w:val="0"/>
          <w:snapToGrid/>
          <w:sz w:val="24"/>
          <w:szCs w:val="24"/>
          <w:highlight w:val="none"/>
          <w:lang w:val="en-US"/>
        </w:rPr>
      </w:pPr>
      <w:r>
        <w:rPr>
          <w:rFonts w:hint="default" w:ascii="宋体" w:hAnsi="宋体" w:eastAsia="宋体" w:cs="宋体"/>
          <w:bCs w:val="0"/>
          <w:snapToGrid/>
          <w:sz w:val="24"/>
          <w:szCs w:val="24"/>
          <w:highlight w:val="none"/>
          <w:lang w:val="en-US"/>
        </w:rPr>
        <w:t>说明：</w:t>
      </w:r>
      <w:r>
        <w:rPr>
          <w:rFonts w:hint="default" w:ascii="宋体" w:hAnsi="宋体" w:eastAsia="宋体" w:cs="宋体"/>
          <w:bCs w:val="0"/>
          <w:snapToGrid/>
          <w:sz w:val="24"/>
          <w:szCs w:val="24"/>
          <w:highlight w:val="none"/>
          <w:lang w:val="en-US" w:eastAsia="zh-CN"/>
        </w:rPr>
        <w:t>费用含保安服务人员的人工费、月度保安</w:t>
      </w:r>
      <w:r>
        <w:rPr>
          <w:rFonts w:hint="default" w:ascii="宋体" w:hAnsi="宋体" w:eastAsia="宋体" w:cs="宋体"/>
          <w:bCs w:val="0"/>
          <w:snapToGrid/>
          <w:sz w:val="24"/>
          <w:szCs w:val="24"/>
          <w:lang w:val="en-US" w:eastAsia="zh-CN"/>
        </w:rPr>
        <w:t>管理</w:t>
      </w:r>
      <w:r>
        <w:rPr>
          <w:rFonts w:hint="default" w:ascii="宋体" w:hAnsi="宋体" w:eastAsia="宋体" w:cs="宋体"/>
          <w:bCs w:val="0"/>
          <w:snapToGrid/>
          <w:sz w:val="24"/>
          <w:szCs w:val="24"/>
          <w:highlight w:val="none"/>
          <w:lang w:val="en-US" w:eastAsia="zh-CN"/>
        </w:rPr>
        <w:t>服务费、</w:t>
      </w:r>
      <w:r>
        <w:rPr>
          <w:rFonts w:hint="default" w:ascii="宋体" w:hAnsi="宋体" w:eastAsia="宋体" w:cs="宋体"/>
          <w:sz w:val="24"/>
          <w:szCs w:val="24"/>
          <w:lang w:val="en-US" w:eastAsia="zh-CN"/>
        </w:rPr>
        <w:t>税费（含开票税费和其他附件税）</w:t>
      </w:r>
      <w:r>
        <w:rPr>
          <w:rFonts w:hint="default" w:ascii="宋体" w:hAnsi="宋体" w:eastAsia="宋体" w:cs="宋体"/>
          <w:bCs w:val="0"/>
          <w:snapToGrid/>
          <w:sz w:val="24"/>
          <w:szCs w:val="24"/>
          <w:highlight w:val="none"/>
          <w:lang w:val="en-US"/>
        </w:rPr>
        <w:t>等中标人日常管理费用总额。除该费用外，正常情况下，招标人不再支付其他服务费用。</w:t>
      </w:r>
    </w:p>
    <w:p w14:paraId="4FAF9843">
      <w:pPr>
        <w:pStyle w:val="59"/>
        <w:tabs>
          <w:tab w:val="left" w:pos="1190"/>
          <w:tab w:val="left" w:pos="4694"/>
          <w:tab w:val="left" w:pos="6290"/>
        </w:tabs>
        <w:adjustRightInd w:val="0"/>
        <w:snapToGrid w:val="0"/>
        <w:spacing w:line="360" w:lineRule="auto"/>
        <w:ind w:left="0" w:firstLine="480" w:firstLineChars="200"/>
        <w:jc w:val="both"/>
        <w:rPr>
          <w:rFonts w:hint="eastAsia"/>
          <w:sz w:val="24"/>
          <w:szCs w:val="24"/>
        </w:rPr>
      </w:pPr>
      <w:r>
        <w:rPr>
          <w:sz w:val="24"/>
          <w:szCs w:val="24"/>
          <w:lang w:val="en-US"/>
        </w:rPr>
        <w:t>2</w:t>
      </w:r>
      <w:r>
        <w:rPr>
          <w:rFonts w:hint="eastAsia"/>
          <w:sz w:val="24"/>
          <w:szCs w:val="24"/>
          <w:lang w:val="en-US"/>
        </w:rPr>
        <w:t>.5 服务</w:t>
      </w:r>
      <w:r>
        <w:rPr>
          <w:rFonts w:hint="eastAsia"/>
          <w:sz w:val="24"/>
          <w:szCs w:val="24"/>
        </w:rPr>
        <w:t>地点：</w:t>
      </w:r>
      <w:r>
        <w:rPr>
          <w:sz w:val="24"/>
          <w:szCs w:val="24"/>
        </w:rPr>
        <w:t>广</w:t>
      </w:r>
      <w:r>
        <w:rPr>
          <w:rFonts w:hint="eastAsia"/>
          <w:sz w:val="24"/>
          <w:szCs w:val="24"/>
          <w:lang w:val="en-US"/>
        </w:rPr>
        <w:t>州</w:t>
      </w:r>
      <w:r>
        <w:rPr>
          <w:sz w:val="24"/>
          <w:szCs w:val="24"/>
        </w:rPr>
        <w:t>石油分公司</w:t>
      </w:r>
      <w:r>
        <w:rPr>
          <w:rFonts w:hint="eastAsia"/>
          <w:sz w:val="24"/>
          <w:szCs w:val="24"/>
        </w:rPr>
        <w:t>。</w:t>
      </w:r>
    </w:p>
    <w:p w14:paraId="055C4CF7">
      <w:pPr>
        <w:pStyle w:val="59"/>
        <w:tabs>
          <w:tab w:val="left" w:pos="1190"/>
          <w:tab w:val="left" w:pos="4694"/>
          <w:tab w:val="left" w:pos="6290"/>
        </w:tabs>
        <w:adjustRightInd w:val="0"/>
        <w:snapToGrid w:val="0"/>
        <w:spacing w:line="360" w:lineRule="auto"/>
        <w:ind w:left="0" w:firstLine="480" w:firstLineChars="200"/>
        <w:jc w:val="both"/>
        <w:rPr>
          <w:rFonts w:hint="eastAsia"/>
          <w:sz w:val="24"/>
          <w:szCs w:val="24"/>
          <w:lang w:val="en-US"/>
        </w:rPr>
      </w:pPr>
      <w:r>
        <w:rPr>
          <w:sz w:val="24"/>
          <w:szCs w:val="24"/>
          <w:lang w:val="en-US"/>
        </w:rPr>
        <w:t>2</w:t>
      </w:r>
      <w:r>
        <w:rPr>
          <w:rFonts w:hint="eastAsia"/>
          <w:sz w:val="24"/>
          <w:szCs w:val="24"/>
          <w:lang w:val="en-US"/>
        </w:rPr>
        <w:t>.6 服务期限</w:t>
      </w:r>
      <w:r>
        <w:rPr>
          <w:rFonts w:hint="eastAsia"/>
          <w:sz w:val="24"/>
          <w:szCs w:val="24"/>
        </w:rPr>
        <w:t>：</w:t>
      </w:r>
      <w:r>
        <w:rPr>
          <w:rFonts w:hint="eastAsia"/>
          <w:sz w:val="24"/>
          <w:szCs w:val="24"/>
          <w:lang w:val="en-US"/>
        </w:rPr>
        <w:t>一年（合同签订后起计）。</w:t>
      </w:r>
    </w:p>
    <w:p w14:paraId="0197100C">
      <w:pPr>
        <w:pStyle w:val="59"/>
        <w:tabs>
          <w:tab w:val="left" w:pos="1190"/>
          <w:tab w:val="left" w:pos="4694"/>
          <w:tab w:val="left" w:pos="6290"/>
        </w:tabs>
        <w:adjustRightInd w:val="0"/>
        <w:snapToGrid w:val="0"/>
        <w:spacing w:line="360" w:lineRule="auto"/>
        <w:ind w:left="0" w:firstLine="480" w:firstLineChars="200"/>
        <w:jc w:val="both"/>
        <w:rPr>
          <w:rFonts w:hint="eastAsia"/>
          <w:sz w:val="24"/>
          <w:szCs w:val="24"/>
          <w:lang w:val="en-US"/>
        </w:rPr>
      </w:pPr>
      <w:r>
        <w:rPr>
          <w:sz w:val="24"/>
          <w:szCs w:val="24"/>
          <w:lang w:val="en-US"/>
        </w:rPr>
        <w:t>2</w:t>
      </w:r>
      <w:r>
        <w:rPr>
          <w:rFonts w:hint="eastAsia"/>
          <w:sz w:val="24"/>
          <w:szCs w:val="24"/>
          <w:lang w:val="en-US"/>
        </w:rPr>
        <w:t>.7 项目概况：</w:t>
      </w:r>
    </w:p>
    <w:p w14:paraId="1619B3B4">
      <w:pPr>
        <w:pStyle w:val="59"/>
        <w:numPr>
          <w:ilvl w:val="0"/>
          <w:numId w:val="0"/>
        </w:numPr>
        <w:tabs>
          <w:tab w:val="left" w:pos="1190"/>
          <w:tab w:val="left" w:pos="4694"/>
          <w:tab w:val="left" w:pos="6290"/>
        </w:tabs>
        <w:adjustRightInd w:val="0"/>
        <w:snapToGrid w:val="0"/>
        <w:spacing w:line="360" w:lineRule="auto"/>
        <w:ind w:leftChars="200" w:firstLine="480" w:firstLineChars="200"/>
        <w:jc w:val="both"/>
        <w:rPr>
          <w:rFonts w:hint="eastAsia" w:ascii="宋体" w:eastAsia="宋体"/>
          <w:sz w:val="24"/>
          <w:szCs w:val="24"/>
        </w:rPr>
      </w:pPr>
      <w:r>
        <w:rPr>
          <w:rFonts w:hint="eastAsia"/>
          <w:sz w:val="24"/>
          <w:szCs w:val="24"/>
          <w:lang w:val="en-US"/>
        </w:rPr>
        <w:t>标段1.</w:t>
      </w:r>
      <w:r>
        <w:rPr>
          <w:rFonts w:hint="eastAsia" w:ascii="宋体" w:eastAsia="宋体"/>
          <w:sz w:val="24"/>
          <w:szCs w:val="24"/>
        </w:rPr>
        <w:t>机关后勤、非油业务等服务概况：广州石油</w:t>
      </w:r>
      <w:r>
        <w:rPr>
          <w:rFonts w:hint="eastAsia" w:ascii="宋体" w:eastAsia="宋体"/>
          <w:sz w:val="24"/>
          <w:szCs w:val="24"/>
          <w:lang w:val="en-US" w:eastAsia="zh-CN"/>
        </w:rPr>
        <w:t>分</w:t>
      </w:r>
      <w:r>
        <w:rPr>
          <w:rFonts w:hint="eastAsia" w:ascii="宋体" w:eastAsia="宋体"/>
          <w:sz w:val="24"/>
          <w:szCs w:val="24"/>
        </w:rPr>
        <w:t>公司目前机关后勤及非油业务服务人员</w:t>
      </w:r>
      <w:r>
        <w:rPr>
          <w:rFonts w:hint="eastAsia" w:ascii="宋体" w:eastAsia="宋体"/>
          <w:sz w:val="24"/>
          <w:szCs w:val="24"/>
          <w:highlight w:val="none"/>
          <w:lang w:eastAsia="zh-CN"/>
        </w:rPr>
        <w:t>3</w:t>
      </w:r>
      <w:r>
        <w:rPr>
          <w:rFonts w:hint="eastAsia" w:ascii="宋体" w:eastAsia="宋体"/>
          <w:sz w:val="24"/>
          <w:szCs w:val="24"/>
          <w:highlight w:val="none"/>
          <w:lang w:val="en-US" w:eastAsia="zh-CN"/>
        </w:rPr>
        <w:t>7</w:t>
      </w:r>
      <w:r>
        <w:rPr>
          <w:rFonts w:hint="eastAsia" w:ascii="宋体" w:eastAsia="宋体"/>
          <w:sz w:val="24"/>
          <w:szCs w:val="24"/>
        </w:rPr>
        <w:t>人。负责机关</w:t>
      </w:r>
      <w:r>
        <w:rPr>
          <w:rFonts w:hint="eastAsia" w:ascii="宋体" w:eastAsia="宋体"/>
          <w:sz w:val="24"/>
          <w:szCs w:val="24"/>
          <w:lang w:val="en-US" w:eastAsia="zh-CN"/>
        </w:rPr>
        <w:t>车辆</w:t>
      </w:r>
      <w:r>
        <w:rPr>
          <w:rFonts w:hint="eastAsia" w:ascii="宋体" w:eastAsia="宋体"/>
          <w:sz w:val="24"/>
          <w:szCs w:val="24"/>
        </w:rPr>
        <w:t>驾驶（司机）、食堂就餐（厨师）、文员（含前台接待）</w:t>
      </w:r>
      <w:r>
        <w:rPr>
          <w:rFonts w:hint="eastAsia" w:ascii="宋体" w:eastAsia="宋体"/>
          <w:sz w:val="24"/>
          <w:szCs w:val="24"/>
          <w:lang w:eastAsia="zh-CN"/>
        </w:rPr>
        <w:t>、</w:t>
      </w:r>
      <w:r>
        <w:rPr>
          <w:rFonts w:hint="eastAsia" w:ascii="宋体" w:eastAsia="宋体"/>
          <w:sz w:val="24"/>
          <w:szCs w:val="24"/>
          <w:lang w:val="en-US" w:eastAsia="zh-CN"/>
        </w:rPr>
        <w:t>保洁、维修等</w:t>
      </w:r>
      <w:r>
        <w:rPr>
          <w:rFonts w:hint="eastAsia" w:ascii="宋体" w:eastAsia="宋体"/>
          <w:sz w:val="24"/>
          <w:szCs w:val="24"/>
        </w:rPr>
        <w:t>服务及站外店、前置仓含便利店商品收发、销售、收款、陈列、库存管理等非油业务服务。招标人可以根据管理需要调整服务外包项目及服务人数，如有数量变化相应增减费用。</w:t>
      </w:r>
    </w:p>
    <w:p w14:paraId="5E9D2B6F">
      <w:pPr>
        <w:pStyle w:val="59"/>
        <w:numPr>
          <w:ilvl w:val="0"/>
          <w:numId w:val="0"/>
        </w:numPr>
        <w:tabs>
          <w:tab w:val="left" w:pos="1190"/>
          <w:tab w:val="left" w:pos="4694"/>
          <w:tab w:val="left" w:pos="6290"/>
        </w:tabs>
        <w:adjustRightInd w:val="0"/>
        <w:snapToGrid w:val="0"/>
        <w:spacing w:line="360" w:lineRule="auto"/>
        <w:ind w:leftChars="200" w:firstLine="480" w:firstLineChars="200"/>
        <w:jc w:val="both"/>
        <w:rPr>
          <w:rFonts w:hint="eastAsia" w:ascii="宋体" w:eastAsia="宋体"/>
          <w:sz w:val="24"/>
          <w:szCs w:val="24"/>
        </w:rPr>
      </w:pPr>
      <w:r>
        <w:rPr>
          <w:rFonts w:hint="eastAsia"/>
          <w:sz w:val="24"/>
          <w:szCs w:val="24"/>
          <w:lang w:val="en-US" w:eastAsia="zh-CN"/>
        </w:rPr>
        <w:t>标段2：</w:t>
      </w:r>
      <w:r>
        <w:rPr>
          <w:rFonts w:hint="eastAsia" w:ascii="宋体" w:eastAsia="宋体"/>
          <w:sz w:val="24"/>
          <w:szCs w:val="24"/>
        </w:rPr>
        <w:t>加油站后勤服务概况：广州石油</w:t>
      </w:r>
      <w:r>
        <w:rPr>
          <w:rFonts w:hint="eastAsia" w:ascii="宋体" w:eastAsia="宋体"/>
          <w:sz w:val="24"/>
          <w:szCs w:val="24"/>
          <w:lang w:val="en-US" w:eastAsia="zh-CN"/>
        </w:rPr>
        <w:t>分</w:t>
      </w:r>
      <w:r>
        <w:rPr>
          <w:rFonts w:hint="eastAsia" w:ascii="宋体" w:eastAsia="宋体"/>
          <w:sz w:val="24"/>
          <w:szCs w:val="24"/>
        </w:rPr>
        <w:t>公司目前加</w:t>
      </w:r>
      <w:r>
        <w:rPr>
          <w:rFonts w:hint="eastAsia" w:ascii="宋体" w:eastAsia="宋体"/>
          <w:sz w:val="24"/>
          <w:szCs w:val="24"/>
          <w:lang w:val="en-US" w:eastAsia="zh-CN"/>
        </w:rPr>
        <w:t>能</w:t>
      </w:r>
      <w:r>
        <w:rPr>
          <w:rFonts w:hint="eastAsia" w:ascii="宋体" w:eastAsia="宋体"/>
          <w:sz w:val="24"/>
          <w:szCs w:val="24"/>
        </w:rPr>
        <w:t>站后勤服务人员9人。负责合资、租赁等油站派驻我司服务人员及和龙交通车驾驶（司机）和高速公路过路费等服务。招标人可以根据管理需要调整后勤服务外包项目及服务人数，如有数量变化相应增减费用。</w:t>
      </w:r>
    </w:p>
    <w:p w14:paraId="611B7AE8">
      <w:pPr>
        <w:pStyle w:val="59"/>
        <w:numPr>
          <w:ilvl w:val="0"/>
          <w:numId w:val="0"/>
        </w:numPr>
        <w:tabs>
          <w:tab w:val="left" w:pos="1190"/>
          <w:tab w:val="left" w:pos="4694"/>
          <w:tab w:val="left" w:pos="6290"/>
        </w:tabs>
        <w:adjustRightInd w:val="0"/>
        <w:snapToGrid w:val="0"/>
        <w:spacing w:line="360" w:lineRule="auto"/>
        <w:ind w:leftChars="200" w:firstLine="480" w:firstLineChars="200"/>
        <w:jc w:val="both"/>
        <w:rPr>
          <w:rFonts w:hint="eastAsia" w:ascii="宋体" w:eastAsia="宋体"/>
          <w:sz w:val="24"/>
          <w:szCs w:val="24"/>
        </w:rPr>
      </w:pPr>
      <w:r>
        <w:rPr>
          <w:rFonts w:hint="eastAsia"/>
          <w:sz w:val="24"/>
          <w:szCs w:val="24"/>
          <w:lang w:val="en-US" w:eastAsia="zh-CN"/>
        </w:rPr>
        <w:t>标段3：</w:t>
      </w:r>
      <w:r>
        <w:rPr>
          <w:rFonts w:hint="eastAsia" w:ascii="宋体" w:eastAsia="宋体"/>
          <w:sz w:val="24"/>
          <w:szCs w:val="24"/>
          <w:lang w:val="en-US" w:eastAsia="zh-CN"/>
        </w:rPr>
        <w:t>保安服务概况：广州石油分公司目前需保安服务区域有机关大楼、</w:t>
      </w:r>
      <w:r>
        <w:rPr>
          <w:rFonts w:hint="eastAsia" w:ascii="宋体" w:eastAsia="宋体"/>
          <w:sz w:val="24"/>
          <w:szCs w:val="24"/>
          <w:highlight w:val="none"/>
          <w:lang w:val="en-US" w:eastAsia="zh-CN"/>
        </w:rPr>
        <w:t>县区分公司及加能站，预计需聘请保安约</w:t>
      </w:r>
      <w:r>
        <w:rPr>
          <w:rFonts w:hint="eastAsia"/>
          <w:sz w:val="24"/>
          <w:szCs w:val="24"/>
          <w:highlight w:val="none"/>
          <w:lang w:val="en-US" w:eastAsia="zh-CN"/>
        </w:rPr>
        <w:t>7</w:t>
      </w:r>
      <w:r>
        <w:rPr>
          <w:rFonts w:hint="eastAsia" w:ascii="宋体" w:eastAsia="宋体"/>
          <w:sz w:val="24"/>
          <w:szCs w:val="24"/>
          <w:highlight w:val="none"/>
          <w:lang w:val="en-US" w:eastAsia="zh-CN"/>
        </w:rPr>
        <w:t>人，其中机关大楼</w:t>
      </w:r>
      <w:r>
        <w:rPr>
          <w:rFonts w:hint="eastAsia"/>
          <w:sz w:val="24"/>
          <w:szCs w:val="24"/>
          <w:highlight w:val="none"/>
          <w:lang w:val="en-US" w:eastAsia="zh-CN"/>
        </w:rPr>
        <w:t>3</w:t>
      </w:r>
      <w:r>
        <w:rPr>
          <w:rFonts w:hint="eastAsia" w:ascii="宋体" w:eastAsia="宋体"/>
          <w:sz w:val="24"/>
          <w:szCs w:val="24"/>
          <w:highlight w:val="none"/>
          <w:lang w:val="en-US" w:eastAsia="zh-CN"/>
        </w:rPr>
        <w:t>人，县区分公司及加能站预计需要4人。保安业务负责机关大楼、县区分公司及加能站等的</w:t>
      </w:r>
      <w:r>
        <w:rPr>
          <w:rFonts w:hint="eastAsia" w:ascii="宋体" w:eastAsia="宋体"/>
          <w:sz w:val="24"/>
          <w:szCs w:val="24"/>
        </w:rPr>
        <w:t>公共秩序的维护、安全监控和巡查、消防安全管理</w:t>
      </w:r>
      <w:r>
        <w:rPr>
          <w:rFonts w:hint="eastAsia" w:ascii="宋体" w:eastAsia="宋体"/>
          <w:sz w:val="24"/>
          <w:szCs w:val="24"/>
          <w:lang w:val="en-US" w:eastAsia="zh-CN"/>
        </w:rPr>
        <w:t>工作</w:t>
      </w:r>
      <w:r>
        <w:rPr>
          <w:rFonts w:hint="eastAsia" w:ascii="宋体" w:eastAsia="宋体"/>
          <w:sz w:val="24"/>
          <w:szCs w:val="24"/>
        </w:rPr>
        <w:t>等</w:t>
      </w:r>
      <w:r>
        <w:rPr>
          <w:rFonts w:hint="eastAsia" w:ascii="宋体" w:eastAsia="宋体"/>
          <w:sz w:val="24"/>
          <w:szCs w:val="24"/>
          <w:lang w:val="en-US" w:eastAsia="zh-CN"/>
        </w:rPr>
        <w:t>安保服务</w:t>
      </w:r>
      <w:r>
        <w:rPr>
          <w:rFonts w:hint="eastAsia" w:ascii="宋体" w:eastAsia="宋体"/>
          <w:sz w:val="24"/>
          <w:szCs w:val="24"/>
          <w:highlight w:val="none"/>
          <w:lang w:val="en-US" w:eastAsia="zh-CN"/>
        </w:rPr>
        <w:t>。</w:t>
      </w:r>
      <w:r>
        <w:rPr>
          <w:rFonts w:hint="eastAsia" w:ascii="宋体" w:eastAsia="宋体"/>
          <w:sz w:val="24"/>
          <w:szCs w:val="24"/>
          <w:lang w:val="en-US" w:eastAsia="zh-CN"/>
        </w:rPr>
        <w:t>招标人可以根据管理需要调整保安服务外包项目及服务人数，如有数量变化相应增减费用。</w:t>
      </w:r>
    </w:p>
    <w:p w14:paraId="24A809AA">
      <w:pPr>
        <w:pStyle w:val="59"/>
        <w:numPr>
          <w:ilvl w:val="0"/>
          <w:numId w:val="0"/>
        </w:numPr>
        <w:tabs>
          <w:tab w:val="left" w:pos="1190"/>
          <w:tab w:val="left" w:pos="4694"/>
          <w:tab w:val="left" w:pos="6290"/>
        </w:tabs>
        <w:adjustRightInd w:val="0"/>
        <w:snapToGrid w:val="0"/>
        <w:spacing w:line="360" w:lineRule="auto"/>
        <w:ind w:left="440" w:leftChars="200" w:firstLine="0" w:firstLineChars="0"/>
        <w:jc w:val="both"/>
        <w:rPr>
          <w:rFonts w:hint="eastAsia"/>
          <w:sz w:val="24"/>
          <w:szCs w:val="24"/>
          <w:lang w:val="en-US"/>
        </w:rPr>
      </w:pPr>
      <w:r>
        <w:rPr>
          <w:sz w:val="24"/>
          <w:szCs w:val="24"/>
          <w:lang w:val="en-US"/>
        </w:rPr>
        <w:t>2</w:t>
      </w:r>
      <w:r>
        <w:rPr>
          <w:rFonts w:hint="eastAsia"/>
          <w:sz w:val="24"/>
          <w:szCs w:val="24"/>
          <w:lang w:val="en-US"/>
        </w:rPr>
        <w:t>.8 招标内容：本次招标的中国石化销售股份有限公司广东广州石油分公司后勤、非油业务等服务外包，</w:t>
      </w:r>
      <w:bookmarkStart w:id="4" w:name="_Hlk228057134"/>
      <w:r>
        <w:rPr>
          <w:rFonts w:hint="eastAsia"/>
          <w:sz w:val="24"/>
          <w:szCs w:val="24"/>
          <w:lang w:val="en-US"/>
        </w:rPr>
        <w:t>划分</w:t>
      </w:r>
      <w:r>
        <w:rPr>
          <w:sz w:val="24"/>
          <w:szCs w:val="24"/>
          <w:lang w:val="en-US"/>
        </w:rPr>
        <w:t>为</w:t>
      </w:r>
      <w:r>
        <w:rPr>
          <w:rFonts w:hint="eastAsia"/>
          <w:sz w:val="24"/>
          <w:szCs w:val="24"/>
          <w:lang w:val="en-US" w:eastAsia="zh-CN"/>
        </w:rPr>
        <w:t>三</w:t>
      </w:r>
      <w:r>
        <w:rPr>
          <w:rFonts w:hint="eastAsia"/>
          <w:sz w:val="24"/>
          <w:szCs w:val="24"/>
          <w:lang w:val="en-US"/>
        </w:rPr>
        <w:t>个</w:t>
      </w:r>
      <w:r>
        <w:rPr>
          <w:sz w:val="24"/>
          <w:szCs w:val="24"/>
          <w:lang w:val="en-US"/>
        </w:rPr>
        <w:t>标段</w:t>
      </w:r>
      <w:r>
        <w:rPr>
          <w:rFonts w:hint="eastAsia"/>
          <w:sz w:val="24"/>
          <w:szCs w:val="24"/>
          <w:lang w:val="en-US"/>
        </w:rPr>
        <w:t>。</w:t>
      </w:r>
    </w:p>
    <w:tbl>
      <w:tblPr>
        <w:tblStyle w:val="24"/>
        <w:tblW w:w="9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843"/>
        <w:gridCol w:w="1260"/>
        <w:gridCol w:w="4268"/>
        <w:gridCol w:w="1060"/>
      </w:tblGrid>
      <w:tr w14:paraId="391E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2" w:type="dxa"/>
            <w:noWrap w:val="0"/>
            <w:vAlign w:val="center"/>
          </w:tcPr>
          <w:p w14:paraId="1B0A6BF6">
            <w:pPr>
              <w:keepNext w:val="0"/>
              <w:keepLines w:val="0"/>
              <w:suppressLineNumbers w:val="0"/>
              <w:spacing w:before="0" w:beforeAutospacing="0" w:after="0" w:afterAutospacing="0"/>
              <w:ind w:left="0" w:right="0"/>
              <w:jc w:val="center"/>
              <w:rPr>
                <w:rFonts w:hint="default" w:cs="宋体"/>
                <w:b/>
                <w:bCs/>
                <w:sz w:val="24"/>
                <w:szCs w:val="24"/>
              </w:rPr>
            </w:pPr>
            <w:r>
              <w:rPr>
                <w:rFonts w:hint="eastAsia" w:cs="宋体"/>
                <w:b/>
                <w:bCs/>
                <w:sz w:val="24"/>
                <w:szCs w:val="24"/>
              </w:rPr>
              <w:t>标段号</w:t>
            </w:r>
          </w:p>
        </w:tc>
        <w:tc>
          <w:tcPr>
            <w:tcW w:w="1843" w:type="dxa"/>
            <w:noWrap w:val="0"/>
            <w:vAlign w:val="center"/>
          </w:tcPr>
          <w:p w14:paraId="142C5576">
            <w:pPr>
              <w:keepNext w:val="0"/>
              <w:keepLines w:val="0"/>
              <w:suppressLineNumbers w:val="0"/>
              <w:spacing w:before="0" w:beforeAutospacing="0" w:after="0" w:afterAutospacing="0"/>
              <w:ind w:left="0" w:right="0"/>
              <w:jc w:val="center"/>
              <w:rPr>
                <w:rFonts w:hint="default" w:cs="宋体"/>
                <w:b/>
                <w:bCs/>
                <w:sz w:val="24"/>
                <w:szCs w:val="24"/>
              </w:rPr>
            </w:pPr>
            <w:r>
              <w:rPr>
                <w:rFonts w:hint="eastAsia" w:cs="宋体"/>
                <w:b/>
                <w:bCs/>
                <w:sz w:val="24"/>
                <w:szCs w:val="24"/>
              </w:rPr>
              <w:t>标段内容</w:t>
            </w:r>
          </w:p>
        </w:tc>
        <w:tc>
          <w:tcPr>
            <w:tcW w:w="1260" w:type="dxa"/>
            <w:noWrap w:val="0"/>
            <w:vAlign w:val="center"/>
          </w:tcPr>
          <w:p w14:paraId="6CB5A3D0">
            <w:pPr>
              <w:keepNext w:val="0"/>
              <w:keepLines w:val="0"/>
              <w:suppressLineNumbers w:val="0"/>
              <w:spacing w:before="0" w:beforeAutospacing="0" w:after="0" w:afterAutospacing="0"/>
              <w:ind w:left="0" w:right="0"/>
              <w:jc w:val="center"/>
              <w:rPr>
                <w:rFonts w:hint="default" w:cs="宋体"/>
                <w:b/>
                <w:bCs/>
                <w:sz w:val="24"/>
                <w:szCs w:val="24"/>
              </w:rPr>
            </w:pPr>
            <w:r>
              <w:rPr>
                <w:rFonts w:hint="eastAsia" w:cs="宋体"/>
                <w:b/>
                <w:bCs/>
                <w:sz w:val="24"/>
                <w:szCs w:val="24"/>
              </w:rPr>
              <w:t>估算金额</w:t>
            </w:r>
          </w:p>
        </w:tc>
        <w:tc>
          <w:tcPr>
            <w:tcW w:w="4268" w:type="dxa"/>
            <w:noWrap w:val="0"/>
            <w:vAlign w:val="center"/>
          </w:tcPr>
          <w:p w14:paraId="32079625">
            <w:pPr>
              <w:keepNext w:val="0"/>
              <w:keepLines w:val="0"/>
              <w:suppressLineNumbers w:val="0"/>
              <w:spacing w:before="0" w:beforeAutospacing="0" w:after="0" w:afterAutospacing="0"/>
              <w:ind w:left="0" w:right="0"/>
              <w:jc w:val="center"/>
              <w:rPr>
                <w:rFonts w:hint="default" w:cs="宋体"/>
                <w:b/>
                <w:bCs/>
                <w:sz w:val="24"/>
                <w:szCs w:val="24"/>
              </w:rPr>
            </w:pPr>
            <w:r>
              <w:rPr>
                <w:rFonts w:hint="eastAsia" w:cs="宋体"/>
                <w:b/>
                <w:bCs/>
                <w:sz w:val="24"/>
                <w:szCs w:val="24"/>
              </w:rPr>
              <w:t>承包内容</w:t>
            </w:r>
          </w:p>
        </w:tc>
        <w:tc>
          <w:tcPr>
            <w:tcW w:w="1060" w:type="dxa"/>
            <w:noWrap w:val="0"/>
            <w:vAlign w:val="center"/>
          </w:tcPr>
          <w:p w14:paraId="7D54693F">
            <w:pPr>
              <w:keepNext w:val="0"/>
              <w:keepLines w:val="0"/>
              <w:suppressLineNumbers w:val="0"/>
              <w:spacing w:before="0" w:beforeAutospacing="0" w:after="0" w:afterAutospacing="0"/>
              <w:ind w:left="0" w:right="0"/>
              <w:jc w:val="center"/>
              <w:rPr>
                <w:rFonts w:hint="default" w:cs="宋体"/>
                <w:b/>
                <w:bCs/>
                <w:sz w:val="24"/>
                <w:szCs w:val="24"/>
              </w:rPr>
            </w:pPr>
            <w:r>
              <w:rPr>
                <w:rFonts w:hint="eastAsia" w:cs="宋体"/>
                <w:b/>
                <w:bCs/>
                <w:sz w:val="24"/>
                <w:szCs w:val="24"/>
              </w:rPr>
              <w:t>中标人数量</w:t>
            </w:r>
          </w:p>
        </w:tc>
      </w:tr>
      <w:tr w14:paraId="42FD6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92" w:type="dxa"/>
            <w:noWrap w:val="0"/>
            <w:vAlign w:val="center"/>
          </w:tcPr>
          <w:p w14:paraId="5412FCA6">
            <w:pPr>
              <w:keepNext w:val="0"/>
              <w:keepLines w:val="0"/>
              <w:suppressLineNumbers w:val="0"/>
              <w:spacing w:before="0" w:beforeAutospacing="0" w:after="0" w:afterAutospacing="0"/>
              <w:ind w:left="0" w:right="0"/>
              <w:rPr>
                <w:rFonts w:hint="eastAsia"/>
                <w:sz w:val="24"/>
                <w:szCs w:val="24"/>
                <w:lang w:val="en-US"/>
              </w:rPr>
            </w:pPr>
            <w:r>
              <w:rPr>
                <w:rFonts w:hint="eastAsia"/>
                <w:sz w:val="24"/>
                <w:szCs w:val="24"/>
                <w:lang w:val="en-US"/>
              </w:rPr>
              <w:t>标段1</w:t>
            </w:r>
          </w:p>
        </w:tc>
        <w:tc>
          <w:tcPr>
            <w:tcW w:w="1843" w:type="dxa"/>
            <w:noWrap w:val="0"/>
            <w:vAlign w:val="center"/>
          </w:tcPr>
          <w:p w14:paraId="29FE17B5">
            <w:pPr>
              <w:keepNext w:val="0"/>
              <w:keepLines w:val="0"/>
              <w:suppressLineNumbers w:val="0"/>
              <w:spacing w:before="0" w:beforeAutospacing="0" w:after="0" w:afterAutospacing="0"/>
              <w:ind w:left="0" w:right="0"/>
              <w:rPr>
                <w:rFonts w:hint="eastAsia"/>
                <w:sz w:val="24"/>
                <w:szCs w:val="24"/>
                <w:lang w:val="en-US"/>
              </w:rPr>
            </w:pPr>
            <w:r>
              <w:rPr>
                <w:rFonts w:hint="eastAsia"/>
                <w:sz w:val="24"/>
                <w:szCs w:val="24"/>
                <w:lang w:val="en-US"/>
              </w:rPr>
              <w:t>机关后勤、非油业务等服务</w:t>
            </w:r>
          </w:p>
        </w:tc>
        <w:tc>
          <w:tcPr>
            <w:tcW w:w="1260" w:type="dxa"/>
            <w:noWrap w:val="0"/>
            <w:vAlign w:val="center"/>
          </w:tcPr>
          <w:p w14:paraId="24A6FF1F">
            <w:pPr>
              <w:keepNext w:val="0"/>
              <w:keepLines w:val="0"/>
              <w:suppressLineNumbers w:val="0"/>
              <w:spacing w:before="0" w:beforeAutospacing="0" w:after="0" w:afterAutospacing="0"/>
              <w:ind w:left="0" w:right="0"/>
              <w:rPr>
                <w:rFonts w:hint="eastAsia"/>
                <w:sz w:val="24"/>
                <w:szCs w:val="24"/>
                <w:lang w:val="en-US"/>
              </w:rPr>
            </w:pPr>
            <w:r>
              <w:rPr>
                <w:rFonts w:hint="eastAsia" w:ascii="宋体" w:eastAsia="宋体"/>
                <w:sz w:val="24"/>
                <w:szCs w:val="24"/>
              </w:rPr>
              <w:t>3</w:t>
            </w:r>
            <w:r>
              <w:rPr>
                <w:rFonts w:hint="eastAsia" w:ascii="宋体" w:eastAsia="宋体"/>
                <w:sz w:val="24"/>
                <w:szCs w:val="24"/>
                <w:lang w:val="en-US" w:eastAsia="zh-CN"/>
              </w:rPr>
              <w:t>54</w:t>
            </w:r>
            <w:r>
              <w:rPr>
                <w:rFonts w:hint="eastAsia" w:ascii="宋体" w:eastAsia="宋体"/>
                <w:sz w:val="24"/>
                <w:szCs w:val="24"/>
              </w:rPr>
              <w:t>万元（含税，不含税3</w:t>
            </w:r>
            <w:r>
              <w:rPr>
                <w:rFonts w:hint="eastAsia" w:ascii="宋体" w:eastAsia="宋体"/>
                <w:sz w:val="24"/>
                <w:szCs w:val="24"/>
                <w:lang w:val="en-US" w:eastAsia="zh-CN"/>
              </w:rPr>
              <w:t>34</w:t>
            </w:r>
            <w:r>
              <w:rPr>
                <w:rFonts w:hint="eastAsia" w:ascii="宋体" w:eastAsia="宋体"/>
                <w:sz w:val="24"/>
                <w:szCs w:val="24"/>
              </w:rPr>
              <w:t>万元）</w:t>
            </w:r>
          </w:p>
        </w:tc>
        <w:tc>
          <w:tcPr>
            <w:tcW w:w="4268" w:type="dxa"/>
            <w:noWrap w:val="0"/>
            <w:vAlign w:val="center"/>
          </w:tcPr>
          <w:p w14:paraId="43BA4670">
            <w:pPr>
              <w:keepNext w:val="0"/>
              <w:keepLines w:val="0"/>
              <w:suppressLineNumbers w:val="0"/>
              <w:spacing w:before="0" w:beforeAutospacing="0" w:after="0" w:afterAutospacing="0"/>
              <w:ind w:left="0" w:right="0"/>
              <w:rPr>
                <w:rFonts w:hint="eastAsia"/>
                <w:sz w:val="24"/>
                <w:szCs w:val="24"/>
              </w:rPr>
            </w:pPr>
            <w:r>
              <w:rPr>
                <w:rFonts w:hint="eastAsia" w:ascii="宋体" w:eastAsia="宋体"/>
                <w:sz w:val="24"/>
                <w:szCs w:val="24"/>
              </w:rPr>
              <w:t>负责机关</w:t>
            </w:r>
            <w:r>
              <w:rPr>
                <w:rFonts w:hint="eastAsia" w:ascii="宋体" w:eastAsia="宋体"/>
                <w:sz w:val="24"/>
                <w:szCs w:val="24"/>
                <w:lang w:val="en-US" w:eastAsia="zh-CN"/>
              </w:rPr>
              <w:t>车辆驾驶</w:t>
            </w:r>
            <w:r>
              <w:rPr>
                <w:rFonts w:hint="eastAsia" w:ascii="宋体" w:eastAsia="宋体"/>
                <w:sz w:val="24"/>
                <w:szCs w:val="24"/>
              </w:rPr>
              <w:t>驾驶（司机）、食堂就餐（厨师）、文员（含前台接待）</w:t>
            </w:r>
            <w:r>
              <w:rPr>
                <w:rFonts w:hint="eastAsia" w:ascii="宋体" w:eastAsia="宋体"/>
                <w:sz w:val="24"/>
                <w:szCs w:val="24"/>
                <w:lang w:eastAsia="zh-CN"/>
              </w:rPr>
              <w:t>、</w:t>
            </w:r>
            <w:r>
              <w:rPr>
                <w:rFonts w:hint="eastAsia" w:ascii="宋体" w:eastAsia="宋体"/>
                <w:sz w:val="24"/>
                <w:szCs w:val="24"/>
                <w:lang w:val="en-US" w:eastAsia="zh-CN"/>
              </w:rPr>
              <w:t>保洁、维修</w:t>
            </w:r>
            <w:r>
              <w:rPr>
                <w:rFonts w:hint="eastAsia" w:ascii="宋体" w:eastAsia="宋体"/>
                <w:sz w:val="24"/>
                <w:szCs w:val="24"/>
              </w:rPr>
              <w:t>服务及站外店、前置仓含便利店商品收</w:t>
            </w:r>
          </w:p>
          <w:p w14:paraId="4BAB8E72">
            <w:pPr>
              <w:keepNext w:val="0"/>
              <w:keepLines w:val="0"/>
              <w:suppressLineNumbers w:val="0"/>
              <w:spacing w:before="0" w:beforeAutospacing="0" w:after="0" w:afterAutospacing="0"/>
              <w:ind w:left="0" w:right="0"/>
              <w:jc w:val="left"/>
              <w:rPr>
                <w:rFonts w:hint="eastAsia"/>
                <w:sz w:val="24"/>
                <w:szCs w:val="24"/>
                <w:lang w:val="en-US"/>
              </w:rPr>
            </w:pPr>
            <w:r>
              <w:rPr>
                <w:rFonts w:hint="eastAsia" w:ascii="宋体" w:eastAsia="宋体"/>
                <w:sz w:val="24"/>
                <w:szCs w:val="24"/>
              </w:rPr>
              <w:t>发、销售、收款、陈列、库存管理等非油业务服务。</w:t>
            </w:r>
          </w:p>
        </w:tc>
        <w:tc>
          <w:tcPr>
            <w:tcW w:w="1060" w:type="dxa"/>
            <w:noWrap w:val="0"/>
            <w:vAlign w:val="center"/>
          </w:tcPr>
          <w:p w14:paraId="177E5CDA">
            <w:pPr>
              <w:keepNext w:val="0"/>
              <w:keepLines w:val="0"/>
              <w:suppressLineNumbers w:val="0"/>
              <w:spacing w:before="0" w:beforeAutospacing="0" w:after="0" w:afterAutospacing="0"/>
              <w:ind w:left="0" w:right="0"/>
              <w:jc w:val="center"/>
              <w:rPr>
                <w:rFonts w:hint="eastAsia"/>
                <w:sz w:val="24"/>
                <w:szCs w:val="24"/>
                <w:lang w:val="en-US"/>
              </w:rPr>
            </w:pPr>
            <w:r>
              <w:rPr>
                <w:rFonts w:hint="eastAsia"/>
                <w:sz w:val="24"/>
                <w:szCs w:val="24"/>
                <w:lang w:val="en-US"/>
              </w:rPr>
              <w:t>1</w:t>
            </w:r>
          </w:p>
        </w:tc>
      </w:tr>
      <w:tr w14:paraId="4194A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992" w:type="dxa"/>
            <w:noWrap w:val="0"/>
            <w:vAlign w:val="center"/>
          </w:tcPr>
          <w:p w14:paraId="5D4897D4">
            <w:pPr>
              <w:keepNext w:val="0"/>
              <w:keepLines w:val="0"/>
              <w:suppressLineNumbers w:val="0"/>
              <w:spacing w:before="0" w:beforeAutospacing="0" w:after="0" w:afterAutospacing="0"/>
              <w:ind w:left="0" w:right="0"/>
              <w:rPr>
                <w:rFonts w:hint="eastAsia"/>
                <w:sz w:val="24"/>
                <w:szCs w:val="24"/>
                <w:lang w:val="en-US"/>
              </w:rPr>
            </w:pPr>
            <w:r>
              <w:rPr>
                <w:rFonts w:hint="eastAsia"/>
                <w:sz w:val="24"/>
                <w:szCs w:val="24"/>
                <w:lang w:val="en-US"/>
              </w:rPr>
              <w:t>标段2</w:t>
            </w:r>
          </w:p>
        </w:tc>
        <w:tc>
          <w:tcPr>
            <w:tcW w:w="1843" w:type="dxa"/>
            <w:noWrap w:val="0"/>
            <w:vAlign w:val="center"/>
          </w:tcPr>
          <w:p w14:paraId="2D68AD4E">
            <w:pPr>
              <w:keepNext w:val="0"/>
              <w:keepLines w:val="0"/>
              <w:suppressLineNumbers w:val="0"/>
              <w:spacing w:before="0" w:beforeAutospacing="0" w:after="0" w:afterAutospacing="0"/>
              <w:ind w:left="0" w:right="0"/>
              <w:rPr>
                <w:rFonts w:hint="eastAsia"/>
                <w:sz w:val="24"/>
                <w:szCs w:val="24"/>
                <w:lang w:val="en-US"/>
              </w:rPr>
            </w:pPr>
            <w:r>
              <w:rPr>
                <w:rFonts w:hint="eastAsia"/>
                <w:sz w:val="24"/>
                <w:szCs w:val="24"/>
                <w:lang w:val="en-US" w:eastAsia="zh-CN"/>
              </w:rPr>
              <w:t>加能站</w:t>
            </w:r>
            <w:r>
              <w:rPr>
                <w:rFonts w:hint="eastAsia"/>
                <w:sz w:val="24"/>
                <w:szCs w:val="24"/>
                <w:lang w:val="en-US"/>
              </w:rPr>
              <w:t>后勤服务</w:t>
            </w:r>
          </w:p>
        </w:tc>
        <w:tc>
          <w:tcPr>
            <w:tcW w:w="1260" w:type="dxa"/>
            <w:noWrap w:val="0"/>
            <w:vAlign w:val="center"/>
          </w:tcPr>
          <w:p w14:paraId="2D24A284">
            <w:pPr>
              <w:keepNext w:val="0"/>
              <w:keepLines w:val="0"/>
              <w:widowControl/>
              <w:suppressLineNumbers w:val="0"/>
              <w:adjustRightInd w:val="0"/>
              <w:snapToGrid w:val="0"/>
              <w:spacing w:before="0" w:beforeAutospacing="0" w:after="0" w:afterAutospacing="0"/>
              <w:ind w:left="0" w:right="0"/>
              <w:jc w:val="center"/>
              <w:rPr>
                <w:rFonts w:hint="eastAsia"/>
                <w:sz w:val="24"/>
                <w:szCs w:val="24"/>
                <w:lang w:val="en-US"/>
              </w:rPr>
            </w:pPr>
            <w:r>
              <w:rPr>
                <w:rFonts w:hint="eastAsia"/>
                <w:sz w:val="24"/>
                <w:szCs w:val="24"/>
                <w:lang w:val="en-US"/>
              </w:rPr>
              <w:t>102万元（含税，不含税96万元）</w:t>
            </w:r>
          </w:p>
        </w:tc>
        <w:tc>
          <w:tcPr>
            <w:tcW w:w="4268" w:type="dxa"/>
            <w:noWrap w:val="0"/>
            <w:vAlign w:val="center"/>
          </w:tcPr>
          <w:p w14:paraId="2D6C27D1">
            <w:pPr>
              <w:keepNext w:val="0"/>
              <w:keepLines w:val="0"/>
              <w:widowControl/>
              <w:suppressLineNumbers w:val="0"/>
              <w:adjustRightInd w:val="0"/>
              <w:snapToGrid w:val="0"/>
              <w:spacing w:before="0" w:beforeAutospacing="0" w:after="0" w:afterAutospacing="0"/>
              <w:ind w:left="0" w:right="0"/>
              <w:jc w:val="center"/>
              <w:rPr>
                <w:rFonts w:hint="eastAsia"/>
                <w:sz w:val="24"/>
                <w:szCs w:val="24"/>
                <w:lang w:val="en-US"/>
              </w:rPr>
            </w:pPr>
            <w:r>
              <w:rPr>
                <w:rFonts w:hint="eastAsia" w:ascii="宋体" w:eastAsia="宋体"/>
                <w:sz w:val="24"/>
                <w:szCs w:val="24"/>
              </w:rPr>
              <w:t>负责合资、租赁等油站派驻我司人员及</w:t>
            </w:r>
            <w:r>
              <w:rPr>
                <w:rFonts w:hint="eastAsia" w:ascii="宋体" w:eastAsia="宋体"/>
                <w:sz w:val="24"/>
                <w:szCs w:val="24"/>
                <w:lang w:val="en-US" w:eastAsia="zh-CN"/>
              </w:rPr>
              <w:t>油站</w:t>
            </w:r>
            <w:r>
              <w:rPr>
                <w:rFonts w:hint="eastAsia" w:ascii="宋体" w:eastAsia="宋体"/>
                <w:sz w:val="24"/>
                <w:szCs w:val="24"/>
              </w:rPr>
              <w:t>交通车</w:t>
            </w:r>
            <w:r>
              <w:rPr>
                <w:rFonts w:hint="eastAsia" w:ascii="宋体" w:eastAsia="宋体"/>
                <w:sz w:val="24"/>
                <w:szCs w:val="24"/>
                <w:lang w:val="en-US" w:eastAsia="zh-CN"/>
              </w:rPr>
              <w:t>服务</w:t>
            </w:r>
            <w:r>
              <w:rPr>
                <w:rFonts w:hint="eastAsia" w:ascii="宋体" w:eastAsia="宋体"/>
                <w:sz w:val="24"/>
                <w:szCs w:val="24"/>
              </w:rPr>
              <w:t>（含</w:t>
            </w:r>
            <w:r>
              <w:rPr>
                <w:rFonts w:hint="eastAsia" w:ascii="宋体" w:eastAsia="宋体"/>
                <w:sz w:val="24"/>
                <w:szCs w:val="24"/>
                <w:lang w:val="en-US" w:eastAsia="zh-CN"/>
              </w:rPr>
              <w:t>驾驶和</w:t>
            </w:r>
            <w:r>
              <w:rPr>
                <w:rFonts w:hint="eastAsia" w:ascii="宋体" w:eastAsia="宋体"/>
                <w:sz w:val="24"/>
                <w:szCs w:val="24"/>
              </w:rPr>
              <w:t>高速公路过路费</w:t>
            </w:r>
            <w:r>
              <w:rPr>
                <w:rFonts w:hint="eastAsia" w:ascii="宋体" w:eastAsia="宋体"/>
                <w:sz w:val="24"/>
                <w:szCs w:val="24"/>
                <w:lang w:eastAsia="zh-CN"/>
              </w:rPr>
              <w:t>）</w:t>
            </w:r>
            <w:r>
              <w:rPr>
                <w:rFonts w:hint="eastAsia" w:ascii="宋体" w:eastAsia="宋体"/>
                <w:sz w:val="24"/>
                <w:szCs w:val="24"/>
              </w:rPr>
              <w:t>等服务</w:t>
            </w:r>
            <w:r>
              <w:rPr>
                <w:rFonts w:hint="eastAsia" w:ascii="宋体" w:eastAsia="宋体"/>
                <w:sz w:val="24"/>
                <w:szCs w:val="24"/>
                <w:lang w:val="en-US"/>
              </w:rPr>
              <w:t>。</w:t>
            </w:r>
          </w:p>
        </w:tc>
        <w:tc>
          <w:tcPr>
            <w:tcW w:w="1060" w:type="dxa"/>
            <w:noWrap w:val="0"/>
            <w:vAlign w:val="center"/>
          </w:tcPr>
          <w:p w14:paraId="5B085D79">
            <w:pPr>
              <w:keepNext w:val="0"/>
              <w:keepLines w:val="0"/>
              <w:widowControl/>
              <w:suppressLineNumbers w:val="0"/>
              <w:adjustRightInd w:val="0"/>
              <w:snapToGrid w:val="0"/>
              <w:spacing w:before="0" w:beforeAutospacing="0" w:after="0" w:afterAutospacing="0"/>
              <w:ind w:left="0" w:right="0"/>
              <w:jc w:val="center"/>
              <w:rPr>
                <w:rFonts w:hint="eastAsia"/>
                <w:sz w:val="24"/>
                <w:szCs w:val="24"/>
                <w:lang w:val="en-US"/>
              </w:rPr>
            </w:pPr>
            <w:r>
              <w:rPr>
                <w:rFonts w:hint="eastAsia"/>
                <w:sz w:val="24"/>
                <w:szCs w:val="24"/>
                <w:lang w:val="en-US"/>
              </w:rPr>
              <w:t>1</w:t>
            </w:r>
          </w:p>
        </w:tc>
      </w:tr>
      <w:bookmarkEnd w:id="4"/>
      <w:tr w14:paraId="4792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992" w:type="dxa"/>
            <w:noWrap w:val="0"/>
            <w:vAlign w:val="center"/>
          </w:tcPr>
          <w:p w14:paraId="7204F85D">
            <w:pPr>
              <w:keepNext w:val="0"/>
              <w:keepLines w:val="0"/>
              <w:suppressLineNumbers w:val="0"/>
              <w:spacing w:before="0" w:beforeAutospacing="0" w:after="0" w:afterAutospacing="0"/>
              <w:ind w:left="0" w:right="0"/>
              <w:rPr>
                <w:rFonts w:hint="eastAsia" w:eastAsia="宋体"/>
                <w:sz w:val="24"/>
                <w:szCs w:val="24"/>
                <w:lang w:val="en-US" w:eastAsia="zh-CN"/>
              </w:rPr>
            </w:pPr>
            <w:r>
              <w:rPr>
                <w:rFonts w:hint="eastAsia"/>
                <w:sz w:val="24"/>
                <w:szCs w:val="24"/>
                <w:lang w:val="en-US" w:eastAsia="zh-CN"/>
              </w:rPr>
              <w:t>标段3</w:t>
            </w:r>
          </w:p>
        </w:tc>
        <w:tc>
          <w:tcPr>
            <w:tcW w:w="1843" w:type="dxa"/>
            <w:noWrap w:val="0"/>
            <w:vAlign w:val="center"/>
          </w:tcPr>
          <w:p w14:paraId="36435BBE">
            <w:pPr>
              <w:keepNext w:val="0"/>
              <w:keepLines w:val="0"/>
              <w:suppressLineNumbers w:val="0"/>
              <w:spacing w:before="0" w:beforeAutospacing="0" w:after="0" w:afterAutospacing="0"/>
              <w:ind w:left="0" w:right="0"/>
              <w:rPr>
                <w:rFonts w:hint="eastAsia"/>
                <w:sz w:val="24"/>
                <w:szCs w:val="24"/>
                <w:lang w:val="en-US"/>
              </w:rPr>
            </w:pPr>
            <w:r>
              <w:rPr>
                <w:rFonts w:hint="eastAsia" w:cs="宋体"/>
                <w:sz w:val="24"/>
                <w:szCs w:val="24"/>
              </w:rPr>
              <w:t>保安服务</w:t>
            </w:r>
          </w:p>
        </w:tc>
        <w:tc>
          <w:tcPr>
            <w:tcW w:w="1260" w:type="dxa"/>
            <w:noWrap w:val="0"/>
            <w:vAlign w:val="center"/>
          </w:tcPr>
          <w:p w14:paraId="60EC4961">
            <w:pPr>
              <w:keepNext w:val="0"/>
              <w:keepLines w:val="0"/>
              <w:widowControl/>
              <w:suppressLineNumbers w:val="0"/>
              <w:adjustRightInd/>
              <w:snapToGrid/>
              <w:spacing w:before="0" w:beforeAutospacing="0" w:after="0" w:afterAutospacing="0"/>
              <w:ind w:left="0" w:leftChars="0" w:right="0" w:rightChars="0"/>
              <w:jc w:val="left"/>
              <w:rPr>
                <w:rFonts w:hint="eastAsia" w:eastAsia="宋体"/>
                <w:sz w:val="24"/>
                <w:szCs w:val="24"/>
                <w:lang w:val="en-US" w:eastAsia="zh-CN"/>
              </w:rPr>
            </w:pPr>
            <w:r>
              <w:rPr>
                <w:rFonts w:hint="eastAsia" w:ascii="宋体" w:eastAsia="宋体"/>
                <w:sz w:val="24"/>
                <w:szCs w:val="24"/>
                <w:highlight w:val="none"/>
                <w:lang w:val="en-US" w:eastAsia="zh-CN"/>
              </w:rPr>
              <w:t>54万元（含税，不含税51万元）</w:t>
            </w:r>
          </w:p>
        </w:tc>
        <w:tc>
          <w:tcPr>
            <w:tcW w:w="4268" w:type="dxa"/>
            <w:noWrap w:val="0"/>
            <w:vAlign w:val="center"/>
          </w:tcPr>
          <w:p w14:paraId="037E2AA1">
            <w:pPr>
              <w:keepNext w:val="0"/>
              <w:keepLines w:val="0"/>
              <w:widowControl/>
              <w:suppressLineNumbers w:val="0"/>
              <w:adjustRightInd/>
              <w:snapToGrid/>
              <w:spacing w:before="0" w:beforeAutospacing="0" w:after="0" w:afterAutospacing="0"/>
              <w:ind w:left="0" w:leftChars="0" w:right="0" w:rightChars="0"/>
              <w:jc w:val="left"/>
              <w:rPr>
                <w:rFonts w:hint="eastAsia" w:ascii="宋体" w:eastAsia="宋体"/>
                <w:sz w:val="24"/>
                <w:szCs w:val="24"/>
                <w:lang w:val="en-US"/>
              </w:rPr>
            </w:pPr>
            <w:r>
              <w:rPr>
                <w:rFonts w:hint="eastAsia" w:ascii="宋体" w:eastAsia="宋体" w:cs="宋体"/>
                <w:sz w:val="24"/>
                <w:szCs w:val="24"/>
                <w:highlight w:val="none"/>
              </w:rPr>
              <w:t>负责</w:t>
            </w:r>
            <w:r>
              <w:rPr>
                <w:rFonts w:hint="eastAsia" w:ascii="宋体" w:eastAsia="宋体" w:cs="宋体"/>
                <w:sz w:val="24"/>
                <w:szCs w:val="24"/>
                <w:highlight w:val="none"/>
                <w:lang w:val="en-US" w:eastAsia="zh-CN"/>
              </w:rPr>
              <w:t>机关大楼、</w:t>
            </w:r>
            <w:r>
              <w:rPr>
                <w:rFonts w:hint="eastAsia" w:ascii="宋体" w:eastAsia="宋体" w:cs="宋体"/>
                <w:sz w:val="24"/>
                <w:szCs w:val="24"/>
                <w:highlight w:val="none"/>
              </w:rPr>
              <w:t>县</w:t>
            </w:r>
            <w:r>
              <w:rPr>
                <w:rFonts w:hint="eastAsia" w:ascii="宋体" w:eastAsia="宋体" w:cs="宋体"/>
                <w:sz w:val="24"/>
                <w:szCs w:val="24"/>
                <w:highlight w:val="none"/>
                <w:lang w:val="en-US"/>
              </w:rPr>
              <w:t>区</w:t>
            </w:r>
            <w:r>
              <w:rPr>
                <w:rFonts w:hint="eastAsia" w:ascii="宋体" w:eastAsia="宋体" w:cs="宋体"/>
                <w:sz w:val="24"/>
                <w:szCs w:val="24"/>
                <w:highlight w:val="none"/>
              </w:rPr>
              <w:t>分公司及加能站等的安全保卫管理工作、设备设施安全管理工作、设施监控管理工作、消防管理工作等。</w:t>
            </w:r>
          </w:p>
        </w:tc>
        <w:tc>
          <w:tcPr>
            <w:tcW w:w="1060" w:type="dxa"/>
            <w:noWrap w:val="0"/>
            <w:vAlign w:val="center"/>
          </w:tcPr>
          <w:p w14:paraId="3362BD58">
            <w:pPr>
              <w:keepNext w:val="0"/>
              <w:keepLines w:val="0"/>
              <w:widowControl/>
              <w:suppressLineNumbers w:val="0"/>
              <w:adjustRightInd w:val="0"/>
              <w:snapToGrid w:val="0"/>
              <w:spacing w:before="0" w:beforeAutospacing="0" w:after="0" w:afterAutospacing="0"/>
              <w:ind w:left="0" w:right="0"/>
              <w:jc w:val="center"/>
              <w:rPr>
                <w:rFonts w:hint="eastAsia" w:eastAsia="宋体"/>
                <w:sz w:val="24"/>
                <w:szCs w:val="24"/>
                <w:lang w:val="en-US" w:eastAsia="zh-CN"/>
              </w:rPr>
            </w:pPr>
            <w:r>
              <w:rPr>
                <w:rFonts w:hint="eastAsia"/>
                <w:sz w:val="24"/>
                <w:szCs w:val="24"/>
                <w:lang w:val="en-US" w:eastAsia="zh-CN"/>
              </w:rPr>
              <w:t>1</w:t>
            </w:r>
          </w:p>
        </w:tc>
      </w:tr>
    </w:tbl>
    <w:p w14:paraId="047ED8B2">
      <w:pPr>
        <w:pStyle w:val="59"/>
        <w:tabs>
          <w:tab w:val="left" w:pos="1190"/>
          <w:tab w:val="left" w:pos="4694"/>
          <w:tab w:val="left" w:pos="6290"/>
        </w:tabs>
        <w:spacing w:before="120" w:beforeLines="50" w:line="336" w:lineRule="auto"/>
        <w:ind w:left="0" w:firstLine="484" w:firstLineChars="201"/>
        <w:rPr>
          <w:rFonts w:hint="eastAsia" w:cs="Microsoft JhengHei"/>
          <w:b/>
          <w:bCs/>
          <w:sz w:val="28"/>
          <w:szCs w:val="28"/>
          <w:lang w:val="en-US"/>
        </w:rPr>
      </w:pPr>
      <w:r>
        <w:rPr>
          <w:rFonts w:hint="eastAsia" w:cs="仿宋_GB2312"/>
          <w:b/>
          <w:sz w:val="24"/>
          <w:szCs w:val="24"/>
        </w:rPr>
        <w:t>注：</w:t>
      </w:r>
      <w:r>
        <w:rPr>
          <w:rFonts w:cs="仿宋_GB2312"/>
          <w:b/>
          <w:sz w:val="24"/>
          <w:szCs w:val="24"/>
        </w:rPr>
        <w:t>投标人可对上述任意1个或</w:t>
      </w:r>
      <w:r>
        <w:rPr>
          <w:rFonts w:hint="eastAsia" w:cs="仿宋_GB2312"/>
          <w:b/>
          <w:sz w:val="24"/>
          <w:szCs w:val="24"/>
          <w:lang w:val="en-US" w:eastAsia="zh-CN"/>
        </w:rPr>
        <w:t>多个标段</w:t>
      </w:r>
      <w:r>
        <w:rPr>
          <w:rFonts w:hint="eastAsia" w:cs="仿宋_GB2312"/>
          <w:b/>
          <w:sz w:val="24"/>
          <w:szCs w:val="24"/>
          <w:lang w:val="en-US"/>
        </w:rPr>
        <w:t>进行</w:t>
      </w:r>
      <w:r>
        <w:rPr>
          <w:rFonts w:cs="仿宋_GB2312"/>
          <w:b/>
          <w:sz w:val="24"/>
          <w:szCs w:val="24"/>
        </w:rPr>
        <w:t>投标，每个标段都是独立标段，独立报价、独立递交投标文件、独立开标、独立评标，</w:t>
      </w:r>
      <w:r>
        <w:rPr>
          <w:rFonts w:hint="eastAsia" w:cs="仿宋_GB2312"/>
          <w:b/>
          <w:sz w:val="24"/>
          <w:szCs w:val="24"/>
          <w:lang w:val="en-US"/>
        </w:rPr>
        <w:t>投标人只能中标1个标段</w:t>
      </w:r>
      <w:r>
        <w:rPr>
          <w:rFonts w:cs="仿宋_GB2312"/>
          <w:b/>
          <w:sz w:val="24"/>
          <w:szCs w:val="24"/>
          <w:highlight w:val="none"/>
        </w:rPr>
        <w:t>。</w:t>
      </w:r>
      <w:r>
        <w:rPr>
          <w:rFonts w:cs="仿宋_GB2312"/>
          <w:b/>
          <w:sz w:val="24"/>
          <w:szCs w:val="24"/>
        </w:rPr>
        <w:t>投标人若同时参加多个标段的投标，拟投入人员可以为同一项目架构人员（但需满足相关评审要求），开标、评标、定标顺序为将按从标段1、标段2</w:t>
      </w:r>
      <w:r>
        <w:rPr>
          <w:rFonts w:hint="eastAsia" w:cs="仿宋_GB2312"/>
          <w:b/>
          <w:sz w:val="24"/>
          <w:szCs w:val="24"/>
          <w:lang w:eastAsia="zh-CN"/>
        </w:rPr>
        <w:t>、</w:t>
      </w:r>
      <w:r>
        <w:rPr>
          <w:rFonts w:hint="eastAsia" w:cs="仿宋_GB2312"/>
          <w:b/>
          <w:sz w:val="24"/>
          <w:szCs w:val="24"/>
          <w:lang w:val="en-US" w:eastAsia="zh-CN"/>
        </w:rPr>
        <w:t>标段3</w:t>
      </w:r>
      <w:r>
        <w:rPr>
          <w:rFonts w:cs="仿宋_GB2312"/>
          <w:b/>
          <w:sz w:val="24"/>
          <w:szCs w:val="24"/>
        </w:rPr>
        <w:t>顺序进行。</w:t>
      </w:r>
      <w:r>
        <w:rPr>
          <w:rFonts w:cs="仿宋_GB2312"/>
          <w:b/>
          <w:sz w:val="28"/>
          <w:szCs w:val="28"/>
        </w:rPr>
        <w:br w:type="textWrapping"/>
      </w:r>
      <w:r>
        <w:rPr>
          <w:rFonts w:hint="eastAsia" w:cs="仿宋_GB2312"/>
          <w:b/>
          <w:sz w:val="28"/>
          <w:szCs w:val="28"/>
          <w:lang w:val="en-US"/>
        </w:rPr>
        <w:t xml:space="preserve">    </w:t>
      </w:r>
      <w:bookmarkStart w:id="5" w:name="_bookmark4"/>
      <w:bookmarkEnd w:id="5"/>
      <w:r>
        <w:rPr>
          <w:rFonts w:cs="Microsoft JhengHei"/>
          <w:b/>
          <w:bCs/>
          <w:sz w:val="28"/>
          <w:szCs w:val="28"/>
          <w:lang w:val="en-US"/>
        </w:rPr>
        <w:t>3.投标人资格要求</w:t>
      </w:r>
      <w:r>
        <w:rPr>
          <w:rFonts w:hint="eastAsia" w:cs="Microsoft JhengHei"/>
          <w:b/>
          <w:bCs/>
          <w:sz w:val="28"/>
          <w:szCs w:val="28"/>
          <w:lang w:val="en-US"/>
        </w:rPr>
        <w:t>（标段</w:t>
      </w:r>
      <w:r>
        <w:rPr>
          <w:rFonts w:cs="Microsoft JhengHei"/>
          <w:b/>
          <w:bCs/>
          <w:sz w:val="28"/>
          <w:szCs w:val="28"/>
          <w:lang w:val="en-US"/>
        </w:rPr>
        <w:t>1</w:t>
      </w:r>
      <w:r>
        <w:rPr>
          <w:rFonts w:hint="eastAsia" w:cs="Microsoft JhengHei"/>
          <w:b/>
          <w:bCs/>
          <w:sz w:val="28"/>
          <w:szCs w:val="28"/>
          <w:lang w:val="en-US"/>
        </w:rPr>
        <w:t>、</w:t>
      </w:r>
      <w:r>
        <w:rPr>
          <w:rFonts w:cs="Microsoft JhengHei"/>
          <w:b/>
          <w:bCs/>
          <w:sz w:val="28"/>
          <w:szCs w:val="28"/>
          <w:lang w:val="en-US"/>
        </w:rPr>
        <w:t>标段2</w:t>
      </w:r>
      <w:r>
        <w:rPr>
          <w:rFonts w:hint="eastAsia" w:cs="Microsoft JhengHei"/>
          <w:b/>
          <w:bCs/>
          <w:sz w:val="28"/>
          <w:szCs w:val="28"/>
          <w:lang w:val="en-US" w:eastAsia="zh-CN"/>
        </w:rPr>
        <w:t>、标段3</w:t>
      </w:r>
      <w:r>
        <w:rPr>
          <w:rFonts w:cs="Microsoft JhengHei"/>
          <w:b/>
          <w:bCs/>
          <w:sz w:val="28"/>
          <w:szCs w:val="28"/>
          <w:lang w:val="en-US"/>
        </w:rPr>
        <w:t>）</w:t>
      </w:r>
    </w:p>
    <w:p w14:paraId="36C2DF30">
      <w:pPr>
        <w:pStyle w:val="59"/>
        <w:tabs>
          <w:tab w:val="left" w:pos="1190"/>
          <w:tab w:val="left" w:pos="4694"/>
          <w:tab w:val="left" w:pos="6290"/>
        </w:tabs>
        <w:adjustRightInd w:val="0"/>
        <w:snapToGrid w:val="0"/>
        <w:spacing w:line="360" w:lineRule="auto"/>
        <w:ind w:left="0" w:firstLine="484" w:firstLineChars="202"/>
        <w:jc w:val="both"/>
        <w:rPr>
          <w:rFonts w:hint="eastAsia"/>
          <w:sz w:val="24"/>
          <w:szCs w:val="24"/>
          <w:lang w:val="en-US" w:eastAsia="zh-CN"/>
        </w:rPr>
      </w:pPr>
      <w:r>
        <w:rPr>
          <w:sz w:val="24"/>
          <w:szCs w:val="24"/>
          <w:lang w:val="en-US"/>
        </w:rPr>
        <w:t>3.1 投标人必须是具有独立承担民事责任能力的在中华人民共和国境内注册的法人或其他组织,提交有效的营业执照（或法人登记证）副本复印件。</w:t>
      </w:r>
      <w:r>
        <w:rPr>
          <w:rFonts w:hint="eastAsia"/>
          <w:sz w:val="24"/>
          <w:szCs w:val="24"/>
          <w:lang w:val="en-US" w:eastAsia="zh-CN"/>
        </w:rPr>
        <w:t>（适用于标段1、标段2）</w:t>
      </w:r>
    </w:p>
    <w:p w14:paraId="08EE201D">
      <w:pPr>
        <w:pStyle w:val="59"/>
        <w:tabs>
          <w:tab w:val="left" w:pos="1190"/>
          <w:tab w:val="left" w:pos="4694"/>
          <w:tab w:val="left" w:pos="6290"/>
        </w:tabs>
        <w:adjustRightInd w:val="0"/>
        <w:snapToGrid w:val="0"/>
        <w:spacing w:line="360" w:lineRule="auto"/>
        <w:ind w:left="0" w:firstLine="484" w:firstLineChars="202"/>
        <w:jc w:val="both"/>
        <w:rPr>
          <w:rFonts w:hint="default"/>
          <w:sz w:val="24"/>
          <w:szCs w:val="24"/>
          <w:lang w:val="en-US" w:eastAsia="zh-CN"/>
        </w:rPr>
      </w:pPr>
      <w:r>
        <w:rPr>
          <w:rFonts w:hint="eastAsia"/>
          <w:sz w:val="24"/>
          <w:szCs w:val="24"/>
          <w:lang w:val="en-US" w:eastAsia="zh-CN"/>
        </w:rPr>
        <w:t>3.1 投标人必须是具有独立承担民事责任能力的在中华人民共和国境内注册的法人或其他组织,投标人须具有公安机关核发的在有效期内的《保安服务许可证》，提交有效的营业执照（或法人登记证）副本复印件及保安服务许可证复印件。（适用于标段3）</w:t>
      </w:r>
    </w:p>
    <w:p w14:paraId="4ECD4F65">
      <w:pPr>
        <w:pStyle w:val="59"/>
        <w:tabs>
          <w:tab w:val="left" w:pos="1190"/>
          <w:tab w:val="left" w:pos="4694"/>
          <w:tab w:val="left" w:pos="6290"/>
        </w:tabs>
        <w:adjustRightInd w:val="0"/>
        <w:snapToGrid w:val="0"/>
        <w:spacing w:line="360" w:lineRule="auto"/>
        <w:ind w:left="0" w:firstLine="484" w:firstLineChars="202"/>
        <w:jc w:val="both"/>
        <w:rPr>
          <w:rFonts w:hint="eastAsia"/>
          <w:sz w:val="24"/>
          <w:szCs w:val="24"/>
          <w:lang w:val="en-US"/>
        </w:rPr>
      </w:pPr>
      <w:r>
        <w:rPr>
          <w:sz w:val="24"/>
          <w:szCs w:val="24"/>
          <w:lang w:val="en-US"/>
        </w:rPr>
        <w:t xml:space="preserve">3.2 </w:t>
      </w:r>
      <w:bookmarkStart w:id="6" w:name="_Hlk228057724"/>
      <w:r>
        <w:rPr>
          <w:rFonts w:hint="eastAsia"/>
          <w:sz w:val="24"/>
          <w:szCs w:val="24"/>
          <w:lang w:val="en-US"/>
        </w:rPr>
        <w:t>投标人须具有良好的商业信誉和健全的财务会计制度，投标时，提供2024年的经会计师事务所（或第三方审计机构）审计的财务审计报告(2025年新成立公司提供成立至今的月或季度财务报表复印件)或银行出具的资信证明。</w:t>
      </w:r>
      <w:bookmarkEnd w:id="6"/>
    </w:p>
    <w:p w14:paraId="7210FF49">
      <w:pPr>
        <w:pStyle w:val="59"/>
        <w:tabs>
          <w:tab w:val="left" w:pos="1190"/>
          <w:tab w:val="left" w:pos="4694"/>
          <w:tab w:val="left" w:pos="6290"/>
        </w:tabs>
        <w:adjustRightInd w:val="0"/>
        <w:snapToGrid w:val="0"/>
        <w:spacing w:line="360" w:lineRule="auto"/>
        <w:ind w:left="0" w:firstLine="484" w:firstLineChars="202"/>
        <w:jc w:val="both"/>
        <w:rPr>
          <w:rFonts w:hint="eastAsia"/>
          <w:sz w:val="24"/>
          <w:szCs w:val="24"/>
          <w:lang w:val="en-US"/>
        </w:rPr>
      </w:pPr>
      <w:r>
        <w:rPr>
          <w:sz w:val="24"/>
          <w:szCs w:val="24"/>
          <w:lang w:val="en-US"/>
        </w:rPr>
        <w:t>3.3 投标人不得存在下列情形之一（投标人须在投标文件中就有关内容做出承诺，除非另有要求，不需要在投标文件中提供证明材料）：</w:t>
      </w:r>
    </w:p>
    <w:p w14:paraId="791254D1">
      <w:pPr>
        <w:pStyle w:val="59"/>
        <w:tabs>
          <w:tab w:val="left" w:pos="1190"/>
          <w:tab w:val="left" w:pos="4694"/>
          <w:tab w:val="left" w:pos="6290"/>
        </w:tabs>
        <w:adjustRightInd w:val="0"/>
        <w:snapToGrid w:val="0"/>
        <w:spacing w:line="360" w:lineRule="auto"/>
        <w:ind w:firstLine="141" w:firstLineChars="59"/>
        <w:jc w:val="both"/>
        <w:rPr>
          <w:rFonts w:hint="eastAsia"/>
          <w:sz w:val="24"/>
          <w:szCs w:val="24"/>
          <w:lang w:val="en-US"/>
        </w:rPr>
      </w:pPr>
      <w:r>
        <w:rPr>
          <w:rFonts w:hint="eastAsia"/>
          <w:sz w:val="24"/>
          <w:szCs w:val="24"/>
          <w:lang w:val="en-US"/>
        </w:rPr>
        <w:t>（</w:t>
      </w:r>
      <w:r>
        <w:rPr>
          <w:sz w:val="24"/>
          <w:szCs w:val="24"/>
          <w:lang w:val="en-US"/>
        </w:rPr>
        <w:t>1）为招标人不具有独立法人资格的附属机构（单位）；</w:t>
      </w:r>
    </w:p>
    <w:p w14:paraId="00E3761E">
      <w:pPr>
        <w:pStyle w:val="59"/>
        <w:tabs>
          <w:tab w:val="left" w:pos="1190"/>
          <w:tab w:val="left" w:pos="4694"/>
          <w:tab w:val="left" w:pos="6290"/>
        </w:tabs>
        <w:adjustRightInd w:val="0"/>
        <w:snapToGrid w:val="0"/>
        <w:spacing w:line="360" w:lineRule="auto"/>
        <w:ind w:firstLine="141" w:firstLineChars="59"/>
        <w:jc w:val="both"/>
        <w:rPr>
          <w:rFonts w:hint="eastAsia"/>
          <w:sz w:val="24"/>
          <w:szCs w:val="24"/>
          <w:lang w:val="en-US"/>
        </w:rPr>
      </w:pPr>
      <w:r>
        <w:rPr>
          <w:rFonts w:hint="eastAsia"/>
          <w:sz w:val="24"/>
          <w:szCs w:val="24"/>
          <w:lang w:val="en-US"/>
        </w:rPr>
        <w:t>（</w:t>
      </w:r>
      <w:r>
        <w:rPr>
          <w:sz w:val="24"/>
          <w:szCs w:val="24"/>
          <w:lang w:val="en-US"/>
        </w:rPr>
        <w:t>2）与招标人存在利害关系且可能影响招标公正性；</w:t>
      </w:r>
    </w:p>
    <w:p w14:paraId="55DAA7C9">
      <w:pPr>
        <w:pStyle w:val="59"/>
        <w:tabs>
          <w:tab w:val="left" w:pos="1190"/>
          <w:tab w:val="left" w:pos="4694"/>
          <w:tab w:val="left" w:pos="6290"/>
        </w:tabs>
        <w:adjustRightInd w:val="0"/>
        <w:snapToGrid w:val="0"/>
        <w:spacing w:line="360" w:lineRule="auto"/>
        <w:ind w:firstLine="141" w:firstLineChars="59"/>
        <w:jc w:val="both"/>
        <w:rPr>
          <w:rFonts w:hint="eastAsia"/>
          <w:sz w:val="24"/>
          <w:szCs w:val="24"/>
          <w:lang w:val="en-US"/>
        </w:rPr>
      </w:pPr>
      <w:r>
        <w:rPr>
          <w:rFonts w:hint="eastAsia"/>
          <w:sz w:val="24"/>
          <w:szCs w:val="24"/>
          <w:lang w:val="en-US"/>
        </w:rPr>
        <w:t>（</w:t>
      </w:r>
      <w:r>
        <w:rPr>
          <w:sz w:val="24"/>
          <w:szCs w:val="24"/>
          <w:lang w:val="en-US"/>
        </w:rPr>
        <w:t>3）与本招标项目的其他投标人为同一个单位负责人；</w:t>
      </w:r>
      <w:r>
        <w:rPr>
          <w:sz w:val="24"/>
          <w:szCs w:val="24"/>
          <w:lang w:val="en-US"/>
        </w:rPr>
        <w:tab/>
      </w:r>
    </w:p>
    <w:p w14:paraId="24570D26">
      <w:pPr>
        <w:pStyle w:val="59"/>
        <w:tabs>
          <w:tab w:val="left" w:pos="1190"/>
          <w:tab w:val="left" w:pos="4694"/>
          <w:tab w:val="left" w:pos="6290"/>
        </w:tabs>
        <w:adjustRightInd w:val="0"/>
        <w:snapToGrid w:val="0"/>
        <w:spacing w:line="360" w:lineRule="auto"/>
        <w:ind w:firstLine="141" w:firstLineChars="59"/>
        <w:jc w:val="both"/>
        <w:rPr>
          <w:rFonts w:hint="eastAsia"/>
          <w:sz w:val="24"/>
          <w:szCs w:val="24"/>
          <w:lang w:val="en-US"/>
        </w:rPr>
      </w:pPr>
      <w:r>
        <w:rPr>
          <w:rFonts w:hint="eastAsia"/>
          <w:sz w:val="24"/>
          <w:szCs w:val="24"/>
          <w:lang w:val="en-US"/>
        </w:rPr>
        <w:t>（</w:t>
      </w:r>
      <w:r>
        <w:rPr>
          <w:sz w:val="24"/>
          <w:szCs w:val="24"/>
          <w:lang w:val="en-US"/>
        </w:rPr>
        <w:t>4）与本招标项目的其他投标人存在控股、管理关系；</w:t>
      </w:r>
    </w:p>
    <w:p w14:paraId="3A123D58">
      <w:pPr>
        <w:pStyle w:val="59"/>
        <w:tabs>
          <w:tab w:val="left" w:pos="1190"/>
          <w:tab w:val="left" w:pos="4694"/>
          <w:tab w:val="left" w:pos="6290"/>
        </w:tabs>
        <w:adjustRightInd w:val="0"/>
        <w:snapToGrid w:val="0"/>
        <w:spacing w:line="360" w:lineRule="auto"/>
        <w:ind w:firstLine="141" w:firstLineChars="59"/>
        <w:jc w:val="both"/>
        <w:rPr>
          <w:rFonts w:hint="eastAsia"/>
          <w:sz w:val="24"/>
          <w:szCs w:val="24"/>
          <w:lang w:val="en-US"/>
        </w:rPr>
      </w:pPr>
      <w:r>
        <w:rPr>
          <w:rFonts w:hint="eastAsia"/>
          <w:sz w:val="24"/>
          <w:szCs w:val="24"/>
          <w:lang w:val="en-US"/>
        </w:rPr>
        <w:t>（</w:t>
      </w:r>
      <w:r>
        <w:rPr>
          <w:sz w:val="24"/>
          <w:szCs w:val="24"/>
          <w:lang w:val="en-US"/>
        </w:rPr>
        <w:t>5）为本招标项目的招标代理机构；</w:t>
      </w:r>
    </w:p>
    <w:p w14:paraId="76F528E2">
      <w:pPr>
        <w:pStyle w:val="59"/>
        <w:tabs>
          <w:tab w:val="left" w:pos="1190"/>
          <w:tab w:val="left" w:pos="4694"/>
          <w:tab w:val="left" w:pos="6290"/>
        </w:tabs>
        <w:adjustRightInd w:val="0"/>
        <w:snapToGrid w:val="0"/>
        <w:spacing w:line="360" w:lineRule="auto"/>
        <w:ind w:firstLine="141" w:firstLineChars="59"/>
        <w:jc w:val="both"/>
        <w:rPr>
          <w:rFonts w:hint="eastAsia"/>
          <w:sz w:val="24"/>
          <w:szCs w:val="24"/>
          <w:lang w:val="en-US"/>
        </w:rPr>
      </w:pPr>
      <w:r>
        <w:rPr>
          <w:rFonts w:hint="eastAsia"/>
          <w:sz w:val="24"/>
          <w:szCs w:val="24"/>
          <w:lang w:val="en-US"/>
        </w:rPr>
        <w:t>（</w:t>
      </w:r>
      <w:r>
        <w:rPr>
          <w:sz w:val="24"/>
          <w:szCs w:val="24"/>
          <w:lang w:val="en-US"/>
        </w:rPr>
        <w:t>6）与本招标项目的招标代理机构同为一个法定代表人；</w:t>
      </w:r>
    </w:p>
    <w:p w14:paraId="7AA0E36C">
      <w:pPr>
        <w:pStyle w:val="59"/>
        <w:tabs>
          <w:tab w:val="left" w:pos="1190"/>
          <w:tab w:val="left" w:pos="4694"/>
          <w:tab w:val="left" w:pos="6290"/>
        </w:tabs>
        <w:adjustRightInd w:val="0"/>
        <w:snapToGrid w:val="0"/>
        <w:spacing w:line="360" w:lineRule="auto"/>
        <w:ind w:firstLine="141" w:firstLineChars="59"/>
        <w:jc w:val="both"/>
        <w:rPr>
          <w:rFonts w:hint="eastAsia"/>
          <w:sz w:val="24"/>
          <w:szCs w:val="24"/>
          <w:lang w:val="en-US"/>
        </w:rPr>
      </w:pPr>
      <w:r>
        <w:rPr>
          <w:rFonts w:hint="eastAsia"/>
          <w:sz w:val="24"/>
          <w:szCs w:val="24"/>
          <w:lang w:val="en-US"/>
        </w:rPr>
        <w:t>（</w:t>
      </w:r>
      <w:r>
        <w:rPr>
          <w:sz w:val="24"/>
          <w:szCs w:val="24"/>
          <w:lang w:val="en-US"/>
        </w:rPr>
        <w:t>7）与本招标项目的招标代理机构存在控股或参股关系；</w:t>
      </w:r>
    </w:p>
    <w:p w14:paraId="1E3CB022">
      <w:pPr>
        <w:pStyle w:val="59"/>
        <w:tabs>
          <w:tab w:val="left" w:pos="1190"/>
          <w:tab w:val="left" w:pos="4694"/>
          <w:tab w:val="left" w:pos="6290"/>
        </w:tabs>
        <w:adjustRightInd w:val="0"/>
        <w:snapToGrid w:val="0"/>
        <w:spacing w:line="360" w:lineRule="auto"/>
        <w:ind w:firstLine="141" w:firstLineChars="59"/>
        <w:jc w:val="both"/>
        <w:rPr>
          <w:rFonts w:hint="eastAsia"/>
          <w:sz w:val="24"/>
          <w:szCs w:val="24"/>
          <w:lang w:val="en-US"/>
        </w:rPr>
      </w:pPr>
      <w:r>
        <w:rPr>
          <w:rFonts w:hint="eastAsia"/>
          <w:sz w:val="24"/>
          <w:szCs w:val="24"/>
          <w:lang w:val="en-US"/>
        </w:rPr>
        <w:t>（</w:t>
      </w:r>
      <w:r>
        <w:rPr>
          <w:sz w:val="24"/>
          <w:szCs w:val="24"/>
          <w:lang w:val="en-US"/>
        </w:rPr>
        <w:t>8）被依法暂停或者取消投标资格；</w:t>
      </w:r>
    </w:p>
    <w:p w14:paraId="57E7F8D7">
      <w:pPr>
        <w:pStyle w:val="59"/>
        <w:tabs>
          <w:tab w:val="left" w:pos="1190"/>
          <w:tab w:val="left" w:pos="4694"/>
          <w:tab w:val="left" w:pos="6290"/>
        </w:tabs>
        <w:adjustRightInd w:val="0"/>
        <w:snapToGrid w:val="0"/>
        <w:spacing w:line="360" w:lineRule="auto"/>
        <w:ind w:firstLine="141" w:firstLineChars="59"/>
        <w:jc w:val="both"/>
        <w:rPr>
          <w:rFonts w:hint="eastAsia"/>
          <w:sz w:val="24"/>
          <w:szCs w:val="24"/>
          <w:lang w:val="en-US"/>
        </w:rPr>
      </w:pPr>
      <w:r>
        <w:rPr>
          <w:rFonts w:hint="eastAsia"/>
          <w:sz w:val="24"/>
          <w:szCs w:val="24"/>
          <w:lang w:val="en-US"/>
        </w:rPr>
        <w:t>（</w:t>
      </w:r>
      <w:r>
        <w:rPr>
          <w:sz w:val="24"/>
          <w:szCs w:val="24"/>
          <w:lang w:val="en-US"/>
        </w:rPr>
        <w:t>9）被责令停产停业、暂扣或者吊销许可证、暂扣或者吊销执照；</w:t>
      </w:r>
    </w:p>
    <w:p w14:paraId="4631243D">
      <w:pPr>
        <w:pStyle w:val="59"/>
        <w:tabs>
          <w:tab w:val="left" w:pos="1190"/>
          <w:tab w:val="left" w:pos="4694"/>
          <w:tab w:val="left" w:pos="6290"/>
        </w:tabs>
        <w:adjustRightInd w:val="0"/>
        <w:snapToGrid w:val="0"/>
        <w:spacing w:line="360" w:lineRule="auto"/>
        <w:ind w:firstLine="141" w:firstLineChars="59"/>
        <w:jc w:val="both"/>
        <w:rPr>
          <w:rFonts w:hint="eastAsia"/>
          <w:sz w:val="24"/>
          <w:szCs w:val="24"/>
          <w:lang w:val="en-US"/>
        </w:rPr>
      </w:pPr>
      <w:r>
        <w:rPr>
          <w:rFonts w:hint="eastAsia"/>
          <w:sz w:val="24"/>
          <w:szCs w:val="24"/>
          <w:lang w:val="en-US"/>
        </w:rPr>
        <w:t>（</w:t>
      </w:r>
      <w:r>
        <w:rPr>
          <w:sz w:val="24"/>
          <w:szCs w:val="24"/>
          <w:lang w:val="en-US"/>
        </w:rPr>
        <w:t>10）进入清算程序，或被宣告破产，或其他丧失履约能力的情形；</w:t>
      </w:r>
    </w:p>
    <w:p w14:paraId="00312AD2">
      <w:pPr>
        <w:pStyle w:val="59"/>
        <w:tabs>
          <w:tab w:val="left" w:pos="1190"/>
          <w:tab w:val="left" w:pos="4694"/>
          <w:tab w:val="left" w:pos="6290"/>
        </w:tabs>
        <w:adjustRightInd w:val="0"/>
        <w:snapToGrid w:val="0"/>
        <w:spacing w:line="360" w:lineRule="auto"/>
        <w:ind w:firstLine="141" w:firstLineChars="59"/>
        <w:jc w:val="both"/>
        <w:rPr>
          <w:rFonts w:hint="eastAsia"/>
          <w:sz w:val="24"/>
          <w:szCs w:val="24"/>
          <w:lang w:val="en-US"/>
        </w:rPr>
      </w:pPr>
      <w:r>
        <w:rPr>
          <w:rFonts w:hint="eastAsia"/>
          <w:sz w:val="24"/>
          <w:szCs w:val="24"/>
          <w:lang w:val="en-US"/>
        </w:rPr>
        <w:t>（</w:t>
      </w:r>
      <w:r>
        <w:rPr>
          <w:sz w:val="24"/>
          <w:szCs w:val="24"/>
          <w:lang w:val="en-US"/>
        </w:rPr>
        <w:t>11）在最近三年内（按递交投标文件截止时间往前推算）发生重大服务质量问题（以相关行业主管部门的行政处罚决定或司法机关出具的有关法律文书生效日期为准）；</w:t>
      </w:r>
    </w:p>
    <w:p w14:paraId="33079544">
      <w:pPr>
        <w:pStyle w:val="59"/>
        <w:tabs>
          <w:tab w:val="left" w:pos="1190"/>
          <w:tab w:val="left" w:pos="4694"/>
          <w:tab w:val="left" w:pos="6290"/>
        </w:tabs>
        <w:adjustRightInd w:val="0"/>
        <w:snapToGrid w:val="0"/>
        <w:spacing w:line="360" w:lineRule="auto"/>
        <w:ind w:firstLine="141" w:firstLineChars="59"/>
        <w:jc w:val="both"/>
        <w:rPr>
          <w:rFonts w:hint="eastAsia"/>
          <w:sz w:val="24"/>
          <w:szCs w:val="24"/>
          <w:lang w:val="en-US"/>
        </w:rPr>
      </w:pPr>
      <w:r>
        <w:rPr>
          <w:rFonts w:hint="eastAsia"/>
          <w:sz w:val="24"/>
          <w:szCs w:val="24"/>
          <w:lang w:val="en-US"/>
        </w:rPr>
        <w:t>（</w:t>
      </w:r>
      <w:r>
        <w:rPr>
          <w:sz w:val="24"/>
          <w:szCs w:val="24"/>
          <w:lang w:val="en-US"/>
        </w:rPr>
        <w:t>12）在最近三年内（按递交投标文件截止时间往前推算）发生重大安全事故（以相关行业主管部门的行政处罚决定或司法机关出具的有关法律文书生效日期为准）；</w:t>
      </w:r>
    </w:p>
    <w:p w14:paraId="07E85E3C">
      <w:pPr>
        <w:pStyle w:val="59"/>
        <w:tabs>
          <w:tab w:val="left" w:pos="1190"/>
          <w:tab w:val="left" w:pos="4694"/>
          <w:tab w:val="left" w:pos="6290"/>
        </w:tabs>
        <w:adjustRightInd w:val="0"/>
        <w:snapToGrid w:val="0"/>
        <w:spacing w:line="360" w:lineRule="auto"/>
        <w:ind w:firstLine="141" w:firstLineChars="59"/>
        <w:jc w:val="both"/>
        <w:rPr>
          <w:rFonts w:hint="eastAsia"/>
          <w:sz w:val="24"/>
          <w:szCs w:val="24"/>
          <w:lang w:val="en-US"/>
        </w:rPr>
      </w:pPr>
      <w:r>
        <w:rPr>
          <w:rFonts w:hint="eastAsia"/>
          <w:sz w:val="24"/>
          <w:szCs w:val="24"/>
          <w:lang w:val="en-US"/>
        </w:rPr>
        <w:t>（</w:t>
      </w:r>
      <w:r>
        <w:rPr>
          <w:sz w:val="24"/>
          <w:szCs w:val="24"/>
          <w:lang w:val="en-US"/>
        </w:rPr>
        <w:t>13）被工商行政管理机关（或市场监督部门）在全国企业信用信息公示系统中列入严重违法失信企业名单，提供全国企业信用信息公示系统中查询结果网页截图；</w:t>
      </w:r>
    </w:p>
    <w:p w14:paraId="745E5623">
      <w:pPr>
        <w:pStyle w:val="59"/>
        <w:tabs>
          <w:tab w:val="left" w:pos="1190"/>
          <w:tab w:val="left" w:pos="4694"/>
          <w:tab w:val="left" w:pos="6290"/>
        </w:tabs>
        <w:adjustRightInd w:val="0"/>
        <w:snapToGrid w:val="0"/>
        <w:spacing w:line="360" w:lineRule="auto"/>
        <w:ind w:firstLine="141" w:firstLineChars="59"/>
        <w:jc w:val="both"/>
        <w:rPr>
          <w:rFonts w:hint="eastAsia"/>
          <w:sz w:val="24"/>
          <w:szCs w:val="24"/>
          <w:lang w:val="en-US"/>
        </w:rPr>
      </w:pPr>
      <w:r>
        <w:rPr>
          <w:rFonts w:hint="eastAsia"/>
          <w:sz w:val="24"/>
          <w:szCs w:val="24"/>
          <w:lang w:val="en-US"/>
        </w:rPr>
        <w:t>（</w:t>
      </w:r>
      <w:r>
        <w:rPr>
          <w:sz w:val="24"/>
          <w:szCs w:val="24"/>
          <w:lang w:val="en-US"/>
        </w:rPr>
        <w:t>14）被最高人民法院在“信用中国”网站中列入失信被执行人名单，提供“信用中国”查询结果网站网页截图；</w:t>
      </w:r>
    </w:p>
    <w:p w14:paraId="77E7E925">
      <w:pPr>
        <w:pStyle w:val="59"/>
        <w:tabs>
          <w:tab w:val="left" w:pos="1190"/>
          <w:tab w:val="left" w:pos="4694"/>
          <w:tab w:val="left" w:pos="6290"/>
        </w:tabs>
        <w:adjustRightInd w:val="0"/>
        <w:snapToGrid w:val="0"/>
        <w:spacing w:line="360" w:lineRule="auto"/>
        <w:ind w:firstLine="141" w:firstLineChars="59"/>
        <w:jc w:val="both"/>
        <w:rPr>
          <w:rFonts w:hint="eastAsia"/>
          <w:sz w:val="24"/>
          <w:szCs w:val="24"/>
          <w:lang w:val="en-US"/>
        </w:rPr>
      </w:pPr>
      <w:r>
        <w:rPr>
          <w:rFonts w:hint="eastAsia"/>
          <w:sz w:val="24"/>
          <w:szCs w:val="24"/>
          <w:lang w:val="en-US"/>
        </w:rPr>
        <w:t>（</w:t>
      </w:r>
      <w:r>
        <w:rPr>
          <w:sz w:val="24"/>
          <w:szCs w:val="24"/>
          <w:lang w:val="en-US"/>
        </w:rPr>
        <w:t>15）以中国石化（含子、分公司）及其控股、参股企业为贸易对象开展融资性贸易（中国石化同意的除外），投标时，提供中登网（https://www.zhongdengwang.org.cn/）查询截图（以个人普通用户注册，登陆系统后，首页-查询入口-按担保人查询）；</w:t>
      </w:r>
    </w:p>
    <w:p w14:paraId="675797C4">
      <w:pPr>
        <w:pStyle w:val="59"/>
        <w:tabs>
          <w:tab w:val="left" w:pos="1190"/>
          <w:tab w:val="left" w:pos="4694"/>
          <w:tab w:val="left" w:pos="6290"/>
        </w:tabs>
        <w:adjustRightInd w:val="0"/>
        <w:snapToGrid w:val="0"/>
        <w:spacing w:line="360" w:lineRule="auto"/>
        <w:ind w:firstLine="141" w:firstLineChars="59"/>
        <w:jc w:val="both"/>
        <w:rPr>
          <w:rFonts w:hint="eastAsia"/>
          <w:sz w:val="24"/>
          <w:szCs w:val="24"/>
          <w:lang w:val="en-US"/>
        </w:rPr>
      </w:pPr>
      <w:r>
        <w:rPr>
          <w:rFonts w:hint="eastAsia"/>
          <w:sz w:val="24"/>
          <w:szCs w:val="24"/>
          <w:lang w:val="en-US"/>
        </w:rPr>
        <w:t>（</w:t>
      </w:r>
      <w:r>
        <w:rPr>
          <w:sz w:val="24"/>
          <w:szCs w:val="24"/>
          <w:lang w:val="en-US"/>
        </w:rPr>
        <w:t>16）在近三年内（按递交投标文件截止时间往前推算）投标人或其法定代表人有行贿犯罪判决或裁定记录（以中国裁判文书网http://wenshu.court.gov.cn查询结果为准）；</w:t>
      </w:r>
      <w:r>
        <w:rPr>
          <w:rFonts w:hint="eastAsia"/>
          <w:sz w:val="24"/>
          <w:szCs w:val="24"/>
          <w:lang w:val="en-US"/>
        </w:rPr>
        <w:t>（</w:t>
      </w:r>
      <w:r>
        <w:rPr>
          <w:sz w:val="24"/>
          <w:szCs w:val="24"/>
          <w:lang w:val="en-US"/>
        </w:rPr>
        <w:t>17）法律法规规定的其他情形。</w:t>
      </w:r>
    </w:p>
    <w:p w14:paraId="68660D7B">
      <w:pPr>
        <w:pStyle w:val="59"/>
        <w:tabs>
          <w:tab w:val="left" w:pos="1190"/>
          <w:tab w:val="left" w:pos="4694"/>
          <w:tab w:val="left" w:pos="6290"/>
        </w:tabs>
        <w:adjustRightInd w:val="0"/>
        <w:snapToGrid w:val="0"/>
        <w:spacing w:line="360" w:lineRule="auto"/>
        <w:ind w:left="0" w:firstLine="480" w:firstLineChars="200"/>
        <w:jc w:val="both"/>
        <w:rPr>
          <w:rFonts w:hint="eastAsia"/>
          <w:sz w:val="24"/>
          <w:szCs w:val="24"/>
        </w:rPr>
      </w:pPr>
      <w:r>
        <w:rPr>
          <w:rFonts w:hint="eastAsia"/>
          <w:sz w:val="24"/>
          <w:szCs w:val="24"/>
          <w:lang w:val="en-US"/>
        </w:rPr>
        <w:t>3.</w:t>
      </w:r>
      <w:r>
        <w:rPr>
          <w:sz w:val="24"/>
          <w:szCs w:val="24"/>
          <w:lang w:val="en-US"/>
        </w:rPr>
        <w:t>4</w:t>
      </w:r>
      <w:r>
        <w:rPr>
          <w:rFonts w:hint="eastAsia"/>
          <w:sz w:val="24"/>
          <w:szCs w:val="24"/>
          <w:lang w:val="en-US"/>
        </w:rPr>
        <w:t xml:space="preserve"> 本项目不接受联合体投标。</w:t>
      </w:r>
    </w:p>
    <w:p w14:paraId="50B21C91">
      <w:pPr>
        <w:pStyle w:val="59"/>
        <w:tabs>
          <w:tab w:val="left" w:pos="1190"/>
          <w:tab w:val="left" w:pos="4694"/>
          <w:tab w:val="left" w:pos="6290"/>
        </w:tabs>
        <w:spacing w:line="336" w:lineRule="auto"/>
        <w:ind w:left="0" w:firstLine="424" w:firstLineChars="151"/>
        <w:rPr>
          <w:rFonts w:hint="eastAsia" w:cs="Microsoft JhengHei"/>
          <w:b/>
          <w:bCs/>
          <w:sz w:val="28"/>
          <w:szCs w:val="28"/>
          <w:lang w:val="en-US"/>
        </w:rPr>
      </w:pPr>
      <w:bookmarkStart w:id="7" w:name="_bookmark5"/>
      <w:bookmarkEnd w:id="7"/>
      <w:r>
        <w:rPr>
          <w:rFonts w:cs="Microsoft JhengHei"/>
          <w:b/>
          <w:bCs/>
          <w:sz w:val="28"/>
          <w:szCs w:val="28"/>
          <w:lang w:val="en-US"/>
        </w:rPr>
        <w:t>4.招标文件的获取</w:t>
      </w:r>
    </w:p>
    <w:p w14:paraId="5D7D974D">
      <w:pPr>
        <w:adjustRightInd w:val="0"/>
        <w:snapToGrid w:val="0"/>
        <w:spacing w:line="360" w:lineRule="auto"/>
        <w:ind w:firstLine="480" w:firstLineChars="200"/>
        <w:rPr>
          <w:rFonts w:hint="eastAsia"/>
          <w:sz w:val="24"/>
          <w:szCs w:val="24"/>
          <w:lang w:bidi="ar"/>
        </w:rPr>
      </w:pPr>
      <w:r>
        <w:rPr>
          <w:rFonts w:hint="eastAsia"/>
          <w:sz w:val="24"/>
          <w:szCs w:val="24"/>
        </w:rPr>
        <w:t>4.1凡有意参加投标者，请于</w:t>
      </w:r>
      <w:r>
        <w:rPr>
          <w:rFonts w:hint="eastAsia"/>
          <w:sz w:val="24"/>
          <w:szCs w:val="24"/>
          <w:lang w:val="en-US"/>
        </w:rPr>
        <w:t>2026</w:t>
      </w:r>
      <w:r>
        <w:rPr>
          <w:rFonts w:hint="eastAsia"/>
          <w:sz w:val="24"/>
          <w:szCs w:val="24"/>
        </w:rPr>
        <w:t>年</w:t>
      </w:r>
      <w:r>
        <w:rPr>
          <w:sz w:val="24"/>
          <w:szCs w:val="24"/>
          <w:u w:val="single"/>
          <w:lang w:val="en-US"/>
        </w:rPr>
        <w:t xml:space="preserve"> </w:t>
      </w:r>
      <w:r>
        <w:rPr>
          <w:rFonts w:hint="eastAsia"/>
          <w:sz w:val="24"/>
          <w:szCs w:val="24"/>
          <w:u w:val="single"/>
          <w:lang w:val="en-US" w:eastAsia="zh-CN"/>
        </w:rPr>
        <w:t>6</w:t>
      </w:r>
      <w:r>
        <w:rPr>
          <w:sz w:val="24"/>
          <w:szCs w:val="24"/>
          <w:u w:val="single"/>
          <w:lang w:val="en-US"/>
        </w:rPr>
        <w:t xml:space="preserve"> </w:t>
      </w:r>
      <w:r>
        <w:rPr>
          <w:rFonts w:hint="eastAsia"/>
          <w:sz w:val="24"/>
          <w:szCs w:val="24"/>
        </w:rPr>
        <w:t>月</w:t>
      </w:r>
      <w:r>
        <w:rPr>
          <w:rFonts w:hint="eastAsia"/>
          <w:sz w:val="24"/>
          <w:szCs w:val="24"/>
          <w:u w:val="single"/>
          <w:lang w:val="en-US"/>
        </w:rPr>
        <w:t xml:space="preserve"> </w:t>
      </w:r>
      <w:r>
        <w:rPr>
          <w:rFonts w:hint="eastAsia"/>
          <w:sz w:val="24"/>
          <w:szCs w:val="24"/>
          <w:u w:val="single"/>
          <w:lang w:val="en-US" w:eastAsia="zh-CN"/>
        </w:rPr>
        <w:t>2</w:t>
      </w:r>
      <w:r>
        <w:rPr>
          <w:rFonts w:hint="eastAsia"/>
          <w:sz w:val="24"/>
          <w:szCs w:val="24"/>
          <w:u w:val="single"/>
          <w:lang w:val="en-US"/>
        </w:rPr>
        <w:t xml:space="preserve"> </w:t>
      </w:r>
      <w:r>
        <w:rPr>
          <w:rFonts w:hint="eastAsia"/>
          <w:sz w:val="24"/>
          <w:szCs w:val="24"/>
        </w:rPr>
        <w:t>日至</w:t>
      </w:r>
      <w:r>
        <w:rPr>
          <w:rFonts w:hint="eastAsia"/>
          <w:sz w:val="24"/>
          <w:szCs w:val="24"/>
          <w:lang w:val="en-US"/>
        </w:rPr>
        <w:t>2026</w:t>
      </w:r>
      <w:r>
        <w:rPr>
          <w:rFonts w:hint="eastAsia"/>
          <w:sz w:val="24"/>
          <w:szCs w:val="24"/>
        </w:rPr>
        <w:t>年</w:t>
      </w:r>
      <w:r>
        <w:rPr>
          <w:sz w:val="24"/>
          <w:szCs w:val="24"/>
          <w:u w:val="single"/>
          <w:lang w:val="en-US"/>
        </w:rPr>
        <w:t xml:space="preserve"> </w:t>
      </w:r>
      <w:r>
        <w:rPr>
          <w:rFonts w:hint="eastAsia"/>
          <w:sz w:val="24"/>
          <w:szCs w:val="24"/>
          <w:u w:val="single"/>
          <w:lang w:val="en-US" w:eastAsia="zh-CN"/>
        </w:rPr>
        <w:t>6</w:t>
      </w:r>
      <w:r>
        <w:rPr>
          <w:sz w:val="24"/>
          <w:szCs w:val="24"/>
          <w:u w:val="single"/>
          <w:lang w:val="en-US"/>
        </w:rPr>
        <w:t xml:space="preserve"> </w:t>
      </w:r>
      <w:r>
        <w:rPr>
          <w:rFonts w:hint="eastAsia"/>
          <w:sz w:val="24"/>
          <w:szCs w:val="24"/>
        </w:rPr>
        <w:t>月</w:t>
      </w:r>
      <w:r>
        <w:rPr>
          <w:rFonts w:hint="eastAsia"/>
          <w:sz w:val="24"/>
          <w:szCs w:val="24"/>
          <w:u w:val="single"/>
          <w:lang w:val="en-US"/>
        </w:rPr>
        <w:t xml:space="preserve"> </w:t>
      </w:r>
      <w:r>
        <w:rPr>
          <w:rFonts w:hint="eastAsia"/>
          <w:sz w:val="24"/>
          <w:szCs w:val="24"/>
          <w:u w:val="single"/>
          <w:lang w:val="en-US" w:eastAsia="zh-CN"/>
        </w:rPr>
        <w:t>8</w:t>
      </w:r>
      <w:r>
        <w:rPr>
          <w:rFonts w:hint="eastAsia"/>
          <w:sz w:val="24"/>
          <w:szCs w:val="24"/>
          <w:u w:val="single"/>
          <w:lang w:val="en-US"/>
        </w:rPr>
        <w:t xml:space="preserve"> </w:t>
      </w:r>
      <w:r>
        <w:rPr>
          <w:rFonts w:hint="eastAsia"/>
          <w:sz w:val="24"/>
          <w:szCs w:val="24"/>
        </w:rPr>
        <w:t>日，每日上午</w:t>
      </w:r>
      <w:r>
        <w:rPr>
          <w:rFonts w:hint="eastAsia"/>
          <w:sz w:val="24"/>
          <w:szCs w:val="24"/>
          <w:lang w:val="en-US"/>
        </w:rPr>
        <w:t>9：30</w:t>
      </w:r>
      <w:r>
        <w:rPr>
          <w:rFonts w:hint="eastAsia"/>
          <w:sz w:val="24"/>
          <w:szCs w:val="24"/>
        </w:rPr>
        <w:t>至</w:t>
      </w:r>
      <w:r>
        <w:rPr>
          <w:rFonts w:hint="eastAsia"/>
          <w:sz w:val="24"/>
          <w:szCs w:val="24"/>
          <w:lang w:val="en-US"/>
        </w:rPr>
        <w:t>11：30</w:t>
      </w:r>
      <w:r>
        <w:rPr>
          <w:rFonts w:hint="eastAsia"/>
          <w:sz w:val="24"/>
          <w:szCs w:val="24"/>
        </w:rPr>
        <w:t>，下午</w:t>
      </w:r>
      <w:r>
        <w:rPr>
          <w:rFonts w:hint="eastAsia"/>
          <w:sz w:val="24"/>
          <w:szCs w:val="24"/>
          <w:lang w:val="en-US"/>
        </w:rPr>
        <w:t>14：00</w:t>
      </w:r>
      <w:r>
        <w:rPr>
          <w:rFonts w:hint="eastAsia"/>
          <w:sz w:val="24"/>
          <w:szCs w:val="24"/>
        </w:rPr>
        <w:t>至</w:t>
      </w:r>
      <w:r>
        <w:rPr>
          <w:rFonts w:hint="eastAsia"/>
          <w:sz w:val="24"/>
          <w:szCs w:val="24"/>
          <w:lang w:val="en-US"/>
        </w:rPr>
        <w:t>16：00</w:t>
      </w:r>
      <w:r>
        <w:rPr>
          <w:rFonts w:hint="eastAsia"/>
          <w:sz w:val="24"/>
          <w:szCs w:val="24"/>
        </w:rPr>
        <w:t>（法定公休日、节假日除外），</w:t>
      </w:r>
      <w:r>
        <w:rPr>
          <w:rFonts w:hint="eastAsia"/>
          <w:sz w:val="24"/>
          <w:szCs w:val="24"/>
          <w:lang w:bidi="ar"/>
        </w:rPr>
        <w:t>可选择以下任一方式办理投标信息登记</w:t>
      </w:r>
      <w:r>
        <w:rPr>
          <w:rFonts w:hint="eastAsia"/>
          <w:sz w:val="24"/>
          <w:szCs w:val="24"/>
          <w:lang w:val="en-US" w:bidi="ar"/>
        </w:rPr>
        <w:t>（注：同时参加</w:t>
      </w:r>
      <w:r>
        <w:rPr>
          <w:rFonts w:hint="eastAsia"/>
          <w:sz w:val="24"/>
          <w:szCs w:val="24"/>
          <w:lang w:val="en-US" w:eastAsia="zh-CN" w:bidi="ar"/>
        </w:rPr>
        <w:t>多</w:t>
      </w:r>
      <w:r>
        <w:rPr>
          <w:rFonts w:hint="eastAsia"/>
          <w:sz w:val="24"/>
          <w:szCs w:val="24"/>
          <w:lang w:val="en-US" w:bidi="ar"/>
        </w:rPr>
        <w:t>个标段投标的投标人，必须分别提供资料且分别购买招标文件。）</w:t>
      </w:r>
      <w:r>
        <w:rPr>
          <w:rFonts w:hint="eastAsia"/>
          <w:bCs/>
          <w:sz w:val="24"/>
          <w:szCs w:val="24"/>
          <w:lang w:val="en-US"/>
        </w:rPr>
        <w:t>：</w:t>
      </w:r>
    </w:p>
    <w:p w14:paraId="10518A22">
      <w:pPr>
        <w:pStyle w:val="10"/>
        <w:tabs>
          <w:tab w:val="left" w:pos="3760"/>
        </w:tabs>
        <w:spacing w:line="360" w:lineRule="auto"/>
        <w:ind w:firstLine="480" w:firstLineChars="200"/>
        <w:jc w:val="both"/>
        <w:rPr>
          <w:rFonts w:hint="eastAsia"/>
          <w:sz w:val="24"/>
          <w:szCs w:val="24"/>
        </w:rPr>
      </w:pPr>
      <w:r>
        <w:rPr>
          <w:rFonts w:hint="eastAsia"/>
          <w:sz w:val="24"/>
          <w:szCs w:val="24"/>
        </w:rPr>
        <w:t>方式一：现场办理投标登记方式。</w:t>
      </w:r>
      <w:r>
        <w:rPr>
          <w:rFonts w:hint="eastAsia"/>
          <w:color w:val="000000"/>
          <w:sz w:val="24"/>
          <w:szCs w:val="24"/>
          <w:u w:val="single"/>
        </w:rPr>
        <w:t>到</w:t>
      </w:r>
      <w:r>
        <w:rPr>
          <w:rFonts w:hint="eastAsia"/>
          <w:color w:val="000000"/>
          <w:sz w:val="24"/>
          <w:szCs w:val="24"/>
          <w:u w:val="single"/>
          <w:lang w:bidi="ar"/>
        </w:rPr>
        <w:t>中通建设工程管理有限公司（地址：</w:t>
      </w:r>
      <w:r>
        <w:rPr>
          <w:rFonts w:hint="eastAsia"/>
          <w:color w:val="000000"/>
          <w:sz w:val="24"/>
          <w:szCs w:val="24"/>
          <w:u w:val="single"/>
        </w:rPr>
        <w:t>广州市天河区华夏路49号津滨腾越大厦南塔2706房</w:t>
      </w:r>
      <w:r>
        <w:rPr>
          <w:rFonts w:hint="eastAsia"/>
          <w:color w:val="000000"/>
          <w:sz w:val="24"/>
          <w:szCs w:val="24"/>
          <w:u w:val="single"/>
          <w:lang w:bidi="ar"/>
        </w:rPr>
        <w:t>。）</w:t>
      </w:r>
      <w:r>
        <w:rPr>
          <w:rFonts w:hint="eastAsia"/>
          <w:color w:val="000000"/>
          <w:sz w:val="24"/>
          <w:szCs w:val="24"/>
          <w:u w:val="single"/>
        </w:rPr>
        <w:t>持企业营业执照（或事业法人登记证）副本盖章复印件、</w:t>
      </w:r>
      <w:r>
        <w:rPr>
          <w:rFonts w:hint="eastAsia"/>
          <w:color w:val="000000"/>
          <w:spacing w:val="-10"/>
          <w:sz w:val="24"/>
          <w:szCs w:val="24"/>
          <w:u w:val="single"/>
        </w:rPr>
        <w:t>填妥并盖章的《投标登记申请表》原件（格式见本公告附件一）</w:t>
      </w:r>
      <w:r>
        <w:rPr>
          <w:rFonts w:hint="eastAsia"/>
          <w:color w:val="000000"/>
          <w:sz w:val="24"/>
          <w:szCs w:val="24"/>
          <w:u w:val="single"/>
        </w:rPr>
        <w:t>、经办人身份证原件及盖章复印件、法定代表人证明书原件和授权委托书原件（格式自拟，经办人为法定代表人的无需提供授权委托书），办理投标登记并购买招标文件</w:t>
      </w:r>
      <w:r>
        <w:rPr>
          <w:rFonts w:hint="eastAsia"/>
          <w:color w:val="000000"/>
          <w:sz w:val="24"/>
          <w:szCs w:val="24"/>
        </w:rPr>
        <w:t>。</w:t>
      </w:r>
    </w:p>
    <w:p w14:paraId="76CFF466">
      <w:pPr>
        <w:adjustRightInd w:val="0"/>
        <w:snapToGrid w:val="0"/>
        <w:spacing w:line="360" w:lineRule="auto"/>
        <w:ind w:firstLine="480" w:firstLineChars="200"/>
        <w:rPr>
          <w:rFonts w:hint="eastAsia"/>
          <w:sz w:val="24"/>
          <w:szCs w:val="24"/>
          <w:lang w:val="en-US"/>
        </w:rPr>
      </w:pPr>
      <w:r>
        <w:rPr>
          <w:rFonts w:hint="eastAsia"/>
          <w:sz w:val="24"/>
          <w:szCs w:val="24"/>
        </w:rPr>
        <w:t>方式二：邮箱办理投标登记方式。</w:t>
      </w:r>
      <w:r>
        <w:rPr>
          <w:rFonts w:hint="eastAsia"/>
          <w:sz w:val="24"/>
          <w:szCs w:val="24"/>
          <w:u w:val="single"/>
          <w:lang w:bidi="ar"/>
        </w:rPr>
        <w:t>将</w:t>
      </w:r>
      <w:r>
        <w:rPr>
          <w:rFonts w:hint="eastAsia"/>
          <w:sz w:val="24"/>
          <w:szCs w:val="24"/>
          <w:u w:val="single"/>
        </w:rPr>
        <w:t>营业执照</w:t>
      </w:r>
      <w:r>
        <w:rPr>
          <w:color w:val="000000"/>
          <w:sz w:val="24"/>
          <w:szCs w:val="24"/>
          <w:u w:val="single"/>
        </w:rPr>
        <w:t>（或事业法人登记证）</w:t>
      </w:r>
      <w:r>
        <w:rPr>
          <w:rFonts w:hint="eastAsia"/>
          <w:sz w:val="24"/>
          <w:szCs w:val="24"/>
          <w:u w:val="single"/>
        </w:rPr>
        <w:t>副本盖章复印件、</w:t>
      </w:r>
      <w:r>
        <w:rPr>
          <w:rFonts w:hint="eastAsia"/>
          <w:color w:val="000000"/>
          <w:spacing w:val="-10"/>
          <w:sz w:val="24"/>
          <w:szCs w:val="24"/>
          <w:u w:val="single"/>
        </w:rPr>
        <w:t>填妥并盖章的《投标登记申请表》原件（格式见本公告附件一）</w:t>
      </w:r>
      <w:r>
        <w:rPr>
          <w:rFonts w:hint="eastAsia"/>
          <w:sz w:val="24"/>
          <w:szCs w:val="24"/>
          <w:u w:val="single"/>
        </w:rPr>
        <w:t>、经办人身份证原件及盖章复印件、法定代表人证明书原件和授权委托书原件（格式自拟，须注明经办人联系方式，经办人为法定代表人的无需提供授权委托书）</w:t>
      </w:r>
      <w:r>
        <w:rPr>
          <w:rFonts w:hint="eastAsia"/>
          <w:sz w:val="24"/>
          <w:szCs w:val="24"/>
          <w:u w:val="single"/>
          <w:lang w:bidi="ar"/>
        </w:rPr>
        <w:t>彩色扫描发送至招标代理机构邮箱(</w:t>
      </w:r>
      <w:r>
        <w:rPr>
          <w:rFonts w:hint="eastAsia"/>
          <w:sz w:val="24"/>
          <w:szCs w:val="24"/>
          <w:u w:val="single"/>
        </w:rPr>
        <w:t>hzcofy@163.com</w:t>
      </w:r>
      <w:r>
        <w:rPr>
          <w:rFonts w:hint="eastAsia"/>
          <w:sz w:val="24"/>
          <w:szCs w:val="24"/>
          <w:u w:val="single"/>
          <w:lang w:bidi="ar"/>
        </w:rPr>
        <w:t>)，并电话联系招标代理（联系人：颜工13642788793）办理投标登记，招标文件可提供邮寄，邮费由投标单位自行承担</w:t>
      </w:r>
      <w:r>
        <w:rPr>
          <w:rFonts w:hint="eastAsia"/>
          <w:sz w:val="24"/>
          <w:szCs w:val="24"/>
        </w:rPr>
        <w:t>。</w:t>
      </w:r>
    </w:p>
    <w:p w14:paraId="285F07D4">
      <w:pPr>
        <w:pStyle w:val="10"/>
        <w:tabs>
          <w:tab w:val="left" w:pos="3760"/>
        </w:tabs>
        <w:adjustRightInd w:val="0"/>
        <w:snapToGrid w:val="0"/>
        <w:spacing w:line="360" w:lineRule="auto"/>
        <w:ind w:firstLine="480" w:firstLineChars="200"/>
        <w:jc w:val="both"/>
        <w:rPr>
          <w:rFonts w:hint="eastAsia"/>
          <w:sz w:val="24"/>
          <w:szCs w:val="24"/>
        </w:rPr>
      </w:pPr>
      <w:r>
        <w:rPr>
          <w:rFonts w:hint="eastAsia"/>
          <w:sz w:val="24"/>
          <w:szCs w:val="24"/>
        </w:rPr>
        <w:t>4.2 招标文件等资料每套售价</w:t>
      </w:r>
      <w:r>
        <w:rPr>
          <w:rFonts w:hint="eastAsia"/>
          <w:sz w:val="24"/>
          <w:szCs w:val="24"/>
          <w:lang w:val="en-US"/>
        </w:rPr>
        <w:t>5</w:t>
      </w:r>
      <w:r>
        <w:rPr>
          <w:rFonts w:hint="eastAsia"/>
          <w:sz w:val="24"/>
          <w:szCs w:val="24"/>
        </w:rPr>
        <w:t>00元，售后不退，由招标代理机构开具收据。</w:t>
      </w:r>
    </w:p>
    <w:p w14:paraId="58DD9FB1">
      <w:pPr>
        <w:pStyle w:val="10"/>
        <w:tabs>
          <w:tab w:val="left" w:pos="5016"/>
          <w:tab w:val="left" w:pos="6312"/>
          <w:tab w:val="left" w:pos="7466"/>
          <w:tab w:val="left" w:pos="8833"/>
        </w:tabs>
        <w:adjustRightInd w:val="0"/>
        <w:snapToGrid w:val="0"/>
        <w:spacing w:line="360" w:lineRule="auto"/>
        <w:ind w:firstLine="480" w:firstLineChars="200"/>
        <w:rPr>
          <w:rFonts w:hint="eastAsia"/>
          <w:sz w:val="24"/>
          <w:szCs w:val="24"/>
        </w:rPr>
      </w:pPr>
      <w:r>
        <w:rPr>
          <w:rFonts w:hint="eastAsia"/>
          <w:sz w:val="24"/>
          <w:szCs w:val="24"/>
        </w:rPr>
        <w:t>4.3 本</w:t>
      </w:r>
      <w:r>
        <w:rPr>
          <w:rFonts w:hint="eastAsia"/>
          <w:sz w:val="24"/>
          <w:szCs w:val="24"/>
          <w:lang w:val="en-US"/>
        </w:rPr>
        <w:t>项目</w:t>
      </w:r>
      <w:r>
        <w:rPr>
          <w:rFonts w:hint="eastAsia"/>
          <w:sz w:val="24"/>
          <w:szCs w:val="24"/>
        </w:rPr>
        <w:t>采用资格后审方式。（1）在规定的登记时间内，登记并购买项目资料的投标人不足3名时，招标人依法有权：发布公告延长登记时间。在延长的登记时间内，已登记的投标人资料仍有效并可自行补充资料，未登记的潜在投标人应根据公告的约定参与登记；或依法重新招标。</w:t>
      </w:r>
    </w:p>
    <w:p w14:paraId="2069123A">
      <w:pPr>
        <w:pStyle w:val="10"/>
        <w:tabs>
          <w:tab w:val="left" w:pos="5016"/>
          <w:tab w:val="left" w:pos="6312"/>
          <w:tab w:val="left" w:pos="7466"/>
          <w:tab w:val="left" w:pos="8833"/>
        </w:tabs>
        <w:adjustRightInd w:val="0"/>
        <w:snapToGrid w:val="0"/>
        <w:spacing w:line="360" w:lineRule="auto"/>
        <w:ind w:firstLine="480" w:firstLineChars="200"/>
        <w:rPr>
          <w:rFonts w:hint="eastAsia"/>
          <w:sz w:val="24"/>
          <w:szCs w:val="24"/>
        </w:rPr>
      </w:pPr>
      <w:r>
        <w:rPr>
          <w:rFonts w:hint="eastAsia"/>
          <w:sz w:val="24"/>
          <w:szCs w:val="24"/>
        </w:rPr>
        <w:t>（2）递交投标文件的投标人或满足资格审查合格条件的投标人少于3名时均为招标失败，招标人将依法修正招标方案后重新组织招标。</w:t>
      </w:r>
    </w:p>
    <w:p w14:paraId="1BD778FF">
      <w:pPr>
        <w:pStyle w:val="59"/>
        <w:tabs>
          <w:tab w:val="left" w:pos="1190"/>
          <w:tab w:val="left" w:pos="4694"/>
          <w:tab w:val="left" w:pos="6290"/>
        </w:tabs>
        <w:spacing w:line="336" w:lineRule="auto"/>
        <w:ind w:left="0" w:firstLine="424" w:firstLineChars="151"/>
        <w:rPr>
          <w:rFonts w:hint="eastAsia" w:cs="Microsoft JhengHei"/>
          <w:b/>
          <w:bCs/>
          <w:sz w:val="28"/>
          <w:szCs w:val="28"/>
          <w:lang w:val="en-US"/>
        </w:rPr>
      </w:pPr>
      <w:bookmarkStart w:id="8" w:name="_bookmark6"/>
      <w:bookmarkEnd w:id="8"/>
      <w:r>
        <w:rPr>
          <w:rFonts w:cs="Microsoft JhengHei"/>
          <w:b/>
          <w:bCs/>
          <w:sz w:val="28"/>
          <w:szCs w:val="28"/>
          <w:lang w:val="en-US"/>
        </w:rPr>
        <w:t>5.投标文件的递交</w:t>
      </w:r>
    </w:p>
    <w:p w14:paraId="29571688">
      <w:pPr>
        <w:pStyle w:val="10"/>
        <w:tabs>
          <w:tab w:val="left" w:pos="5016"/>
          <w:tab w:val="left" w:pos="6312"/>
          <w:tab w:val="left" w:pos="7466"/>
          <w:tab w:val="left" w:pos="8833"/>
        </w:tabs>
        <w:adjustRightInd w:val="0"/>
        <w:snapToGrid w:val="0"/>
        <w:spacing w:line="360" w:lineRule="auto"/>
        <w:ind w:firstLine="480" w:firstLineChars="200"/>
        <w:rPr>
          <w:rFonts w:hint="eastAsia"/>
          <w:sz w:val="24"/>
          <w:szCs w:val="24"/>
        </w:rPr>
      </w:pPr>
      <w:r>
        <w:rPr>
          <w:rFonts w:hint="eastAsia"/>
          <w:sz w:val="24"/>
          <w:szCs w:val="24"/>
        </w:rPr>
        <w:t>5.1</w:t>
      </w:r>
      <w:r>
        <w:rPr>
          <w:rFonts w:hint="eastAsia"/>
          <w:sz w:val="24"/>
          <w:szCs w:val="24"/>
          <w:lang w:val="en-US"/>
        </w:rPr>
        <w:t xml:space="preserve"> </w:t>
      </w:r>
      <w:r>
        <w:rPr>
          <w:rFonts w:hint="eastAsia"/>
          <w:sz w:val="24"/>
          <w:szCs w:val="24"/>
        </w:rPr>
        <w:t>投标保证金：</w:t>
      </w:r>
      <w:bookmarkStart w:id="9" w:name="_Hlk228058066"/>
      <w:r>
        <w:rPr>
          <w:rFonts w:hint="eastAsia"/>
          <w:sz w:val="24"/>
          <w:szCs w:val="24"/>
        </w:rPr>
        <w:t>标段</w:t>
      </w:r>
      <w:r>
        <w:rPr>
          <w:rFonts w:hint="eastAsia"/>
          <w:sz w:val="24"/>
          <w:szCs w:val="24"/>
          <w:lang w:val="en-US"/>
        </w:rPr>
        <w:t>1：</w:t>
      </w:r>
      <w:r>
        <w:rPr>
          <w:rFonts w:hint="eastAsia"/>
          <w:sz w:val="24"/>
          <w:szCs w:val="24"/>
          <w:u w:val="single"/>
          <w:lang w:val="en-US"/>
        </w:rPr>
        <w:t xml:space="preserve"> 1.0 </w:t>
      </w:r>
      <w:r>
        <w:rPr>
          <w:rFonts w:hint="eastAsia"/>
          <w:sz w:val="24"/>
          <w:szCs w:val="24"/>
        </w:rPr>
        <w:t>万元</w:t>
      </w:r>
      <w:r>
        <w:rPr>
          <w:rFonts w:hint="eastAsia"/>
          <w:sz w:val="24"/>
          <w:szCs w:val="24"/>
          <w:lang w:val="en-US"/>
        </w:rPr>
        <w:t>，</w:t>
      </w:r>
      <w:r>
        <w:rPr>
          <w:rFonts w:hint="eastAsia"/>
          <w:sz w:val="24"/>
          <w:szCs w:val="24"/>
        </w:rPr>
        <w:t>标段</w:t>
      </w:r>
      <w:r>
        <w:rPr>
          <w:rFonts w:hint="eastAsia"/>
          <w:sz w:val="24"/>
          <w:szCs w:val="24"/>
          <w:lang w:val="en-US"/>
        </w:rPr>
        <w:t>2：</w:t>
      </w:r>
      <w:r>
        <w:rPr>
          <w:rFonts w:hint="eastAsia"/>
          <w:sz w:val="24"/>
          <w:szCs w:val="24"/>
          <w:u w:val="single"/>
          <w:lang w:val="en-US"/>
        </w:rPr>
        <w:t xml:space="preserve"> 0.5 </w:t>
      </w:r>
      <w:r>
        <w:rPr>
          <w:rFonts w:hint="eastAsia"/>
          <w:sz w:val="24"/>
          <w:szCs w:val="24"/>
        </w:rPr>
        <w:t>万元</w:t>
      </w:r>
      <w:bookmarkEnd w:id="9"/>
      <w:bookmarkStart w:id="10" w:name="_Hlk228058092"/>
      <w:r>
        <w:rPr>
          <w:rFonts w:hint="eastAsia"/>
          <w:sz w:val="24"/>
          <w:szCs w:val="24"/>
          <w:lang w:eastAsia="zh-CN"/>
        </w:rPr>
        <w:t>，</w:t>
      </w:r>
      <w:r>
        <w:rPr>
          <w:rFonts w:hint="eastAsia"/>
          <w:sz w:val="24"/>
          <w:szCs w:val="24"/>
          <w:lang w:val="en-US" w:eastAsia="zh-CN"/>
        </w:rPr>
        <w:t>标段3：</w:t>
      </w:r>
      <w:r>
        <w:rPr>
          <w:rFonts w:hint="eastAsia"/>
          <w:sz w:val="24"/>
          <w:szCs w:val="24"/>
          <w:u w:val="single"/>
          <w:lang w:val="en-US" w:eastAsia="zh-CN"/>
        </w:rPr>
        <w:t>0.2</w:t>
      </w:r>
      <w:r>
        <w:rPr>
          <w:rFonts w:hint="eastAsia"/>
          <w:sz w:val="24"/>
          <w:szCs w:val="24"/>
          <w:u w:val="none"/>
          <w:lang w:val="en-US" w:eastAsia="zh-CN"/>
        </w:rPr>
        <w:t>万元。</w:t>
      </w:r>
      <w:r>
        <w:rPr>
          <w:rFonts w:hint="eastAsia"/>
          <w:b/>
          <w:bCs/>
          <w:sz w:val="24"/>
          <w:szCs w:val="24"/>
          <w:lang w:val="en-US"/>
        </w:rPr>
        <w:t>（注:若同时参与</w:t>
      </w:r>
      <w:r>
        <w:rPr>
          <w:rFonts w:hint="eastAsia"/>
          <w:b/>
          <w:bCs/>
          <w:sz w:val="24"/>
          <w:szCs w:val="24"/>
          <w:lang w:val="en-US" w:eastAsia="zh-CN"/>
        </w:rPr>
        <w:t>多</w:t>
      </w:r>
      <w:r>
        <w:rPr>
          <w:rFonts w:hint="eastAsia"/>
          <w:b/>
          <w:bCs/>
          <w:sz w:val="24"/>
          <w:szCs w:val="24"/>
          <w:lang w:val="en-US"/>
        </w:rPr>
        <w:t>个标段的投标请分</w:t>
      </w:r>
      <w:r>
        <w:rPr>
          <w:rFonts w:hint="eastAsia"/>
          <w:b/>
          <w:bCs/>
          <w:sz w:val="24"/>
          <w:szCs w:val="24"/>
          <w:lang w:val="en-US" w:eastAsia="zh-CN"/>
        </w:rPr>
        <w:t>别按标段金额</w:t>
      </w:r>
      <w:r>
        <w:rPr>
          <w:rFonts w:hint="eastAsia"/>
          <w:b/>
          <w:bCs/>
          <w:sz w:val="24"/>
          <w:szCs w:val="24"/>
          <w:lang w:val="en-US"/>
        </w:rPr>
        <w:t>缴纳）</w:t>
      </w:r>
      <w:bookmarkEnd w:id="10"/>
      <w:r>
        <w:rPr>
          <w:rFonts w:hint="eastAsia"/>
          <w:sz w:val="24"/>
          <w:szCs w:val="24"/>
        </w:rPr>
        <w:t>，须在投标截止时间前完成缴纳，详见招标文件。</w:t>
      </w:r>
    </w:p>
    <w:p w14:paraId="7CAECC14">
      <w:pPr>
        <w:pStyle w:val="10"/>
        <w:tabs>
          <w:tab w:val="left" w:pos="5016"/>
          <w:tab w:val="left" w:pos="6312"/>
          <w:tab w:val="left" w:pos="7466"/>
          <w:tab w:val="left" w:pos="8833"/>
        </w:tabs>
        <w:adjustRightInd w:val="0"/>
        <w:snapToGrid w:val="0"/>
        <w:spacing w:line="360" w:lineRule="auto"/>
        <w:ind w:firstLine="480" w:firstLineChars="200"/>
        <w:rPr>
          <w:rFonts w:hint="eastAsia"/>
          <w:sz w:val="24"/>
          <w:szCs w:val="24"/>
          <w:lang w:val="en-US"/>
        </w:rPr>
      </w:pPr>
      <w:r>
        <w:rPr>
          <w:rFonts w:hint="eastAsia"/>
          <w:sz w:val="24"/>
          <w:szCs w:val="24"/>
          <w:lang w:val="en-US"/>
        </w:rPr>
        <w:t>5.2 投标文件递交方式：投标人须现场递交纸质投标文件，不接受邮寄。</w:t>
      </w:r>
    </w:p>
    <w:p w14:paraId="18CFC586">
      <w:pPr>
        <w:pStyle w:val="10"/>
        <w:tabs>
          <w:tab w:val="left" w:pos="5016"/>
          <w:tab w:val="left" w:pos="6312"/>
          <w:tab w:val="left" w:pos="7466"/>
          <w:tab w:val="left" w:pos="8833"/>
        </w:tabs>
        <w:adjustRightInd w:val="0"/>
        <w:snapToGrid w:val="0"/>
        <w:spacing w:line="360" w:lineRule="auto"/>
        <w:ind w:firstLine="480" w:firstLineChars="200"/>
        <w:rPr>
          <w:rFonts w:hint="eastAsia"/>
          <w:sz w:val="24"/>
          <w:szCs w:val="24"/>
        </w:rPr>
      </w:pPr>
      <w:r>
        <w:rPr>
          <w:rFonts w:hint="eastAsia"/>
          <w:sz w:val="24"/>
          <w:szCs w:val="24"/>
          <w:lang w:val="en-US"/>
        </w:rPr>
        <w:t>5.3 投标文件递交时间及地点：</w:t>
      </w:r>
      <w:r>
        <w:rPr>
          <w:rFonts w:hint="eastAsia"/>
          <w:sz w:val="24"/>
          <w:szCs w:val="24"/>
        </w:rPr>
        <w:t>投标文件现场递交的时间为</w:t>
      </w:r>
      <w:r>
        <w:rPr>
          <w:rFonts w:hint="eastAsia"/>
          <w:sz w:val="24"/>
          <w:szCs w:val="24"/>
          <w:lang w:val="en-US"/>
        </w:rPr>
        <w:t>2026</w:t>
      </w:r>
      <w:r>
        <w:rPr>
          <w:rFonts w:hint="eastAsia"/>
          <w:sz w:val="24"/>
          <w:szCs w:val="24"/>
        </w:rPr>
        <w:t>年</w:t>
      </w:r>
      <w:r>
        <w:rPr>
          <w:sz w:val="24"/>
          <w:szCs w:val="24"/>
          <w:u w:val="single"/>
          <w:lang w:val="en-US"/>
        </w:rPr>
        <w:t xml:space="preserve"> </w:t>
      </w:r>
      <w:r>
        <w:rPr>
          <w:rFonts w:hint="eastAsia"/>
          <w:sz w:val="24"/>
          <w:szCs w:val="24"/>
          <w:u w:val="single"/>
          <w:lang w:val="en-US" w:eastAsia="zh-CN"/>
        </w:rPr>
        <w:t>6</w:t>
      </w:r>
      <w:r>
        <w:rPr>
          <w:sz w:val="24"/>
          <w:szCs w:val="24"/>
          <w:u w:val="single"/>
          <w:lang w:val="en-US"/>
        </w:rPr>
        <w:t xml:space="preserve"> </w:t>
      </w:r>
      <w:r>
        <w:rPr>
          <w:rFonts w:hint="eastAsia"/>
          <w:sz w:val="24"/>
          <w:szCs w:val="24"/>
        </w:rPr>
        <w:t>月</w:t>
      </w:r>
      <w:r>
        <w:rPr>
          <w:rFonts w:hint="eastAsia"/>
          <w:sz w:val="24"/>
          <w:szCs w:val="24"/>
          <w:u w:val="single"/>
          <w:lang w:val="en-US"/>
        </w:rPr>
        <w:t xml:space="preserve"> </w:t>
      </w:r>
      <w:r>
        <w:rPr>
          <w:rFonts w:hint="eastAsia"/>
          <w:sz w:val="24"/>
          <w:szCs w:val="24"/>
          <w:u w:val="single"/>
          <w:lang w:val="en-US" w:eastAsia="zh-CN"/>
        </w:rPr>
        <w:t>22</w:t>
      </w:r>
      <w:r>
        <w:rPr>
          <w:rFonts w:hint="eastAsia"/>
          <w:sz w:val="24"/>
          <w:szCs w:val="24"/>
          <w:u w:val="single"/>
          <w:lang w:val="en-US"/>
        </w:rPr>
        <w:t xml:space="preserve"> </w:t>
      </w:r>
      <w:r>
        <w:rPr>
          <w:rFonts w:hint="eastAsia"/>
          <w:sz w:val="24"/>
          <w:szCs w:val="24"/>
        </w:rPr>
        <w:t>日</w:t>
      </w:r>
      <w:r>
        <w:rPr>
          <w:sz w:val="24"/>
          <w:szCs w:val="24"/>
          <w:u w:val="single"/>
          <w:lang w:val="en-US"/>
        </w:rPr>
        <w:t xml:space="preserve"> </w:t>
      </w:r>
      <w:r>
        <w:rPr>
          <w:rFonts w:hint="eastAsia"/>
          <w:sz w:val="24"/>
          <w:szCs w:val="24"/>
          <w:u w:val="single"/>
          <w:lang w:val="en-US" w:eastAsia="zh-CN"/>
        </w:rPr>
        <w:t>9</w:t>
      </w:r>
      <w:r>
        <w:rPr>
          <w:rFonts w:hint="eastAsia"/>
          <w:sz w:val="24"/>
          <w:szCs w:val="24"/>
          <w:u w:val="single"/>
          <w:lang w:val="en-US"/>
        </w:rPr>
        <w:t xml:space="preserve"> </w:t>
      </w:r>
      <w:r>
        <w:rPr>
          <w:rFonts w:hint="eastAsia"/>
          <w:sz w:val="24"/>
          <w:szCs w:val="24"/>
        </w:rPr>
        <w:t>时</w:t>
      </w:r>
      <w:r>
        <w:rPr>
          <w:sz w:val="24"/>
          <w:szCs w:val="24"/>
          <w:u w:val="single"/>
          <w:lang w:val="en-US"/>
        </w:rPr>
        <w:t xml:space="preserve"> </w:t>
      </w:r>
      <w:r>
        <w:rPr>
          <w:rFonts w:hint="eastAsia"/>
          <w:sz w:val="24"/>
          <w:szCs w:val="24"/>
          <w:u w:val="single"/>
          <w:lang w:val="en-US" w:eastAsia="zh-CN"/>
        </w:rPr>
        <w:t>00</w:t>
      </w:r>
      <w:r>
        <w:rPr>
          <w:rFonts w:hint="eastAsia"/>
          <w:sz w:val="24"/>
          <w:szCs w:val="24"/>
          <w:u w:val="single"/>
          <w:lang w:val="en-US"/>
        </w:rPr>
        <w:t xml:space="preserve"> </w:t>
      </w:r>
      <w:r>
        <w:rPr>
          <w:rFonts w:hint="eastAsia"/>
          <w:sz w:val="24"/>
          <w:szCs w:val="24"/>
        </w:rPr>
        <w:t>分至</w:t>
      </w:r>
      <w:r>
        <w:rPr>
          <w:rFonts w:hint="eastAsia"/>
          <w:sz w:val="24"/>
          <w:szCs w:val="24"/>
          <w:u w:val="single"/>
          <w:lang w:val="en-US"/>
        </w:rPr>
        <w:t xml:space="preserve"> </w:t>
      </w:r>
      <w:r>
        <w:rPr>
          <w:rFonts w:hint="eastAsia"/>
          <w:sz w:val="24"/>
          <w:szCs w:val="24"/>
          <w:u w:val="single"/>
          <w:lang w:val="en-US" w:eastAsia="zh-CN"/>
        </w:rPr>
        <w:t>10</w:t>
      </w:r>
      <w:r>
        <w:rPr>
          <w:sz w:val="24"/>
          <w:szCs w:val="24"/>
          <w:u w:val="single"/>
          <w:lang w:val="en-US"/>
        </w:rPr>
        <w:t xml:space="preserve"> </w:t>
      </w:r>
      <w:r>
        <w:rPr>
          <w:rFonts w:hint="eastAsia"/>
          <w:sz w:val="24"/>
          <w:szCs w:val="24"/>
        </w:rPr>
        <w:t>时</w:t>
      </w:r>
      <w:r>
        <w:rPr>
          <w:rFonts w:hint="eastAsia"/>
          <w:sz w:val="24"/>
          <w:szCs w:val="24"/>
          <w:u w:val="single"/>
          <w:lang w:val="en-US"/>
        </w:rPr>
        <w:t xml:space="preserve"> </w:t>
      </w:r>
      <w:r>
        <w:rPr>
          <w:rFonts w:hint="eastAsia"/>
          <w:sz w:val="24"/>
          <w:szCs w:val="24"/>
          <w:u w:val="single"/>
          <w:lang w:val="en-US" w:eastAsia="zh-CN"/>
        </w:rPr>
        <w:t>00</w:t>
      </w:r>
      <w:r>
        <w:rPr>
          <w:sz w:val="24"/>
          <w:szCs w:val="24"/>
          <w:u w:val="single"/>
          <w:lang w:val="en-US"/>
        </w:rPr>
        <w:t xml:space="preserve"> </w:t>
      </w:r>
      <w:r>
        <w:rPr>
          <w:rFonts w:hint="eastAsia"/>
          <w:sz w:val="24"/>
          <w:szCs w:val="24"/>
        </w:rPr>
        <w:t>分，地点为中通建设工程管理有限公司开评标室（广州市天河区华夏路</w:t>
      </w:r>
      <w:r>
        <w:rPr>
          <w:sz w:val="24"/>
          <w:szCs w:val="24"/>
        </w:rPr>
        <w:t>49号</w:t>
      </w:r>
      <w:r>
        <w:rPr>
          <w:rFonts w:hint="eastAsia"/>
          <w:sz w:val="24"/>
          <w:szCs w:val="24"/>
        </w:rPr>
        <w:t>津滨腾越大厦南塔</w:t>
      </w:r>
      <w:r>
        <w:rPr>
          <w:sz w:val="24"/>
          <w:szCs w:val="24"/>
        </w:rPr>
        <w:t>2706房）。</w:t>
      </w:r>
    </w:p>
    <w:p w14:paraId="5B03C4E3">
      <w:pPr>
        <w:pStyle w:val="10"/>
        <w:tabs>
          <w:tab w:val="left" w:pos="5016"/>
          <w:tab w:val="left" w:pos="6312"/>
          <w:tab w:val="left" w:pos="7466"/>
          <w:tab w:val="left" w:pos="8833"/>
        </w:tabs>
        <w:adjustRightInd w:val="0"/>
        <w:snapToGrid w:val="0"/>
        <w:spacing w:line="360" w:lineRule="auto"/>
        <w:ind w:firstLine="480" w:firstLineChars="200"/>
        <w:rPr>
          <w:rFonts w:hint="eastAsia"/>
          <w:sz w:val="24"/>
          <w:szCs w:val="24"/>
        </w:rPr>
      </w:pPr>
      <w:r>
        <w:rPr>
          <w:rFonts w:hint="eastAsia"/>
          <w:sz w:val="24"/>
          <w:szCs w:val="24"/>
          <w:lang w:val="en-US"/>
        </w:rPr>
        <w:t xml:space="preserve">5.4 </w:t>
      </w:r>
      <w:r>
        <w:rPr>
          <w:rFonts w:hint="eastAsia"/>
          <w:sz w:val="24"/>
          <w:szCs w:val="24"/>
        </w:rPr>
        <w:t>开标时间（即投标截止时间）：</w:t>
      </w:r>
      <w:r>
        <w:rPr>
          <w:rFonts w:hint="eastAsia"/>
          <w:sz w:val="24"/>
          <w:szCs w:val="24"/>
          <w:lang w:val="en-US"/>
        </w:rPr>
        <w:t>2026</w:t>
      </w:r>
      <w:r>
        <w:rPr>
          <w:rFonts w:hint="eastAsia"/>
          <w:sz w:val="24"/>
          <w:szCs w:val="24"/>
        </w:rPr>
        <w:t>年</w:t>
      </w:r>
      <w:r>
        <w:rPr>
          <w:sz w:val="24"/>
          <w:szCs w:val="24"/>
          <w:u w:val="single"/>
          <w:lang w:val="en-US"/>
        </w:rPr>
        <w:t xml:space="preserve"> </w:t>
      </w:r>
      <w:r>
        <w:rPr>
          <w:rFonts w:hint="eastAsia"/>
          <w:sz w:val="24"/>
          <w:szCs w:val="24"/>
          <w:u w:val="single"/>
          <w:lang w:val="en-US" w:eastAsia="zh-CN"/>
        </w:rPr>
        <w:t>6</w:t>
      </w:r>
      <w:r>
        <w:rPr>
          <w:sz w:val="24"/>
          <w:szCs w:val="24"/>
          <w:u w:val="single"/>
          <w:lang w:val="en-US"/>
        </w:rPr>
        <w:t xml:space="preserve"> </w:t>
      </w:r>
      <w:r>
        <w:rPr>
          <w:rFonts w:hint="eastAsia"/>
          <w:sz w:val="24"/>
          <w:szCs w:val="24"/>
        </w:rPr>
        <w:t>月</w:t>
      </w:r>
      <w:r>
        <w:rPr>
          <w:rFonts w:hint="eastAsia"/>
          <w:sz w:val="24"/>
          <w:szCs w:val="24"/>
          <w:u w:val="single"/>
          <w:lang w:val="en-US"/>
        </w:rPr>
        <w:t xml:space="preserve"> </w:t>
      </w:r>
      <w:r>
        <w:rPr>
          <w:rFonts w:hint="eastAsia"/>
          <w:sz w:val="24"/>
          <w:szCs w:val="24"/>
          <w:u w:val="single"/>
          <w:lang w:val="en-US" w:eastAsia="zh-CN"/>
        </w:rPr>
        <w:t>22</w:t>
      </w:r>
      <w:r>
        <w:rPr>
          <w:rFonts w:hint="eastAsia"/>
          <w:sz w:val="24"/>
          <w:szCs w:val="24"/>
          <w:u w:val="single"/>
          <w:lang w:val="en-US"/>
        </w:rPr>
        <w:t xml:space="preserve"> </w:t>
      </w:r>
      <w:r>
        <w:rPr>
          <w:rFonts w:hint="eastAsia"/>
          <w:sz w:val="24"/>
          <w:szCs w:val="24"/>
        </w:rPr>
        <w:t>日</w:t>
      </w:r>
      <w:r>
        <w:rPr>
          <w:rFonts w:hint="eastAsia"/>
          <w:sz w:val="24"/>
          <w:szCs w:val="24"/>
          <w:u w:val="single"/>
          <w:lang w:val="en-US"/>
        </w:rPr>
        <w:t xml:space="preserve"> </w:t>
      </w:r>
      <w:r>
        <w:rPr>
          <w:rFonts w:hint="eastAsia"/>
          <w:sz w:val="24"/>
          <w:szCs w:val="24"/>
          <w:u w:val="single"/>
          <w:lang w:val="en-US" w:eastAsia="zh-CN"/>
        </w:rPr>
        <w:t>10</w:t>
      </w:r>
      <w:r>
        <w:rPr>
          <w:sz w:val="24"/>
          <w:szCs w:val="24"/>
          <w:u w:val="single"/>
          <w:lang w:val="en-US"/>
        </w:rPr>
        <w:t xml:space="preserve"> </w:t>
      </w:r>
      <w:r>
        <w:rPr>
          <w:rFonts w:hint="eastAsia"/>
          <w:sz w:val="24"/>
          <w:szCs w:val="24"/>
        </w:rPr>
        <w:t>时</w:t>
      </w:r>
      <w:r>
        <w:rPr>
          <w:rFonts w:hint="eastAsia"/>
          <w:sz w:val="24"/>
          <w:szCs w:val="24"/>
          <w:u w:val="single"/>
          <w:lang w:val="en-US"/>
        </w:rPr>
        <w:t xml:space="preserve"> </w:t>
      </w:r>
      <w:r>
        <w:rPr>
          <w:rFonts w:hint="eastAsia"/>
          <w:sz w:val="24"/>
          <w:szCs w:val="24"/>
          <w:u w:val="single"/>
          <w:lang w:val="en-US" w:eastAsia="zh-CN"/>
        </w:rPr>
        <w:t>00</w:t>
      </w:r>
      <w:r>
        <w:rPr>
          <w:sz w:val="24"/>
          <w:szCs w:val="24"/>
          <w:u w:val="single"/>
          <w:lang w:val="en-US"/>
        </w:rPr>
        <w:t xml:space="preserve"> </w:t>
      </w:r>
      <w:r>
        <w:rPr>
          <w:rFonts w:hint="eastAsia"/>
          <w:sz w:val="24"/>
          <w:szCs w:val="24"/>
        </w:rPr>
        <w:t>分，开标地点：中通建设工程管理有限公司开评标室（广州市天河区华夏路</w:t>
      </w:r>
      <w:r>
        <w:rPr>
          <w:sz w:val="24"/>
          <w:szCs w:val="24"/>
        </w:rPr>
        <w:t>49号</w:t>
      </w:r>
      <w:r>
        <w:rPr>
          <w:rFonts w:hint="eastAsia"/>
          <w:sz w:val="24"/>
          <w:szCs w:val="24"/>
        </w:rPr>
        <w:t>津滨腾越大厦南塔</w:t>
      </w:r>
      <w:r>
        <w:rPr>
          <w:sz w:val="24"/>
          <w:szCs w:val="24"/>
        </w:rPr>
        <w:t>2706房）</w:t>
      </w:r>
      <w:r>
        <w:rPr>
          <w:rFonts w:hint="eastAsia"/>
          <w:sz w:val="24"/>
          <w:szCs w:val="24"/>
        </w:rPr>
        <w:t>。投标人的法定代表人或其委托代理人可不参加开标会议，不参加开标会议的视为默认开标结果。</w:t>
      </w:r>
    </w:p>
    <w:p w14:paraId="2757CBA6">
      <w:pPr>
        <w:pStyle w:val="10"/>
        <w:tabs>
          <w:tab w:val="left" w:pos="5016"/>
          <w:tab w:val="left" w:pos="6312"/>
          <w:tab w:val="left" w:pos="7466"/>
          <w:tab w:val="left" w:pos="8833"/>
        </w:tabs>
        <w:adjustRightInd w:val="0"/>
        <w:snapToGrid w:val="0"/>
        <w:spacing w:line="360" w:lineRule="auto"/>
        <w:ind w:firstLine="480" w:firstLineChars="200"/>
        <w:rPr>
          <w:rFonts w:hint="eastAsia"/>
          <w:sz w:val="24"/>
          <w:szCs w:val="24"/>
        </w:rPr>
      </w:pPr>
      <w:r>
        <w:rPr>
          <w:rFonts w:hint="eastAsia"/>
          <w:sz w:val="24"/>
          <w:szCs w:val="24"/>
        </w:rPr>
        <w:t>5.</w:t>
      </w:r>
      <w:r>
        <w:rPr>
          <w:rFonts w:hint="eastAsia"/>
          <w:sz w:val="24"/>
          <w:szCs w:val="24"/>
          <w:lang w:val="en-US"/>
        </w:rPr>
        <w:t>5</w:t>
      </w:r>
      <w:r>
        <w:rPr>
          <w:rFonts w:hint="eastAsia"/>
          <w:sz w:val="24"/>
          <w:szCs w:val="24"/>
        </w:rPr>
        <w:t xml:space="preserve"> 逾期送达的、未送达指定地点的或者不按照招标文件要求密封的投标文件，招标人将</w:t>
      </w:r>
      <w:r>
        <w:rPr>
          <w:sz w:val="24"/>
          <w:szCs w:val="24"/>
        </w:rPr>
        <w:t>予以拒收。</w:t>
      </w:r>
    </w:p>
    <w:p w14:paraId="2A82948E">
      <w:pPr>
        <w:pStyle w:val="59"/>
        <w:tabs>
          <w:tab w:val="left" w:pos="1190"/>
          <w:tab w:val="left" w:pos="4694"/>
          <w:tab w:val="left" w:pos="6290"/>
        </w:tabs>
        <w:snapToGrid w:val="0"/>
        <w:spacing w:after="120" w:afterLines="50"/>
        <w:ind w:left="0" w:firstLine="424" w:firstLineChars="151"/>
        <w:rPr>
          <w:rFonts w:hint="eastAsia" w:cs="Microsoft JhengHei"/>
          <w:b/>
          <w:bCs/>
          <w:sz w:val="28"/>
          <w:szCs w:val="28"/>
          <w:lang w:val="en-US"/>
        </w:rPr>
      </w:pPr>
      <w:bookmarkStart w:id="11" w:name="_bookmark7"/>
      <w:bookmarkEnd w:id="11"/>
      <w:r>
        <w:rPr>
          <w:rFonts w:cs="Microsoft JhengHei"/>
          <w:b/>
          <w:bCs/>
          <w:sz w:val="28"/>
          <w:szCs w:val="28"/>
          <w:lang w:val="en-US"/>
        </w:rPr>
        <w:t>6.发布公告的媒介</w:t>
      </w:r>
    </w:p>
    <w:p w14:paraId="1CBCC6B5">
      <w:pPr>
        <w:pStyle w:val="10"/>
        <w:tabs>
          <w:tab w:val="left" w:pos="4180"/>
        </w:tabs>
        <w:adjustRightInd w:val="0"/>
        <w:snapToGrid w:val="0"/>
        <w:spacing w:line="360" w:lineRule="auto"/>
        <w:ind w:firstLine="362" w:firstLineChars="151"/>
        <w:jc w:val="both"/>
        <w:rPr>
          <w:rFonts w:hint="eastAsia"/>
          <w:sz w:val="24"/>
          <w:szCs w:val="24"/>
          <w:lang w:val="en-US"/>
        </w:rPr>
      </w:pPr>
      <w:r>
        <w:rPr>
          <w:rFonts w:hint="eastAsia"/>
          <w:sz w:val="24"/>
          <w:szCs w:val="24"/>
        </w:rPr>
        <w:t>本次招标公告同时</w:t>
      </w:r>
      <w:r>
        <w:rPr>
          <w:rFonts w:hint="eastAsia"/>
          <w:sz w:val="24"/>
          <w:szCs w:val="24"/>
          <w:u w:val="single"/>
        </w:rPr>
        <w:t>中国招标投标公共服务平台</w:t>
      </w:r>
      <w:r>
        <w:rPr>
          <w:rFonts w:hint="eastAsia"/>
          <w:sz w:val="24"/>
          <w:szCs w:val="24"/>
          <w:u w:val="single"/>
          <w:lang w:val="en-US"/>
        </w:rPr>
        <w:t>（</w:t>
      </w:r>
      <w:r>
        <w:rPr>
          <w:sz w:val="24"/>
          <w:szCs w:val="24"/>
          <w:u w:val="single"/>
          <w:lang w:val="en-US"/>
        </w:rPr>
        <w:t>http://www.cebpubservice.com/）</w:t>
      </w:r>
      <w:r>
        <w:rPr>
          <w:sz w:val="24"/>
          <w:szCs w:val="24"/>
          <w:u w:val="single"/>
        </w:rPr>
        <w:t>和中招联合招标采购网</w:t>
      </w:r>
      <w:r>
        <w:rPr>
          <w:sz w:val="24"/>
          <w:szCs w:val="24"/>
          <w:u w:val="single"/>
          <w:lang w:val="en-US"/>
        </w:rPr>
        <w:t>（http://www.365trade.com.cn/）</w:t>
      </w:r>
      <w:r>
        <w:rPr>
          <w:rFonts w:hint="eastAsia"/>
          <w:sz w:val="24"/>
          <w:szCs w:val="24"/>
        </w:rPr>
        <w:t>上发布</w:t>
      </w:r>
      <w:r>
        <w:rPr>
          <w:sz w:val="24"/>
          <w:szCs w:val="24"/>
        </w:rPr>
        <w:t>。</w:t>
      </w:r>
    </w:p>
    <w:p w14:paraId="466A7F5B">
      <w:pPr>
        <w:pStyle w:val="59"/>
        <w:tabs>
          <w:tab w:val="left" w:pos="1190"/>
          <w:tab w:val="left" w:pos="4694"/>
          <w:tab w:val="left" w:pos="6290"/>
        </w:tabs>
        <w:snapToGrid w:val="0"/>
        <w:spacing w:after="120" w:afterLines="50"/>
        <w:ind w:left="0" w:firstLine="424" w:firstLineChars="151"/>
        <w:rPr>
          <w:rFonts w:hint="eastAsia" w:cs="Microsoft JhengHei"/>
          <w:b/>
          <w:bCs/>
          <w:sz w:val="28"/>
          <w:szCs w:val="28"/>
          <w:lang w:val="en-US"/>
        </w:rPr>
      </w:pPr>
      <w:bookmarkStart w:id="12" w:name="_bookmark8"/>
      <w:bookmarkEnd w:id="12"/>
      <w:r>
        <w:rPr>
          <w:rFonts w:cs="Microsoft JhengHei"/>
          <w:b/>
          <w:bCs/>
          <w:sz w:val="28"/>
          <w:szCs w:val="28"/>
          <w:lang w:val="en-US"/>
        </w:rPr>
        <w:t>7.联系方式</w:t>
      </w:r>
    </w:p>
    <w:p w14:paraId="0CB26099">
      <w:pPr>
        <w:widowControl/>
        <w:adjustRightInd w:val="0"/>
        <w:snapToGrid w:val="0"/>
        <w:spacing w:line="360" w:lineRule="auto"/>
        <w:ind w:firstLine="480" w:firstLineChars="200"/>
        <w:rPr>
          <w:rFonts w:hint="eastAsia"/>
          <w:sz w:val="24"/>
          <w:szCs w:val="24"/>
        </w:rPr>
      </w:pPr>
      <w:r>
        <w:rPr>
          <w:rFonts w:hint="eastAsia"/>
          <w:sz w:val="24"/>
          <w:szCs w:val="24"/>
        </w:rPr>
        <w:t xml:space="preserve">招 标 人：中国石化销售股份有限公司广东广州石油分公司    </w:t>
      </w:r>
    </w:p>
    <w:p w14:paraId="1673A949">
      <w:pPr>
        <w:widowControl/>
        <w:adjustRightInd w:val="0"/>
        <w:snapToGrid w:val="0"/>
        <w:spacing w:line="360" w:lineRule="auto"/>
        <w:ind w:firstLine="480" w:firstLineChars="200"/>
        <w:rPr>
          <w:rFonts w:hint="eastAsia"/>
          <w:sz w:val="24"/>
          <w:szCs w:val="24"/>
        </w:rPr>
      </w:pPr>
      <w:r>
        <w:rPr>
          <w:rFonts w:hint="eastAsia"/>
          <w:sz w:val="24"/>
          <w:szCs w:val="24"/>
        </w:rPr>
        <w:t>地</w:t>
      </w:r>
      <w:r>
        <w:rPr>
          <w:sz w:val="24"/>
          <w:szCs w:val="24"/>
        </w:rPr>
        <w:t xml:space="preserve">   址 ：</w:t>
      </w:r>
      <w:r>
        <w:rPr>
          <w:rFonts w:hint="eastAsia"/>
          <w:sz w:val="24"/>
          <w:szCs w:val="24"/>
        </w:rPr>
        <w:t>广州市天河区广和路</w:t>
      </w:r>
      <w:r>
        <w:rPr>
          <w:sz w:val="24"/>
          <w:szCs w:val="24"/>
        </w:rPr>
        <w:t>136号</w:t>
      </w:r>
    </w:p>
    <w:p w14:paraId="72F6C7DE">
      <w:pPr>
        <w:widowControl/>
        <w:adjustRightInd w:val="0"/>
        <w:snapToGrid w:val="0"/>
        <w:spacing w:line="360" w:lineRule="auto"/>
        <w:ind w:firstLine="480" w:firstLineChars="200"/>
        <w:rPr>
          <w:rFonts w:hint="eastAsia"/>
          <w:sz w:val="24"/>
          <w:szCs w:val="24"/>
        </w:rPr>
      </w:pPr>
      <w:r>
        <w:rPr>
          <w:rFonts w:hint="eastAsia"/>
          <w:sz w:val="24"/>
          <w:szCs w:val="24"/>
        </w:rPr>
        <w:t>联 系 人：于小姐</w:t>
      </w:r>
    </w:p>
    <w:p w14:paraId="3F423FE4">
      <w:pPr>
        <w:widowControl/>
        <w:adjustRightInd w:val="0"/>
        <w:snapToGrid w:val="0"/>
        <w:spacing w:line="360" w:lineRule="auto"/>
        <w:ind w:firstLine="480" w:firstLineChars="200"/>
        <w:rPr>
          <w:rFonts w:hint="eastAsia"/>
          <w:sz w:val="24"/>
          <w:szCs w:val="24"/>
          <w:lang w:val="en-US"/>
        </w:rPr>
      </w:pPr>
      <w:r>
        <w:rPr>
          <w:rFonts w:hint="eastAsia"/>
          <w:sz w:val="24"/>
          <w:szCs w:val="24"/>
        </w:rPr>
        <w:t>电</w:t>
      </w:r>
      <w:r>
        <w:rPr>
          <w:sz w:val="24"/>
          <w:szCs w:val="24"/>
        </w:rPr>
        <w:t xml:space="preserve">    话：</w:t>
      </w:r>
      <w:r>
        <w:rPr>
          <w:rFonts w:hint="eastAsia"/>
          <w:sz w:val="24"/>
          <w:szCs w:val="24"/>
          <w:lang w:val="en-US"/>
        </w:rPr>
        <w:t>020-</w:t>
      </w:r>
      <w:r>
        <w:rPr>
          <w:sz w:val="24"/>
          <w:szCs w:val="24"/>
          <w:lang w:val="en-US"/>
        </w:rPr>
        <w:t>83283845</w:t>
      </w:r>
    </w:p>
    <w:p w14:paraId="16775011">
      <w:pPr>
        <w:pStyle w:val="10"/>
        <w:rPr>
          <w:rFonts w:hint="eastAsia"/>
          <w:sz w:val="24"/>
          <w:szCs w:val="24"/>
        </w:rPr>
      </w:pPr>
    </w:p>
    <w:p w14:paraId="3C75825A">
      <w:pPr>
        <w:widowControl/>
        <w:adjustRightInd w:val="0"/>
        <w:snapToGrid w:val="0"/>
        <w:spacing w:line="360" w:lineRule="auto"/>
        <w:ind w:firstLine="480" w:firstLineChars="200"/>
        <w:rPr>
          <w:rFonts w:hint="eastAsia"/>
          <w:sz w:val="24"/>
          <w:szCs w:val="24"/>
        </w:rPr>
      </w:pPr>
      <w:r>
        <w:rPr>
          <w:rFonts w:hint="eastAsia"/>
          <w:sz w:val="24"/>
          <w:szCs w:val="24"/>
        </w:rPr>
        <w:t>招标代理机构：中通建设工程管理有限公司</w:t>
      </w:r>
    </w:p>
    <w:p w14:paraId="1BD6DC19">
      <w:pPr>
        <w:widowControl/>
        <w:adjustRightInd w:val="0"/>
        <w:snapToGrid w:val="0"/>
        <w:spacing w:line="360" w:lineRule="auto"/>
        <w:ind w:firstLine="480" w:firstLineChars="200"/>
        <w:rPr>
          <w:rFonts w:hint="eastAsia"/>
          <w:sz w:val="24"/>
          <w:szCs w:val="24"/>
        </w:rPr>
      </w:pPr>
      <w:r>
        <w:rPr>
          <w:rFonts w:hint="eastAsia"/>
          <w:sz w:val="24"/>
          <w:szCs w:val="24"/>
        </w:rPr>
        <w:t>地址：广州市天河区华夏路</w:t>
      </w:r>
      <w:r>
        <w:rPr>
          <w:sz w:val="24"/>
          <w:szCs w:val="24"/>
        </w:rPr>
        <w:t>49号之一2706房</w:t>
      </w:r>
    </w:p>
    <w:p w14:paraId="7F2B3CAD">
      <w:pPr>
        <w:widowControl/>
        <w:adjustRightInd w:val="0"/>
        <w:snapToGrid w:val="0"/>
        <w:spacing w:line="360" w:lineRule="auto"/>
        <w:ind w:firstLine="480" w:firstLineChars="200"/>
        <w:rPr>
          <w:rFonts w:hint="eastAsia"/>
          <w:sz w:val="24"/>
          <w:szCs w:val="24"/>
        </w:rPr>
      </w:pPr>
      <w:r>
        <w:rPr>
          <w:rFonts w:hint="eastAsia"/>
          <w:sz w:val="24"/>
          <w:szCs w:val="24"/>
        </w:rPr>
        <w:t>联系人：颜工</w:t>
      </w:r>
    </w:p>
    <w:p w14:paraId="7B740899">
      <w:pPr>
        <w:widowControl/>
        <w:adjustRightInd w:val="0"/>
        <w:snapToGrid w:val="0"/>
        <w:spacing w:line="360" w:lineRule="auto"/>
        <w:ind w:firstLine="480" w:firstLineChars="200"/>
        <w:rPr>
          <w:rFonts w:hint="eastAsia"/>
          <w:sz w:val="24"/>
          <w:szCs w:val="24"/>
        </w:rPr>
      </w:pPr>
      <w:r>
        <w:rPr>
          <w:rFonts w:hint="eastAsia"/>
          <w:sz w:val="24"/>
          <w:szCs w:val="24"/>
        </w:rPr>
        <w:t>电话：</w:t>
      </w:r>
      <w:r>
        <w:rPr>
          <w:sz w:val="24"/>
          <w:szCs w:val="24"/>
        </w:rPr>
        <w:t>020-85272361、13642788793</w:t>
      </w:r>
    </w:p>
    <w:p w14:paraId="3B567C31">
      <w:pPr>
        <w:widowControl/>
        <w:adjustRightInd w:val="0"/>
        <w:snapToGrid w:val="0"/>
        <w:spacing w:line="360" w:lineRule="auto"/>
        <w:ind w:firstLine="480" w:firstLineChars="200"/>
        <w:rPr>
          <w:rFonts w:hint="eastAsia"/>
          <w:sz w:val="24"/>
          <w:szCs w:val="24"/>
        </w:rPr>
      </w:pPr>
      <w:r>
        <w:rPr>
          <w:rFonts w:hint="eastAsia"/>
          <w:sz w:val="24"/>
          <w:szCs w:val="24"/>
        </w:rPr>
        <w:t>邮箱：</w:t>
      </w:r>
      <w:r>
        <w:rPr>
          <w:sz w:val="24"/>
          <w:szCs w:val="24"/>
        </w:rPr>
        <w:t>hzcofy@163.com</w:t>
      </w:r>
    </w:p>
    <w:p w14:paraId="051920A8">
      <w:pPr>
        <w:pStyle w:val="10"/>
        <w:tabs>
          <w:tab w:val="left" w:pos="6180"/>
          <w:tab w:val="left" w:pos="7126"/>
          <w:tab w:val="left" w:pos="8069"/>
        </w:tabs>
        <w:adjustRightInd w:val="0"/>
        <w:snapToGrid w:val="0"/>
        <w:spacing w:before="72" w:line="360" w:lineRule="auto"/>
        <w:jc w:val="right"/>
        <w:rPr>
          <w:rFonts w:hint="eastAsia"/>
          <w:sz w:val="24"/>
          <w:szCs w:val="24"/>
          <w:lang w:val="en-US"/>
        </w:rPr>
      </w:pPr>
    </w:p>
    <w:p w14:paraId="5781CC69">
      <w:pPr>
        <w:pStyle w:val="10"/>
        <w:tabs>
          <w:tab w:val="left" w:pos="6180"/>
          <w:tab w:val="left" w:pos="7126"/>
          <w:tab w:val="left" w:pos="8069"/>
        </w:tabs>
        <w:adjustRightInd w:val="0"/>
        <w:snapToGrid w:val="0"/>
        <w:spacing w:before="72" w:line="360" w:lineRule="auto"/>
        <w:ind w:right="120"/>
        <w:jc w:val="right"/>
        <w:rPr>
          <w:rFonts w:hint="eastAsia"/>
          <w:sz w:val="24"/>
          <w:szCs w:val="24"/>
        </w:rPr>
      </w:pPr>
      <w:r>
        <w:rPr>
          <w:rFonts w:hint="eastAsia"/>
          <w:sz w:val="24"/>
          <w:szCs w:val="24"/>
        </w:rPr>
        <w:t>招标人：中国石化销售股份有限公司广东广州石油分公司</w:t>
      </w:r>
    </w:p>
    <w:p w14:paraId="09C04237">
      <w:pPr>
        <w:pStyle w:val="10"/>
        <w:tabs>
          <w:tab w:val="left" w:pos="6180"/>
          <w:tab w:val="left" w:pos="7126"/>
          <w:tab w:val="left" w:pos="8069"/>
        </w:tabs>
        <w:adjustRightInd w:val="0"/>
        <w:snapToGrid w:val="0"/>
        <w:spacing w:before="72" w:line="360" w:lineRule="auto"/>
        <w:ind w:firstLine="3967" w:firstLineChars="1653"/>
        <w:rPr>
          <w:rFonts w:hint="eastAsia"/>
          <w:sz w:val="24"/>
          <w:szCs w:val="24"/>
          <w:lang w:val="en-US"/>
        </w:rPr>
      </w:pPr>
      <w:r>
        <w:rPr>
          <w:rFonts w:hint="eastAsia"/>
          <w:sz w:val="24"/>
          <w:szCs w:val="24"/>
        </w:rPr>
        <w:t xml:space="preserve">招标代理机构：中通建设工程管理有限公司 </w:t>
      </w:r>
    </w:p>
    <w:p w14:paraId="431B23B0">
      <w:pPr>
        <w:pStyle w:val="10"/>
        <w:tabs>
          <w:tab w:val="left" w:pos="6180"/>
          <w:tab w:val="left" w:pos="7126"/>
          <w:tab w:val="left" w:pos="8069"/>
        </w:tabs>
        <w:wordWrap w:val="0"/>
        <w:adjustRightInd w:val="0"/>
        <w:snapToGrid w:val="0"/>
        <w:spacing w:before="72" w:line="360" w:lineRule="auto"/>
        <w:ind w:right="840" w:firstLine="4920" w:firstLineChars="2050"/>
        <w:rPr>
          <w:rFonts w:hint="eastAsia"/>
          <w:sz w:val="24"/>
          <w:szCs w:val="24"/>
        </w:rPr>
        <w:sectPr>
          <w:footerReference r:id="rId3" w:type="default"/>
          <w:pgSz w:w="12240" w:h="15840"/>
          <w:pgMar w:top="1440" w:right="1080" w:bottom="1440" w:left="1080" w:header="0" w:footer="841" w:gutter="0"/>
          <w:pgNumType w:start="1"/>
          <w:cols w:space="720" w:num="1"/>
        </w:sectPr>
      </w:pPr>
      <w:r>
        <w:rPr>
          <w:rFonts w:hint="eastAsia"/>
          <w:sz w:val="24"/>
          <w:szCs w:val="24"/>
          <w:lang w:val="en-US"/>
        </w:rPr>
        <w:t>20</w:t>
      </w:r>
      <w:r>
        <w:rPr>
          <w:sz w:val="24"/>
          <w:szCs w:val="24"/>
          <w:lang w:val="en-US"/>
        </w:rPr>
        <w:t>2</w:t>
      </w:r>
      <w:r>
        <w:rPr>
          <w:rFonts w:hint="eastAsia"/>
          <w:sz w:val="24"/>
          <w:szCs w:val="24"/>
          <w:lang w:val="en-US"/>
        </w:rPr>
        <w:t>6</w:t>
      </w:r>
      <w:r>
        <w:rPr>
          <w:rFonts w:hint="eastAsia"/>
          <w:sz w:val="24"/>
          <w:szCs w:val="24"/>
        </w:rPr>
        <w:t>年</w:t>
      </w:r>
      <w:r>
        <w:rPr>
          <w:sz w:val="24"/>
          <w:szCs w:val="24"/>
          <w:lang w:val="en-US"/>
        </w:rPr>
        <w:t xml:space="preserve"> </w:t>
      </w:r>
      <w:r>
        <w:rPr>
          <w:rFonts w:hint="eastAsia"/>
          <w:sz w:val="24"/>
          <w:szCs w:val="24"/>
          <w:lang w:val="en-US" w:eastAsia="zh-CN"/>
        </w:rPr>
        <w:t>6</w:t>
      </w:r>
      <w:r>
        <w:rPr>
          <w:sz w:val="24"/>
          <w:szCs w:val="24"/>
          <w:lang w:val="en-US"/>
        </w:rPr>
        <w:t xml:space="preserve"> </w:t>
      </w:r>
      <w:r>
        <w:rPr>
          <w:rFonts w:hint="eastAsia"/>
          <w:spacing w:val="-3"/>
          <w:sz w:val="24"/>
          <w:szCs w:val="24"/>
        </w:rPr>
        <w:t>月</w:t>
      </w:r>
      <w:r>
        <w:rPr>
          <w:sz w:val="24"/>
          <w:szCs w:val="24"/>
          <w:lang w:val="en-US"/>
        </w:rPr>
        <w:t xml:space="preserve"> </w:t>
      </w:r>
      <w:r>
        <w:rPr>
          <w:rFonts w:hint="eastAsia"/>
          <w:sz w:val="24"/>
          <w:szCs w:val="24"/>
          <w:lang w:val="en-US" w:eastAsia="zh-CN"/>
        </w:rPr>
        <w:t>1</w:t>
      </w:r>
      <w:r>
        <w:rPr>
          <w:sz w:val="24"/>
          <w:szCs w:val="24"/>
          <w:lang w:val="en-US"/>
        </w:rPr>
        <w:t xml:space="preserve"> </w:t>
      </w:r>
      <w:r>
        <w:rPr>
          <w:rFonts w:hint="eastAsia"/>
          <w:sz w:val="24"/>
          <w:szCs w:val="24"/>
        </w:rPr>
        <w:t>日</w:t>
      </w:r>
    </w:p>
    <w:p w14:paraId="6E2F2FD1">
      <w:pPr>
        <w:pStyle w:val="10"/>
        <w:tabs>
          <w:tab w:val="left" w:pos="6180"/>
          <w:tab w:val="left" w:pos="7126"/>
          <w:tab w:val="left" w:pos="8069"/>
        </w:tabs>
        <w:spacing w:before="72"/>
        <w:rPr>
          <w:rFonts w:hint="eastAsia"/>
          <w:b/>
          <w:bCs/>
          <w:sz w:val="24"/>
          <w:szCs w:val="24"/>
          <w:lang w:val="en-US"/>
        </w:rPr>
      </w:pPr>
      <w:r>
        <w:rPr>
          <w:rFonts w:hint="eastAsia"/>
          <w:b/>
          <w:bCs/>
          <w:sz w:val="24"/>
          <w:szCs w:val="24"/>
        </w:rPr>
        <w:t>附件</w:t>
      </w:r>
      <w:r>
        <w:rPr>
          <w:rFonts w:hint="eastAsia"/>
          <w:b/>
          <w:bCs/>
          <w:sz w:val="24"/>
          <w:szCs w:val="24"/>
          <w:lang w:val="en-US"/>
        </w:rPr>
        <w:t>1：</w:t>
      </w:r>
    </w:p>
    <w:p w14:paraId="4E67CDF2">
      <w:pPr>
        <w:pStyle w:val="10"/>
        <w:tabs>
          <w:tab w:val="left" w:pos="6180"/>
          <w:tab w:val="left" w:pos="7126"/>
          <w:tab w:val="left" w:pos="8069"/>
        </w:tabs>
        <w:spacing w:before="72"/>
        <w:rPr>
          <w:rFonts w:hint="eastAsia"/>
          <w:b/>
          <w:bCs/>
          <w:sz w:val="24"/>
          <w:szCs w:val="24"/>
          <w:lang w:val="en-US"/>
        </w:rPr>
      </w:pPr>
    </w:p>
    <w:p w14:paraId="73191EE4">
      <w:pPr>
        <w:jc w:val="center"/>
        <w:rPr>
          <w:rFonts w:hint="eastAsia"/>
          <w:b/>
          <w:sz w:val="32"/>
          <w:szCs w:val="28"/>
        </w:rPr>
      </w:pPr>
      <w:bookmarkStart w:id="13" w:name="_Toc4456"/>
      <w:bookmarkStart w:id="14" w:name="_Toc134720752"/>
      <w:bookmarkStart w:id="15" w:name="_Toc119328658"/>
      <w:r>
        <w:rPr>
          <w:rFonts w:hint="eastAsia"/>
          <w:b/>
          <w:sz w:val="32"/>
          <w:szCs w:val="28"/>
        </w:rPr>
        <w:t>投标登记申请表</w:t>
      </w:r>
      <w:bookmarkEnd w:id="13"/>
      <w:bookmarkEnd w:id="14"/>
      <w:bookmarkEnd w:id="15"/>
    </w:p>
    <w:p w14:paraId="0CEEE2A5">
      <w:pPr>
        <w:pStyle w:val="10"/>
        <w:rPr>
          <w:rFonts w:hint="eastAsia"/>
          <w:sz w:val="24"/>
          <w:szCs w:val="24"/>
        </w:rPr>
      </w:pPr>
    </w:p>
    <w:p w14:paraId="2DAB06B7">
      <w:pPr>
        <w:jc w:val="center"/>
        <w:rPr>
          <w:rFonts w:hint="eastAsia"/>
          <w:b/>
          <w:bCs/>
          <w:sz w:val="24"/>
          <w:szCs w:val="24"/>
        </w:rPr>
      </w:pPr>
      <w:bookmarkStart w:id="16" w:name="_Toc119328659"/>
      <w:r>
        <w:rPr>
          <w:sz w:val="24"/>
          <w:szCs w:val="24"/>
        </w:rPr>
        <w:t xml:space="preserve">                                                          </w:t>
      </w:r>
      <w:r>
        <w:rPr>
          <w:rFonts w:hint="eastAsia"/>
          <w:sz w:val="24"/>
          <w:szCs w:val="24"/>
        </w:rPr>
        <w:t>年    月    日</w:t>
      </w:r>
      <w:bookmarkEnd w:id="16"/>
    </w:p>
    <w:tbl>
      <w:tblPr>
        <w:tblStyle w:val="24"/>
        <w:tblW w:w="9528" w:type="dxa"/>
        <w:jc w:val="center"/>
        <w:tblLayout w:type="fixed"/>
        <w:tblCellMar>
          <w:top w:w="0" w:type="dxa"/>
          <w:left w:w="108" w:type="dxa"/>
          <w:bottom w:w="0" w:type="dxa"/>
          <w:right w:w="108" w:type="dxa"/>
        </w:tblCellMar>
      </w:tblPr>
      <w:tblGrid>
        <w:gridCol w:w="1701"/>
        <w:gridCol w:w="1678"/>
        <w:gridCol w:w="1225"/>
        <w:gridCol w:w="1350"/>
        <w:gridCol w:w="1275"/>
        <w:gridCol w:w="2299"/>
      </w:tblGrid>
      <w:tr w14:paraId="15DA746F">
        <w:tblPrEx>
          <w:tblCellMar>
            <w:top w:w="0" w:type="dxa"/>
            <w:left w:w="108" w:type="dxa"/>
            <w:bottom w:w="0" w:type="dxa"/>
            <w:right w:w="108" w:type="dxa"/>
          </w:tblCellMar>
        </w:tblPrEx>
        <w:trPr>
          <w:trHeight w:val="832" w:hRule="atLeast"/>
          <w:jc w:val="center"/>
        </w:trPr>
        <w:tc>
          <w:tcPr>
            <w:tcW w:w="1701" w:type="dxa"/>
            <w:tcBorders>
              <w:top w:val="single" w:color="auto" w:sz="4" w:space="0"/>
              <w:left w:val="single" w:color="auto" w:sz="4" w:space="0"/>
              <w:bottom w:val="single" w:color="auto" w:sz="4" w:space="0"/>
              <w:right w:val="single" w:color="auto" w:sz="4" w:space="0"/>
            </w:tcBorders>
            <w:noWrap/>
            <w:vAlign w:val="center"/>
          </w:tcPr>
          <w:p w14:paraId="664315A9">
            <w:pPr>
              <w:keepNext w:val="0"/>
              <w:keepLines w:val="0"/>
              <w:widowControl/>
              <w:suppressLineNumbers w:val="0"/>
              <w:spacing w:before="0" w:beforeAutospacing="0" w:after="0" w:afterAutospacing="0"/>
              <w:ind w:left="0" w:right="0"/>
              <w:jc w:val="center"/>
              <w:rPr>
                <w:rFonts w:hint="eastAsia"/>
                <w:sz w:val="24"/>
                <w:szCs w:val="24"/>
              </w:rPr>
            </w:pPr>
            <w:r>
              <w:rPr>
                <w:rFonts w:hint="eastAsia"/>
                <w:sz w:val="24"/>
                <w:szCs w:val="24"/>
              </w:rPr>
              <w:t>项目名称</w:t>
            </w:r>
          </w:p>
        </w:tc>
        <w:tc>
          <w:tcPr>
            <w:tcW w:w="7827" w:type="dxa"/>
            <w:gridSpan w:val="5"/>
            <w:tcBorders>
              <w:top w:val="single" w:color="auto" w:sz="4" w:space="0"/>
              <w:left w:val="nil"/>
              <w:bottom w:val="single" w:color="auto" w:sz="4" w:space="0"/>
              <w:right w:val="single" w:color="auto" w:sz="4" w:space="0"/>
            </w:tcBorders>
            <w:noWrap/>
            <w:vAlign w:val="center"/>
          </w:tcPr>
          <w:p w14:paraId="3E735867">
            <w:pPr>
              <w:keepNext w:val="0"/>
              <w:keepLines w:val="0"/>
              <w:widowControl/>
              <w:suppressLineNumbers w:val="0"/>
              <w:spacing w:before="0" w:beforeAutospacing="0" w:after="0" w:afterAutospacing="0"/>
              <w:ind w:left="0" w:right="0"/>
              <w:jc w:val="center"/>
              <w:rPr>
                <w:rFonts w:hint="eastAsia"/>
                <w:sz w:val="24"/>
                <w:szCs w:val="24"/>
              </w:rPr>
            </w:pPr>
            <w:r>
              <w:rPr>
                <w:rFonts w:hint="eastAsia"/>
                <w:sz w:val="24"/>
                <w:szCs w:val="24"/>
                <w:lang w:bidi="ar"/>
              </w:rPr>
              <w:t>中国石化销售股份有限公司广东广州石油分公司后勤、非油业务等服务外包业务（标段   ）</w:t>
            </w:r>
          </w:p>
        </w:tc>
      </w:tr>
      <w:tr w14:paraId="06534A69">
        <w:tblPrEx>
          <w:tblCellMar>
            <w:top w:w="0" w:type="dxa"/>
            <w:left w:w="108" w:type="dxa"/>
            <w:bottom w:w="0" w:type="dxa"/>
            <w:right w:w="108" w:type="dxa"/>
          </w:tblCellMar>
        </w:tblPrEx>
        <w:trPr>
          <w:trHeight w:val="961" w:hRule="atLeast"/>
          <w:jc w:val="center"/>
        </w:trPr>
        <w:tc>
          <w:tcPr>
            <w:tcW w:w="1701" w:type="dxa"/>
            <w:tcBorders>
              <w:top w:val="nil"/>
              <w:left w:val="single" w:color="auto" w:sz="4" w:space="0"/>
              <w:bottom w:val="single" w:color="auto" w:sz="4" w:space="0"/>
              <w:right w:val="single" w:color="auto" w:sz="4" w:space="0"/>
            </w:tcBorders>
            <w:noWrap w:val="0"/>
            <w:vAlign w:val="center"/>
          </w:tcPr>
          <w:p w14:paraId="465A3E11">
            <w:pPr>
              <w:keepNext w:val="0"/>
              <w:keepLines w:val="0"/>
              <w:widowControl/>
              <w:suppressLineNumbers w:val="0"/>
              <w:spacing w:before="0" w:beforeAutospacing="0" w:after="0" w:afterAutospacing="0"/>
              <w:ind w:left="0" w:right="0"/>
              <w:jc w:val="center"/>
              <w:rPr>
                <w:rFonts w:hint="eastAsia"/>
                <w:sz w:val="24"/>
                <w:szCs w:val="24"/>
              </w:rPr>
            </w:pPr>
            <w:r>
              <w:rPr>
                <w:rFonts w:hint="eastAsia"/>
                <w:sz w:val="24"/>
                <w:szCs w:val="24"/>
              </w:rPr>
              <w:t>投标单位名称</w:t>
            </w:r>
          </w:p>
        </w:tc>
        <w:tc>
          <w:tcPr>
            <w:tcW w:w="1678" w:type="dxa"/>
            <w:tcBorders>
              <w:top w:val="nil"/>
              <w:left w:val="nil"/>
              <w:bottom w:val="single" w:color="auto" w:sz="4" w:space="0"/>
              <w:right w:val="single" w:color="auto" w:sz="4" w:space="0"/>
            </w:tcBorders>
            <w:noWrap/>
            <w:vAlign w:val="center"/>
          </w:tcPr>
          <w:p w14:paraId="1D700774">
            <w:pPr>
              <w:keepNext w:val="0"/>
              <w:keepLines w:val="0"/>
              <w:widowControl/>
              <w:suppressLineNumbers w:val="0"/>
              <w:spacing w:before="0" w:beforeAutospacing="0" w:after="0" w:afterAutospacing="0"/>
              <w:ind w:left="0" w:right="0"/>
              <w:jc w:val="center"/>
              <w:rPr>
                <w:rFonts w:hint="eastAsia"/>
                <w:sz w:val="24"/>
                <w:szCs w:val="24"/>
              </w:rPr>
            </w:pPr>
            <w:r>
              <w:rPr>
                <w:rFonts w:hint="eastAsia"/>
                <w:sz w:val="24"/>
                <w:szCs w:val="24"/>
              </w:rPr>
              <w:t>　</w:t>
            </w:r>
          </w:p>
        </w:tc>
        <w:tc>
          <w:tcPr>
            <w:tcW w:w="1225" w:type="dxa"/>
            <w:tcBorders>
              <w:top w:val="nil"/>
              <w:left w:val="nil"/>
              <w:bottom w:val="single" w:color="auto" w:sz="4" w:space="0"/>
              <w:right w:val="single" w:color="auto" w:sz="4" w:space="0"/>
            </w:tcBorders>
            <w:noWrap/>
            <w:vAlign w:val="center"/>
          </w:tcPr>
          <w:p w14:paraId="50AE3B89">
            <w:pPr>
              <w:keepNext w:val="0"/>
              <w:keepLines w:val="0"/>
              <w:widowControl/>
              <w:suppressLineNumbers w:val="0"/>
              <w:spacing w:before="0" w:beforeAutospacing="0" w:after="0" w:afterAutospacing="0"/>
              <w:ind w:left="0" w:right="0"/>
              <w:jc w:val="center"/>
              <w:rPr>
                <w:rFonts w:hint="eastAsia"/>
                <w:sz w:val="24"/>
                <w:szCs w:val="24"/>
              </w:rPr>
            </w:pPr>
            <w:r>
              <w:rPr>
                <w:rFonts w:hint="eastAsia"/>
                <w:sz w:val="24"/>
                <w:szCs w:val="24"/>
              </w:rPr>
              <w:t>被授权人</w:t>
            </w:r>
          </w:p>
        </w:tc>
        <w:tc>
          <w:tcPr>
            <w:tcW w:w="1350" w:type="dxa"/>
            <w:tcBorders>
              <w:top w:val="nil"/>
              <w:left w:val="nil"/>
              <w:bottom w:val="single" w:color="auto" w:sz="4" w:space="0"/>
              <w:right w:val="single" w:color="auto" w:sz="4" w:space="0"/>
            </w:tcBorders>
            <w:noWrap/>
            <w:vAlign w:val="center"/>
          </w:tcPr>
          <w:p w14:paraId="055EBC85">
            <w:pPr>
              <w:keepNext w:val="0"/>
              <w:keepLines w:val="0"/>
              <w:widowControl/>
              <w:suppressLineNumbers w:val="0"/>
              <w:spacing w:before="0" w:beforeAutospacing="0" w:after="0" w:afterAutospacing="0"/>
              <w:ind w:left="0" w:right="0"/>
              <w:jc w:val="center"/>
              <w:rPr>
                <w:rFonts w:hint="eastAsia"/>
                <w:sz w:val="24"/>
                <w:szCs w:val="24"/>
              </w:rPr>
            </w:pPr>
            <w:r>
              <w:rPr>
                <w:rFonts w:hint="eastAsia"/>
                <w:sz w:val="24"/>
                <w:szCs w:val="24"/>
              </w:rPr>
              <w:t>　</w:t>
            </w:r>
          </w:p>
        </w:tc>
        <w:tc>
          <w:tcPr>
            <w:tcW w:w="1275" w:type="dxa"/>
            <w:tcBorders>
              <w:top w:val="nil"/>
              <w:left w:val="nil"/>
              <w:bottom w:val="single" w:color="auto" w:sz="4" w:space="0"/>
              <w:right w:val="single" w:color="auto" w:sz="4" w:space="0"/>
            </w:tcBorders>
            <w:noWrap/>
            <w:vAlign w:val="center"/>
          </w:tcPr>
          <w:p w14:paraId="64046255">
            <w:pPr>
              <w:keepNext w:val="0"/>
              <w:keepLines w:val="0"/>
              <w:widowControl/>
              <w:suppressLineNumbers w:val="0"/>
              <w:spacing w:before="0" w:beforeAutospacing="0" w:after="0" w:afterAutospacing="0"/>
              <w:ind w:left="0" w:right="0"/>
              <w:jc w:val="center"/>
              <w:rPr>
                <w:rFonts w:hint="eastAsia"/>
                <w:sz w:val="24"/>
                <w:szCs w:val="24"/>
              </w:rPr>
            </w:pPr>
            <w:r>
              <w:rPr>
                <w:rFonts w:hint="eastAsia"/>
                <w:sz w:val="24"/>
                <w:szCs w:val="24"/>
              </w:rPr>
              <w:t>联系电话</w:t>
            </w:r>
          </w:p>
        </w:tc>
        <w:tc>
          <w:tcPr>
            <w:tcW w:w="2299" w:type="dxa"/>
            <w:tcBorders>
              <w:top w:val="nil"/>
              <w:left w:val="nil"/>
              <w:bottom w:val="single" w:color="auto" w:sz="4" w:space="0"/>
              <w:right w:val="single" w:color="auto" w:sz="4" w:space="0"/>
            </w:tcBorders>
            <w:noWrap/>
            <w:vAlign w:val="center"/>
          </w:tcPr>
          <w:p w14:paraId="2A0A0747">
            <w:pPr>
              <w:keepNext w:val="0"/>
              <w:keepLines w:val="0"/>
              <w:widowControl/>
              <w:suppressLineNumbers w:val="0"/>
              <w:spacing w:before="0" w:beforeAutospacing="0" w:after="0" w:afterAutospacing="0"/>
              <w:ind w:left="0" w:right="0"/>
              <w:jc w:val="center"/>
              <w:rPr>
                <w:rFonts w:hint="eastAsia"/>
                <w:sz w:val="24"/>
                <w:szCs w:val="24"/>
              </w:rPr>
            </w:pPr>
            <w:r>
              <w:rPr>
                <w:rFonts w:hint="eastAsia"/>
                <w:sz w:val="24"/>
                <w:szCs w:val="24"/>
              </w:rPr>
              <w:t>　</w:t>
            </w:r>
          </w:p>
        </w:tc>
      </w:tr>
      <w:tr w14:paraId="1509F9D4">
        <w:tblPrEx>
          <w:tblCellMar>
            <w:top w:w="0" w:type="dxa"/>
            <w:left w:w="108" w:type="dxa"/>
            <w:bottom w:w="0" w:type="dxa"/>
            <w:right w:w="108" w:type="dxa"/>
          </w:tblCellMar>
        </w:tblPrEx>
        <w:trPr>
          <w:trHeight w:val="961" w:hRule="atLeast"/>
          <w:jc w:val="center"/>
        </w:trPr>
        <w:tc>
          <w:tcPr>
            <w:tcW w:w="1701" w:type="dxa"/>
            <w:tcBorders>
              <w:top w:val="nil"/>
              <w:left w:val="single" w:color="auto" w:sz="4" w:space="0"/>
              <w:bottom w:val="single" w:color="auto" w:sz="4" w:space="0"/>
              <w:right w:val="single" w:color="auto" w:sz="4" w:space="0"/>
            </w:tcBorders>
            <w:noWrap w:val="0"/>
            <w:vAlign w:val="center"/>
          </w:tcPr>
          <w:p w14:paraId="6D8B2BAB">
            <w:pPr>
              <w:keepNext w:val="0"/>
              <w:keepLines w:val="0"/>
              <w:widowControl/>
              <w:suppressLineNumbers w:val="0"/>
              <w:spacing w:before="0" w:beforeAutospacing="0" w:after="0" w:afterAutospacing="0"/>
              <w:ind w:left="0" w:right="0"/>
              <w:jc w:val="center"/>
              <w:rPr>
                <w:rFonts w:hint="eastAsia"/>
                <w:sz w:val="24"/>
                <w:szCs w:val="24"/>
              </w:rPr>
            </w:pPr>
            <w:r>
              <w:rPr>
                <w:rFonts w:hint="eastAsia"/>
                <w:sz w:val="24"/>
                <w:szCs w:val="24"/>
              </w:rPr>
              <w:t>联系地址</w:t>
            </w:r>
          </w:p>
          <w:p w14:paraId="1B785A90">
            <w:pPr>
              <w:keepNext w:val="0"/>
              <w:keepLines w:val="0"/>
              <w:widowControl/>
              <w:suppressLineNumbers w:val="0"/>
              <w:spacing w:before="0" w:beforeAutospacing="0" w:after="0" w:afterAutospacing="0"/>
              <w:ind w:left="0" w:right="0"/>
              <w:jc w:val="center"/>
              <w:rPr>
                <w:rFonts w:hint="eastAsia"/>
                <w:sz w:val="24"/>
                <w:szCs w:val="24"/>
              </w:rPr>
            </w:pPr>
            <w:r>
              <w:rPr>
                <w:rFonts w:hint="eastAsia"/>
                <w:sz w:val="24"/>
                <w:szCs w:val="24"/>
              </w:rPr>
              <w:t>（用于收件）</w:t>
            </w:r>
          </w:p>
        </w:tc>
        <w:tc>
          <w:tcPr>
            <w:tcW w:w="4253" w:type="dxa"/>
            <w:gridSpan w:val="3"/>
            <w:tcBorders>
              <w:top w:val="nil"/>
              <w:left w:val="nil"/>
              <w:bottom w:val="single" w:color="auto" w:sz="4" w:space="0"/>
              <w:right w:val="single" w:color="auto" w:sz="4" w:space="0"/>
            </w:tcBorders>
            <w:noWrap/>
            <w:vAlign w:val="center"/>
          </w:tcPr>
          <w:p w14:paraId="16C9970E">
            <w:pPr>
              <w:keepNext w:val="0"/>
              <w:keepLines w:val="0"/>
              <w:widowControl/>
              <w:suppressLineNumbers w:val="0"/>
              <w:spacing w:before="0" w:beforeAutospacing="0" w:after="0" w:afterAutospacing="0"/>
              <w:ind w:left="0" w:right="0"/>
              <w:jc w:val="center"/>
              <w:rPr>
                <w:rFonts w:hint="eastAsia"/>
                <w:sz w:val="24"/>
                <w:szCs w:val="24"/>
              </w:rPr>
            </w:pPr>
          </w:p>
        </w:tc>
        <w:tc>
          <w:tcPr>
            <w:tcW w:w="1275" w:type="dxa"/>
            <w:tcBorders>
              <w:top w:val="nil"/>
              <w:left w:val="nil"/>
              <w:bottom w:val="single" w:color="auto" w:sz="4" w:space="0"/>
              <w:right w:val="single" w:color="auto" w:sz="4" w:space="0"/>
            </w:tcBorders>
            <w:noWrap/>
            <w:vAlign w:val="center"/>
          </w:tcPr>
          <w:p w14:paraId="04928EDD">
            <w:pPr>
              <w:keepNext w:val="0"/>
              <w:keepLines w:val="0"/>
              <w:widowControl/>
              <w:suppressLineNumbers w:val="0"/>
              <w:spacing w:before="0" w:beforeAutospacing="0" w:after="0" w:afterAutospacing="0"/>
              <w:ind w:left="0" w:right="0"/>
              <w:jc w:val="center"/>
              <w:rPr>
                <w:rFonts w:hint="eastAsia"/>
                <w:sz w:val="24"/>
                <w:szCs w:val="24"/>
              </w:rPr>
            </w:pPr>
            <w:r>
              <w:rPr>
                <w:rFonts w:hint="eastAsia"/>
                <w:sz w:val="24"/>
                <w:szCs w:val="24"/>
              </w:rPr>
              <w:t>联系邮箱</w:t>
            </w:r>
          </w:p>
        </w:tc>
        <w:tc>
          <w:tcPr>
            <w:tcW w:w="2299" w:type="dxa"/>
            <w:tcBorders>
              <w:top w:val="nil"/>
              <w:left w:val="nil"/>
              <w:bottom w:val="single" w:color="auto" w:sz="4" w:space="0"/>
              <w:right w:val="single" w:color="auto" w:sz="4" w:space="0"/>
            </w:tcBorders>
            <w:noWrap/>
            <w:vAlign w:val="center"/>
          </w:tcPr>
          <w:p w14:paraId="02D28638">
            <w:pPr>
              <w:keepNext w:val="0"/>
              <w:keepLines w:val="0"/>
              <w:widowControl/>
              <w:suppressLineNumbers w:val="0"/>
              <w:spacing w:before="0" w:beforeAutospacing="0" w:after="0" w:afterAutospacing="0"/>
              <w:ind w:left="0" w:right="0"/>
              <w:jc w:val="center"/>
              <w:rPr>
                <w:rFonts w:hint="eastAsia"/>
                <w:sz w:val="24"/>
                <w:szCs w:val="24"/>
              </w:rPr>
            </w:pPr>
          </w:p>
        </w:tc>
      </w:tr>
      <w:tr w14:paraId="4BFA9089">
        <w:tblPrEx>
          <w:tblCellMar>
            <w:top w:w="0" w:type="dxa"/>
            <w:left w:w="108" w:type="dxa"/>
            <w:bottom w:w="0" w:type="dxa"/>
            <w:right w:w="108" w:type="dxa"/>
          </w:tblCellMar>
        </w:tblPrEx>
        <w:trPr>
          <w:trHeight w:val="881" w:hRule="atLeast"/>
          <w:jc w:val="center"/>
        </w:trPr>
        <w:tc>
          <w:tcPr>
            <w:tcW w:w="1701" w:type="dxa"/>
            <w:tcBorders>
              <w:top w:val="nil"/>
              <w:left w:val="single" w:color="auto" w:sz="4" w:space="0"/>
              <w:bottom w:val="single" w:color="auto" w:sz="4" w:space="0"/>
              <w:right w:val="single" w:color="auto" w:sz="4" w:space="0"/>
            </w:tcBorders>
            <w:noWrap/>
            <w:vAlign w:val="center"/>
          </w:tcPr>
          <w:p w14:paraId="58B0543B">
            <w:pPr>
              <w:keepNext w:val="0"/>
              <w:keepLines w:val="0"/>
              <w:widowControl/>
              <w:suppressLineNumbers w:val="0"/>
              <w:spacing w:before="0" w:beforeAutospacing="0" w:after="0" w:afterAutospacing="0"/>
              <w:ind w:left="0" w:right="0"/>
              <w:jc w:val="center"/>
              <w:rPr>
                <w:rFonts w:hint="eastAsia"/>
                <w:sz w:val="24"/>
                <w:szCs w:val="24"/>
              </w:rPr>
            </w:pPr>
            <w:r>
              <w:rPr>
                <w:rFonts w:hint="eastAsia"/>
                <w:sz w:val="24"/>
                <w:szCs w:val="24"/>
              </w:rPr>
              <w:t>保证书</w:t>
            </w:r>
          </w:p>
        </w:tc>
        <w:tc>
          <w:tcPr>
            <w:tcW w:w="7827" w:type="dxa"/>
            <w:gridSpan w:val="5"/>
            <w:tcBorders>
              <w:top w:val="single" w:color="auto" w:sz="4" w:space="0"/>
              <w:left w:val="nil"/>
              <w:bottom w:val="single" w:color="auto" w:sz="4" w:space="0"/>
              <w:right w:val="single" w:color="000000" w:sz="4" w:space="0"/>
            </w:tcBorders>
            <w:noWrap/>
            <w:vAlign w:val="center"/>
          </w:tcPr>
          <w:p w14:paraId="3FA323C5">
            <w:pPr>
              <w:keepNext w:val="0"/>
              <w:keepLines w:val="0"/>
              <w:widowControl/>
              <w:suppressLineNumbers w:val="0"/>
              <w:spacing w:before="0" w:beforeAutospacing="0" w:after="0" w:afterAutospacing="0"/>
              <w:ind w:left="0" w:right="0"/>
              <w:jc w:val="center"/>
              <w:rPr>
                <w:rFonts w:hint="eastAsia"/>
                <w:sz w:val="24"/>
                <w:szCs w:val="24"/>
              </w:rPr>
            </w:pPr>
            <w:r>
              <w:rPr>
                <w:rFonts w:hint="eastAsia"/>
                <w:sz w:val="24"/>
                <w:szCs w:val="24"/>
              </w:rPr>
              <w:t>我公司保证该项目由本单位承包，不接受他人挂靠，不转包，不分包。如有违犯，责任自负。</w:t>
            </w:r>
          </w:p>
        </w:tc>
      </w:tr>
      <w:tr w14:paraId="2C0605EF">
        <w:tblPrEx>
          <w:tblCellMar>
            <w:top w:w="0" w:type="dxa"/>
            <w:left w:w="108" w:type="dxa"/>
            <w:bottom w:w="0" w:type="dxa"/>
            <w:right w:w="108" w:type="dxa"/>
          </w:tblCellMar>
        </w:tblPrEx>
        <w:trPr>
          <w:trHeight w:val="1507" w:hRule="atLeast"/>
          <w:jc w:val="center"/>
        </w:trPr>
        <w:tc>
          <w:tcPr>
            <w:tcW w:w="1701" w:type="dxa"/>
            <w:tcBorders>
              <w:top w:val="nil"/>
              <w:left w:val="single" w:color="auto" w:sz="4" w:space="0"/>
              <w:bottom w:val="single" w:color="auto" w:sz="4" w:space="0"/>
              <w:right w:val="single" w:color="auto" w:sz="4" w:space="0"/>
            </w:tcBorders>
            <w:noWrap/>
            <w:vAlign w:val="center"/>
          </w:tcPr>
          <w:p w14:paraId="30261C7E">
            <w:pPr>
              <w:keepNext w:val="0"/>
              <w:keepLines w:val="0"/>
              <w:widowControl/>
              <w:suppressLineNumbers w:val="0"/>
              <w:spacing w:before="0" w:beforeAutospacing="0" w:after="0" w:afterAutospacing="0"/>
              <w:ind w:left="0" w:right="0"/>
              <w:jc w:val="center"/>
              <w:rPr>
                <w:rFonts w:hint="eastAsia"/>
                <w:sz w:val="24"/>
                <w:szCs w:val="24"/>
              </w:rPr>
            </w:pPr>
            <w:r>
              <w:rPr>
                <w:rFonts w:hint="eastAsia"/>
                <w:sz w:val="24"/>
                <w:szCs w:val="24"/>
              </w:rPr>
              <w:t>投标人盖章</w:t>
            </w:r>
          </w:p>
        </w:tc>
        <w:tc>
          <w:tcPr>
            <w:tcW w:w="1678" w:type="dxa"/>
            <w:tcBorders>
              <w:top w:val="nil"/>
              <w:left w:val="nil"/>
              <w:bottom w:val="single" w:color="auto" w:sz="4" w:space="0"/>
              <w:right w:val="single" w:color="auto" w:sz="4" w:space="0"/>
            </w:tcBorders>
            <w:noWrap/>
            <w:vAlign w:val="center"/>
          </w:tcPr>
          <w:p w14:paraId="5E1E3D9E">
            <w:pPr>
              <w:keepNext w:val="0"/>
              <w:keepLines w:val="0"/>
              <w:widowControl/>
              <w:suppressLineNumbers w:val="0"/>
              <w:spacing w:before="0" w:beforeAutospacing="0" w:after="0" w:afterAutospacing="0"/>
              <w:ind w:left="0" w:right="0"/>
              <w:jc w:val="center"/>
              <w:rPr>
                <w:rFonts w:hint="eastAsia"/>
                <w:sz w:val="24"/>
                <w:szCs w:val="24"/>
              </w:rPr>
            </w:pPr>
            <w:r>
              <w:rPr>
                <w:rFonts w:hint="eastAsia"/>
                <w:sz w:val="24"/>
                <w:szCs w:val="24"/>
              </w:rPr>
              <w:t>　</w:t>
            </w:r>
          </w:p>
        </w:tc>
        <w:tc>
          <w:tcPr>
            <w:tcW w:w="2575" w:type="dxa"/>
            <w:gridSpan w:val="2"/>
            <w:tcBorders>
              <w:top w:val="single" w:color="auto" w:sz="4" w:space="0"/>
              <w:left w:val="nil"/>
              <w:bottom w:val="single" w:color="auto" w:sz="4" w:space="0"/>
              <w:right w:val="single" w:color="000000" w:sz="4" w:space="0"/>
            </w:tcBorders>
            <w:noWrap/>
            <w:vAlign w:val="center"/>
          </w:tcPr>
          <w:p w14:paraId="7E5A2717">
            <w:pPr>
              <w:keepNext w:val="0"/>
              <w:keepLines w:val="0"/>
              <w:widowControl/>
              <w:suppressLineNumbers w:val="0"/>
              <w:spacing w:before="0" w:beforeAutospacing="0" w:after="0" w:afterAutospacing="0"/>
              <w:ind w:left="0" w:right="0"/>
              <w:jc w:val="center"/>
              <w:rPr>
                <w:rFonts w:hint="eastAsia"/>
                <w:sz w:val="24"/>
                <w:szCs w:val="24"/>
              </w:rPr>
            </w:pPr>
            <w:r>
              <w:rPr>
                <w:rFonts w:hint="eastAsia"/>
                <w:sz w:val="24"/>
                <w:szCs w:val="24"/>
              </w:rPr>
              <w:t>法定代表人签字或签章</w:t>
            </w:r>
          </w:p>
        </w:tc>
        <w:tc>
          <w:tcPr>
            <w:tcW w:w="3574" w:type="dxa"/>
            <w:gridSpan w:val="2"/>
            <w:tcBorders>
              <w:top w:val="single" w:color="auto" w:sz="4" w:space="0"/>
              <w:left w:val="nil"/>
              <w:bottom w:val="single" w:color="auto" w:sz="4" w:space="0"/>
              <w:right w:val="single" w:color="000000" w:sz="4" w:space="0"/>
            </w:tcBorders>
            <w:noWrap/>
            <w:vAlign w:val="center"/>
          </w:tcPr>
          <w:p w14:paraId="2B247961">
            <w:pPr>
              <w:keepNext w:val="0"/>
              <w:keepLines w:val="0"/>
              <w:widowControl/>
              <w:suppressLineNumbers w:val="0"/>
              <w:spacing w:before="0" w:beforeAutospacing="0" w:after="0" w:afterAutospacing="0"/>
              <w:ind w:left="0" w:right="0"/>
              <w:jc w:val="center"/>
              <w:rPr>
                <w:rFonts w:hint="eastAsia"/>
                <w:sz w:val="24"/>
                <w:szCs w:val="24"/>
              </w:rPr>
            </w:pPr>
            <w:r>
              <w:rPr>
                <w:rFonts w:hint="eastAsia"/>
                <w:sz w:val="24"/>
                <w:szCs w:val="24"/>
              </w:rPr>
              <w:t>　</w:t>
            </w:r>
          </w:p>
        </w:tc>
      </w:tr>
      <w:tr w14:paraId="6DF8FD04">
        <w:tblPrEx>
          <w:tblCellMar>
            <w:top w:w="0" w:type="dxa"/>
            <w:left w:w="108" w:type="dxa"/>
            <w:bottom w:w="0" w:type="dxa"/>
            <w:right w:w="108" w:type="dxa"/>
          </w:tblCellMar>
        </w:tblPrEx>
        <w:trPr>
          <w:trHeight w:val="1337" w:hRule="atLeast"/>
          <w:jc w:val="center"/>
        </w:trPr>
        <w:tc>
          <w:tcPr>
            <w:tcW w:w="1701" w:type="dxa"/>
            <w:tcBorders>
              <w:top w:val="nil"/>
              <w:left w:val="single" w:color="auto" w:sz="4" w:space="0"/>
              <w:bottom w:val="single" w:color="auto" w:sz="4" w:space="0"/>
              <w:right w:val="single" w:color="auto" w:sz="4" w:space="0"/>
            </w:tcBorders>
            <w:noWrap/>
            <w:vAlign w:val="center"/>
          </w:tcPr>
          <w:p w14:paraId="39F1FF84">
            <w:pPr>
              <w:keepNext w:val="0"/>
              <w:keepLines w:val="0"/>
              <w:widowControl/>
              <w:suppressLineNumbers w:val="0"/>
              <w:spacing w:before="0" w:beforeAutospacing="0" w:after="0" w:afterAutospacing="0"/>
              <w:ind w:left="0" w:right="0"/>
              <w:jc w:val="center"/>
              <w:rPr>
                <w:rFonts w:hint="eastAsia"/>
                <w:sz w:val="24"/>
                <w:szCs w:val="24"/>
              </w:rPr>
            </w:pPr>
            <w:r>
              <w:rPr>
                <w:rFonts w:hint="eastAsia"/>
                <w:sz w:val="24"/>
                <w:szCs w:val="24"/>
              </w:rPr>
              <w:t>备注</w:t>
            </w:r>
          </w:p>
        </w:tc>
        <w:tc>
          <w:tcPr>
            <w:tcW w:w="7827" w:type="dxa"/>
            <w:gridSpan w:val="5"/>
            <w:tcBorders>
              <w:top w:val="single" w:color="auto" w:sz="4" w:space="0"/>
              <w:left w:val="nil"/>
              <w:bottom w:val="single" w:color="auto" w:sz="4" w:space="0"/>
              <w:right w:val="single" w:color="000000" w:sz="4" w:space="0"/>
            </w:tcBorders>
            <w:noWrap/>
            <w:vAlign w:val="center"/>
          </w:tcPr>
          <w:p w14:paraId="71841272">
            <w:pPr>
              <w:keepNext w:val="0"/>
              <w:keepLines w:val="0"/>
              <w:widowControl/>
              <w:suppressLineNumbers w:val="0"/>
              <w:spacing w:before="0" w:beforeAutospacing="0" w:after="0" w:afterAutospacing="0"/>
              <w:ind w:left="0" w:right="0"/>
              <w:jc w:val="center"/>
              <w:rPr>
                <w:rFonts w:hint="eastAsia"/>
                <w:sz w:val="24"/>
                <w:szCs w:val="24"/>
              </w:rPr>
            </w:pPr>
            <w:r>
              <w:rPr>
                <w:rFonts w:hint="eastAsia"/>
                <w:sz w:val="24"/>
                <w:szCs w:val="24"/>
              </w:rPr>
              <w:t>　</w:t>
            </w:r>
          </w:p>
        </w:tc>
      </w:tr>
    </w:tbl>
    <w:p w14:paraId="2CE5F9DE">
      <w:pPr>
        <w:numPr>
          <w:ilvl w:val="0"/>
          <w:numId w:val="2"/>
        </w:numPr>
        <w:rPr>
          <w:rFonts w:hint="eastAsia"/>
          <w:sz w:val="24"/>
          <w:szCs w:val="24"/>
        </w:rPr>
      </w:pPr>
      <w:bookmarkStart w:id="17" w:name="_bookmark9"/>
      <w:bookmarkEnd w:id="17"/>
      <w:bookmarkStart w:id="18" w:name="_bookmark18"/>
      <w:bookmarkEnd w:id="18"/>
      <w:r>
        <w:rPr>
          <w:rFonts w:hint="eastAsia"/>
          <w:sz w:val="24"/>
          <w:szCs w:val="24"/>
        </w:rPr>
        <w:t>本表内容不允许涂改或增删。</w:t>
      </w:r>
    </w:p>
    <w:p w14:paraId="31F13EA8">
      <w:pPr>
        <w:numPr>
          <w:ilvl w:val="0"/>
          <w:numId w:val="2"/>
        </w:numPr>
        <w:rPr>
          <w:rFonts w:hint="eastAsia"/>
          <w:sz w:val="24"/>
          <w:szCs w:val="24"/>
        </w:rPr>
      </w:pPr>
      <w:r>
        <w:rPr>
          <w:rFonts w:hint="eastAsia"/>
          <w:sz w:val="24"/>
          <w:szCs w:val="24"/>
        </w:rPr>
        <w:t>本表由招标人保存。</w:t>
      </w:r>
      <w:bookmarkStart w:id="19" w:name="_GoBack"/>
      <w:bookmarkEnd w:id="19"/>
    </w:p>
    <w:sectPr>
      <w:headerReference r:id="rId4" w:type="default"/>
      <w:footerReference r:id="rId5" w:type="default"/>
      <w:pgSz w:w="12240" w:h="15840"/>
      <w:pgMar w:top="1400" w:right="1100" w:bottom="1120" w:left="1400" w:header="0" w:footer="84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D34A1">
    <w:pPr>
      <w:pStyle w:val="10"/>
      <w:spacing w:line="14" w:lineRule="auto"/>
      <w:rPr>
        <w:rFonts w:hint="eastAsia"/>
        <w:sz w:val="12"/>
      </w:rPr>
    </w:pPr>
    <w:r>
      <mc:AlternateContent>
        <mc:Choice Requires="wps">
          <w:drawing>
            <wp:anchor distT="0" distB="0" distL="114300" distR="114300" simplePos="0" relativeHeight="251659264" behindDoc="1" locked="0" layoutInCell="1" allowOverlap="1">
              <wp:simplePos x="0" y="0"/>
              <wp:positionH relativeFrom="page">
                <wp:posOffset>3803015</wp:posOffset>
              </wp:positionH>
              <wp:positionV relativeFrom="page">
                <wp:posOffset>9934575</wp:posOffset>
              </wp:positionV>
              <wp:extent cx="167005"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a:effectLst/>
                    </wps:spPr>
                    <wps:txbx>
                      <w:txbxContent>
                        <w:p w14:paraId="36074728">
                          <w:pPr>
                            <w:spacing w:line="203" w:lineRule="exact"/>
                            <w:ind w:left="40"/>
                            <w:rPr>
                              <w:rFonts w:hint="eastAsia" w:ascii="Calibri"/>
                              <w:sz w:val="18"/>
                            </w:rPr>
                          </w:pPr>
                          <w:r>
                            <w:fldChar w:fldCharType="begin"/>
                          </w:r>
                          <w:r>
                            <w:rPr>
                              <w:rFonts w:ascii="Calibri"/>
                              <w:sz w:val="18"/>
                            </w:rPr>
                            <w:instrText xml:space="preserve"> PAGE </w:instrText>
                          </w:r>
                          <w:r>
                            <w:fldChar w:fldCharType="separate"/>
                          </w:r>
                          <w:r>
                            <w:rPr>
                              <w:rFonts w:ascii="Calibri"/>
                              <w:sz w:val="18"/>
                            </w:rPr>
                            <w:t>30</w:t>
                          </w:r>
                          <w:r>
                            <w:fldChar w:fldCharType="end"/>
                          </w:r>
                        </w:p>
                      </w:txbxContent>
                    </wps:txbx>
                    <wps:bodyPr wrap="square" lIns="0" tIns="0" rIns="0" bIns="0" upright="1"/>
                  </wps:wsp>
                </a:graphicData>
              </a:graphic>
            </wp:anchor>
          </w:drawing>
        </mc:Choice>
        <mc:Fallback>
          <w:pict>
            <v:shape id="_x0000_s1026" o:spid="_x0000_s1026" o:spt="202" type="#_x0000_t202" style="position:absolute;left:0pt;margin-left:299.45pt;margin-top:782.25pt;height:11pt;width:13.15pt;mso-position-horizontal-relative:page;mso-position-vertical-relative:page;z-index:-251657216;mso-width-relative:page;mso-height-relative:page;" filled="f" stroked="f" coordsize="21600,21600" o:gfxdata="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jOSI2gAAAA0BAAAPAAAAAAAAAAEAIAAAACIAAABkcnMvZG93&#10;bnJldi54bWxQSwECFAAUAAAACACHTuJAErzRFsUBAACNAwAADgAAAAAAAAABACAAAAApAQAAZHJz&#10;L2Uyb0RvYy54bWxQSwUGAAAAAAYABgBZAQAAYAUAAAAA&#10;">
              <v:fill on="f" focussize="0,0"/>
              <v:stroke on="f"/>
              <v:imagedata o:title=""/>
              <o:lock v:ext="edit" aspectratio="f"/>
              <v:textbox inset="0mm,0mm,0mm,0mm">
                <w:txbxContent>
                  <w:p w14:paraId="36074728">
                    <w:pPr>
                      <w:spacing w:line="203" w:lineRule="exact"/>
                      <w:ind w:left="40"/>
                      <w:rPr>
                        <w:rFonts w:hint="eastAsia" w:ascii="Calibri"/>
                        <w:sz w:val="18"/>
                      </w:rPr>
                    </w:pPr>
                    <w:r>
                      <w:fldChar w:fldCharType="begin"/>
                    </w:r>
                    <w:r>
                      <w:rPr>
                        <w:rFonts w:ascii="Calibri"/>
                        <w:sz w:val="18"/>
                      </w:rPr>
                      <w:instrText xml:space="preserve"> PAGE </w:instrText>
                    </w:r>
                    <w:r>
                      <w:fldChar w:fldCharType="separate"/>
                    </w:r>
                    <w:r>
                      <w:rPr>
                        <w:rFonts w:ascii="Calibri"/>
                        <w:sz w:val="18"/>
                      </w:rP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31B44">
    <w:pPr>
      <w:pStyle w:val="17"/>
      <w:framePr w:wrap="around" w:vAnchor="text" w:hAnchor="margin" w:xAlign="center" w:y="1"/>
      <w:rPr>
        <w:rStyle w:val="28"/>
        <w:rFonts w:hint="eastAsia"/>
      </w:rPr>
    </w:pPr>
    <w:r>
      <w:fldChar w:fldCharType="begin"/>
    </w:r>
    <w:r>
      <w:rPr>
        <w:rStyle w:val="28"/>
      </w:rPr>
      <w:instrText xml:space="preserve">PAGE  </w:instrText>
    </w:r>
    <w:r>
      <w:fldChar w:fldCharType="separate"/>
    </w:r>
    <w:r>
      <w:rPr>
        <w:rStyle w:val="28"/>
      </w:rPr>
      <w:t>47</w:t>
    </w:r>
    <w:r>
      <w:fldChar w:fldCharType="end"/>
    </w:r>
  </w:p>
  <w:p w14:paraId="5211D2D6">
    <w:pPr>
      <w:pStyle w:val="17"/>
      <w:rPr>
        <w:rFonts w:hint="eastAsia"/>
      </w:rPr>
    </w:pPr>
  </w:p>
  <w:p w14:paraId="2D46183A">
    <w:pP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BD746">
    <w:pPr>
      <w:pStyle w:val="18"/>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F96E4"/>
    <w:multiLevelType w:val="singleLevel"/>
    <w:tmpl w:val="AFDF96E4"/>
    <w:lvl w:ilvl="0" w:tentative="0">
      <w:start w:val="2"/>
      <w:numFmt w:val="decimal"/>
      <w:suff w:val="nothing"/>
      <w:lvlText w:val="（%1）"/>
      <w:lvlJc w:val="left"/>
    </w:lvl>
  </w:abstractNum>
  <w:abstractNum w:abstractNumId="1">
    <w:nsid w:val="DB28662E"/>
    <w:multiLevelType w:val="singleLevel"/>
    <w:tmpl w:val="DB28662E"/>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1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lNTE5ZmEyODk0ZmI1NDRmM2YzM2ZjNDdmMzVkZDEifQ=="/>
  </w:docVars>
  <w:rsids>
    <w:rsidRoot w:val="00172A27"/>
    <w:rsid w:val="0000225A"/>
    <w:rsid w:val="00004034"/>
    <w:rsid w:val="0000720F"/>
    <w:rsid w:val="0000751D"/>
    <w:rsid w:val="00010765"/>
    <w:rsid w:val="00015688"/>
    <w:rsid w:val="00015A11"/>
    <w:rsid w:val="000210C2"/>
    <w:rsid w:val="00021772"/>
    <w:rsid w:val="0002324F"/>
    <w:rsid w:val="000234CA"/>
    <w:rsid w:val="00024E60"/>
    <w:rsid w:val="00025382"/>
    <w:rsid w:val="00025873"/>
    <w:rsid w:val="00027D9B"/>
    <w:rsid w:val="00032F66"/>
    <w:rsid w:val="00040F0B"/>
    <w:rsid w:val="000420F3"/>
    <w:rsid w:val="000426BB"/>
    <w:rsid w:val="00042C8D"/>
    <w:rsid w:val="00043E8B"/>
    <w:rsid w:val="0004591D"/>
    <w:rsid w:val="00046CEA"/>
    <w:rsid w:val="00046E8F"/>
    <w:rsid w:val="000568C1"/>
    <w:rsid w:val="000604F1"/>
    <w:rsid w:val="00060B5D"/>
    <w:rsid w:val="000610AD"/>
    <w:rsid w:val="00065388"/>
    <w:rsid w:val="00066C93"/>
    <w:rsid w:val="0007658E"/>
    <w:rsid w:val="00082FC7"/>
    <w:rsid w:val="0008354F"/>
    <w:rsid w:val="00084506"/>
    <w:rsid w:val="00084D0C"/>
    <w:rsid w:val="00086569"/>
    <w:rsid w:val="000868C5"/>
    <w:rsid w:val="000961F0"/>
    <w:rsid w:val="000A5B9D"/>
    <w:rsid w:val="000A74C6"/>
    <w:rsid w:val="000B2087"/>
    <w:rsid w:val="000B7561"/>
    <w:rsid w:val="000B7CC9"/>
    <w:rsid w:val="000D2131"/>
    <w:rsid w:val="000D4FD3"/>
    <w:rsid w:val="000D60AE"/>
    <w:rsid w:val="000E04A7"/>
    <w:rsid w:val="000E1DD4"/>
    <w:rsid w:val="000E55B4"/>
    <w:rsid w:val="000E5890"/>
    <w:rsid w:val="000E67D3"/>
    <w:rsid w:val="000F7969"/>
    <w:rsid w:val="0010478E"/>
    <w:rsid w:val="001101DE"/>
    <w:rsid w:val="00114366"/>
    <w:rsid w:val="00122775"/>
    <w:rsid w:val="0012284C"/>
    <w:rsid w:val="00122F11"/>
    <w:rsid w:val="00126211"/>
    <w:rsid w:val="00127DE0"/>
    <w:rsid w:val="001322D6"/>
    <w:rsid w:val="00152C0D"/>
    <w:rsid w:val="00157240"/>
    <w:rsid w:val="00157982"/>
    <w:rsid w:val="0016111B"/>
    <w:rsid w:val="0016383B"/>
    <w:rsid w:val="001720D7"/>
    <w:rsid w:val="00172511"/>
    <w:rsid w:val="00172A27"/>
    <w:rsid w:val="001732A1"/>
    <w:rsid w:val="00180359"/>
    <w:rsid w:val="0018046B"/>
    <w:rsid w:val="00191A0E"/>
    <w:rsid w:val="00195611"/>
    <w:rsid w:val="001977E7"/>
    <w:rsid w:val="00197E42"/>
    <w:rsid w:val="001A3E36"/>
    <w:rsid w:val="001A426B"/>
    <w:rsid w:val="001A5EF3"/>
    <w:rsid w:val="001A66DF"/>
    <w:rsid w:val="001B3A04"/>
    <w:rsid w:val="001C748F"/>
    <w:rsid w:val="001C77CF"/>
    <w:rsid w:val="001D0263"/>
    <w:rsid w:val="001D4372"/>
    <w:rsid w:val="001D7828"/>
    <w:rsid w:val="001D7CF4"/>
    <w:rsid w:val="001E037E"/>
    <w:rsid w:val="001E361C"/>
    <w:rsid w:val="001E480B"/>
    <w:rsid w:val="001E7C45"/>
    <w:rsid w:val="001E7EFD"/>
    <w:rsid w:val="001F4B1A"/>
    <w:rsid w:val="001F50C7"/>
    <w:rsid w:val="0020443F"/>
    <w:rsid w:val="00207DCE"/>
    <w:rsid w:val="00212A36"/>
    <w:rsid w:val="00213F91"/>
    <w:rsid w:val="002178AF"/>
    <w:rsid w:val="002240F2"/>
    <w:rsid w:val="00231CDA"/>
    <w:rsid w:val="00232288"/>
    <w:rsid w:val="0023634C"/>
    <w:rsid w:val="002411E4"/>
    <w:rsid w:val="00241D9B"/>
    <w:rsid w:val="00251C92"/>
    <w:rsid w:val="002559F7"/>
    <w:rsid w:val="00257B6E"/>
    <w:rsid w:val="00267160"/>
    <w:rsid w:val="00284751"/>
    <w:rsid w:val="00293BFB"/>
    <w:rsid w:val="0029694D"/>
    <w:rsid w:val="002A0275"/>
    <w:rsid w:val="002A063A"/>
    <w:rsid w:val="002B0F14"/>
    <w:rsid w:val="002B2551"/>
    <w:rsid w:val="002B4CDB"/>
    <w:rsid w:val="002B573B"/>
    <w:rsid w:val="002B60D3"/>
    <w:rsid w:val="002C0940"/>
    <w:rsid w:val="002C0B02"/>
    <w:rsid w:val="002C1E79"/>
    <w:rsid w:val="002C2024"/>
    <w:rsid w:val="002C26B3"/>
    <w:rsid w:val="002C6A08"/>
    <w:rsid w:val="002D3239"/>
    <w:rsid w:val="002D3346"/>
    <w:rsid w:val="002D4228"/>
    <w:rsid w:val="002D627D"/>
    <w:rsid w:val="002D6D76"/>
    <w:rsid w:val="002D7B11"/>
    <w:rsid w:val="002E08C8"/>
    <w:rsid w:val="002E1A36"/>
    <w:rsid w:val="002E40D8"/>
    <w:rsid w:val="002E5C3B"/>
    <w:rsid w:val="002E5F48"/>
    <w:rsid w:val="002E65F2"/>
    <w:rsid w:val="002F448F"/>
    <w:rsid w:val="002F6E80"/>
    <w:rsid w:val="00302284"/>
    <w:rsid w:val="00311F3F"/>
    <w:rsid w:val="00317BDE"/>
    <w:rsid w:val="00320469"/>
    <w:rsid w:val="00320591"/>
    <w:rsid w:val="003232B6"/>
    <w:rsid w:val="00325B16"/>
    <w:rsid w:val="00327337"/>
    <w:rsid w:val="003332E6"/>
    <w:rsid w:val="00334408"/>
    <w:rsid w:val="00335612"/>
    <w:rsid w:val="0033690C"/>
    <w:rsid w:val="00340B9D"/>
    <w:rsid w:val="0034255C"/>
    <w:rsid w:val="003462E1"/>
    <w:rsid w:val="00346AED"/>
    <w:rsid w:val="00351B88"/>
    <w:rsid w:val="00352F57"/>
    <w:rsid w:val="00356CC8"/>
    <w:rsid w:val="00357F5D"/>
    <w:rsid w:val="00365CF2"/>
    <w:rsid w:val="00373317"/>
    <w:rsid w:val="00381CD0"/>
    <w:rsid w:val="00382835"/>
    <w:rsid w:val="00383A58"/>
    <w:rsid w:val="00393D1B"/>
    <w:rsid w:val="00397FF6"/>
    <w:rsid w:val="003A026E"/>
    <w:rsid w:val="003A1D28"/>
    <w:rsid w:val="003A3A8A"/>
    <w:rsid w:val="003A5A64"/>
    <w:rsid w:val="003B168D"/>
    <w:rsid w:val="003B434B"/>
    <w:rsid w:val="003B4C5E"/>
    <w:rsid w:val="003B5DFF"/>
    <w:rsid w:val="003C3BA9"/>
    <w:rsid w:val="003C5264"/>
    <w:rsid w:val="003C5E9C"/>
    <w:rsid w:val="003D1171"/>
    <w:rsid w:val="003D34CA"/>
    <w:rsid w:val="003F0140"/>
    <w:rsid w:val="003F3301"/>
    <w:rsid w:val="003F6D9D"/>
    <w:rsid w:val="0040261D"/>
    <w:rsid w:val="00403D91"/>
    <w:rsid w:val="00405C82"/>
    <w:rsid w:val="00406A10"/>
    <w:rsid w:val="00412B6D"/>
    <w:rsid w:val="0042505E"/>
    <w:rsid w:val="00436889"/>
    <w:rsid w:val="00454C86"/>
    <w:rsid w:val="00465F47"/>
    <w:rsid w:val="004710CD"/>
    <w:rsid w:val="004730A5"/>
    <w:rsid w:val="00475B81"/>
    <w:rsid w:val="00487DC4"/>
    <w:rsid w:val="004911F9"/>
    <w:rsid w:val="00492B78"/>
    <w:rsid w:val="004A07C0"/>
    <w:rsid w:val="004A7F36"/>
    <w:rsid w:val="004B6778"/>
    <w:rsid w:val="004C7BD5"/>
    <w:rsid w:val="004D010C"/>
    <w:rsid w:val="004D0F12"/>
    <w:rsid w:val="004D5B43"/>
    <w:rsid w:val="004D671C"/>
    <w:rsid w:val="004D7F06"/>
    <w:rsid w:val="004E1800"/>
    <w:rsid w:val="004E662E"/>
    <w:rsid w:val="004E71E2"/>
    <w:rsid w:val="004F5438"/>
    <w:rsid w:val="004F6696"/>
    <w:rsid w:val="00500795"/>
    <w:rsid w:val="0050569C"/>
    <w:rsid w:val="005075AB"/>
    <w:rsid w:val="005103AD"/>
    <w:rsid w:val="005107E8"/>
    <w:rsid w:val="00512B0A"/>
    <w:rsid w:val="005148D9"/>
    <w:rsid w:val="00514B53"/>
    <w:rsid w:val="00514DA6"/>
    <w:rsid w:val="00516B7E"/>
    <w:rsid w:val="00516D0E"/>
    <w:rsid w:val="00524C37"/>
    <w:rsid w:val="0052561A"/>
    <w:rsid w:val="00527AA9"/>
    <w:rsid w:val="00536D5E"/>
    <w:rsid w:val="00537C34"/>
    <w:rsid w:val="00545C7C"/>
    <w:rsid w:val="00550EF3"/>
    <w:rsid w:val="00553D4F"/>
    <w:rsid w:val="005600D9"/>
    <w:rsid w:val="005714C6"/>
    <w:rsid w:val="00571C9F"/>
    <w:rsid w:val="00576803"/>
    <w:rsid w:val="0058065C"/>
    <w:rsid w:val="005850DA"/>
    <w:rsid w:val="00590277"/>
    <w:rsid w:val="00591A42"/>
    <w:rsid w:val="00593D6F"/>
    <w:rsid w:val="00594875"/>
    <w:rsid w:val="0059518B"/>
    <w:rsid w:val="005B488E"/>
    <w:rsid w:val="005C0AF3"/>
    <w:rsid w:val="005C7794"/>
    <w:rsid w:val="005C789B"/>
    <w:rsid w:val="005D0C15"/>
    <w:rsid w:val="005D1713"/>
    <w:rsid w:val="005D6221"/>
    <w:rsid w:val="005D79C2"/>
    <w:rsid w:val="005E27FF"/>
    <w:rsid w:val="005F0457"/>
    <w:rsid w:val="005F128F"/>
    <w:rsid w:val="005F2251"/>
    <w:rsid w:val="005F30E6"/>
    <w:rsid w:val="005F75FC"/>
    <w:rsid w:val="006062FC"/>
    <w:rsid w:val="006149D1"/>
    <w:rsid w:val="00622205"/>
    <w:rsid w:val="0062552D"/>
    <w:rsid w:val="0062643A"/>
    <w:rsid w:val="006267AA"/>
    <w:rsid w:val="006269A9"/>
    <w:rsid w:val="0063146F"/>
    <w:rsid w:val="00632002"/>
    <w:rsid w:val="00632E3B"/>
    <w:rsid w:val="00634CFB"/>
    <w:rsid w:val="00635B08"/>
    <w:rsid w:val="00635B82"/>
    <w:rsid w:val="006405B1"/>
    <w:rsid w:val="00640932"/>
    <w:rsid w:val="006427BB"/>
    <w:rsid w:val="006532F1"/>
    <w:rsid w:val="006579B7"/>
    <w:rsid w:val="00657A42"/>
    <w:rsid w:val="0066079A"/>
    <w:rsid w:val="00660A4D"/>
    <w:rsid w:val="00666A30"/>
    <w:rsid w:val="00672BB8"/>
    <w:rsid w:val="00675665"/>
    <w:rsid w:val="00675F11"/>
    <w:rsid w:val="006832C7"/>
    <w:rsid w:val="00687371"/>
    <w:rsid w:val="00694492"/>
    <w:rsid w:val="00696CD0"/>
    <w:rsid w:val="006A4AF3"/>
    <w:rsid w:val="006A5223"/>
    <w:rsid w:val="006A5A03"/>
    <w:rsid w:val="006B0171"/>
    <w:rsid w:val="006B415E"/>
    <w:rsid w:val="006B4A98"/>
    <w:rsid w:val="006C02D4"/>
    <w:rsid w:val="006C06F7"/>
    <w:rsid w:val="006C698B"/>
    <w:rsid w:val="006D14E3"/>
    <w:rsid w:val="006D2987"/>
    <w:rsid w:val="006D3B02"/>
    <w:rsid w:val="006D4F5C"/>
    <w:rsid w:val="006E0F17"/>
    <w:rsid w:val="006E2F39"/>
    <w:rsid w:val="006E4CD8"/>
    <w:rsid w:val="006E4F4E"/>
    <w:rsid w:val="006E6CAC"/>
    <w:rsid w:val="006E7A4D"/>
    <w:rsid w:val="006F177E"/>
    <w:rsid w:val="006F238A"/>
    <w:rsid w:val="006F329A"/>
    <w:rsid w:val="006F4F8B"/>
    <w:rsid w:val="006F76BB"/>
    <w:rsid w:val="00700D65"/>
    <w:rsid w:val="007136D5"/>
    <w:rsid w:val="007144D4"/>
    <w:rsid w:val="00714682"/>
    <w:rsid w:val="00720BA1"/>
    <w:rsid w:val="00731C2A"/>
    <w:rsid w:val="00733EA5"/>
    <w:rsid w:val="00734EBC"/>
    <w:rsid w:val="00741004"/>
    <w:rsid w:val="007421BB"/>
    <w:rsid w:val="007437FA"/>
    <w:rsid w:val="00755064"/>
    <w:rsid w:val="007647CF"/>
    <w:rsid w:val="00777DBC"/>
    <w:rsid w:val="00780F5E"/>
    <w:rsid w:val="007819E4"/>
    <w:rsid w:val="0078474E"/>
    <w:rsid w:val="00784A0C"/>
    <w:rsid w:val="00794AFF"/>
    <w:rsid w:val="00796C1E"/>
    <w:rsid w:val="00797B1D"/>
    <w:rsid w:val="007A4430"/>
    <w:rsid w:val="007B52E6"/>
    <w:rsid w:val="007B64B6"/>
    <w:rsid w:val="007C5174"/>
    <w:rsid w:val="007C5B98"/>
    <w:rsid w:val="007C642C"/>
    <w:rsid w:val="007C75E9"/>
    <w:rsid w:val="007D6BBA"/>
    <w:rsid w:val="007D6DDE"/>
    <w:rsid w:val="007E2865"/>
    <w:rsid w:val="007E57B7"/>
    <w:rsid w:val="007E6704"/>
    <w:rsid w:val="007F15B6"/>
    <w:rsid w:val="007F1F62"/>
    <w:rsid w:val="007F431F"/>
    <w:rsid w:val="007F4BB4"/>
    <w:rsid w:val="00802265"/>
    <w:rsid w:val="008041CC"/>
    <w:rsid w:val="008122D5"/>
    <w:rsid w:val="00827B9D"/>
    <w:rsid w:val="00830471"/>
    <w:rsid w:val="008312C3"/>
    <w:rsid w:val="00832F11"/>
    <w:rsid w:val="008364FE"/>
    <w:rsid w:val="008442EE"/>
    <w:rsid w:val="008448E0"/>
    <w:rsid w:val="00844AB5"/>
    <w:rsid w:val="008452B0"/>
    <w:rsid w:val="008519B7"/>
    <w:rsid w:val="00855A4B"/>
    <w:rsid w:val="00860307"/>
    <w:rsid w:val="00862137"/>
    <w:rsid w:val="008748E5"/>
    <w:rsid w:val="00875AF7"/>
    <w:rsid w:val="00881FD9"/>
    <w:rsid w:val="00887A4E"/>
    <w:rsid w:val="00887EF1"/>
    <w:rsid w:val="008943DE"/>
    <w:rsid w:val="0089639F"/>
    <w:rsid w:val="008A1857"/>
    <w:rsid w:val="008A5371"/>
    <w:rsid w:val="008A5DDE"/>
    <w:rsid w:val="008B7264"/>
    <w:rsid w:val="008C2607"/>
    <w:rsid w:val="008C3317"/>
    <w:rsid w:val="008C4198"/>
    <w:rsid w:val="008D2347"/>
    <w:rsid w:val="008D7B3B"/>
    <w:rsid w:val="008E1CB6"/>
    <w:rsid w:val="008E3ACE"/>
    <w:rsid w:val="008E5BB7"/>
    <w:rsid w:val="008F37F5"/>
    <w:rsid w:val="008F68B4"/>
    <w:rsid w:val="00905099"/>
    <w:rsid w:val="00905AB7"/>
    <w:rsid w:val="0090685A"/>
    <w:rsid w:val="009077FE"/>
    <w:rsid w:val="0091211C"/>
    <w:rsid w:val="009137C8"/>
    <w:rsid w:val="0091557C"/>
    <w:rsid w:val="0091565D"/>
    <w:rsid w:val="00916D58"/>
    <w:rsid w:val="00927C57"/>
    <w:rsid w:val="00930DCD"/>
    <w:rsid w:val="00932409"/>
    <w:rsid w:val="00936955"/>
    <w:rsid w:val="009371E2"/>
    <w:rsid w:val="00940437"/>
    <w:rsid w:val="00944D39"/>
    <w:rsid w:val="00955104"/>
    <w:rsid w:val="0095690A"/>
    <w:rsid w:val="0095791B"/>
    <w:rsid w:val="00961E20"/>
    <w:rsid w:val="00962EBC"/>
    <w:rsid w:val="00977DDE"/>
    <w:rsid w:val="00977F88"/>
    <w:rsid w:val="00986AB9"/>
    <w:rsid w:val="009928EC"/>
    <w:rsid w:val="00995D8B"/>
    <w:rsid w:val="009A4D5B"/>
    <w:rsid w:val="009A7E0C"/>
    <w:rsid w:val="009B4231"/>
    <w:rsid w:val="009B4CB6"/>
    <w:rsid w:val="009C0F56"/>
    <w:rsid w:val="009C571F"/>
    <w:rsid w:val="009D2559"/>
    <w:rsid w:val="009E18D0"/>
    <w:rsid w:val="009E4698"/>
    <w:rsid w:val="009F0983"/>
    <w:rsid w:val="009F0BF8"/>
    <w:rsid w:val="009F3DBE"/>
    <w:rsid w:val="009F53D7"/>
    <w:rsid w:val="009F6CB4"/>
    <w:rsid w:val="00A05497"/>
    <w:rsid w:val="00A1600E"/>
    <w:rsid w:val="00A2137E"/>
    <w:rsid w:val="00A26BD5"/>
    <w:rsid w:val="00A27C03"/>
    <w:rsid w:val="00A40B04"/>
    <w:rsid w:val="00A4393D"/>
    <w:rsid w:val="00A47F4D"/>
    <w:rsid w:val="00A51842"/>
    <w:rsid w:val="00A56936"/>
    <w:rsid w:val="00A56D76"/>
    <w:rsid w:val="00A57FAE"/>
    <w:rsid w:val="00A602E5"/>
    <w:rsid w:val="00A61393"/>
    <w:rsid w:val="00A63A64"/>
    <w:rsid w:val="00A65EFD"/>
    <w:rsid w:val="00A710B5"/>
    <w:rsid w:val="00A73146"/>
    <w:rsid w:val="00A812C8"/>
    <w:rsid w:val="00A81564"/>
    <w:rsid w:val="00A93005"/>
    <w:rsid w:val="00A93571"/>
    <w:rsid w:val="00AA3D15"/>
    <w:rsid w:val="00AA3F80"/>
    <w:rsid w:val="00AA4179"/>
    <w:rsid w:val="00AA4759"/>
    <w:rsid w:val="00AA6609"/>
    <w:rsid w:val="00AB2B99"/>
    <w:rsid w:val="00AB4E6E"/>
    <w:rsid w:val="00AB7E76"/>
    <w:rsid w:val="00AC6254"/>
    <w:rsid w:val="00AD1F36"/>
    <w:rsid w:val="00AD383D"/>
    <w:rsid w:val="00AE33FA"/>
    <w:rsid w:val="00AF139A"/>
    <w:rsid w:val="00AF37F9"/>
    <w:rsid w:val="00AF5237"/>
    <w:rsid w:val="00B00D6E"/>
    <w:rsid w:val="00B02457"/>
    <w:rsid w:val="00B03B17"/>
    <w:rsid w:val="00B14C71"/>
    <w:rsid w:val="00B160A7"/>
    <w:rsid w:val="00B22464"/>
    <w:rsid w:val="00B22FDF"/>
    <w:rsid w:val="00B315A0"/>
    <w:rsid w:val="00B324B8"/>
    <w:rsid w:val="00B338FC"/>
    <w:rsid w:val="00B33AB9"/>
    <w:rsid w:val="00B41A88"/>
    <w:rsid w:val="00B4206F"/>
    <w:rsid w:val="00B44BAB"/>
    <w:rsid w:val="00B47A75"/>
    <w:rsid w:val="00B47FC8"/>
    <w:rsid w:val="00B51A9A"/>
    <w:rsid w:val="00B53166"/>
    <w:rsid w:val="00B55E8C"/>
    <w:rsid w:val="00B5767C"/>
    <w:rsid w:val="00B57A2E"/>
    <w:rsid w:val="00B73C25"/>
    <w:rsid w:val="00B775B2"/>
    <w:rsid w:val="00B9261C"/>
    <w:rsid w:val="00B97211"/>
    <w:rsid w:val="00BA09D8"/>
    <w:rsid w:val="00BA0EDA"/>
    <w:rsid w:val="00BA44C1"/>
    <w:rsid w:val="00BA4FBE"/>
    <w:rsid w:val="00BB02B5"/>
    <w:rsid w:val="00BB6594"/>
    <w:rsid w:val="00BC00C6"/>
    <w:rsid w:val="00BC0C82"/>
    <w:rsid w:val="00BC3F5B"/>
    <w:rsid w:val="00BD4C3D"/>
    <w:rsid w:val="00BD5EBB"/>
    <w:rsid w:val="00BD6031"/>
    <w:rsid w:val="00BE3320"/>
    <w:rsid w:val="00BF0B3D"/>
    <w:rsid w:val="00BF12BF"/>
    <w:rsid w:val="00BF40E6"/>
    <w:rsid w:val="00BF7708"/>
    <w:rsid w:val="00C033CB"/>
    <w:rsid w:val="00C10FF1"/>
    <w:rsid w:val="00C1505B"/>
    <w:rsid w:val="00C2273B"/>
    <w:rsid w:val="00C269D5"/>
    <w:rsid w:val="00C30769"/>
    <w:rsid w:val="00C32475"/>
    <w:rsid w:val="00C33322"/>
    <w:rsid w:val="00C43AB8"/>
    <w:rsid w:val="00C43DE3"/>
    <w:rsid w:val="00C45D14"/>
    <w:rsid w:val="00C45E31"/>
    <w:rsid w:val="00C46C4A"/>
    <w:rsid w:val="00C518C1"/>
    <w:rsid w:val="00C6522B"/>
    <w:rsid w:val="00C674CC"/>
    <w:rsid w:val="00C737B9"/>
    <w:rsid w:val="00C7658A"/>
    <w:rsid w:val="00C76AD5"/>
    <w:rsid w:val="00C8352B"/>
    <w:rsid w:val="00C83B53"/>
    <w:rsid w:val="00C94F49"/>
    <w:rsid w:val="00CB345F"/>
    <w:rsid w:val="00CB6A7C"/>
    <w:rsid w:val="00CC06AE"/>
    <w:rsid w:val="00CD15C3"/>
    <w:rsid w:val="00CD79A6"/>
    <w:rsid w:val="00CE0322"/>
    <w:rsid w:val="00CE08EC"/>
    <w:rsid w:val="00CE2364"/>
    <w:rsid w:val="00CE3E65"/>
    <w:rsid w:val="00CE6B13"/>
    <w:rsid w:val="00CF3BB1"/>
    <w:rsid w:val="00D01E26"/>
    <w:rsid w:val="00D02D3F"/>
    <w:rsid w:val="00D04305"/>
    <w:rsid w:val="00D0445A"/>
    <w:rsid w:val="00D170A9"/>
    <w:rsid w:val="00D22C6D"/>
    <w:rsid w:val="00D253B1"/>
    <w:rsid w:val="00D25567"/>
    <w:rsid w:val="00D32B66"/>
    <w:rsid w:val="00D42685"/>
    <w:rsid w:val="00D46CD8"/>
    <w:rsid w:val="00D51CAD"/>
    <w:rsid w:val="00D56030"/>
    <w:rsid w:val="00D566D0"/>
    <w:rsid w:val="00D5766C"/>
    <w:rsid w:val="00D57A96"/>
    <w:rsid w:val="00D642F7"/>
    <w:rsid w:val="00D654F4"/>
    <w:rsid w:val="00D70399"/>
    <w:rsid w:val="00D71D27"/>
    <w:rsid w:val="00D839BD"/>
    <w:rsid w:val="00D96559"/>
    <w:rsid w:val="00D96D11"/>
    <w:rsid w:val="00D96F5A"/>
    <w:rsid w:val="00DA0605"/>
    <w:rsid w:val="00DA238F"/>
    <w:rsid w:val="00DA37FA"/>
    <w:rsid w:val="00DA63BA"/>
    <w:rsid w:val="00DB099F"/>
    <w:rsid w:val="00DB3452"/>
    <w:rsid w:val="00DB4BEF"/>
    <w:rsid w:val="00DB705E"/>
    <w:rsid w:val="00DC2BC9"/>
    <w:rsid w:val="00DC2EEB"/>
    <w:rsid w:val="00DC3CC2"/>
    <w:rsid w:val="00DC6FAA"/>
    <w:rsid w:val="00DD02BF"/>
    <w:rsid w:val="00DE2495"/>
    <w:rsid w:val="00DE4A7D"/>
    <w:rsid w:val="00DF0F27"/>
    <w:rsid w:val="00DF2CB9"/>
    <w:rsid w:val="00DF558E"/>
    <w:rsid w:val="00E03311"/>
    <w:rsid w:val="00E05B84"/>
    <w:rsid w:val="00E05FD6"/>
    <w:rsid w:val="00E0636C"/>
    <w:rsid w:val="00E07C29"/>
    <w:rsid w:val="00E10BDD"/>
    <w:rsid w:val="00E15D7F"/>
    <w:rsid w:val="00E22797"/>
    <w:rsid w:val="00E26677"/>
    <w:rsid w:val="00E278D8"/>
    <w:rsid w:val="00E306E1"/>
    <w:rsid w:val="00E314AB"/>
    <w:rsid w:val="00E3325C"/>
    <w:rsid w:val="00E352A8"/>
    <w:rsid w:val="00E4017F"/>
    <w:rsid w:val="00E4181E"/>
    <w:rsid w:val="00E47184"/>
    <w:rsid w:val="00E530A0"/>
    <w:rsid w:val="00E558A1"/>
    <w:rsid w:val="00E578D9"/>
    <w:rsid w:val="00E57A3F"/>
    <w:rsid w:val="00E644B6"/>
    <w:rsid w:val="00E670F3"/>
    <w:rsid w:val="00E67F4C"/>
    <w:rsid w:val="00E67F89"/>
    <w:rsid w:val="00E70EC6"/>
    <w:rsid w:val="00E71C25"/>
    <w:rsid w:val="00E74095"/>
    <w:rsid w:val="00E8054B"/>
    <w:rsid w:val="00E83305"/>
    <w:rsid w:val="00E84EC5"/>
    <w:rsid w:val="00E91A2E"/>
    <w:rsid w:val="00EA284C"/>
    <w:rsid w:val="00EA41DF"/>
    <w:rsid w:val="00EB2317"/>
    <w:rsid w:val="00EC5F42"/>
    <w:rsid w:val="00ED0A61"/>
    <w:rsid w:val="00ED651C"/>
    <w:rsid w:val="00ED67EB"/>
    <w:rsid w:val="00ED78BB"/>
    <w:rsid w:val="00EE27D9"/>
    <w:rsid w:val="00EF208A"/>
    <w:rsid w:val="00EF37F1"/>
    <w:rsid w:val="00EF4086"/>
    <w:rsid w:val="00EF5DD1"/>
    <w:rsid w:val="00EF7A1D"/>
    <w:rsid w:val="00EF7B66"/>
    <w:rsid w:val="00F05304"/>
    <w:rsid w:val="00F10C9C"/>
    <w:rsid w:val="00F11487"/>
    <w:rsid w:val="00F1151D"/>
    <w:rsid w:val="00F20FFB"/>
    <w:rsid w:val="00F22495"/>
    <w:rsid w:val="00F31B28"/>
    <w:rsid w:val="00F32233"/>
    <w:rsid w:val="00F32576"/>
    <w:rsid w:val="00F32A1E"/>
    <w:rsid w:val="00F34436"/>
    <w:rsid w:val="00F3540D"/>
    <w:rsid w:val="00F41A41"/>
    <w:rsid w:val="00F421E5"/>
    <w:rsid w:val="00F446D4"/>
    <w:rsid w:val="00F47956"/>
    <w:rsid w:val="00F47FB3"/>
    <w:rsid w:val="00F54193"/>
    <w:rsid w:val="00F55C8F"/>
    <w:rsid w:val="00F60479"/>
    <w:rsid w:val="00F63530"/>
    <w:rsid w:val="00F655BE"/>
    <w:rsid w:val="00F676C6"/>
    <w:rsid w:val="00F7016F"/>
    <w:rsid w:val="00F71545"/>
    <w:rsid w:val="00F71642"/>
    <w:rsid w:val="00F7172D"/>
    <w:rsid w:val="00F735DF"/>
    <w:rsid w:val="00F7534D"/>
    <w:rsid w:val="00F8259D"/>
    <w:rsid w:val="00F83A60"/>
    <w:rsid w:val="00F83B20"/>
    <w:rsid w:val="00F854F2"/>
    <w:rsid w:val="00F857CE"/>
    <w:rsid w:val="00F904A7"/>
    <w:rsid w:val="00F9457A"/>
    <w:rsid w:val="00FA32DC"/>
    <w:rsid w:val="00FA3957"/>
    <w:rsid w:val="00FA7FA7"/>
    <w:rsid w:val="00FB48E9"/>
    <w:rsid w:val="00FB50CB"/>
    <w:rsid w:val="00FC273B"/>
    <w:rsid w:val="00FC35B9"/>
    <w:rsid w:val="00FC6603"/>
    <w:rsid w:val="00FD1011"/>
    <w:rsid w:val="00FD4270"/>
    <w:rsid w:val="00FD6266"/>
    <w:rsid w:val="00FF3475"/>
    <w:rsid w:val="00FF3986"/>
    <w:rsid w:val="00FF489A"/>
    <w:rsid w:val="0105054A"/>
    <w:rsid w:val="01233A9E"/>
    <w:rsid w:val="01270A3C"/>
    <w:rsid w:val="01320784"/>
    <w:rsid w:val="01486DF0"/>
    <w:rsid w:val="0161329F"/>
    <w:rsid w:val="0164409B"/>
    <w:rsid w:val="01785675"/>
    <w:rsid w:val="019B6B2F"/>
    <w:rsid w:val="019F3337"/>
    <w:rsid w:val="01B645DD"/>
    <w:rsid w:val="01B726C9"/>
    <w:rsid w:val="01B92AEC"/>
    <w:rsid w:val="01D92D6B"/>
    <w:rsid w:val="01F30A06"/>
    <w:rsid w:val="01F504C2"/>
    <w:rsid w:val="020277D8"/>
    <w:rsid w:val="020E6E6E"/>
    <w:rsid w:val="02144604"/>
    <w:rsid w:val="021951FF"/>
    <w:rsid w:val="021F14F3"/>
    <w:rsid w:val="022C1CA1"/>
    <w:rsid w:val="02377E77"/>
    <w:rsid w:val="0239303C"/>
    <w:rsid w:val="025A211F"/>
    <w:rsid w:val="025A34EF"/>
    <w:rsid w:val="02680801"/>
    <w:rsid w:val="026F290D"/>
    <w:rsid w:val="02750C3D"/>
    <w:rsid w:val="02767192"/>
    <w:rsid w:val="02783976"/>
    <w:rsid w:val="02832A46"/>
    <w:rsid w:val="028D4AA9"/>
    <w:rsid w:val="029A4DE9"/>
    <w:rsid w:val="02AC4A7C"/>
    <w:rsid w:val="02AE0B1F"/>
    <w:rsid w:val="02AE1145"/>
    <w:rsid w:val="02B1361E"/>
    <w:rsid w:val="02B234AD"/>
    <w:rsid w:val="02BC2489"/>
    <w:rsid w:val="02C86101"/>
    <w:rsid w:val="02D54924"/>
    <w:rsid w:val="02DC0071"/>
    <w:rsid w:val="02F403E5"/>
    <w:rsid w:val="02F6136A"/>
    <w:rsid w:val="030A5E0C"/>
    <w:rsid w:val="030A6CC4"/>
    <w:rsid w:val="03184365"/>
    <w:rsid w:val="031A67DB"/>
    <w:rsid w:val="031D37A8"/>
    <w:rsid w:val="032329F0"/>
    <w:rsid w:val="03246066"/>
    <w:rsid w:val="03281E97"/>
    <w:rsid w:val="033F5682"/>
    <w:rsid w:val="034E307D"/>
    <w:rsid w:val="03645C1F"/>
    <w:rsid w:val="036F4D79"/>
    <w:rsid w:val="036F6414"/>
    <w:rsid w:val="03710AF1"/>
    <w:rsid w:val="03791753"/>
    <w:rsid w:val="03846CF0"/>
    <w:rsid w:val="03926FEA"/>
    <w:rsid w:val="039B7901"/>
    <w:rsid w:val="039F2A22"/>
    <w:rsid w:val="03A50209"/>
    <w:rsid w:val="03A56200"/>
    <w:rsid w:val="03A8256F"/>
    <w:rsid w:val="03B81C32"/>
    <w:rsid w:val="03C31A3C"/>
    <w:rsid w:val="03CE6E4F"/>
    <w:rsid w:val="03DF5263"/>
    <w:rsid w:val="03DF6BF1"/>
    <w:rsid w:val="03E254DD"/>
    <w:rsid w:val="03E80B29"/>
    <w:rsid w:val="040A5B3F"/>
    <w:rsid w:val="04114082"/>
    <w:rsid w:val="042B5EE3"/>
    <w:rsid w:val="043405C3"/>
    <w:rsid w:val="04363AE8"/>
    <w:rsid w:val="04417D9B"/>
    <w:rsid w:val="045375A5"/>
    <w:rsid w:val="047C3553"/>
    <w:rsid w:val="0488627D"/>
    <w:rsid w:val="048E38FE"/>
    <w:rsid w:val="04AE18D1"/>
    <w:rsid w:val="04B23610"/>
    <w:rsid w:val="04BB3BF5"/>
    <w:rsid w:val="04BD0C27"/>
    <w:rsid w:val="04C25439"/>
    <w:rsid w:val="04D649BC"/>
    <w:rsid w:val="04F433AE"/>
    <w:rsid w:val="04F8279E"/>
    <w:rsid w:val="04FE4257"/>
    <w:rsid w:val="050B4848"/>
    <w:rsid w:val="05152434"/>
    <w:rsid w:val="051E4003"/>
    <w:rsid w:val="05241B93"/>
    <w:rsid w:val="05264E82"/>
    <w:rsid w:val="052B2A0B"/>
    <w:rsid w:val="05432867"/>
    <w:rsid w:val="05566728"/>
    <w:rsid w:val="055E32F7"/>
    <w:rsid w:val="056F0AF9"/>
    <w:rsid w:val="05740424"/>
    <w:rsid w:val="05790C90"/>
    <w:rsid w:val="0596071C"/>
    <w:rsid w:val="05AD1B88"/>
    <w:rsid w:val="05C94C5E"/>
    <w:rsid w:val="05CC2C17"/>
    <w:rsid w:val="05E17347"/>
    <w:rsid w:val="05FF4902"/>
    <w:rsid w:val="06035AEF"/>
    <w:rsid w:val="060644F0"/>
    <w:rsid w:val="061D0142"/>
    <w:rsid w:val="06285D29"/>
    <w:rsid w:val="06343A40"/>
    <w:rsid w:val="063D4DB4"/>
    <w:rsid w:val="06420AD1"/>
    <w:rsid w:val="0670363F"/>
    <w:rsid w:val="06734E3D"/>
    <w:rsid w:val="06785BA0"/>
    <w:rsid w:val="067B12AA"/>
    <w:rsid w:val="069D7E4F"/>
    <w:rsid w:val="06A2538A"/>
    <w:rsid w:val="06A92350"/>
    <w:rsid w:val="06B5558D"/>
    <w:rsid w:val="06C73CF4"/>
    <w:rsid w:val="06CA1CAF"/>
    <w:rsid w:val="07097292"/>
    <w:rsid w:val="07247C28"/>
    <w:rsid w:val="0728380E"/>
    <w:rsid w:val="07304ED7"/>
    <w:rsid w:val="0740377E"/>
    <w:rsid w:val="0748600C"/>
    <w:rsid w:val="07500A1D"/>
    <w:rsid w:val="07564F78"/>
    <w:rsid w:val="07614A6C"/>
    <w:rsid w:val="076970E2"/>
    <w:rsid w:val="076A2C4D"/>
    <w:rsid w:val="07723E8A"/>
    <w:rsid w:val="0773068B"/>
    <w:rsid w:val="078D3F30"/>
    <w:rsid w:val="079110FC"/>
    <w:rsid w:val="07AF3996"/>
    <w:rsid w:val="07B44FC4"/>
    <w:rsid w:val="07B55825"/>
    <w:rsid w:val="07B8399D"/>
    <w:rsid w:val="07DA431D"/>
    <w:rsid w:val="07F749FD"/>
    <w:rsid w:val="081B102B"/>
    <w:rsid w:val="08326375"/>
    <w:rsid w:val="08480491"/>
    <w:rsid w:val="084A0EA6"/>
    <w:rsid w:val="085D4644"/>
    <w:rsid w:val="086A7F4C"/>
    <w:rsid w:val="08765FC2"/>
    <w:rsid w:val="08766BA9"/>
    <w:rsid w:val="087B7FED"/>
    <w:rsid w:val="087C52A8"/>
    <w:rsid w:val="087D2DE3"/>
    <w:rsid w:val="08883F65"/>
    <w:rsid w:val="088D6498"/>
    <w:rsid w:val="08924A46"/>
    <w:rsid w:val="089C2D35"/>
    <w:rsid w:val="08C82978"/>
    <w:rsid w:val="08EF4061"/>
    <w:rsid w:val="09024EA5"/>
    <w:rsid w:val="091E7AFC"/>
    <w:rsid w:val="09292A93"/>
    <w:rsid w:val="094670EB"/>
    <w:rsid w:val="094B1222"/>
    <w:rsid w:val="09523C57"/>
    <w:rsid w:val="095C586C"/>
    <w:rsid w:val="096C65C2"/>
    <w:rsid w:val="09772BD9"/>
    <w:rsid w:val="09773E97"/>
    <w:rsid w:val="0978148C"/>
    <w:rsid w:val="097B30E9"/>
    <w:rsid w:val="09857003"/>
    <w:rsid w:val="09B41B22"/>
    <w:rsid w:val="09C53A8B"/>
    <w:rsid w:val="09CB2C4A"/>
    <w:rsid w:val="09CF48F2"/>
    <w:rsid w:val="09DD5906"/>
    <w:rsid w:val="09E10D43"/>
    <w:rsid w:val="09F27F5D"/>
    <w:rsid w:val="09F57E5C"/>
    <w:rsid w:val="09F71624"/>
    <w:rsid w:val="09F81E67"/>
    <w:rsid w:val="09FE10F0"/>
    <w:rsid w:val="09FE196B"/>
    <w:rsid w:val="0A022554"/>
    <w:rsid w:val="0A02698B"/>
    <w:rsid w:val="0A047BF6"/>
    <w:rsid w:val="0A293CBB"/>
    <w:rsid w:val="0A2B7F7B"/>
    <w:rsid w:val="0A2E5BC4"/>
    <w:rsid w:val="0A387155"/>
    <w:rsid w:val="0A3A40B5"/>
    <w:rsid w:val="0A3B7033"/>
    <w:rsid w:val="0A4031D7"/>
    <w:rsid w:val="0A4F62B1"/>
    <w:rsid w:val="0A5A6688"/>
    <w:rsid w:val="0A747D3C"/>
    <w:rsid w:val="0A7C7363"/>
    <w:rsid w:val="0A8A693C"/>
    <w:rsid w:val="0A8C50C9"/>
    <w:rsid w:val="0AA56771"/>
    <w:rsid w:val="0AAF18A9"/>
    <w:rsid w:val="0ABC7334"/>
    <w:rsid w:val="0ACB34C4"/>
    <w:rsid w:val="0AEC5221"/>
    <w:rsid w:val="0AF55D55"/>
    <w:rsid w:val="0AFB24E5"/>
    <w:rsid w:val="0B064214"/>
    <w:rsid w:val="0B123871"/>
    <w:rsid w:val="0B211E9C"/>
    <w:rsid w:val="0B2430BA"/>
    <w:rsid w:val="0B4268E1"/>
    <w:rsid w:val="0B4D2798"/>
    <w:rsid w:val="0B57692B"/>
    <w:rsid w:val="0B6266CA"/>
    <w:rsid w:val="0B630237"/>
    <w:rsid w:val="0B74045A"/>
    <w:rsid w:val="0B744BD6"/>
    <w:rsid w:val="0B7C03A7"/>
    <w:rsid w:val="0B8D3CC8"/>
    <w:rsid w:val="0B90572B"/>
    <w:rsid w:val="0BA13F4A"/>
    <w:rsid w:val="0BAA5E29"/>
    <w:rsid w:val="0BB87166"/>
    <w:rsid w:val="0BC44089"/>
    <w:rsid w:val="0BDC6B84"/>
    <w:rsid w:val="0BE45428"/>
    <w:rsid w:val="0BE578E4"/>
    <w:rsid w:val="0BE744AB"/>
    <w:rsid w:val="0BF73B5D"/>
    <w:rsid w:val="0BFD056B"/>
    <w:rsid w:val="0C092F31"/>
    <w:rsid w:val="0C172CE8"/>
    <w:rsid w:val="0C215FF4"/>
    <w:rsid w:val="0C360518"/>
    <w:rsid w:val="0C3968FC"/>
    <w:rsid w:val="0C3D6BC5"/>
    <w:rsid w:val="0C497993"/>
    <w:rsid w:val="0C4A13B6"/>
    <w:rsid w:val="0C602367"/>
    <w:rsid w:val="0C605BA6"/>
    <w:rsid w:val="0C73257B"/>
    <w:rsid w:val="0C794484"/>
    <w:rsid w:val="0CA830A9"/>
    <w:rsid w:val="0CC702DE"/>
    <w:rsid w:val="0CCD6DFA"/>
    <w:rsid w:val="0CE2242A"/>
    <w:rsid w:val="0CE62E50"/>
    <w:rsid w:val="0CF41AAA"/>
    <w:rsid w:val="0CF810B2"/>
    <w:rsid w:val="0D051AEA"/>
    <w:rsid w:val="0D0A37DF"/>
    <w:rsid w:val="0D0D6E72"/>
    <w:rsid w:val="0D103128"/>
    <w:rsid w:val="0D20515F"/>
    <w:rsid w:val="0D215B97"/>
    <w:rsid w:val="0D3E3AC5"/>
    <w:rsid w:val="0D5867A2"/>
    <w:rsid w:val="0D7B07C7"/>
    <w:rsid w:val="0D86333C"/>
    <w:rsid w:val="0DA35A04"/>
    <w:rsid w:val="0DA41AC3"/>
    <w:rsid w:val="0DA91070"/>
    <w:rsid w:val="0DAF6044"/>
    <w:rsid w:val="0DB8649B"/>
    <w:rsid w:val="0DBB7AD5"/>
    <w:rsid w:val="0DCD2DC7"/>
    <w:rsid w:val="0DD1743B"/>
    <w:rsid w:val="0DD56120"/>
    <w:rsid w:val="0DDD4050"/>
    <w:rsid w:val="0DEB2CA3"/>
    <w:rsid w:val="0DEB3061"/>
    <w:rsid w:val="0DF30354"/>
    <w:rsid w:val="0DFD0F80"/>
    <w:rsid w:val="0E0654AB"/>
    <w:rsid w:val="0E0C6E19"/>
    <w:rsid w:val="0E3521DC"/>
    <w:rsid w:val="0E3815DC"/>
    <w:rsid w:val="0E6352A9"/>
    <w:rsid w:val="0E6F3E7F"/>
    <w:rsid w:val="0E800343"/>
    <w:rsid w:val="0E803250"/>
    <w:rsid w:val="0E8E3A57"/>
    <w:rsid w:val="0E950B6B"/>
    <w:rsid w:val="0E950C83"/>
    <w:rsid w:val="0E99714E"/>
    <w:rsid w:val="0EB91AFD"/>
    <w:rsid w:val="0ED93D57"/>
    <w:rsid w:val="0ED97568"/>
    <w:rsid w:val="0EE13979"/>
    <w:rsid w:val="0EE3309C"/>
    <w:rsid w:val="0EFD76DC"/>
    <w:rsid w:val="0F01062B"/>
    <w:rsid w:val="0F116234"/>
    <w:rsid w:val="0F122ED4"/>
    <w:rsid w:val="0F193A86"/>
    <w:rsid w:val="0F296B97"/>
    <w:rsid w:val="0F547485"/>
    <w:rsid w:val="0F562857"/>
    <w:rsid w:val="0F7E4646"/>
    <w:rsid w:val="0FB32491"/>
    <w:rsid w:val="0FC408E7"/>
    <w:rsid w:val="0FCC58C9"/>
    <w:rsid w:val="0FCE5BF0"/>
    <w:rsid w:val="0FD1637F"/>
    <w:rsid w:val="0FDF0019"/>
    <w:rsid w:val="0FE50EF5"/>
    <w:rsid w:val="0FEB2AA4"/>
    <w:rsid w:val="0FF61ABA"/>
    <w:rsid w:val="0FF97804"/>
    <w:rsid w:val="10202610"/>
    <w:rsid w:val="10256DBD"/>
    <w:rsid w:val="10470429"/>
    <w:rsid w:val="104A76C8"/>
    <w:rsid w:val="105B53E4"/>
    <w:rsid w:val="10804E89"/>
    <w:rsid w:val="108261F9"/>
    <w:rsid w:val="108720D4"/>
    <w:rsid w:val="108723E9"/>
    <w:rsid w:val="108E1315"/>
    <w:rsid w:val="10A9126F"/>
    <w:rsid w:val="10AA7D4E"/>
    <w:rsid w:val="10AE7DB3"/>
    <w:rsid w:val="10B816BE"/>
    <w:rsid w:val="10D030C7"/>
    <w:rsid w:val="10F81694"/>
    <w:rsid w:val="1109680C"/>
    <w:rsid w:val="11173A54"/>
    <w:rsid w:val="11226993"/>
    <w:rsid w:val="112C7DF0"/>
    <w:rsid w:val="1133612D"/>
    <w:rsid w:val="1134315E"/>
    <w:rsid w:val="11373EB7"/>
    <w:rsid w:val="114F36F3"/>
    <w:rsid w:val="11536BDE"/>
    <w:rsid w:val="115A12A8"/>
    <w:rsid w:val="116135BF"/>
    <w:rsid w:val="11616E90"/>
    <w:rsid w:val="116B779F"/>
    <w:rsid w:val="116C1DA2"/>
    <w:rsid w:val="11720733"/>
    <w:rsid w:val="11781597"/>
    <w:rsid w:val="118063A3"/>
    <w:rsid w:val="11814379"/>
    <w:rsid w:val="1198286B"/>
    <w:rsid w:val="11AB539F"/>
    <w:rsid w:val="11D1624A"/>
    <w:rsid w:val="11DB4820"/>
    <w:rsid w:val="11E162AC"/>
    <w:rsid w:val="11E255C3"/>
    <w:rsid w:val="11E3067D"/>
    <w:rsid w:val="121432DD"/>
    <w:rsid w:val="12321767"/>
    <w:rsid w:val="12503389"/>
    <w:rsid w:val="125C7CD4"/>
    <w:rsid w:val="126D1456"/>
    <w:rsid w:val="1279178D"/>
    <w:rsid w:val="128F1B00"/>
    <w:rsid w:val="12A307BB"/>
    <w:rsid w:val="12B02035"/>
    <w:rsid w:val="12B5198C"/>
    <w:rsid w:val="12C203D9"/>
    <w:rsid w:val="12E20029"/>
    <w:rsid w:val="12E6250F"/>
    <w:rsid w:val="130354DD"/>
    <w:rsid w:val="137837D5"/>
    <w:rsid w:val="137B53A4"/>
    <w:rsid w:val="138E3D33"/>
    <w:rsid w:val="13A03813"/>
    <w:rsid w:val="13A04ADA"/>
    <w:rsid w:val="13A97AD1"/>
    <w:rsid w:val="13AC70B0"/>
    <w:rsid w:val="13B35882"/>
    <w:rsid w:val="13B53F40"/>
    <w:rsid w:val="13B65166"/>
    <w:rsid w:val="13C24313"/>
    <w:rsid w:val="13C96385"/>
    <w:rsid w:val="13CB021B"/>
    <w:rsid w:val="13FB2D35"/>
    <w:rsid w:val="14404A34"/>
    <w:rsid w:val="14480E52"/>
    <w:rsid w:val="145304E8"/>
    <w:rsid w:val="145C41CB"/>
    <w:rsid w:val="146D0E60"/>
    <w:rsid w:val="146E5B23"/>
    <w:rsid w:val="14701D1D"/>
    <w:rsid w:val="14B307B0"/>
    <w:rsid w:val="14B46BD7"/>
    <w:rsid w:val="14C579FF"/>
    <w:rsid w:val="14D03F9B"/>
    <w:rsid w:val="14E37AA0"/>
    <w:rsid w:val="14E54E9B"/>
    <w:rsid w:val="15096D11"/>
    <w:rsid w:val="152139F9"/>
    <w:rsid w:val="1527739C"/>
    <w:rsid w:val="152D2D5E"/>
    <w:rsid w:val="15306BD1"/>
    <w:rsid w:val="15383527"/>
    <w:rsid w:val="15404661"/>
    <w:rsid w:val="15405A0B"/>
    <w:rsid w:val="15420170"/>
    <w:rsid w:val="15443D2E"/>
    <w:rsid w:val="154D7140"/>
    <w:rsid w:val="15517A81"/>
    <w:rsid w:val="155474D7"/>
    <w:rsid w:val="1571763A"/>
    <w:rsid w:val="159B78F7"/>
    <w:rsid w:val="15A22908"/>
    <w:rsid w:val="15A861FD"/>
    <w:rsid w:val="15AA6BAB"/>
    <w:rsid w:val="15C214E5"/>
    <w:rsid w:val="15C602C2"/>
    <w:rsid w:val="15C96E3F"/>
    <w:rsid w:val="15CE07FC"/>
    <w:rsid w:val="15D24894"/>
    <w:rsid w:val="15D867AD"/>
    <w:rsid w:val="15D9628B"/>
    <w:rsid w:val="15DE5A70"/>
    <w:rsid w:val="15E32DD9"/>
    <w:rsid w:val="15E92F6A"/>
    <w:rsid w:val="15EA48CE"/>
    <w:rsid w:val="15EB3A81"/>
    <w:rsid w:val="15ED7E9E"/>
    <w:rsid w:val="16023A7F"/>
    <w:rsid w:val="160A0CA2"/>
    <w:rsid w:val="16134C45"/>
    <w:rsid w:val="161450EC"/>
    <w:rsid w:val="161B58D5"/>
    <w:rsid w:val="161C0D90"/>
    <w:rsid w:val="16493707"/>
    <w:rsid w:val="16496001"/>
    <w:rsid w:val="167E42F4"/>
    <w:rsid w:val="168B5765"/>
    <w:rsid w:val="168C7ECD"/>
    <w:rsid w:val="168D108C"/>
    <w:rsid w:val="168F66FB"/>
    <w:rsid w:val="169D35D5"/>
    <w:rsid w:val="16A83770"/>
    <w:rsid w:val="16B123C0"/>
    <w:rsid w:val="16B62898"/>
    <w:rsid w:val="16B71743"/>
    <w:rsid w:val="16BA172A"/>
    <w:rsid w:val="16BD2641"/>
    <w:rsid w:val="16C3745D"/>
    <w:rsid w:val="16D653DE"/>
    <w:rsid w:val="16DF33A1"/>
    <w:rsid w:val="16EB42BE"/>
    <w:rsid w:val="17175B8A"/>
    <w:rsid w:val="1719707D"/>
    <w:rsid w:val="173614C4"/>
    <w:rsid w:val="173A24A9"/>
    <w:rsid w:val="173C715C"/>
    <w:rsid w:val="173D7D39"/>
    <w:rsid w:val="17496AFF"/>
    <w:rsid w:val="174B097D"/>
    <w:rsid w:val="1750464D"/>
    <w:rsid w:val="17553201"/>
    <w:rsid w:val="17632571"/>
    <w:rsid w:val="17733345"/>
    <w:rsid w:val="177F5AEF"/>
    <w:rsid w:val="17824086"/>
    <w:rsid w:val="178A3AD7"/>
    <w:rsid w:val="17B56DA8"/>
    <w:rsid w:val="17C46B8A"/>
    <w:rsid w:val="17E0335D"/>
    <w:rsid w:val="17EA1C15"/>
    <w:rsid w:val="181D7806"/>
    <w:rsid w:val="18277578"/>
    <w:rsid w:val="184D4325"/>
    <w:rsid w:val="185C378B"/>
    <w:rsid w:val="185D57FE"/>
    <w:rsid w:val="188029C6"/>
    <w:rsid w:val="18882A52"/>
    <w:rsid w:val="188941A3"/>
    <w:rsid w:val="18A84B5D"/>
    <w:rsid w:val="18AC4909"/>
    <w:rsid w:val="18C06E17"/>
    <w:rsid w:val="18C809B6"/>
    <w:rsid w:val="18CC5C0E"/>
    <w:rsid w:val="190B01A6"/>
    <w:rsid w:val="19130F62"/>
    <w:rsid w:val="19173BE5"/>
    <w:rsid w:val="192A5E4C"/>
    <w:rsid w:val="19327584"/>
    <w:rsid w:val="193C2BBE"/>
    <w:rsid w:val="1942731B"/>
    <w:rsid w:val="1955237D"/>
    <w:rsid w:val="196229FF"/>
    <w:rsid w:val="196866F1"/>
    <w:rsid w:val="196B45FE"/>
    <w:rsid w:val="196F74B1"/>
    <w:rsid w:val="197B7B7C"/>
    <w:rsid w:val="197C2433"/>
    <w:rsid w:val="197C4F87"/>
    <w:rsid w:val="19852ACB"/>
    <w:rsid w:val="19904D0E"/>
    <w:rsid w:val="199E0A26"/>
    <w:rsid w:val="19AF22C6"/>
    <w:rsid w:val="19B02BE4"/>
    <w:rsid w:val="19B14F4D"/>
    <w:rsid w:val="19BB1243"/>
    <w:rsid w:val="19CD7DE2"/>
    <w:rsid w:val="19D509D9"/>
    <w:rsid w:val="19EA1858"/>
    <w:rsid w:val="19F10A4D"/>
    <w:rsid w:val="19F257B0"/>
    <w:rsid w:val="1A1815DD"/>
    <w:rsid w:val="1A1C7FE3"/>
    <w:rsid w:val="1A1F56C0"/>
    <w:rsid w:val="1A2B4C0F"/>
    <w:rsid w:val="1A314705"/>
    <w:rsid w:val="1A5D762F"/>
    <w:rsid w:val="1A7D7923"/>
    <w:rsid w:val="1A9D2629"/>
    <w:rsid w:val="1AC47300"/>
    <w:rsid w:val="1ACA49BF"/>
    <w:rsid w:val="1AD37DAC"/>
    <w:rsid w:val="1AEE0821"/>
    <w:rsid w:val="1AEF55CE"/>
    <w:rsid w:val="1AF4095A"/>
    <w:rsid w:val="1B090778"/>
    <w:rsid w:val="1B252495"/>
    <w:rsid w:val="1B256672"/>
    <w:rsid w:val="1B3E6B3A"/>
    <w:rsid w:val="1B3F107D"/>
    <w:rsid w:val="1B467F69"/>
    <w:rsid w:val="1B6260FC"/>
    <w:rsid w:val="1B9645D8"/>
    <w:rsid w:val="1B980E95"/>
    <w:rsid w:val="1B983EAE"/>
    <w:rsid w:val="1BA4415C"/>
    <w:rsid w:val="1BC26013"/>
    <w:rsid w:val="1BCA76D7"/>
    <w:rsid w:val="1BDE43F2"/>
    <w:rsid w:val="1BEB27DD"/>
    <w:rsid w:val="1BFE4A94"/>
    <w:rsid w:val="1C0227D6"/>
    <w:rsid w:val="1C093B64"/>
    <w:rsid w:val="1C185B56"/>
    <w:rsid w:val="1C2516BD"/>
    <w:rsid w:val="1C2970D9"/>
    <w:rsid w:val="1C2C57C5"/>
    <w:rsid w:val="1C387059"/>
    <w:rsid w:val="1C4353EA"/>
    <w:rsid w:val="1C4F6C7E"/>
    <w:rsid w:val="1C6D46EB"/>
    <w:rsid w:val="1C7D46F8"/>
    <w:rsid w:val="1C8409D2"/>
    <w:rsid w:val="1C8800DD"/>
    <w:rsid w:val="1C971214"/>
    <w:rsid w:val="1CA23C37"/>
    <w:rsid w:val="1CA64E2E"/>
    <w:rsid w:val="1CB515F6"/>
    <w:rsid w:val="1CCC13FF"/>
    <w:rsid w:val="1CD37257"/>
    <w:rsid w:val="1CD862EA"/>
    <w:rsid w:val="1CDC5687"/>
    <w:rsid w:val="1CE0256D"/>
    <w:rsid w:val="1CF06807"/>
    <w:rsid w:val="1CF63F94"/>
    <w:rsid w:val="1CFD7BA1"/>
    <w:rsid w:val="1D04508F"/>
    <w:rsid w:val="1D182C46"/>
    <w:rsid w:val="1D235F26"/>
    <w:rsid w:val="1D246AEC"/>
    <w:rsid w:val="1D295BFC"/>
    <w:rsid w:val="1D2D6B91"/>
    <w:rsid w:val="1D310FA2"/>
    <w:rsid w:val="1D476E84"/>
    <w:rsid w:val="1D492ACF"/>
    <w:rsid w:val="1D4C29BD"/>
    <w:rsid w:val="1D5C56AB"/>
    <w:rsid w:val="1D6A1C09"/>
    <w:rsid w:val="1D7070B5"/>
    <w:rsid w:val="1D8D1F09"/>
    <w:rsid w:val="1DBC298E"/>
    <w:rsid w:val="1DC47A3D"/>
    <w:rsid w:val="1DCA5D82"/>
    <w:rsid w:val="1DD61505"/>
    <w:rsid w:val="1DDA4FCF"/>
    <w:rsid w:val="1DE010B8"/>
    <w:rsid w:val="1DE068F3"/>
    <w:rsid w:val="1DE778AA"/>
    <w:rsid w:val="1DE85B58"/>
    <w:rsid w:val="1DEA3EB8"/>
    <w:rsid w:val="1DF35130"/>
    <w:rsid w:val="1E1A4FF0"/>
    <w:rsid w:val="1E2A3DC6"/>
    <w:rsid w:val="1E2C2CF5"/>
    <w:rsid w:val="1E3E2FDC"/>
    <w:rsid w:val="1E3F1D2A"/>
    <w:rsid w:val="1E4D69E5"/>
    <w:rsid w:val="1E4F7029"/>
    <w:rsid w:val="1E59323C"/>
    <w:rsid w:val="1E5B441F"/>
    <w:rsid w:val="1E6F3504"/>
    <w:rsid w:val="1E776CF0"/>
    <w:rsid w:val="1E785D7F"/>
    <w:rsid w:val="1E7D6B45"/>
    <w:rsid w:val="1E8749F9"/>
    <w:rsid w:val="1E892001"/>
    <w:rsid w:val="1EDE1C8F"/>
    <w:rsid w:val="1EEE0B13"/>
    <w:rsid w:val="1EF70E04"/>
    <w:rsid w:val="1EFD0E66"/>
    <w:rsid w:val="1F135208"/>
    <w:rsid w:val="1F147334"/>
    <w:rsid w:val="1F20730D"/>
    <w:rsid w:val="1F3B6D21"/>
    <w:rsid w:val="1F4338D8"/>
    <w:rsid w:val="1F4D7DF4"/>
    <w:rsid w:val="1F5F38D8"/>
    <w:rsid w:val="1F687621"/>
    <w:rsid w:val="1F7E769F"/>
    <w:rsid w:val="1F845BBC"/>
    <w:rsid w:val="1F8C2BBA"/>
    <w:rsid w:val="1FA6737F"/>
    <w:rsid w:val="1FAA20FF"/>
    <w:rsid w:val="1FC16504"/>
    <w:rsid w:val="1FC60A2A"/>
    <w:rsid w:val="1FE645AE"/>
    <w:rsid w:val="1FE94C78"/>
    <w:rsid w:val="1FED02E1"/>
    <w:rsid w:val="200144BF"/>
    <w:rsid w:val="201C77F2"/>
    <w:rsid w:val="203D50AE"/>
    <w:rsid w:val="203D7274"/>
    <w:rsid w:val="2040413F"/>
    <w:rsid w:val="20480585"/>
    <w:rsid w:val="204B2F55"/>
    <w:rsid w:val="205467FF"/>
    <w:rsid w:val="20560211"/>
    <w:rsid w:val="207721A0"/>
    <w:rsid w:val="20903B62"/>
    <w:rsid w:val="20A23C3E"/>
    <w:rsid w:val="20A63108"/>
    <w:rsid w:val="20AD3893"/>
    <w:rsid w:val="20AE4FA9"/>
    <w:rsid w:val="20C73955"/>
    <w:rsid w:val="20D4037D"/>
    <w:rsid w:val="20DA4B74"/>
    <w:rsid w:val="20E701E6"/>
    <w:rsid w:val="20ED0681"/>
    <w:rsid w:val="21010186"/>
    <w:rsid w:val="210254C5"/>
    <w:rsid w:val="211F257D"/>
    <w:rsid w:val="21430F6D"/>
    <w:rsid w:val="2162762B"/>
    <w:rsid w:val="21783C40"/>
    <w:rsid w:val="218C7DB1"/>
    <w:rsid w:val="218F5242"/>
    <w:rsid w:val="21933ED0"/>
    <w:rsid w:val="21B41081"/>
    <w:rsid w:val="21B70544"/>
    <w:rsid w:val="21D02269"/>
    <w:rsid w:val="220C0B15"/>
    <w:rsid w:val="220F6532"/>
    <w:rsid w:val="22115DF1"/>
    <w:rsid w:val="222B101D"/>
    <w:rsid w:val="223034CD"/>
    <w:rsid w:val="223B076D"/>
    <w:rsid w:val="225F2771"/>
    <w:rsid w:val="226C0386"/>
    <w:rsid w:val="227F4F89"/>
    <w:rsid w:val="2281166C"/>
    <w:rsid w:val="2283651A"/>
    <w:rsid w:val="22877244"/>
    <w:rsid w:val="22900E0F"/>
    <w:rsid w:val="22943A5C"/>
    <w:rsid w:val="22A60BF1"/>
    <w:rsid w:val="22BF31CB"/>
    <w:rsid w:val="22DD6B51"/>
    <w:rsid w:val="22F15563"/>
    <w:rsid w:val="22F8048F"/>
    <w:rsid w:val="230022FA"/>
    <w:rsid w:val="23004132"/>
    <w:rsid w:val="230676AB"/>
    <w:rsid w:val="230A391F"/>
    <w:rsid w:val="230D2835"/>
    <w:rsid w:val="2316449E"/>
    <w:rsid w:val="2335534E"/>
    <w:rsid w:val="2338654C"/>
    <w:rsid w:val="233A7FAB"/>
    <w:rsid w:val="234C576E"/>
    <w:rsid w:val="23580F2E"/>
    <w:rsid w:val="237308A7"/>
    <w:rsid w:val="2387144D"/>
    <w:rsid w:val="238D264B"/>
    <w:rsid w:val="23A06601"/>
    <w:rsid w:val="23A869C5"/>
    <w:rsid w:val="23AB0215"/>
    <w:rsid w:val="23B83CA7"/>
    <w:rsid w:val="23BA136D"/>
    <w:rsid w:val="23BA6BF6"/>
    <w:rsid w:val="23C959D7"/>
    <w:rsid w:val="23D305B4"/>
    <w:rsid w:val="23E401AB"/>
    <w:rsid w:val="24123D90"/>
    <w:rsid w:val="24423C0B"/>
    <w:rsid w:val="24432947"/>
    <w:rsid w:val="24435E0A"/>
    <w:rsid w:val="244F354F"/>
    <w:rsid w:val="24533EA6"/>
    <w:rsid w:val="245473A9"/>
    <w:rsid w:val="24607F03"/>
    <w:rsid w:val="247B0350"/>
    <w:rsid w:val="247F3A70"/>
    <w:rsid w:val="24864D0B"/>
    <w:rsid w:val="24986B99"/>
    <w:rsid w:val="249E2122"/>
    <w:rsid w:val="24AE54B9"/>
    <w:rsid w:val="24B16924"/>
    <w:rsid w:val="24C2020F"/>
    <w:rsid w:val="24C42EE0"/>
    <w:rsid w:val="24CA7C09"/>
    <w:rsid w:val="24D750DE"/>
    <w:rsid w:val="251366CD"/>
    <w:rsid w:val="253730A4"/>
    <w:rsid w:val="25396E0B"/>
    <w:rsid w:val="254C40BE"/>
    <w:rsid w:val="255B5C72"/>
    <w:rsid w:val="255B78D7"/>
    <w:rsid w:val="25730A4C"/>
    <w:rsid w:val="257B2697"/>
    <w:rsid w:val="259C3034"/>
    <w:rsid w:val="25B76FF0"/>
    <w:rsid w:val="25BC7BF5"/>
    <w:rsid w:val="25C15296"/>
    <w:rsid w:val="25C64A49"/>
    <w:rsid w:val="25C93090"/>
    <w:rsid w:val="25E634B4"/>
    <w:rsid w:val="25EB0744"/>
    <w:rsid w:val="25EB372F"/>
    <w:rsid w:val="26073B0F"/>
    <w:rsid w:val="261802A6"/>
    <w:rsid w:val="26192C7A"/>
    <w:rsid w:val="262D42C7"/>
    <w:rsid w:val="263C459D"/>
    <w:rsid w:val="264307F9"/>
    <w:rsid w:val="26477B9E"/>
    <w:rsid w:val="264B1B79"/>
    <w:rsid w:val="26522422"/>
    <w:rsid w:val="26653BEF"/>
    <w:rsid w:val="266D3BDD"/>
    <w:rsid w:val="26881F51"/>
    <w:rsid w:val="269A1C14"/>
    <w:rsid w:val="26A70CAB"/>
    <w:rsid w:val="26AD46F8"/>
    <w:rsid w:val="26AF0144"/>
    <w:rsid w:val="26C121FC"/>
    <w:rsid w:val="26CE5C19"/>
    <w:rsid w:val="27055AB8"/>
    <w:rsid w:val="270E6DC3"/>
    <w:rsid w:val="27207A04"/>
    <w:rsid w:val="27291739"/>
    <w:rsid w:val="272A09C9"/>
    <w:rsid w:val="273A2BB7"/>
    <w:rsid w:val="273E545F"/>
    <w:rsid w:val="273F2A79"/>
    <w:rsid w:val="27432957"/>
    <w:rsid w:val="27435B75"/>
    <w:rsid w:val="274A6DDF"/>
    <w:rsid w:val="27532294"/>
    <w:rsid w:val="275C7DB0"/>
    <w:rsid w:val="279F211A"/>
    <w:rsid w:val="279F2E8B"/>
    <w:rsid w:val="27A26DC1"/>
    <w:rsid w:val="27A778A1"/>
    <w:rsid w:val="27A94F55"/>
    <w:rsid w:val="27AA5AD0"/>
    <w:rsid w:val="27AB220C"/>
    <w:rsid w:val="27C2134B"/>
    <w:rsid w:val="27C27C14"/>
    <w:rsid w:val="27E3087F"/>
    <w:rsid w:val="27F67749"/>
    <w:rsid w:val="27FB5F25"/>
    <w:rsid w:val="28055E65"/>
    <w:rsid w:val="28081A2B"/>
    <w:rsid w:val="281619E9"/>
    <w:rsid w:val="281F2C62"/>
    <w:rsid w:val="282D5367"/>
    <w:rsid w:val="284A6448"/>
    <w:rsid w:val="28532864"/>
    <w:rsid w:val="2858790A"/>
    <w:rsid w:val="285C0D6B"/>
    <w:rsid w:val="286930CA"/>
    <w:rsid w:val="287C2FE4"/>
    <w:rsid w:val="287C56BE"/>
    <w:rsid w:val="2887358B"/>
    <w:rsid w:val="28AC3D48"/>
    <w:rsid w:val="28E84193"/>
    <w:rsid w:val="28E84A58"/>
    <w:rsid w:val="28EF5E90"/>
    <w:rsid w:val="28F15EED"/>
    <w:rsid w:val="28FB4835"/>
    <w:rsid w:val="2900512A"/>
    <w:rsid w:val="2904030F"/>
    <w:rsid w:val="29187E31"/>
    <w:rsid w:val="291A0C10"/>
    <w:rsid w:val="2930497B"/>
    <w:rsid w:val="293452D6"/>
    <w:rsid w:val="29371E27"/>
    <w:rsid w:val="293C55DA"/>
    <w:rsid w:val="293D309F"/>
    <w:rsid w:val="296D0386"/>
    <w:rsid w:val="2982407B"/>
    <w:rsid w:val="298A3822"/>
    <w:rsid w:val="29993B69"/>
    <w:rsid w:val="29B14BA0"/>
    <w:rsid w:val="29C81706"/>
    <w:rsid w:val="29E064E8"/>
    <w:rsid w:val="2A3866B5"/>
    <w:rsid w:val="2A535219"/>
    <w:rsid w:val="2A563868"/>
    <w:rsid w:val="2A7325C2"/>
    <w:rsid w:val="2A8366CD"/>
    <w:rsid w:val="2A8469E3"/>
    <w:rsid w:val="2A8F5EDF"/>
    <w:rsid w:val="2A981350"/>
    <w:rsid w:val="2AA61387"/>
    <w:rsid w:val="2AB64A5C"/>
    <w:rsid w:val="2AB70C30"/>
    <w:rsid w:val="2AB82D5D"/>
    <w:rsid w:val="2AD95059"/>
    <w:rsid w:val="2AE23500"/>
    <w:rsid w:val="2AF20034"/>
    <w:rsid w:val="2AF46F08"/>
    <w:rsid w:val="2AFC46F0"/>
    <w:rsid w:val="2B096B47"/>
    <w:rsid w:val="2B0C3457"/>
    <w:rsid w:val="2B0E422E"/>
    <w:rsid w:val="2B2E3DE4"/>
    <w:rsid w:val="2B334E1E"/>
    <w:rsid w:val="2B3F19E7"/>
    <w:rsid w:val="2B417007"/>
    <w:rsid w:val="2B4F057C"/>
    <w:rsid w:val="2B530EE0"/>
    <w:rsid w:val="2B665F42"/>
    <w:rsid w:val="2B6B45C8"/>
    <w:rsid w:val="2B7D0AE8"/>
    <w:rsid w:val="2B812B50"/>
    <w:rsid w:val="2B910902"/>
    <w:rsid w:val="2BAE2033"/>
    <w:rsid w:val="2BB552AE"/>
    <w:rsid w:val="2BBF7358"/>
    <w:rsid w:val="2BCA6741"/>
    <w:rsid w:val="2BE8329F"/>
    <w:rsid w:val="2BF3553A"/>
    <w:rsid w:val="2C000069"/>
    <w:rsid w:val="2C0A112F"/>
    <w:rsid w:val="2C1559BC"/>
    <w:rsid w:val="2C212804"/>
    <w:rsid w:val="2C2F4570"/>
    <w:rsid w:val="2C4C4697"/>
    <w:rsid w:val="2C5632CC"/>
    <w:rsid w:val="2C6002CF"/>
    <w:rsid w:val="2C647244"/>
    <w:rsid w:val="2C7F1C8C"/>
    <w:rsid w:val="2C8057F2"/>
    <w:rsid w:val="2C8840C0"/>
    <w:rsid w:val="2C8903AA"/>
    <w:rsid w:val="2CA016DA"/>
    <w:rsid w:val="2CC23555"/>
    <w:rsid w:val="2CC80B4D"/>
    <w:rsid w:val="2CEB5B42"/>
    <w:rsid w:val="2CEE2546"/>
    <w:rsid w:val="2D11017C"/>
    <w:rsid w:val="2D1707F6"/>
    <w:rsid w:val="2D2643F1"/>
    <w:rsid w:val="2D4D255F"/>
    <w:rsid w:val="2D627C8E"/>
    <w:rsid w:val="2D672F96"/>
    <w:rsid w:val="2D71509A"/>
    <w:rsid w:val="2D8A230B"/>
    <w:rsid w:val="2D9A265E"/>
    <w:rsid w:val="2DA76F59"/>
    <w:rsid w:val="2DB252B2"/>
    <w:rsid w:val="2DB4567C"/>
    <w:rsid w:val="2DC32DE5"/>
    <w:rsid w:val="2DD227B8"/>
    <w:rsid w:val="2DD85145"/>
    <w:rsid w:val="2DDB3142"/>
    <w:rsid w:val="2DE8505B"/>
    <w:rsid w:val="2DEA2653"/>
    <w:rsid w:val="2DF75DB5"/>
    <w:rsid w:val="2DFB2ECB"/>
    <w:rsid w:val="2E251C0A"/>
    <w:rsid w:val="2E2E1A88"/>
    <w:rsid w:val="2E314855"/>
    <w:rsid w:val="2E393FAC"/>
    <w:rsid w:val="2E4E5292"/>
    <w:rsid w:val="2E50117F"/>
    <w:rsid w:val="2E7867C9"/>
    <w:rsid w:val="2E806350"/>
    <w:rsid w:val="2E972180"/>
    <w:rsid w:val="2EA1540F"/>
    <w:rsid w:val="2EB47DC4"/>
    <w:rsid w:val="2EB95890"/>
    <w:rsid w:val="2EB9701B"/>
    <w:rsid w:val="2EBD2EC5"/>
    <w:rsid w:val="2EBE0C9B"/>
    <w:rsid w:val="2ED856E8"/>
    <w:rsid w:val="2EDA2221"/>
    <w:rsid w:val="2EEA6B08"/>
    <w:rsid w:val="2EEB0C76"/>
    <w:rsid w:val="2EED4AA2"/>
    <w:rsid w:val="2EF367DB"/>
    <w:rsid w:val="2F05640D"/>
    <w:rsid w:val="2F0E7FC2"/>
    <w:rsid w:val="2F117F5C"/>
    <w:rsid w:val="2F1B688D"/>
    <w:rsid w:val="2F2111E1"/>
    <w:rsid w:val="2F226C62"/>
    <w:rsid w:val="2F2D0876"/>
    <w:rsid w:val="2F301587"/>
    <w:rsid w:val="2F3A210B"/>
    <w:rsid w:val="2F416960"/>
    <w:rsid w:val="2F460802"/>
    <w:rsid w:val="2F5219B0"/>
    <w:rsid w:val="2F5E479A"/>
    <w:rsid w:val="2F6B4DC9"/>
    <w:rsid w:val="2F7570BC"/>
    <w:rsid w:val="2F7666EC"/>
    <w:rsid w:val="2F7A1910"/>
    <w:rsid w:val="2F9276C4"/>
    <w:rsid w:val="2F93612B"/>
    <w:rsid w:val="2F9E494D"/>
    <w:rsid w:val="2F9F1E40"/>
    <w:rsid w:val="2FA90E31"/>
    <w:rsid w:val="2FBA2312"/>
    <w:rsid w:val="2FC531D5"/>
    <w:rsid w:val="2FC926DB"/>
    <w:rsid w:val="2FD521FD"/>
    <w:rsid w:val="2FE03AC6"/>
    <w:rsid w:val="2FE217E9"/>
    <w:rsid w:val="2FE22997"/>
    <w:rsid w:val="2FE33C94"/>
    <w:rsid w:val="2FEB6BB0"/>
    <w:rsid w:val="30140A4C"/>
    <w:rsid w:val="30176275"/>
    <w:rsid w:val="301937F3"/>
    <w:rsid w:val="301C11E0"/>
    <w:rsid w:val="30316D8E"/>
    <w:rsid w:val="303670A0"/>
    <w:rsid w:val="305E0E9D"/>
    <w:rsid w:val="305F3930"/>
    <w:rsid w:val="30600775"/>
    <w:rsid w:val="306224F0"/>
    <w:rsid w:val="3066141B"/>
    <w:rsid w:val="30665FF5"/>
    <w:rsid w:val="306828D6"/>
    <w:rsid w:val="30830DDE"/>
    <w:rsid w:val="30886220"/>
    <w:rsid w:val="30B0633E"/>
    <w:rsid w:val="30B66C5D"/>
    <w:rsid w:val="30C25A35"/>
    <w:rsid w:val="30C63CB4"/>
    <w:rsid w:val="30E07119"/>
    <w:rsid w:val="30E83473"/>
    <w:rsid w:val="31073DCF"/>
    <w:rsid w:val="31113F0F"/>
    <w:rsid w:val="311C7F68"/>
    <w:rsid w:val="313A05AD"/>
    <w:rsid w:val="313B749D"/>
    <w:rsid w:val="313D0BAE"/>
    <w:rsid w:val="314113CF"/>
    <w:rsid w:val="31471C3D"/>
    <w:rsid w:val="314774D9"/>
    <w:rsid w:val="31567D06"/>
    <w:rsid w:val="31614F93"/>
    <w:rsid w:val="317414B4"/>
    <w:rsid w:val="31815AF3"/>
    <w:rsid w:val="319A7C32"/>
    <w:rsid w:val="319B4ADA"/>
    <w:rsid w:val="31A12EDE"/>
    <w:rsid w:val="31A34A05"/>
    <w:rsid w:val="31A83080"/>
    <w:rsid w:val="31BC650E"/>
    <w:rsid w:val="31C801BA"/>
    <w:rsid w:val="31CF55C7"/>
    <w:rsid w:val="31E009C6"/>
    <w:rsid w:val="31E72620"/>
    <w:rsid w:val="31EC60CD"/>
    <w:rsid w:val="31F9722B"/>
    <w:rsid w:val="31FA14CB"/>
    <w:rsid w:val="32105264"/>
    <w:rsid w:val="32127335"/>
    <w:rsid w:val="32191E0F"/>
    <w:rsid w:val="32225B01"/>
    <w:rsid w:val="32264BC4"/>
    <w:rsid w:val="32292413"/>
    <w:rsid w:val="32354F6B"/>
    <w:rsid w:val="32413572"/>
    <w:rsid w:val="324B528B"/>
    <w:rsid w:val="326351F9"/>
    <w:rsid w:val="326414BC"/>
    <w:rsid w:val="327031E2"/>
    <w:rsid w:val="32764F2C"/>
    <w:rsid w:val="327B4E58"/>
    <w:rsid w:val="32825CC9"/>
    <w:rsid w:val="32A533E9"/>
    <w:rsid w:val="32BC7256"/>
    <w:rsid w:val="32C4038E"/>
    <w:rsid w:val="32DB0F7C"/>
    <w:rsid w:val="32DD6386"/>
    <w:rsid w:val="32E05404"/>
    <w:rsid w:val="32F02F60"/>
    <w:rsid w:val="32FC024E"/>
    <w:rsid w:val="330212DF"/>
    <w:rsid w:val="331813F9"/>
    <w:rsid w:val="331A77C2"/>
    <w:rsid w:val="33391C20"/>
    <w:rsid w:val="33535792"/>
    <w:rsid w:val="33545D52"/>
    <w:rsid w:val="335A7406"/>
    <w:rsid w:val="335D6336"/>
    <w:rsid w:val="338B2C59"/>
    <w:rsid w:val="338D737F"/>
    <w:rsid w:val="339607CF"/>
    <w:rsid w:val="33A12198"/>
    <w:rsid w:val="33A46447"/>
    <w:rsid w:val="33BA05EA"/>
    <w:rsid w:val="33D1020F"/>
    <w:rsid w:val="33E23D2D"/>
    <w:rsid w:val="33EF7F22"/>
    <w:rsid w:val="33F97BC3"/>
    <w:rsid w:val="33FB7DDF"/>
    <w:rsid w:val="33FC1D4A"/>
    <w:rsid w:val="34032C9A"/>
    <w:rsid w:val="340842AA"/>
    <w:rsid w:val="341F18E5"/>
    <w:rsid w:val="3430602A"/>
    <w:rsid w:val="34397520"/>
    <w:rsid w:val="343F56B8"/>
    <w:rsid w:val="344077A7"/>
    <w:rsid w:val="344975B5"/>
    <w:rsid w:val="345327C5"/>
    <w:rsid w:val="345409B9"/>
    <w:rsid w:val="3457176D"/>
    <w:rsid w:val="345B0173"/>
    <w:rsid w:val="346E1392"/>
    <w:rsid w:val="3485488C"/>
    <w:rsid w:val="34943D90"/>
    <w:rsid w:val="34954F8F"/>
    <w:rsid w:val="34A30E13"/>
    <w:rsid w:val="34A36AD9"/>
    <w:rsid w:val="34A57D4B"/>
    <w:rsid w:val="34C27A98"/>
    <w:rsid w:val="34CD2A31"/>
    <w:rsid w:val="34CD71AE"/>
    <w:rsid w:val="34D369DB"/>
    <w:rsid w:val="34D82FC0"/>
    <w:rsid w:val="34F73980"/>
    <w:rsid w:val="34F8630E"/>
    <w:rsid w:val="350C717A"/>
    <w:rsid w:val="352428A2"/>
    <w:rsid w:val="352B2DCA"/>
    <w:rsid w:val="35311149"/>
    <w:rsid w:val="356414C6"/>
    <w:rsid w:val="356E3F3C"/>
    <w:rsid w:val="35767088"/>
    <w:rsid w:val="358535B1"/>
    <w:rsid w:val="35A62714"/>
    <w:rsid w:val="35A725EA"/>
    <w:rsid w:val="35B43C28"/>
    <w:rsid w:val="35C51944"/>
    <w:rsid w:val="35D60C2C"/>
    <w:rsid w:val="35D67057"/>
    <w:rsid w:val="35E62907"/>
    <w:rsid w:val="35F45A85"/>
    <w:rsid w:val="36075BAC"/>
    <w:rsid w:val="360E55BB"/>
    <w:rsid w:val="36155E49"/>
    <w:rsid w:val="362353CB"/>
    <w:rsid w:val="3633728A"/>
    <w:rsid w:val="363B2715"/>
    <w:rsid w:val="3643781B"/>
    <w:rsid w:val="36504750"/>
    <w:rsid w:val="365C2146"/>
    <w:rsid w:val="365E28A7"/>
    <w:rsid w:val="366A3757"/>
    <w:rsid w:val="36A31332"/>
    <w:rsid w:val="36A36759"/>
    <w:rsid w:val="36AA789A"/>
    <w:rsid w:val="36AF6C5F"/>
    <w:rsid w:val="36BB5604"/>
    <w:rsid w:val="36C9726B"/>
    <w:rsid w:val="36CA1CEB"/>
    <w:rsid w:val="36D52E06"/>
    <w:rsid w:val="36DE5C94"/>
    <w:rsid w:val="36ED6C0D"/>
    <w:rsid w:val="37090CD6"/>
    <w:rsid w:val="371273E8"/>
    <w:rsid w:val="371335AC"/>
    <w:rsid w:val="371D3C21"/>
    <w:rsid w:val="371F2036"/>
    <w:rsid w:val="372374B8"/>
    <w:rsid w:val="372454BF"/>
    <w:rsid w:val="37344797"/>
    <w:rsid w:val="373D1B2F"/>
    <w:rsid w:val="373D2A5F"/>
    <w:rsid w:val="373E439F"/>
    <w:rsid w:val="37430D7C"/>
    <w:rsid w:val="37743C09"/>
    <w:rsid w:val="378B76CC"/>
    <w:rsid w:val="379D5377"/>
    <w:rsid w:val="37BE6016"/>
    <w:rsid w:val="37D1071F"/>
    <w:rsid w:val="37D800AA"/>
    <w:rsid w:val="37DE4403"/>
    <w:rsid w:val="37F7266B"/>
    <w:rsid w:val="37F863E1"/>
    <w:rsid w:val="37F976E5"/>
    <w:rsid w:val="37FB0A67"/>
    <w:rsid w:val="38026CF0"/>
    <w:rsid w:val="38072517"/>
    <w:rsid w:val="380F1443"/>
    <w:rsid w:val="38175AE8"/>
    <w:rsid w:val="382B67B9"/>
    <w:rsid w:val="38303E58"/>
    <w:rsid w:val="3834332E"/>
    <w:rsid w:val="38350B1B"/>
    <w:rsid w:val="385D3B87"/>
    <w:rsid w:val="386A541B"/>
    <w:rsid w:val="386D36A6"/>
    <w:rsid w:val="38746AC3"/>
    <w:rsid w:val="38AB2EAA"/>
    <w:rsid w:val="38AE4E64"/>
    <w:rsid w:val="38D856C8"/>
    <w:rsid w:val="38F06A5F"/>
    <w:rsid w:val="38F31CF3"/>
    <w:rsid w:val="38F35173"/>
    <w:rsid w:val="38F35FCF"/>
    <w:rsid w:val="39032C3F"/>
    <w:rsid w:val="39041D96"/>
    <w:rsid w:val="3913740D"/>
    <w:rsid w:val="3922196A"/>
    <w:rsid w:val="39243934"/>
    <w:rsid w:val="395B55C0"/>
    <w:rsid w:val="3961212F"/>
    <w:rsid w:val="39620065"/>
    <w:rsid w:val="397130F8"/>
    <w:rsid w:val="397A5B61"/>
    <w:rsid w:val="3981654B"/>
    <w:rsid w:val="39997173"/>
    <w:rsid w:val="399A45CE"/>
    <w:rsid w:val="39AE222F"/>
    <w:rsid w:val="39C159CC"/>
    <w:rsid w:val="39C9665C"/>
    <w:rsid w:val="39D11268"/>
    <w:rsid w:val="39DA6545"/>
    <w:rsid w:val="39E06281"/>
    <w:rsid w:val="39F97231"/>
    <w:rsid w:val="39FA1F85"/>
    <w:rsid w:val="3A0B189F"/>
    <w:rsid w:val="3A184C65"/>
    <w:rsid w:val="3A2E5764"/>
    <w:rsid w:val="3A315411"/>
    <w:rsid w:val="3A394FD8"/>
    <w:rsid w:val="3A3B3762"/>
    <w:rsid w:val="3A454F25"/>
    <w:rsid w:val="3A4A0F38"/>
    <w:rsid w:val="3A527D15"/>
    <w:rsid w:val="3A7A2A02"/>
    <w:rsid w:val="3A875795"/>
    <w:rsid w:val="3A8E7845"/>
    <w:rsid w:val="3AB735F0"/>
    <w:rsid w:val="3ACA2760"/>
    <w:rsid w:val="3AD13648"/>
    <w:rsid w:val="3AE22D37"/>
    <w:rsid w:val="3AFD53D4"/>
    <w:rsid w:val="3B1225AB"/>
    <w:rsid w:val="3B123BAD"/>
    <w:rsid w:val="3B2C2FA8"/>
    <w:rsid w:val="3B315A30"/>
    <w:rsid w:val="3B394120"/>
    <w:rsid w:val="3B433DED"/>
    <w:rsid w:val="3B5129DA"/>
    <w:rsid w:val="3B585916"/>
    <w:rsid w:val="3B663F45"/>
    <w:rsid w:val="3B700067"/>
    <w:rsid w:val="3B7B1805"/>
    <w:rsid w:val="3B7F39E6"/>
    <w:rsid w:val="3B8A37F6"/>
    <w:rsid w:val="3B9B72DD"/>
    <w:rsid w:val="3BBE53DF"/>
    <w:rsid w:val="3BCF1B47"/>
    <w:rsid w:val="3BD43E95"/>
    <w:rsid w:val="3C085C22"/>
    <w:rsid w:val="3C15671C"/>
    <w:rsid w:val="3C1C0BA0"/>
    <w:rsid w:val="3C1E6B30"/>
    <w:rsid w:val="3C262870"/>
    <w:rsid w:val="3C2655A2"/>
    <w:rsid w:val="3C3379CF"/>
    <w:rsid w:val="3C480C73"/>
    <w:rsid w:val="3C4E37EF"/>
    <w:rsid w:val="3C571238"/>
    <w:rsid w:val="3C574020"/>
    <w:rsid w:val="3C5A0F14"/>
    <w:rsid w:val="3C5F7E61"/>
    <w:rsid w:val="3C631823"/>
    <w:rsid w:val="3C6D394E"/>
    <w:rsid w:val="3C766E8E"/>
    <w:rsid w:val="3C7F0E81"/>
    <w:rsid w:val="3C973DF1"/>
    <w:rsid w:val="3C9D22BF"/>
    <w:rsid w:val="3CA73A6A"/>
    <w:rsid w:val="3CBA69AE"/>
    <w:rsid w:val="3CDA59E7"/>
    <w:rsid w:val="3CDD776A"/>
    <w:rsid w:val="3CE00368"/>
    <w:rsid w:val="3CE87831"/>
    <w:rsid w:val="3D1E4472"/>
    <w:rsid w:val="3D256936"/>
    <w:rsid w:val="3D2B5048"/>
    <w:rsid w:val="3D330B98"/>
    <w:rsid w:val="3D406F4B"/>
    <w:rsid w:val="3D41598E"/>
    <w:rsid w:val="3D5B30BB"/>
    <w:rsid w:val="3D6932CF"/>
    <w:rsid w:val="3D824FF0"/>
    <w:rsid w:val="3D951A80"/>
    <w:rsid w:val="3D9538A7"/>
    <w:rsid w:val="3D9B627B"/>
    <w:rsid w:val="3DC079A3"/>
    <w:rsid w:val="3DC31BD9"/>
    <w:rsid w:val="3DC47E34"/>
    <w:rsid w:val="3DDD26FC"/>
    <w:rsid w:val="3DF46F36"/>
    <w:rsid w:val="3DFC6C2D"/>
    <w:rsid w:val="3E184596"/>
    <w:rsid w:val="3E255C01"/>
    <w:rsid w:val="3E3704D2"/>
    <w:rsid w:val="3E375DD6"/>
    <w:rsid w:val="3E377C66"/>
    <w:rsid w:val="3E3B7D9F"/>
    <w:rsid w:val="3E422FB2"/>
    <w:rsid w:val="3E446852"/>
    <w:rsid w:val="3E453B16"/>
    <w:rsid w:val="3E600884"/>
    <w:rsid w:val="3E746489"/>
    <w:rsid w:val="3E810733"/>
    <w:rsid w:val="3EA00886"/>
    <w:rsid w:val="3EA95231"/>
    <w:rsid w:val="3EC018A9"/>
    <w:rsid w:val="3EC34AAD"/>
    <w:rsid w:val="3ECC08BB"/>
    <w:rsid w:val="3EFD36E5"/>
    <w:rsid w:val="3F05786F"/>
    <w:rsid w:val="3F063FF5"/>
    <w:rsid w:val="3F100BE1"/>
    <w:rsid w:val="3F1852F7"/>
    <w:rsid w:val="3F235B23"/>
    <w:rsid w:val="3F5B1501"/>
    <w:rsid w:val="3F864075"/>
    <w:rsid w:val="3F942E96"/>
    <w:rsid w:val="3FA94A8E"/>
    <w:rsid w:val="3FBB7A4D"/>
    <w:rsid w:val="3FC37D6A"/>
    <w:rsid w:val="3FC60B3A"/>
    <w:rsid w:val="3FCA3D33"/>
    <w:rsid w:val="3FCA4DDC"/>
    <w:rsid w:val="3FDE5A59"/>
    <w:rsid w:val="3FDF0EFE"/>
    <w:rsid w:val="3FE3697A"/>
    <w:rsid w:val="3FF03B85"/>
    <w:rsid w:val="400C0371"/>
    <w:rsid w:val="40166FCD"/>
    <w:rsid w:val="401F69BB"/>
    <w:rsid w:val="40251D40"/>
    <w:rsid w:val="40382B1F"/>
    <w:rsid w:val="403B1D91"/>
    <w:rsid w:val="404C3A63"/>
    <w:rsid w:val="405F58C9"/>
    <w:rsid w:val="40667434"/>
    <w:rsid w:val="4073153E"/>
    <w:rsid w:val="407B6467"/>
    <w:rsid w:val="40A5279C"/>
    <w:rsid w:val="40CE69DA"/>
    <w:rsid w:val="40DD0378"/>
    <w:rsid w:val="40DD048A"/>
    <w:rsid w:val="40F10F72"/>
    <w:rsid w:val="410E5612"/>
    <w:rsid w:val="411B386E"/>
    <w:rsid w:val="411B71A5"/>
    <w:rsid w:val="41284341"/>
    <w:rsid w:val="41287D39"/>
    <w:rsid w:val="413701E6"/>
    <w:rsid w:val="41383C57"/>
    <w:rsid w:val="41436CA3"/>
    <w:rsid w:val="41507736"/>
    <w:rsid w:val="415C7AEE"/>
    <w:rsid w:val="41673F14"/>
    <w:rsid w:val="416B73AF"/>
    <w:rsid w:val="41721F9F"/>
    <w:rsid w:val="41862828"/>
    <w:rsid w:val="418E1B44"/>
    <w:rsid w:val="419847BC"/>
    <w:rsid w:val="419B069F"/>
    <w:rsid w:val="419F4FE8"/>
    <w:rsid w:val="41C1088C"/>
    <w:rsid w:val="41C815FA"/>
    <w:rsid w:val="41DB795E"/>
    <w:rsid w:val="41DF02FD"/>
    <w:rsid w:val="41F06889"/>
    <w:rsid w:val="4209697A"/>
    <w:rsid w:val="420A502D"/>
    <w:rsid w:val="421E5B73"/>
    <w:rsid w:val="42542A9F"/>
    <w:rsid w:val="42554ABF"/>
    <w:rsid w:val="425557A2"/>
    <w:rsid w:val="42573468"/>
    <w:rsid w:val="425C1690"/>
    <w:rsid w:val="42625678"/>
    <w:rsid w:val="426E3950"/>
    <w:rsid w:val="42724A0E"/>
    <w:rsid w:val="427A3A47"/>
    <w:rsid w:val="42824648"/>
    <w:rsid w:val="428C20B8"/>
    <w:rsid w:val="42910F61"/>
    <w:rsid w:val="42982357"/>
    <w:rsid w:val="429E4757"/>
    <w:rsid w:val="42A81132"/>
    <w:rsid w:val="42A866EA"/>
    <w:rsid w:val="42AA067A"/>
    <w:rsid w:val="42AA5D0D"/>
    <w:rsid w:val="42B76D04"/>
    <w:rsid w:val="42C46FC6"/>
    <w:rsid w:val="42C65C9A"/>
    <w:rsid w:val="42D91DDF"/>
    <w:rsid w:val="42DC440B"/>
    <w:rsid w:val="42DE42CD"/>
    <w:rsid w:val="42EA29D6"/>
    <w:rsid w:val="42FD12D3"/>
    <w:rsid w:val="43033449"/>
    <w:rsid w:val="43114E0B"/>
    <w:rsid w:val="432205B2"/>
    <w:rsid w:val="432959B8"/>
    <w:rsid w:val="43316959"/>
    <w:rsid w:val="43460D12"/>
    <w:rsid w:val="434B5EF3"/>
    <w:rsid w:val="434C4651"/>
    <w:rsid w:val="435900FA"/>
    <w:rsid w:val="435B3BFE"/>
    <w:rsid w:val="43622778"/>
    <w:rsid w:val="43633702"/>
    <w:rsid w:val="436E2C30"/>
    <w:rsid w:val="43767EE4"/>
    <w:rsid w:val="43803238"/>
    <w:rsid w:val="43981875"/>
    <w:rsid w:val="43A73566"/>
    <w:rsid w:val="43AD1D66"/>
    <w:rsid w:val="43AF2240"/>
    <w:rsid w:val="43D33F58"/>
    <w:rsid w:val="43DC2728"/>
    <w:rsid w:val="43F32881"/>
    <w:rsid w:val="4406131F"/>
    <w:rsid w:val="44240C8C"/>
    <w:rsid w:val="44314EEC"/>
    <w:rsid w:val="44677DA0"/>
    <w:rsid w:val="4469791D"/>
    <w:rsid w:val="446E0159"/>
    <w:rsid w:val="44703AD7"/>
    <w:rsid w:val="44A91191"/>
    <w:rsid w:val="44C125DD"/>
    <w:rsid w:val="44C251E9"/>
    <w:rsid w:val="44C71FC3"/>
    <w:rsid w:val="44C847E6"/>
    <w:rsid w:val="44C97090"/>
    <w:rsid w:val="44CC07C4"/>
    <w:rsid w:val="44CC6C86"/>
    <w:rsid w:val="44D5127D"/>
    <w:rsid w:val="44E43161"/>
    <w:rsid w:val="45023046"/>
    <w:rsid w:val="45073D69"/>
    <w:rsid w:val="450A60D4"/>
    <w:rsid w:val="45267020"/>
    <w:rsid w:val="452E22B4"/>
    <w:rsid w:val="452F4DFF"/>
    <w:rsid w:val="45605CF4"/>
    <w:rsid w:val="457C0876"/>
    <w:rsid w:val="457C2402"/>
    <w:rsid w:val="459E4AD8"/>
    <w:rsid w:val="45B71DAD"/>
    <w:rsid w:val="45C168FC"/>
    <w:rsid w:val="45D111ED"/>
    <w:rsid w:val="45D26619"/>
    <w:rsid w:val="45E71C5D"/>
    <w:rsid w:val="45E958C2"/>
    <w:rsid w:val="45F13516"/>
    <w:rsid w:val="45FE5248"/>
    <w:rsid w:val="4605369F"/>
    <w:rsid w:val="460A5CEF"/>
    <w:rsid w:val="460A6FC5"/>
    <w:rsid w:val="460E783C"/>
    <w:rsid w:val="4611191E"/>
    <w:rsid w:val="46170CCE"/>
    <w:rsid w:val="461D1214"/>
    <w:rsid w:val="462A2AA8"/>
    <w:rsid w:val="462E16E6"/>
    <w:rsid w:val="46447C0A"/>
    <w:rsid w:val="465F41FD"/>
    <w:rsid w:val="46650634"/>
    <w:rsid w:val="46675705"/>
    <w:rsid w:val="46696713"/>
    <w:rsid w:val="466C2AA5"/>
    <w:rsid w:val="46721388"/>
    <w:rsid w:val="46772FB3"/>
    <w:rsid w:val="469211D3"/>
    <w:rsid w:val="46982FED"/>
    <w:rsid w:val="46AF6585"/>
    <w:rsid w:val="46BA524F"/>
    <w:rsid w:val="46C06AB5"/>
    <w:rsid w:val="46C75BDA"/>
    <w:rsid w:val="46D11BDD"/>
    <w:rsid w:val="46D31987"/>
    <w:rsid w:val="46E04B37"/>
    <w:rsid w:val="46F24119"/>
    <w:rsid w:val="46FD4831"/>
    <w:rsid w:val="471233A1"/>
    <w:rsid w:val="471964F0"/>
    <w:rsid w:val="471A13BB"/>
    <w:rsid w:val="472966BC"/>
    <w:rsid w:val="47372FE6"/>
    <w:rsid w:val="47404BDE"/>
    <w:rsid w:val="474451A1"/>
    <w:rsid w:val="47545E0A"/>
    <w:rsid w:val="47591928"/>
    <w:rsid w:val="4767172F"/>
    <w:rsid w:val="47805F31"/>
    <w:rsid w:val="479A7B3A"/>
    <w:rsid w:val="47A50B91"/>
    <w:rsid w:val="47AB19BB"/>
    <w:rsid w:val="47B70BD2"/>
    <w:rsid w:val="47CD33E9"/>
    <w:rsid w:val="47D01EDF"/>
    <w:rsid w:val="47F90B25"/>
    <w:rsid w:val="48052B82"/>
    <w:rsid w:val="48084477"/>
    <w:rsid w:val="483E148D"/>
    <w:rsid w:val="4843173A"/>
    <w:rsid w:val="485A7B31"/>
    <w:rsid w:val="485C5A3F"/>
    <w:rsid w:val="486075CF"/>
    <w:rsid w:val="48624CD1"/>
    <w:rsid w:val="486C1E01"/>
    <w:rsid w:val="486E0A66"/>
    <w:rsid w:val="487360E2"/>
    <w:rsid w:val="48744F5D"/>
    <w:rsid w:val="48775B70"/>
    <w:rsid w:val="488477E1"/>
    <w:rsid w:val="48A60C3E"/>
    <w:rsid w:val="48B02B60"/>
    <w:rsid w:val="48B537B7"/>
    <w:rsid w:val="48CC743B"/>
    <w:rsid w:val="48E561A4"/>
    <w:rsid w:val="48F7562A"/>
    <w:rsid w:val="49005BDD"/>
    <w:rsid w:val="49226009"/>
    <w:rsid w:val="49232C32"/>
    <w:rsid w:val="4949680E"/>
    <w:rsid w:val="495E3D0B"/>
    <w:rsid w:val="49697141"/>
    <w:rsid w:val="497B1BE1"/>
    <w:rsid w:val="49802BA8"/>
    <w:rsid w:val="49814F6B"/>
    <w:rsid w:val="498E1EFF"/>
    <w:rsid w:val="49A21DDA"/>
    <w:rsid w:val="49A543C1"/>
    <w:rsid w:val="49B52529"/>
    <w:rsid w:val="49BD3C89"/>
    <w:rsid w:val="49C36387"/>
    <w:rsid w:val="49C45812"/>
    <w:rsid w:val="49D03350"/>
    <w:rsid w:val="49E0256F"/>
    <w:rsid w:val="49E140A8"/>
    <w:rsid w:val="49E32E40"/>
    <w:rsid w:val="49E91394"/>
    <w:rsid w:val="4A0A4480"/>
    <w:rsid w:val="4A0B24C4"/>
    <w:rsid w:val="4A292587"/>
    <w:rsid w:val="4A347034"/>
    <w:rsid w:val="4A3835D3"/>
    <w:rsid w:val="4A4200BE"/>
    <w:rsid w:val="4A554A7A"/>
    <w:rsid w:val="4A626995"/>
    <w:rsid w:val="4A8179BF"/>
    <w:rsid w:val="4A8F0E29"/>
    <w:rsid w:val="4AAC19DB"/>
    <w:rsid w:val="4ACC5BD9"/>
    <w:rsid w:val="4AD20B6D"/>
    <w:rsid w:val="4B116BF4"/>
    <w:rsid w:val="4B144A47"/>
    <w:rsid w:val="4B173516"/>
    <w:rsid w:val="4B1D472D"/>
    <w:rsid w:val="4B256599"/>
    <w:rsid w:val="4B3B2851"/>
    <w:rsid w:val="4B48598E"/>
    <w:rsid w:val="4B49075B"/>
    <w:rsid w:val="4B690E3C"/>
    <w:rsid w:val="4B9F2902"/>
    <w:rsid w:val="4BAC4DC9"/>
    <w:rsid w:val="4BB46D99"/>
    <w:rsid w:val="4BC43AE3"/>
    <w:rsid w:val="4BC62CAF"/>
    <w:rsid w:val="4BD034A7"/>
    <w:rsid w:val="4BD52668"/>
    <w:rsid w:val="4BD735A4"/>
    <w:rsid w:val="4BDD5DC9"/>
    <w:rsid w:val="4C074AC8"/>
    <w:rsid w:val="4C0762DA"/>
    <w:rsid w:val="4C0A69B9"/>
    <w:rsid w:val="4C0E2A26"/>
    <w:rsid w:val="4C1C4A6D"/>
    <w:rsid w:val="4C2578FB"/>
    <w:rsid w:val="4C286BA4"/>
    <w:rsid w:val="4C29210A"/>
    <w:rsid w:val="4C294E43"/>
    <w:rsid w:val="4C326C11"/>
    <w:rsid w:val="4C35452D"/>
    <w:rsid w:val="4C392A68"/>
    <w:rsid w:val="4C3D1F0A"/>
    <w:rsid w:val="4C4A24EC"/>
    <w:rsid w:val="4C4D1BBC"/>
    <w:rsid w:val="4C56394D"/>
    <w:rsid w:val="4C592A3D"/>
    <w:rsid w:val="4C5B7DD5"/>
    <w:rsid w:val="4C6B5AFB"/>
    <w:rsid w:val="4C756F40"/>
    <w:rsid w:val="4C767377"/>
    <w:rsid w:val="4C8A51B1"/>
    <w:rsid w:val="4C8B717A"/>
    <w:rsid w:val="4C926BB8"/>
    <w:rsid w:val="4C9A756C"/>
    <w:rsid w:val="4CA84651"/>
    <w:rsid w:val="4CAB590F"/>
    <w:rsid w:val="4CC66D96"/>
    <w:rsid w:val="4CCD716A"/>
    <w:rsid w:val="4CD64AED"/>
    <w:rsid w:val="4CDF25AC"/>
    <w:rsid w:val="4CF5766A"/>
    <w:rsid w:val="4CF81459"/>
    <w:rsid w:val="4CFC33A4"/>
    <w:rsid w:val="4D1675E0"/>
    <w:rsid w:val="4D1F41D1"/>
    <w:rsid w:val="4D3112FE"/>
    <w:rsid w:val="4D35347E"/>
    <w:rsid w:val="4D372C3B"/>
    <w:rsid w:val="4D3A3BC0"/>
    <w:rsid w:val="4D3E3B73"/>
    <w:rsid w:val="4D483312"/>
    <w:rsid w:val="4D493710"/>
    <w:rsid w:val="4D7F7EEB"/>
    <w:rsid w:val="4D933355"/>
    <w:rsid w:val="4D9556E0"/>
    <w:rsid w:val="4DB1211A"/>
    <w:rsid w:val="4DBA4A76"/>
    <w:rsid w:val="4DBE0F30"/>
    <w:rsid w:val="4DE904E0"/>
    <w:rsid w:val="4DEE2E1F"/>
    <w:rsid w:val="4E155013"/>
    <w:rsid w:val="4E217B26"/>
    <w:rsid w:val="4E4F32D9"/>
    <w:rsid w:val="4E630643"/>
    <w:rsid w:val="4E6460EC"/>
    <w:rsid w:val="4E7150E0"/>
    <w:rsid w:val="4E782EB2"/>
    <w:rsid w:val="4E7F6455"/>
    <w:rsid w:val="4E81291C"/>
    <w:rsid w:val="4E907C91"/>
    <w:rsid w:val="4E984750"/>
    <w:rsid w:val="4E9A2882"/>
    <w:rsid w:val="4E9D6301"/>
    <w:rsid w:val="4E9F0B79"/>
    <w:rsid w:val="4EA34FC7"/>
    <w:rsid w:val="4EC478E2"/>
    <w:rsid w:val="4EDC4486"/>
    <w:rsid w:val="4EDC45F1"/>
    <w:rsid w:val="4EEC6E09"/>
    <w:rsid w:val="4EED6A89"/>
    <w:rsid w:val="4EFB7F36"/>
    <w:rsid w:val="4F05527B"/>
    <w:rsid w:val="4F133DD7"/>
    <w:rsid w:val="4F26300A"/>
    <w:rsid w:val="4F287C52"/>
    <w:rsid w:val="4F2E52F4"/>
    <w:rsid w:val="4F354C7F"/>
    <w:rsid w:val="4F361873"/>
    <w:rsid w:val="4F393118"/>
    <w:rsid w:val="4F46757E"/>
    <w:rsid w:val="4F4971A3"/>
    <w:rsid w:val="4F6D054B"/>
    <w:rsid w:val="4F78709A"/>
    <w:rsid w:val="4F813436"/>
    <w:rsid w:val="4FA07362"/>
    <w:rsid w:val="4FBD4E3B"/>
    <w:rsid w:val="4FC50CEB"/>
    <w:rsid w:val="4FC63335"/>
    <w:rsid w:val="4FD005E3"/>
    <w:rsid w:val="4FD104CD"/>
    <w:rsid w:val="4FD41305"/>
    <w:rsid w:val="4FD75A14"/>
    <w:rsid w:val="4FE36C2C"/>
    <w:rsid w:val="4FED7AE0"/>
    <w:rsid w:val="500379E2"/>
    <w:rsid w:val="502A7D9C"/>
    <w:rsid w:val="502B3E7F"/>
    <w:rsid w:val="503601DF"/>
    <w:rsid w:val="50396AAB"/>
    <w:rsid w:val="503E1947"/>
    <w:rsid w:val="50411939"/>
    <w:rsid w:val="504229D8"/>
    <w:rsid w:val="50652D80"/>
    <w:rsid w:val="5067208E"/>
    <w:rsid w:val="507C629B"/>
    <w:rsid w:val="508820AE"/>
    <w:rsid w:val="50A16133"/>
    <w:rsid w:val="50A46ADD"/>
    <w:rsid w:val="50A53BDC"/>
    <w:rsid w:val="50AF0322"/>
    <w:rsid w:val="50B10CF4"/>
    <w:rsid w:val="50B7566E"/>
    <w:rsid w:val="50CE19EF"/>
    <w:rsid w:val="50D21228"/>
    <w:rsid w:val="50D266B4"/>
    <w:rsid w:val="50D7066A"/>
    <w:rsid w:val="50DC209A"/>
    <w:rsid w:val="50DE6A16"/>
    <w:rsid w:val="50E101BE"/>
    <w:rsid w:val="50E213CF"/>
    <w:rsid w:val="50E32194"/>
    <w:rsid w:val="50E7594A"/>
    <w:rsid w:val="50EC46CE"/>
    <w:rsid w:val="50F6065F"/>
    <w:rsid w:val="50FD3A28"/>
    <w:rsid w:val="51027819"/>
    <w:rsid w:val="51137A93"/>
    <w:rsid w:val="511701B4"/>
    <w:rsid w:val="511C611A"/>
    <w:rsid w:val="513B3BD7"/>
    <w:rsid w:val="51450C09"/>
    <w:rsid w:val="51556193"/>
    <w:rsid w:val="516413D3"/>
    <w:rsid w:val="51784E82"/>
    <w:rsid w:val="51847FF9"/>
    <w:rsid w:val="51864D34"/>
    <w:rsid w:val="51894824"/>
    <w:rsid w:val="51A84704"/>
    <w:rsid w:val="51AB29A4"/>
    <w:rsid w:val="51B7640D"/>
    <w:rsid w:val="51D012E2"/>
    <w:rsid w:val="51D611DF"/>
    <w:rsid w:val="51D72CB1"/>
    <w:rsid w:val="51E07A58"/>
    <w:rsid w:val="51EB3D94"/>
    <w:rsid w:val="520B58C3"/>
    <w:rsid w:val="52166721"/>
    <w:rsid w:val="521F5647"/>
    <w:rsid w:val="522378D0"/>
    <w:rsid w:val="52246E60"/>
    <w:rsid w:val="52262073"/>
    <w:rsid w:val="52310239"/>
    <w:rsid w:val="52430238"/>
    <w:rsid w:val="52455A35"/>
    <w:rsid w:val="5249017D"/>
    <w:rsid w:val="5251756D"/>
    <w:rsid w:val="525C2DD9"/>
    <w:rsid w:val="525D36C3"/>
    <w:rsid w:val="52692DAE"/>
    <w:rsid w:val="52820A73"/>
    <w:rsid w:val="52856630"/>
    <w:rsid w:val="528E36FC"/>
    <w:rsid w:val="529D11A7"/>
    <w:rsid w:val="52A54A10"/>
    <w:rsid w:val="52C53547"/>
    <w:rsid w:val="52C616C7"/>
    <w:rsid w:val="52C63E5C"/>
    <w:rsid w:val="52DB317E"/>
    <w:rsid w:val="530D6D8F"/>
    <w:rsid w:val="531526DC"/>
    <w:rsid w:val="53166DFF"/>
    <w:rsid w:val="53213D3C"/>
    <w:rsid w:val="534009CA"/>
    <w:rsid w:val="534A4300"/>
    <w:rsid w:val="535D7D17"/>
    <w:rsid w:val="53624781"/>
    <w:rsid w:val="538E02D2"/>
    <w:rsid w:val="53987432"/>
    <w:rsid w:val="539A4AC7"/>
    <w:rsid w:val="53A53A18"/>
    <w:rsid w:val="53A72B9F"/>
    <w:rsid w:val="53AC0356"/>
    <w:rsid w:val="53AC47FA"/>
    <w:rsid w:val="53B5002B"/>
    <w:rsid w:val="53CD4605"/>
    <w:rsid w:val="53E775E0"/>
    <w:rsid w:val="53EA718A"/>
    <w:rsid w:val="53F17428"/>
    <w:rsid w:val="54001945"/>
    <w:rsid w:val="541E510D"/>
    <w:rsid w:val="54234588"/>
    <w:rsid w:val="542478A0"/>
    <w:rsid w:val="54260581"/>
    <w:rsid w:val="542A1C14"/>
    <w:rsid w:val="542F1692"/>
    <w:rsid w:val="547A7BA6"/>
    <w:rsid w:val="54855DB6"/>
    <w:rsid w:val="54963965"/>
    <w:rsid w:val="54BC11FE"/>
    <w:rsid w:val="54C52422"/>
    <w:rsid w:val="54D44EA6"/>
    <w:rsid w:val="54E21C3A"/>
    <w:rsid w:val="54EE1F62"/>
    <w:rsid w:val="54F241EB"/>
    <w:rsid w:val="54F75B50"/>
    <w:rsid w:val="54FD2290"/>
    <w:rsid w:val="54FE4BE1"/>
    <w:rsid w:val="552047BA"/>
    <w:rsid w:val="55252935"/>
    <w:rsid w:val="552A4F61"/>
    <w:rsid w:val="553B4D73"/>
    <w:rsid w:val="555B65E8"/>
    <w:rsid w:val="557039A3"/>
    <w:rsid w:val="557B1D4C"/>
    <w:rsid w:val="558902E0"/>
    <w:rsid w:val="559B7CF3"/>
    <w:rsid w:val="55AA0117"/>
    <w:rsid w:val="55AA2ECF"/>
    <w:rsid w:val="55AB141B"/>
    <w:rsid w:val="55B1277A"/>
    <w:rsid w:val="55BE2160"/>
    <w:rsid w:val="55C72BBD"/>
    <w:rsid w:val="55D015F5"/>
    <w:rsid w:val="55D2432E"/>
    <w:rsid w:val="55DB098D"/>
    <w:rsid w:val="55F4482C"/>
    <w:rsid w:val="55F773AC"/>
    <w:rsid w:val="55F935FB"/>
    <w:rsid w:val="55FD7BA1"/>
    <w:rsid w:val="56322FBC"/>
    <w:rsid w:val="564064A9"/>
    <w:rsid w:val="564B7117"/>
    <w:rsid w:val="56553E33"/>
    <w:rsid w:val="5656675D"/>
    <w:rsid w:val="565C2EC1"/>
    <w:rsid w:val="56670EB9"/>
    <w:rsid w:val="567355E1"/>
    <w:rsid w:val="568253C9"/>
    <w:rsid w:val="568E6143"/>
    <w:rsid w:val="56911401"/>
    <w:rsid w:val="56B26FD5"/>
    <w:rsid w:val="56BF65F2"/>
    <w:rsid w:val="56C440E6"/>
    <w:rsid w:val="56CC4D76"/>
    <w:rsid w:val="56D63423"/>
    <w:rsid w:val="56E31118"/>
    <w:rsid w:val="56EF2199"/>
    <w:rsid w:val="56FF7837"/>
    <w:rsid w:val="5709481B"/>
    <w:rsid w:val="57106764"/>
    <w:rsid w:val="571405BE"/>
    <w:rsid w:val="57260F07"/>
    <w:rsid w:val="573A7D61"/>
    <w:rsid w:val="574B1A4B"/>
    <w:rsid w:val="57503CCA"/>
    <w:rsid w:val="575222B5"/>
    <w:rsid w:val="575C2093"/>
    <w:rsid w:val="57603C08"/>
    <w:rsid w:val="57644194"/>
    <w:rsid w:val="576B5B79"/>
    <w:rsid w:val="577D30F2"/>
    <w:rsid w:val="57822857"/>
    <w:rsid w:val="57904D79"/>
    <w:rsid w:val="57A31556"/>
    <w:rsid w:val="57A81FE5"/>
    <w:rsid w:val="57AA29C6"/>
    <w:rsid w:val="57B123DF"/>
    <w:rsid w:val="57C51618"/>
    <w:rsid w:val="57CD44A6"/>
    <w:rsid w:val="57DE3BEB"/>
    <w:rsid w:val="57E60D46"/>
    <w:rsid w:val="57E767C7"/>
    <w:rsid w:val="58083479"/>
    <w:rsid w:val="58156012"/>
    <w:rsid w:val="583035BE"/>
    <w:rsid w:val="58467EEB"/>
    <w:rsid w:val="585844FD"/>
    <w:rsid w:val="58587D80"/>
    <w:rsid w:val="585E597D"/>
    <w:rsid w:val="587363AB"/>
    <w:rsid w:val="587827F4"/>
    <w:rsid w:val="587F43BC"/>
    <w:rsid w:val="588717C9"/>
    <w:rsid w:val="58873140"/>
    <w:rsid w:val="5895047B"/>
    <w:rsid w:val="58BA0D1E"/>
    <w:rsid w:val="58BC4D6E"/>
    <w:rsid w:val="58C44EB1"/>
    <w:rsid w:val="58C86DC3"/>
    <w:rsid w:val="58D06745"/>
    <w:rsid w:val="58D3476C"/>
    <w:rsid w:val="58EF14AF"/>
    <w:rsid w:val="59091DA7"/>
    <w:rsid w:val="590A624B"/>
    <w:rsid w:val="5913077B"/>
    <w:rsid w:val="591F15CA"/>
    <w:rsid w:val="591F3533"/>
    <w:rsid w:val="592D5C37"/>
    <w:rsid w:val="593E18FD"/>
    <w:rsid w:val="597148D3"/>
    <w:rsid w:val="59745DBA"/>
    <w:rsid w:val="597A1ED2"/>
    <w:rsid w:val="59815976"/>
    <w:rsid w:val="599D5E47"/>
    <w:rsid w:val="59A1101C"/>
    <w:rsid w:val="59AC2AE0"/>
    <w:rsid w:val="59B4165C"/>
    <w:rsid w:val="59B80C41"/>
    <w:rsid w:val="59CD00C4"/>
    <w:rsid w:val="59D714F6"/>
    <w:rsid w:val="59E0107A"/>
    <w:rsid w:val="59E020B4"/>
    <w:rsid w:val="59EF1B2A"/>
    <w:rsid w:val="59F842F5"/>
    <w:rsid w:val="59FC0431"/>
    <w:rsid w:val="5A2040E1"/>
    <w:rsid w:val="5A2A3A5E"/>
    <w:rsid w:val="5A2E7399"/>
    <w:rsid w:val="5A484F8A"/>
    <w:rsid w:val="5A493562"/>
    <w:rsid w:val="5A4E03B9"/>
    <w:rsid w:val="5A7122F9"/>
    <w:rsid w:val="5AA1496E"/>
    <w:rsid w:val="5AB242ED"/>
    <w:rsid w:val="5AC23213"/>
    <w:rsid w:val="5AC724B0"/>
    <w:rsid w:val="5AD10D06"/>
    <w:rsid w:val="5AD45010"/>
    <w:rsid w:val="5AD669DB"/>
    <w:rsid w:val="5ADB5DD3"/>
    <w:rsid w:val="5AE470AA"/>
    <w:rsid w:val="5AE54B2B"/>
    <w:rsid w:val="5AE738B1"/>
    <w:rsid w:val="5AFF68DA"/>
    <w:rsid w:val="5B191B02"/>
    <w:rsid w:val="5B2A2BD4"/>
    <w:rsid w:val="5B380214"/>
    <w:rsid w:val="5B3D3F8A"/>
    <w:rsid w:val="5B5945C5"/>
    <w:rsid w:val="5B6231FB"/>
    <w:rsid w:val="5B6808CE"/>
    <w:rsid w:val="5B7476A4"/>
    <w:rsid w:val="5B7D50AA"/>
    <w:rsid w:val="5B7E5309"/>
    <w:rsid w:val="5B8A1AC6"/>
    <w:rsid w:val="5B8E5344"/>
    <w:rsid w:val="5B921BA5"/>
    <w:rsid w:val="5BBE7DC2"/>
    <w:rsid w:val="5BC112B9"/>
    <w:rsid w:val="5BCB4A7E"/>
    <w:rsid w:val="5BD26E90"/>
    <w:rsid w:val="5BD42235"/>
    <w:rsid w:val="5BDE39BF"/>
    <w:rsid w:val="5C147125"/>
    <w:rsid w:val="5C1F6E31"/>
    <w:rsid w:val="5C2129DD"/>
    <w:rsid w:val="5C35121E"/>
    <w:rsid w:val="5C374D37"/>
    <w:rsid w:val="5C567E3D"/>
    <w:rsid w:val="5C5D491A"/>
    <w:rsid w:val="5C5E1A1A"/>
    <w:rsid w:val="5C5F5EA8"/>
    <w:rsid w:val="5C6C3E3D"/>
    <w:rsid w:val="5CA073B0"/>
    <w:rsid w:val="5CAB4497"/>
    <w:rsid w:val="5CBB5790"/>
    <w:rsid w:val="5CD3462A"/>
    <w:rsid w:val="5D107BA8"/>
    <w:rsid w:val="5D2C3AEB"/>
    <w:rsid w:val="5D2F7F7A"/>
    <w:rsid w:val="5D3C3D86"/>
    <w:rsid w:val="5D41498A"/>
    <w:rsid w:val="5D6E5AD5"/>
    <w:rsid w:val="5D743EE0"/>
    <w:rsid w:val="5D79490A"/>
    <w:rsid w:val="5D807D2A"/>
    <w:rsid w:val="5DAD3649"/>
    <w:rsid w:val="5DC015CE"/>
    <w:rsid w:val="5DCB1D21"/>
    <w:rsid w:val="5DD40BD5"/>
    <w:rsid w:val="5DDD008C"/>
    <w:rsid w:val="5DEB3EE8"/>
    <w:rsid w:val="5DEF67B8"/>
    <w:rsid w:val="5DF04D52"/>
    <w:rsid w:val="5DFA66FC"/>
    <w:rsid w:val="5DFC50BD"/>
    <w:rsid w:val="5E084D23"/>
    <w:rsid w:val="5E115063"/>
    <w:rsid w:val="5E13444A"/>
    <w:rsid w:val="5E176D14"/>
    <w:rsid w:val="5E1B487D"/>
    <w:rsid w:val="5E1D5B3E"/>
    <w:rsid w:val="5E3A0F64"/>
    <w:rsid w:val="5E4951BD"/>
    <w:rsid w:val="5E5579C4"/>
    <w:rsid w:val="5E5A0E1C"/>
    <w:rsid w:val="5E5F28F5"/>
    <w:rsid w:val="5E790768"/>
    <w:rsid w:val="5E9D7873"/>
    <w:rsid w:val="5EB1716B"/>
    <w:rsid w:val="5EBB7A7A"/>
    <w:rsid w:val="5EC03F06"/>
    <w:rsid w:val="5EEA6F44"/>
    <w:rsid w:val="5EF607BF"/>
    <w:rsid w:val="5EFB59C2"/>
    <w:rsid w:val="5F170AFE"/>
    <w:rsid w:val="5F1D2B97"/>
    <w:rsid w:val="5F4855ED"/>
    <w:rsid w:val="5F4E6765"/>
    <w:rsid w:val="5F5046EA"/>
    <w:rsid w:val="5F580F2A"/>
    <w:rsid w:val="5F6F4DE1"/>
    <w:rsid w:val="5F7209F4"/>
    <w:rsid w:val="5F75272C"/>
    <w:rsid w:val="5F7E61C5"/>
    <w:rsid w:val="5F872A78"/>
    <w:rsid w:val="5F8B48CF"/>
    <w:rsid w:val="5F9109D7"/>
    <w:rsid w:val="5F9525E6"/>
    <w:rsid w:val="5FA00FF1"/>
    <w:rsid w:val="5FA40A7B"/>
    <w:rsid w:val="5FA730E6"/>
    <w:rsid w:val="5FC246EF"/>
    <w:rsid w:val="5FC37153"/>
    <w:rsid w:val="5FE238C0"/>
    <w:rsid w:val="5FEA2393"/>
    <w:rsid w:val="5FEB236A"/>
    <w:rsid w:val="5FEF3D3F"/>
    <w:rsid w:val="5FF05CAC"/>
    <w:rsid w:val="6008771C"/>
    <w:rsid w:val="60280B43"/>
    <w:rsid w:val="602F1BEC"/>
    <w:rsid w:val="60340051"/>
    <w:rsid w:val="60471835"/>
    <w:rsid w:val="604F3425"/>
    <w:rsid w:val="604F776D"/>
    <w:rsid w:val="606313E7"/>
    <w:rsid w:val="606927C8"/>
    <w:rsid w:val="60777FDD"/>
    <w:rsid w:val="607E751E"/>
    <w:rsid w:val="60806DF2"/>
    <w:rsid w:val="60DD547B"/>
    <w:rsid w:val="60F90953"/>
    <w:rsid w:val="61021815"/>
    <w:rsid w:val="61164056"/>
    <w:rsid w:val="61183165"/>
    <w:rsid w:val="61192DDC"/>
    <w:rsid w:val="61471ACE"/>
    <w:rsid w:val="6151511A"/>
    <w:rsid w:val="616D586A"/>
    <w:rsid w:val="61734BA9"/>
    <w:rsid w:val="6176321C"/>
    <w:rsid w:val="61783C8A"/>
    <w:rsid w:val="617864B6"/>
    <w:rsid w:val="618162DA"/>
    <w:rsid w:val="61A86601"/>
    <w:rsid w:val="61BE356A"/>
    <w:rsid w:val="61D35CDC"/>
    <w:rsid w:val="61DF3A9F"/>
    <w:rsid w:val="61E17D65"/>
    <w:rsid w:val="61F061FA"/>
    <w:rsid w:val="61F24CBE"/>
    <w:rsid w:val="62031A89"/>
    <w:rsid w:val="620F67EC"/>
    <w:rsid w:val="62122FF4"/>
    <w:rsid w:val="621640A9"/>
    <w:rsid w:val="62164D14"/>
    <w:rsid w:val="621B74DB"/>
    <w:rsid w:val="62367E73"/>
    <w:rsid w:val="624A314E"/>
    <w:rsid w:val="626138D7"/>
    <w:rsid w:val="626D235A"/>
    <w:rsid w:val="627A0C82"/>
    <w:rsid w:val="62AA2AFC"/>
    <w:rsid w:val="62B46591"/>
    <w:rsid w:val="62BC1F22"/>
    <w:rsid w:val="62D70602"/>
    <w:rsid w:val="62DB04BF"/>
    <w:rsid w:val="62E35BDB"/>
    <w:rsid w:val="62F20DB4"/>
    <w:rsid w:val="62F504AF"/>
    <w:rsid w:val="63081864"/>
    <w:rsid w:val="63190CCD"/>
    <w:rsid w:val="632C670F"/>
    <w:rsid w:val="632E4507"/>
    <w:rsid w:val="63360C3B"/>
    <w:rsid w:val="636C18B0"/>
    <w:rsid w:val="636D1FAC"/>
    <w:rsid w:val="636D68B4"/>
    <w:rsid w:val="63727B5A"/>
    <w:rsid w:val="637A4B45"/>
    <w:rsid w:val="638851DA"/>
    <w:rsid w:val="638E682F"/>
    <w:rsid w:val="63936E3D"/>
    <w:rsid w:val="639D3C37"/>
    <w:rsid w:val="63A87057"/>
    <w:rsid w:val="63AB062A"/>
    <w:rsid w:val="63D025A8"/>
    <w:rsid w:val="63D4571A"/>
    <w:rsid w:val="63E55D80"/>
    <w:rsid w:val="63EB5012"/>
    <w:rsid w:val="63EB7FD1"/>
    <w:rsid w:val="63EC3B7F"/>
    <w:rsid w:val="63EC6C14"/>
    <w:rsid w:val="64037F21"/>
    <w:rsid w:val="640D4EB9"/>
    <w:rsid w:val="640D7154"/>
    <w:rsid w:val="6419336E"/>
    <w:rsid w:val="6429154F"/>
    <w:rsid w:val="642D3E38"/>
    <w:rsid w:val="642D45E8"/>
    <w:rsid w:val="64393C7E"/>
    <w:rsid w:val="64436AB5"/>
    <w:rsid w:val="644C5B2A"/>
    <w:rsid w:val="647B68E6"/>
    <w:rsid w:val="6494357E"/>
    <w:rsid w:val="64B14BC2"/>
    <w:rsid w:val="64C00168"/>
    <w:rsid w:val="64C0696B"/>
    <w:rsid w:val="64C4255D"/>
    <w:rsid w:val="64C85A75"/>
    <w:rsid w:val="64D128C7"/>
    <w:rsid w:val="64DC3548"/>
    <w:rsid w:val="64F149BA"/>
    <w:rsid w:val="651C3055"/>
    <w:rsid w:val="652D4159"/>
    <w:rsid w:val="65451871"/>
    <w:rsid w:val="654B2CCD"/>
    <w:rsid w:val="656211BC"/>
    <w:rsid w:val="656655EA"/>
    <w:rsid w:val="65681077"/>
    <w:rsid w:val="65716C34"/>
    <w:rsid w:val="657809E0"/>
    <w:rsid w:val="659375BD"/>
    <w:rsid w:val="659A7BAF"/>
    <w:rsid w:val="659E0E8F"/>
    <w:rsid w:val="65B50CF7"/>
    <w:rsid w:val="65B6666E"/>
    <w:rsid w:val="65B848ED"/>
    <w:rsid w:val="65F21EA4"/>
    <w:rsid w:val="66074E21"/>
    <w:rsid w:val="66087371"/>
    <w:rsid w:val="663B13AC"/>
    <w:rsid w:val="664A237C"/>
    <w:rsid w:val="66577B11"/>
    <w:rsid w:val="665C1290"/>
    <w:rsid w:val="665D5F2D"/>
    <w:rsid w:val="6665513C"/>
    <w:rsid w:val="667A63AC"/>
    <w:rsid w:val="668F4233"/>
    <w:rsid w:val="66950F0B"/>
    <w:rsid w:val="66A02E32"/>
    <w:rsid w:val="66BB0B84"/>
    <w:rsid w:val="66BD5B9B"/>
    <w:rsid w:val="66C632E2"/>
    <w:rsid w:val="66DF07E8"/>
    <w:rsid w:val="66E25A2C"/>
    <w:rsid w:val="66E7327B"/>
    <w:rsid w:val="66FC3745"/>
    <w:rsid w:val="67057615"/>
    <w:rsid w:val="670E0677"/>
    <w:rsid w:val="671F424D"/>
    <w:rsid w:val="67310E46"/>
    <w:rsid w:val="67317DA2"/>
    <w:rsid w:val="673A37AF"/>
    <w:rsid w:val="673A4D46"/>
    <w:rsid w:val="67475AFF"/>
    <w:rsid w:val="674B27E2"/>
    <w:rsid w:val="675D3F22"/>
    <w:rsid w:val="67642FCA"/>
    <w:rsid w:val="677E3F7A"/>
    <w:rsid w:val="678072FE"/>
    <w:rsid w:val="678C2D71"/>
    <w:rsid w:val="67924B2C"/>
    <w:rsid w:val="67992086"/>
    <w:rsid w:val="679B6E18"/>
    <w:rsid w:val="679C300B"/>
    <w:rsid w:val="67A377CA"/>
    <w:rsid w:val="67BD09FB"/>
    <w:rsid w:val="67D06187"/>
    <w:rsid w:val="67D740EA"/>
    <w:rsid w:val="680415EA"/>
    <w:rsid w:val="680E0AC7"/>
    <w:rsid w:val="680E3473"/>
    <w:rsid w:val="68122C4A"/>
    <w:rsid w:val="6818219A"/>
    <w:rsid w:val="683F6C6A"/>
    <w:rsid w:val="685B59FD"/>
    <w:rsid w:val="686B6B5C"/>
    <w:rsid w:val="686F22B0"/>
    <w:rsid w:val="68742FBD"/>
    <w:rsid w:val="68761AF5"/>
    <w:rsid w:val="687864CD"/>
    <w:rsid w:val="687F5D5A"/>
    <w:rsid w:val="68891D6A"/>
    <w:rsid w:val="68914293"/>
    <w:rsid w:val="68932AAA"/>
    <w:rsid w:val="68947F4F"/>
    <w:rsid w:val="68981FA9"/>
    <w:rsid w:val="68AF4CDB"/>
    <w:rsid w:val="68C2262D"/>
    <w:rsid w:val="68D60C82"/>
    <w:rsid w:val="68E73347"/>
    <w:rsid w:val="68F13812"/>
    <w:rsid w:val="68F75C7D"/>
    <w:rsid w:val="692D5800"/>
    <w:rsid w:val="694F3806"/>
    <w:rsid w:val="69534CFF"/>
    <w:rsid w:val="69603C65"/>
    <w:rsid w:val="69825E01"/>
    <w:rsid w:val="6983090D"/>
    <w:rsid w:val="69853C56"/>
    <w:rsid w:val="698F6CBE"/>
    <w:rsid w:val="69950BC7"/>
    <w:rsid w:val="699B4C9D"/>
    <w:rsid w:val="69AB6830"/>
    <w:rsid w:val="69AF1010"/>
    <w:rsid w:val="69BB4263"/>
    <w:rsid w:val="69C761F8"/>
    <w:rsid w:val="69DA187A"/>
    <w:rsid w:val="69E676CD"/>
    <w:rsid w:val="69F329C0"/>
    <w:rsid w:val="69FD3A6F"/>
    <w:rsid w:val="6A0568FD"/>
    <w:rsid w:val="6A164324"/>
    <w:rsid w:val="6A1A7D0D"/>
    <w:rsid w:val="6A1F3413"/>
    <w:rsid w:val="6A2753DF"/>
    <w:rsid w:val="6A3C6480"/>
    <w:rsid w:val="6A410CE0"/>
    <w:rsid w:val="6A563204"/>
    <w:rsid w:val="6A5C2B8F"/>
    <w:rsid w:val="6A6452BD"/>
    <w:rsid w:val="6A99742E"/>
    <w:rsid w:val="6AAD4DEA"/>
    <w:rsid w:val="6AB11548"/>
    <w:rsid w:val="6AB22299"/>
    <w:rsid w:val="6ABF609E"/>
    <w:rsid w:val="6ACA76A3"/>
    <w:rsid w:val="6ADC6960"/>
    <w:rsid w:val="6ADF0BB9"/>
    <w:rsid w:val="6AE12DE8"/>
    <w:rsid w:val="6B115DB6"/>
    <w:rsid w:val="6B180D44"/>
    <w:rsid w:val="6B1B6DB4"/>
    <w:rsid w:val="6B1F4E4B"/>
    <w:rsid w:val="6B210C3A"/>
    <w:rsid w:val="6B254A40"/>
    <w:rsid w:val="6B3B41E2"/>
    <w:rsid w:val="6B4438F9"/>
    <w:rsid w:val="6B5C2732"/>
    <w:rsid w:val="6B60619E"/>
    <w:rsid w:val="6B716584"/>
    <w:rsid w:val="6B884BD4"/>
    <w:rsid w:val="6B896F64"/>
    <w:rsid w:val="6B93068D"/>
    <w:rsid w:val="6BA50055"/>
    <w:rsid w:val="6BA54F91"/>
    <w:rsid w:val="6BBE3F45"/>
    <w:rsid w:val="6BC61143"/>
    <w:rsid w:val="6BCC3834"/>
    <w:rsid w:val="6BD35BF3"/>
    <w:rsid w:val="6BDB0A81"/>
    <w:rsid w:val="6BE97D97"/>
    <w:rsid w:val="6C076969"/>
    <w:rsid w:val="6C136191"/>
    <w:rsid w:val="6C225202"/>
    <w:rsid w:val="6C2C7F63"/>
    <w:rsid w:val="6C3443FD"/>
    <w:rsid w:val="6C3B57FD"/>
    <w:rsid w:val="6C4B5C4E"/>
    <w:rsid w:val="6C5958E6"/>
    <w:rsid w:val="6C63615E"/>
    <w:rsid w:val="6C6D1167"/>
    <w:rsid w:val="6C727F37"/>
    <w:rsid w:val="6C756BF8"/>
    <w:rsid w:val="6C75797B"/>
    <w:rsid w:val="6C8579CE"/>
    <w:rsid w:val="6CAE4501"/>
    <w:rsid w:val="6CC10EBE"/>
    <w:rsid w:val="6CC5236B"/>
    <w:rsid w:val="6CD1075B"/>
    <w:rsid w:val="6CE8725C"/>
    <w:rsid w:val="6CF634D1"/>
    <w:rsid w:val="6D164F05"/>
    <w:rsid w:val="6D1E0069"/>
    <w:rsid w:val="6D2A0F01"/>
    <w:rsid w:val="6D2F4B04"/>
    <w:rsid w:val="6D341359"/>
    <w:rsid w:val="6D3544E4"/>
    <w:rsid w:val="6D41340A"/>
    <w:rsid w:val="6D771B27"/>
    <w:rsid w:val="6D7C4DB1"/>
    <w:rsid w:val="6D8F2D6B"/>
    <w:rsid w:val="6DA15974"/>
    <w:rsid w:val="6DAA59C7"/>
    <w:rsid w:val="6DB7708E"/>
    <w:rsid w:val="6DBF07D8"/>
    <w:rsid w:val="6DC14631"/>
    <w:rsid w:val="6DD864C0"/>
    <w:rsid w:val="6DF8794A"/>
    <w:rsid w:val="6DFC5FB9"/>
    <w:rsid w:val="6E003054"/>
    <w:rsid w:val="6E0332E1"/>
    <w:rsid w:val="6E07355A"/>
    <w:rsid w:val="6E0E3C8F"/>
    <w:rsid w:val="6E191AC7"/>
    <w:rsid w:val="6E283539"/>
    <w:rsid w:val="6E2C4ACE"/>
    <w:rsid w:val="6E3C771B"/>
    <w:rsid w:val="6E457F5E"/>
    <w:rsid w:val="6E505F87"/>
    <w:rsid w:val="6E6E4DAE"/>
    <w:rsid w:val="6E6E686C"/>
    <w:rsid w:val="6E7E7675"/>
    <w:rsid w:val="6E8C3158"/>
    <w:rsid w:val="6E906CE5"/>
    <w:rsid w:val="6E91497D"/>
    <w:rsid w:val="6E961230"/>
    <w:rsid w:val="6EA02651"/>
    <w:rsid w:val="6EA840E4"/>
    <w:rsid w:val="6EB71C50"/>
    <w:rsid w:val="6EC2776D"/>
    <w:rsid w:val="6EC559C8"/>
    <w:rsid w:val="6ECC5AFF"/>
    <w:rsid w:val="6ED56955"/>
    <w:rsid w:val="6EDC7E23"/>
    <w:rsid w:val="6EDF7DF5"/>
    <w:rsid w:val="6EF054B2"/>
    <w:rsid w:val="6EF467AA"/>
    <w:rsid w:val="6F0A5E07"/>
    <w:rsid w:val="6F156CE7"/>
    <w:rsid w:val="6F1B0648"/>
    <w:rsid w:val="6F1C4902"/>
    <w:rsid w:val="6F2203A4"/>
    <w:rsid w:val="6F282866"/>
    <w:rsid w:val="6F2D2082"/>
    <w:rsid w:val="6F362EEF"/>
    <w:rsid w:val="6F3B6E8A"/>
    <w:rsid w:val="6F3F7AF6"/>
    <w:rsid w:val="6F424616"/>
    <w:rsid w:val="6F653638"/>
    <w:rsid w:val="6F670FD3"/>
    <w:rsid w:val="6F782DA8"/>
    <w:rsid w:val="6F840BC0"/>
    <w:rsid w:val="6FA063F1"/>
    <w:rsid w:val="6FBA7E18"/>
    <w:rsid w:val="6FC90DDE"/>
    <w:rsid w:val="6FCF648F"/>
    <w:rsid w:val="6FD12C00"/>
    <w:rsid w:val="6FD724A3"/>
    <w:rsid w:val="701F635B"/>
    <w:rsid w:val="7027728A"/>
    <w:rsid w:val="704B4AC8"/>
    <w:rsid w:val="704C4F43"/>
    <w:rsid w:val="704D16F0"/>
    <w:rsid w:val="70524453"/>
    <w:rsid w:val="70653474"/>
    <w:rsid w:val="706A1D38"/>
    <w:rsid w:val="706B7416"/>
    <w:rsid w:val="706E1715"/>
    <w:rsid w:val="70725A7E"/>
    <w:rsid w:val="707A11F8"/>
    <w:rsid w:val="707A29AA"/>
    <w:rsid w:val="707E0597"/>
    <w:rsid w:val="707E401E"/>
    <w:rsid w:val="70892834"/>
    <w:rsid w:val="709F5D18"/>
    <w:rsid w:val="70A110BE"/>
    <w:rsid w:val="70A13A23"/>
    <w:rsid w:val="70AA4A4E"/>
    <w:rsid w:val="70B02076"/>
    <w:rsid w:val="70D20225"/>
    <w:rsid w:val="70D54A2C"/>
    <w:rsid w:val="70F70A77"/>
    <w:rsid w:val="70FF23EA"/>
    <w:rsid w:val="7104137A"/>
    <w:rsid w:val="7125234C"/>
    <w:rsid w:val="71645595"/>
    <w:rsid w:val="716F71A9"/>
    <w:rsid w:val="717B63CB"/>
    <w:rsid w:val="719733B2"/>
    <w:rsid w:val="71A1306D"/>
    <w:rsid w:val="71B049BF"/>
    <w:rsid w:val="71B0628D"/>
    <w:rsid w:val="71D246BA"/>
    <w:rsid w:val="71D85F8C"/>
    <w:rsid w:val="71EA67C2"/>
    <w:rsid w:val="71ED65DF"/>
    <w:rsid w:val="71FD3ACE"/>
    <w:rsid w:val="7228247C"/>
    <w:rsid w:val="72331F17"/>
    <w:rsid w:val="723B09BE"/>
    <w:rsid w:val="72422A05"/>
    <w:rsid w:val="72504D7A"/>
    <w:rsid w:val="72594244"/>
    <w:rsid w:val="726460D5"/>
    <w:rsid w:val="726B3722"/>
    <w:rsid w:val="726D142B"/>
    <w:rsid w:val="72712A3F"/>
    <w:rsid w:val="72885A76"/>
    <w:rsid w:val="728C3246"/>
    <w:rsid w:val="728D58D2"/>
    <w:rsid w:val="729055BB"/>
    <w:rsid w:val="729A37C2"/>
    <w:rsid w:val="72AD053A"/>
    <w:rsid w:val="72AF08D9"/>
    <w:rsid w:val="72B24C60"/>
    <w:rsid w:val="73031D21"/>
    <w:rsid w:val="7305677E"/>
    <w:rsid w:val="73197761"/>
    <w:rsid w:val="73201942"/>
    <w:rsid w:val="73252062"/>
    <w:rsid w:val="732C6966"/>
    <w:rsid w:val="73306E0A"/>
    <w:rsid w:val="73395DC1"/>
    <w:rsid w:val="734D0939"/>
    <w:rsid w:val="73657A70"/>
    <w:rsid w:val="737C04B8"/>
    <w:rsid w:val="737F2B18"/>
    <w:rsid w:val="73897499"/>
    <w:rsid w:val="73935A98"/>
    <w:rsid w:val="739B64B9"/>
    <w:rsid w:val="739B6A7A"/>
    <w:rsid w:val="739D19BD"/>
    <w:rsid w:val="73A262DB"/>
    <w:rsid w:val="73A34E7A"/>
    <w:rsid w:val="73AB3C56"/>
    <w:rsid w:val="73B02BDC"/>
    <w:rsid w:val="73B33B60"/>
    <w:rsid w:val="73B421F1"/>
    <w:rsid w:val="73C36ADF"/>
    <w:rsid w:val="73D37CBE"/>
    <w:rsid w:val="73E37B20"/>
    <w:rsid w:val="740A5AD5"/>
    <w:rsid w:val="740D2C3B"/>
    <w:rsid w:val="74211DB2"/>
    <w:rsid w:val="74334CB7"/>
    <w:rsid w:val="743351F3"/>
    <w:rsid w:val="74387CB8"/>
    <w:rsid w:val="744C3764"/>
    <w:rsid w:val="7450229F"/>
    <w:rsid w:val="745207E6"/>
    <w:rsid w:val="747B7BA5"/>
    <w:rsid w:val="74A33DB0"/>
    <w:rsid w:val="74C2633F"/>
    <w:rsid w:val="74C5486F"/>
    <w:rsid w:val="74C94DB4"/>
    <w:rsid w:val="74E41579"/>
    <w:rsid w:val="74EE7DC0"/>
    <w:rsid w:val="75041948"/>
    <w:rsid w:val="750D2188"/>
    <w:rsid w:val="7529525B"/>
    <w:rsid w:val="75296355"/>
    <w:rsid w:val="755C23E6"/>
    <w:rsid w:val="756B2EB1"/>
    <w:rsid w:val="75A1685C"/>
    <w:rsid w:val="75A646CD"/>
    <w:rsid w:val="75CD54D4"/>
    <w:rsid w:val="75D02F97"/>
    <w:rsid w:val="75EE09F1"/>
    <w:rsid w:val="75EF348B"/>
    <w:rsid w:val="75F5634A"/>
    <w:rsid w:val="75F83451"/>
    <w:rsid w:val="75F94D1D"/>
    <w:rsid w:val="760A01AD"/>
    <w:rsid w:val="761E7228"/>
    <w:rsid w:val="763139C8"/>
    <w:rsid w:val="76317751"/>
    <w:rsid w:val="76512922"/>
    <w:rsid w:val="76537226"/>
    <w:rsid w:val="7668404E"/>
    <w:rsid w:val="76711A67"/>
    <w:rsid w:val="767301A9"/>
    <w:rsid w:val="7678709E"/>
    <w:rsid w:val="76876CD5"/>
    <w:rsid w:val="768D4D0E"/>
    <w:rsid w:val="76A732D7"/>
    <w:rsid w:val="76AB6DEC"/>
    <w:rsid w:val="76B10FCA"/>
    <w:rsid w:val="76E21794"/>
    <w:rsid w:val="76E546E8"/>
    <w:rsid w:val="76E94CF1"/>
    <w:rsid w:val="76EB4627"/>
    <w:rsid w:val="76F46E0A"/>
    <w:rsid w:val="772B5411"/>
    <w:rsid w:val="772F6015"/>
    <w:rsid w:val="776F2682"/>
    <w:rsid w:val="77715B85"/>
    <w:rsid w:val="77792664"/>
    <w:rsid w:val="777F4473"/>
    <w:rsid w:val="77A2431D"/>
    <w:rsid w:val="77AF64E3"/>
    <w:rsid w:val="77CD18DD"/>
    <w:rsid w:val="77D57FD9"/>
    <w:rsid w:val="77E777A4"/>
    <w:rsid w:val="77F44BF7"/>
    <w:rsid w:val="77FF4152"/>
    <w:rsid w:val="7800478D"/>
    <w:rsid w:val="78054236"/>
    <w:rsid w:val="78211EAC"/>
    <w:rsid w:val="782562CF"/>
    <w:rsid w:val="78370793"/>
    <w:rsid w:val="7840538D"/>
    <w:rsid w:val="784204C8"/>
    <w:rsid w:val="78446A21"/>
    <w:rsid w:val="785C7E92"/>
    <w:rsid w:val="785F19C2"/>
    <w:rsid w:val="78622F0F"/>
    <w:rsid w:val="78655D8D"/>
    <w:rsid w:val="78696319"/>
    <w:rsid w:val="787A5A59"/>
    <w:rsid w:val="78945D34"/>
    <w:rsid w:val="78C364D8"/>
    <w:rsid w:val="78C87131"/>
    <w:rsid w:val="78D739A4"/>
    <w:rsid w:val="78D750CC"/>
    <w:rsid w:val="78E24696"/>
    <w:rsid w:val="78F975D9"/>
    <w:rsid w:val="78FA1622"/>
    <w:rsid w:val="790314B0"/>
    <w:rsid w:val="791E10C4"/>
    <w:rsid w:val="795051C1"/>
    <w:rsid w:val="797A0220"/>
    <w:rsid w:val="798055B5"/>
    <w:rsid w:val="79D43CD3"/>
    <w:rsid w:val="79DB47B4"/>
    <w:rsid w:val="79DD72E6"/>
    <w:rsid w:val="79DF4907"/>
    <w:rsid w:val="79E64CE8"/>
    <w:rsid w:val="79E85CDC"/>
    <w:rsid w:val="79EA7513"/>
    <w:rsid w:val="7A1B7D76"/>
    <w:rsid w:val="7A24483B"/>
    <w:rsid w:val="7A2465E9"/>
    <w:rsid w:val="7A381669"/>
    <w:rsid w:val="7A432F13"/>
    <w:rsid w:val="7A4543D8"/>
    <w:rsid w:val="7A4665A8"/>
    <w:rsid w:val="7A4A445D"/>
    <w:rsid w:val="7A4B626B"/>
    <w:rsid w:val="7A536862"/>
    <w:rsid w:val="7A5634A8"/>
    <w:rsid w:val="7A934F30"/>
    <w:rsid w:val="7A9364A0"/>
    <w:rsid w:val="7AC758F2"/>
    <w:rsid w:val="7ACD7837"/>
    <w:rsid w:val="7AD3168F"/>
    <w:rsid w:val="7AD40985"/>
    <w:rsid w:val="7AD67B94"/>
    <w:rsid w:val="7ADE42FD"/>
    <w:rsid w:val="7ADE49EA"/>
    <w:rsid w:val="7AF14B8B"/>
    <w:rsid w:val="7AF42FD1"/>
    <w:rsid w:val="7AF45447"/>
    <w:rsid w:val="7AFB643C"/>
    <w:rsid w:val="7B001486"/>
    <w:rsid w:val="7B017EAB"/>
    <w:rsid w:val="7B0816F7"/>
    <w:rsid w:val="7B086666"/>
    <w:rsid w:val="7B0B2E6E"/>
    <w:rsid w:val="7B0D019E"/>
    <w:rsid w:val="7B13027A"/>
    <w:rsid w:val="7B295DC0"/>
    <w:rsid w:val="7B30473A"/>
    <w:rsid w:val="7B3C363D"/>
    <w:rsid w:val="7B4E57A8"/>
    <w:rsid w:val="7B5313B7"/>
    <w:rsid w:val="7B6C6499"/>
    <w:rsid w:val="7B6E7FD8"/>
    <w:rsid w:val="7B911B9D"/>
    <w:rsid w:val="7B9B6ED9"/>
    <w:rsid w:val="7B9D23DC"/>
    <w:rsid w:val="7B9F1028"/>
    <w:rsid w:val="7BAA67C8"/>
    <w:rsid w:val="7BB34580"/>
    <w:rsid w:val="7BB3769C"/>
    <w:rsid w:val="7BB636E8"/>
    <w:rsid w:val="7BCB1C27"/>
    <w:rsid w:val="7BE2420E"/>
    <w:rsid w:val="7BE92B64"/>
    <w:rsid w:val="7BEA6C58"/>
    <w:rsid w:val="7C1C7853"/>
    <w:rsid w:val="7C293101"/>
    <w:rsid w:val="7C331A33"/>
    <w:rsid w:val="7C5331B5"/>
    <w:rsid w:val="7C635AEE"/>
    <w:rsid w:val="7C7A43E6"/>
    <w:rsid w:val="7C9F3284"/>
    <w:rsid w:val="7CB85B0B"/>
    <w:rsid w:val="7CD60B34"/>
    <w:rsid w:val="7D002024"/>
    <w:rsid w:val="7D05286A"/>
    <w:rsid w:val="7D230DDA"/>
    <w:rsid w:val="7D286B6E"/>
    <w:rsid w:val="7D3D59DD"/>
    <w:rsid w:val="7D4F2749"/>
    <w:rsid w:val="7D676FBC"/>
    <w:rsid w:val="7D6F1726"/>
    <w:rsid w:val="7D867CFE"/>
    <w:rsid w:val="7D9352D0"/>
    <w:rsid w:val="7DA40BB4"/>
    <w:rsid w:val="7DBA6ED4"/>
    <w:rsid w:val="7DBB4955"/>
    <w:rsid w:val="7DC141F5"/>
    <w:rsid w:val="7DC86C2F"/>
    <w:rsid w:val="7DDE784F"/>
    <w:rsid w:val="7DE4674F"/>
    <w:rsid w:val="7DE85616"/>
    <w:rsid w:val="7DEA7A23"/>
    <w:rsid w:val="7DFB6085"/>
    <w:rsid w:val="7E1227CD"/>
    <w:rsid w:val="7E235535"/>
    <w:rsid w:val="7E237588"/>
    <w:rsid w:val="7E45546D"/>
    <w:rsid w:val="7E5F19FF"/>
    <w:rsid w:val="7E6539F1"/>
    <w:rsid w:val="7E663674"/>
    <w:rsid w:val="7E6B3474"/>
    <w:rsid w:val="7E6B571A"/>
    <w:rsid w:val="7E6C680E"/>
    <w:rsid w:val="7E7E3B6B"/>
    <w:rsid w:val="7E962D6C"/>
    <w:rsid w:val="7EA34C53"/>
    <w:rsid w:val="7EC775C2"/>
    <w:rsid w:val="7EE3665D"/>
    <w:rsid w:val="7F052E8D"/>
    <w:rsid w:val="7F081224"/>
    <w:rsid w:val="7F107805"/>
    <w:rsid w:val="7F3D2627"/>
    <w:rsid w:val="7F502D1B"/>
    <w:rsid w:val="7F5336A9"/>
    <w:rsid w:val="7F572FBC"/>
    <w:rsid w:val="7F5C1E83"/>
    <w:rsid w:val="7F701CB0"/>
    <w:rsid w:val="7F7A5C96"/>
    <w:rsid w:val="7F810F0C"/>
    <w:rsid w:val="7F88415D"/>
    <w:rsid w:val="7F8D4850"/>
    <w:rsid w:val="7F943A06"/>
    <w:rsid w:val="7FB96999"/>
    <w:rsid w:val="7FB977D3"/>
    <w:rsid w:val="7FBF0632"/>
    <w:rsid w:val="7FCB6F38"/>
    <w:rsid w:val="7FD562CA"/>
    <w:rsid w:val="7FE2704E"/>
    <w:rsid w:val="7FF01BF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link w:val="32"/>
    <w:qFormat/>
    <w:uiPriority w:val="1"/>
    <w:pPr>
      <w:spacing w:line="702" w:lineRule="exact"/>
      <w:outlineLvl w:val="0"/>
    </w:pPr>
    <w:rPr>
      <w:rFonts w:ascii="Microsoft JhengHei" w:hAnsi="Microsoft JhengHei" w:eastAsia="Microsoft JhengHei" w:cs="Microsoft JhengHei"/>
      <w:b/>
      <w:bCs/>
      <w:sz w:val="44"/>
      <w:szCs w:val="44"/>
      <w:lang w:val="zh-CN" w:eastAsia="zh-CN" w:bidi="zh-CN"/>
    </w:rPr>
  </w:style>
  <w:style w:type="paragraph" w:styleId="3">
    <w:name w:val="heading 2"/>
    <w:basedOn w:val="1"/>
    <w:next w:val="1"/>
    <w:link w:val="33"/>
    <w:qFormat/>
    <w:uiPriority w:val="1"/>
    <w:pPr>
      <w:ind w:left="801" w:hanging="401"/>
      <w:outlineLvl w:val="1"/>
    </w:pPr>
    <w:rPr>
      <w:rFonts w:ascii="Microsoft JhengHei" w:hAnsi="Microsoft JhengHei" w:eastAsia="Microsoft JhengHei" w:cs="Microsoft JhengHei"/>
      <w:b/>
      <w:bCs/>
      <w:sz w:val="32"/>
      <w:szCs w:val="32"/>
      <w:lang w:val="zh-CN" w:eastAsia="zh-CN" w:bidi="zh-CN"/>
    </w:rPr>
  </w:style>
  <w:style w:type="paragraph" w:styleId="4">
    <w:name w:val="heading 3"/>
    <w:basedOn w:val="1"/>
    <w:next w:val="1"/>
    <w:link w:val="34"/>
    <w:qFormat/>
    <w:uiPriority w:val="1"/>
    <w:pPr>
      <w:ind w:left="1026" w:hanging="489"/>
      <w:outlineLvl w:val="2"/>
    </w:pPr>
    <w:rPr>
      <w:rFonts w:ascii="宋体" w:hAnsi="宋体" w:eastAsia="宋体" w:cs="宋体"/>
      <w:sz w:val="28"/>
      <w:szCs w:val="28"/>
      <w:lang w:val="zh-CN" w:eastAsia="zh-CN" w:bidi="zh-CN"/>
    </w:rPr>
  </w:style>
  <w:style w:type="paragraph" w:styleId="5">
    <w:name w:val="heading 4"/>
    <w:basedOn w:val="1"/>
    <w:next w:val="1"/>
    <w:link w:val="35"/>
    <w:qFormat/>
    <w:uiPriority w:val="1"/>
    <w:pPr>
      <w:ind w:left="400" w:right="697" w:firstLine="479"/>
      <w:jc w:val="both"/>
      <w:outlineLvl w:val="3"/>
    </w:pPr>
    <w:rPr>
      <w:rFonts w:ascii="宋体" w:hAnsi="宋体" w:eastAsia="宋体" w:cs="宋体"/>
      <w:sz w:val="24"/>
      <w:szCs w:val="24"/>
      <w:lang w:val="zh-CN" w:eastAsia="zh-CN" w:bidi="zh-CN"/>
    </w:rPr>
  </w:style>
  <w:style w:type="paragraph" w:styleId="6">
    <w:name w:val="heading 5"/>
    <w:basedOn w:val="1"/>
    <w:next w:val="1"/>
    <w:link w:val="36"/>
    <w:qFormat/>
    <w:uiPriority w:val="1"/>
    <w:pPr>
      <w:ind w:left="1348" w:hanging="526"/>
      <w:outlineLvl w:val="4"/>
    </w:pPr>
    <w:rPr>
      <w:rFonts w:ascii="Microsoft JhengHei" w:hAnsi="Microsoft JhengHei" w:eastAsia="Microsoft JhengHei" w:cs="Microsoft JhengHei"/>
      <w:b/>
      <w:bCs/>
      <w:sz w:val="21"/>
      <w:szCs w:val="21"/>
      <w:lang w:val="zh-CN" w:eastAsia="zh-CN" w:bidi="zh-CN"/>
    </w:rPr>
  </w:style>
  <w:style w:type="character" w:default="1" w:styleId="26">
    <w:name w:val="Default Paragraph Font"/>
    <w:unhideWhenUsed/>
    <w:qFormat/>
    <w:uiPriority w:val="1"/>
  </w:style>
  <w:style w:type="table" w:default="1" w:styleId="2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caption"/>
    <w:basedOn w:val="1"/>
    <w:next w:val="1"/>
    <w:qFormat/>
    <w:uiPriority w:val="0"/>
    <w:rPr>
      <w:rFonts w:ascii="Cambria" w:hAnsi="Cambria" w:eastAsia="黑体" w:cs="Times New Roman"/>
      <w:sz w:val="20"/>
      <w:szCs w:val="20"/>
    </w:rPr>
  </w:style>
  <w:style w:type="paragraph" w:styleId="8">
    <w:name w:val="annotation text"/>
    <w:basedOn w:val="1"/>
    <w:link w:val="37"/>
    <w:qFormat/>
    <w:uiPriority w:val="0"/>
    <w:pPr>
      <w:jc w:val="left"/>
    </w:pPr>
  </w:style>
  <w:style w:type="paragraph" w:styleId="9">
    <w:name w:val="Body Text 3"/>
    <w:basedOn w:val="1"/>
    <w:link w:val="38"/>
    <w:qFormat/>
    <w:uiPriority w:val="99"/>
    <w:rPr>
      <w:rFonts w:ascii="宋体"/>
      <w:kern w:val="0"/>
      <w:sz w:val="20"/>
      <w:szCs w:val="20"/>
    </w:rPr>
  </w:style>
  <w:style w:type="paragraph" w:styleId="10">
    <w:name w:val="Body Text"/>
    <w:basedOn w:val="1"/>
    <w:next w:val="1"/>
    <w:link w:val="39"/>
    <w:qFormat/>
    <w:uiPriority w:val="1"/>
    <w:rPr>
      <w:rFonts w:ascii="宋体" w:hAnsi="宋体" w:eastAsia="宋体" w:cs="宋体"/>
      <w:sz w:val="21"/>
      <w:szCs w:val="21"/>
      <w:lang w:val="zh-CN" w:eastAsia="zh-CN" w:bidi="zh-CN"/>
    </w:rPr>
  </w:style>
  <w:style w:type="paragraph" w:styleId="11">
    <w:name w:val="Body Text Indent"/>
    <w:basedOn w:val="1"/>
    <w:link w:val="40"/>
    <w:qFormat/>
    <w:uiPriority w:val="0"/>
    <w:pPr>
      <w:ind w:firstLine="360"/>
    </w:pPr>
    <w:rPr>
      <w:rFonts w:ascii="Arial" w:hAnsi="Arial"/>
    </w:rPr>
  </w:style>
  <w:style w:type="paragraph" w:styleId="12">
    <w:name w:val="toc 3"/>
    <w:basedOn w:val="1"/>
    <w:next w:val="1"/>
    <w:qFormat/>
    <w:uiPriority w:val="1"/>
    <w:pPr>
      <w:spacing w:before="2"/>
      <w:ind w:left="1610" w:hanging="370"/>
    </w:pPr>
    <w:rPr>
      <w:rFonts w:ascii="宋体" w:hAnsi="宋体" w:eastAsia="宋体" w:cs="宋体"/>
      <w:sz w:val="21"/>
      <w:szCs w:val="21"/>
      <w:lang w:val="zh-CN" w:eastAsia="zh-CN" w:bidi="zh-CN"/>
    </w:rPr>
  </w:style>
  <w:style w:type="paragraph" w:styleId="13">
    <w:name w:val="Plain Text"/>
    <w:basedOn w:val="1"/>
    <w:link w:val="41"/>
    <w:qFormat/>
    <w:uiPriority w:val="0"/>
    <w:rPr>
      <w:rFonts w:ascii="宋体" w:hAnsi="Courier New" w:cs="Times New Roman"/>
    </w:rPr>
  </w:style>
  <w:style w:type="paragraph" w:styleId="14">
    <w:name w:val="Date"/>
    <w:basedOn w:val="1"/>
    <w:next w:val="1"/>
    <w:link w:val="42"/>
    <w:qFormat/>
    <w:uiPriority w:val="0"/>
    <w:pPr>
      <w:autoSpaceDE/>
      <w:autoSpaceDN/>
      <w:jc w:val="both"/>
    </w:pPr>
    <w:rPr>
      <w:rFonts w:hAnsi="Calibri" w:cs="Times New Roman"/>
      <w:sz w:val="24"/>
      <w:szCs w:val="20"/>
      <w:lang w:val="en-US" w:bidi="ar-SA"/>
    </w:rPr>
  </w:style>
  <w:style w:type="paragraph" w:styleId="15">
    <w:name w:val="Body Text Indent 2"/>
    <w:basedOn w:val="1"/>
    <w:link w:val="43"/>
    <w:qFormat/>
    <w:uiPriority w:val="0"/>
    <w:pPr>
      <w:spacing w:after="120" w:line="480" w:lineRule="auto"/>
      <w:ind w:left="420" w:leftChars="200"/>
    </w:pPr>
  </w:style>
  <w:style w:type="paragraph" w:styleId="16">
    <w:name w:val="Balloon Text"/>
    <w:basedOn w:val="1"/>
    <w:link w:val="44"/>
    <w:qFormat/>
    <w:uiPriority w:val="0"/>
    <w:rPr>
      <w:sz w:val="18"/>
      <w:szCs w:val="18"/>
    </w:rPr>
  </w:style>
  <w:style w:type="paragraph" w:styleId="17">
    <w:name w:val="footer"/>
    <w:basedOn w:val="1"/>
    <w:link w:val="45"/>
    <w:qFormat/>
    <w:uiPriority w:val="0"/>
    <w:pPr>
      <w:tabs>
        <w:tab w:val="center" w:pos="4153"/>
        <w:tab w:val="right" w:pos="8306"/>
      </w:tabs>
      <w:snapToGrid w:val="0"/>
      <w:jc w:val="left"/>
    </w:pPr>
    <w:rPr>
      <w:sz w:val="18"/>
    </w:rPr>
  </w:style>
  <w:style w:type="paragraph" w:styleId="18">
    <w:name w:val="header"/>
    <w:basedOn w:val="1"/>
    <w:link w:val="4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1"/>
    <w:pPr>
      <w:spacing w:before="2"/>
      <w:ind w:left="400"/>
    </w:pPr>
    <w:rPr>
      <w:rFonts w:ascii="宋体" w:hAnsi="宋体" w:eastAsia="宋体" w:cs="宋体"/>
      <w:sz w:val="21"/>
      <w:szCs w:val="21"/>
      <w:lang w:val="zh-CN" w:eastAsia="zh-CN" w:bidi="zh-CN"/>
    </w:rPr>
  </w:style>
  <w:style w:type="paragraph" w:styleId="20">
    <w:name w:val="toc 2"/>
    <w:basedOn w:val="1"/>
    <w:next w:val="1"/>
    <w:qFormat/>
    <w:uiPriority w:val="1"/>
    <w:pPr>
      <w:spacing w:before="2"/>
      <w:ind w:left="1084" w:hanging="264"/>
    </w:pPr>
    <w:rPr>
      <w:rFonts w:ascii="宋体" w:hAnsi="宋体" w:eastAsia="宋体" w:cs="宋体"/>
      <w:sz w:val="21"/>
      <w:szCs w:val="21"/>
      <w:lang w:val="zh-CN" w:eastAsia="zh-CN" w:bidi="zh-CN"/>
    </w:rPr>
  </w:style>
  <w:style w:type="paragraph" w:styleId="2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2">
    <w:name w:val="annotation subject"/>
    <w:basedOn w:val="8"/>
    <w:next w:val="8"/>
    <w:link w:val="47"/>
    <w:unhideWhenUsed/>
    <w:qFormat/>
    <w:uiPriority w:val="99"/>
    <w:pPr>
      <w:autoSpaceDE/>
      <w:autoSpaceDN/>
    </w:pPr>
    <w:rPr>
      <w:rFonts w:ascii="Times New Roman" w:hAnsi="Times New Roman" w:cs="Times New Roman"/>
      <w:b/>
      <w:bCs/>
      <w:kern w:val="2"/>
      <w:sz w:val="21"/>
      <w:szCs w:val="24"/>
      <w:lang w:val="en-US" w:bidi="ar-SA"/>
    </w:rPr>
  </w:style>
  <w:style w:type="paragraph" w:styleId="23">
    <w:name w:val="Body Text First Indent 2"/>
    <w:basedOn w:val="11"/>
    <w:link w:val="48"/>
    <w:qFormat/>
    <w:uiPriority w:val="0"/>
    <w:pPr>
      <w:autoSpaceDE/>
      <w:autoSpaceDN/>
      <w:spacing w:after="120"/>
      <w:ind w:left="420" w:leftChars="200" w:firstLine="420" w:firstLineChars="200"/>
      <w:jc w:val="both"/>
    </w:pPr>
    <w:rPr>
      <w:rFonts w:ascii="Times New Roman" w:hAnsi="Times New Roman" w:cs="Times New Roman"/>
      <w:kern w:val="2"/>
      <w:sz w:val="21"/>
      <w:szCs w:val="24"/>
      <w:lang w:val="en-US"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rPr>
  </w:style>
  <w:style w:type="character" w:styleId="28">
    <w:name w:val="page number"/>
    <w:qFormat/>
    <w:uiPriority w:val="0"/>
  </w:style>
  <w:style w:type="character" w:styleId="29">
    <w:name w:val="FollowedHyperlink"/>
    <w:unhideWhenUsed/>
    <w:qFormat/>
    <w:uiPriority w:val="99"/>
    <w:rPr>
      <w:color w:val="800080"/>
      <w:u w:val="single"/>
    </w:rPr>
  </w:style>
  <w:style w:type="character" w:styleId="30">
    <w:name w:val="Hyperlink"/>
    <w:qFormat/>
    <w:uiPriority w:val="99"/>
    <w:rPr>
      <w:color w:val="0000FF"/>
      <w:u w:val="single"/>
    </w:rPr>
  </w:style>
  <w:style w:type="character" w:styleId="31">
    <w:name w:val="annotation reference"/>
    <w:unhideWhenUsed/>
    <w:qFormat/>
    <w:uiPriority w:val="99"/>
    <w:rPr>
      <w:sz w:val="21"/>
      <w:szCs w:val="21"/>
    </w:rPr>
  </w:style>
  <w:style w:type="character" w:customStyle="1" w:styleId="32">
    <w:name w:val="标题 1 字符"/>
    <w:link w:val="2"/>
    <w:qFormat/>
    <w:uiPriority w:val="1"/>
    <w:rPr>
      <w:rFonts w:ascii="Microsoft JhengHei" w:hAnsi="Microsoft JhengHei" w:eastAsia="Microsoft JhengHei" w:cs="Microsoft JhengHei"/>
      <w:b/>
      <w:bCs/>
      <w:sz w:val="44"/>
      <w:szCs w:val="44"/>
      <w:lang w:val="zh-CN" w:bidi="zh-CN"/>
    </w:rPr>
  </w:style>
  <w:style w:type="character" w:customStyle="1" w:styleId="33">
    <w:name w:val="标题 2 字符"/>
    <w:link w:val="3"/>
    <w:qFormat/>
    <w:uiPriority w:val="1"/>
    <w:rPr>
      <w:rFonts w:ascii="Microsoft JhengHei" w:hAnsi="Microsoft JhengHei" w:eastAsia="Microsoft JhengHei" w:cs="Microsoft JhengHei"/>
      <w:b/>
      <w:bCs/>
      <w:sz w:val="32"/>
      <w:szCs w:val="32"/>
      <w:lang w:val="zh-CN" w:bidi="zh-CN"/>
    </w:rPr>
  </w:style>
  <w:style w:type="character" w:customStyle="1" w:styleId="34">
    <w:name w:val="标题 3 字符"/>
    <w:link w:val="4"/>
    <w:qFormat/>
    <w:uiPriority w:val="1"/>
    <w:rPr>
      <w:rFonts w:ascii="宋体" w:hAnsi="宋体" w:cs="宋体"/>
      <w:sz w:val="28"/>
      <w:szCs w:val="28"/>
      <w:lang w:val="zh-CN" w:bidi="zh-CN"/>
    </w:rPr>
  </w:style>
  <w:style w:type="character" w:customStyle="1" w:styleId="35">
    <w:name w:val="标题 4 字符"/>
    <w:link w:val="5"/>
    <w:qFormat/>
    <w:uiPriority w:val="1"/>
    <w:rPr>
      <w:rFonts w:ascii="宋体" w:hAnsi="宋体" w:cs="宋体"/>
      <w:sz w:val="24"/>
      <w:szCs w:val="24"/>
      <w:lang w:val="zh-CN" w:bidi="zh-CN"/>
    </w:rPr>
  </w:style>
  <w:style w:type="character" w:customStyle="1" w:styleId="36">
    <w:name w:val="标题 5 字符"/>
    <w:link w:val="6"/>
    <w:qFormat/>
    <w:uiPriority w:val="1"/>
    <w:rPr>
      <w:rFonts w:ascii="Microsoft JhengHei" w:hAnsi="Microsoft JhengHei" w:eastAsia="Microsoft JhengHei" w:cs="Microsoft JhengHei"/>
      <w:b/>
      <w:bCs/>
      <w:sz w:val="21"/>
      <w:szCs w:val="21"/>
      <w:lang w:val="zh-CN" w:bidi="zh-CN"/>
    </w:rPr>
  </w:style>
  <w:style w:type="character" w:customStyle="1" w:styleId="37">
    <w:name w:val="批注文字 字符"/>
    <w:link w:val="8"/>
    <w:qFormat/>
    <w:uiPriority w:val="0"/>
    <w:rPr>
      <w:rFonts w:ascii="宋体" w:hAnsi="宋体" w:cs="宋体"/>
      <w:sz w:val="22"/>
      <w:szCs w:val="22"/>
      <w:lang w:val="zh-CN" w:bidi="zh-CN"/>
    </w:rPr>
  </w:style>
  <w:style w:type="character" w:customStyle="1" w:styleId="38">
    <w:name w:val="正文文本 3 字符"/>
    <w:link w:val="9"/>
    <w:qFormat/>
    <w:uiPriority w:val="99"/>
    <w:rPr>
      <w:rFonts w:ascii="宋体" w:hAnsi="宋体" w:cs="宋体"/>
      <w:lang w:val="zh-CN" w:bidi="zh-CN"/>
    </w:rPr>
  </w:style>
  <w:style w:type="character" w:customStyle="1" w:styleId="39">
    <w:name w:val="正文文本 字符"/>
    <w:link w:val="10"/>
    <w:qFormat/>
    <w:uiPriority w:val="1"/>
    <w:rPr>
      <w:rFonts w:ascii="宋体" w:hAnsi="宋体" w:cs="宋体"/>
      <w:sz w:val="21"/>
      <w:szCs w:val="21"/>
      <w:lang w:val="zh-CN" w:bidi="zh-CN"/>
    </w:rPr>
  </w:style>
  <w:style w:type="character" w:customStyle="1" w:styleId="40">
    <w:name w:val="正文文本缩进 字符"/>
    <w:link w:val="11"/>
    <w:qFormat/>
    <w:uiPriority w:val="0"/>
    <w:rPr>
      <w:rFonts w:ascii="Arial" w:hAnsi="Arial" w:cs="宋体"/>
      <w:sz w:val="22"/>
      <w:szCs w:val="22"/>
      <w:lang w:val="zh-CN" w:bidi="zh-CN"/>
    </w:rPr>
  </w:style>
  <w:style w:type="character" w:customStyle="1" w:styleId="41">
    <w:name w:val="纯文本 字符"/>
    <w:link w:val="13"/>
    <w:qFormat/>
    <w:uiPriority w:val="99"/>
    <w:rPr>
      <w:rFonts w:ascii="宋体" w:hAnsi="Courier New"/>
      <w:sz w:val="22"/>
      <w:szCs w:val="22"/>
      <w:lang w:val="zh-CN" w:bidi="zh-CN"/>
    </w:rPr>
  </w:style>
  <w:style w:type="character" w:customStyle="1" w:styleId="42">
    <w:name w:val="日期 字符"/>
    <w:link w:val="14"/>
    <w:qFormat/>
    <w:uiPriority w:val="0"/>
    <w:rPr>
      <w:rFonts w:ascii="宋体" w:hAnsi="Calibri"/>
      <w:sz w:val="24"/>
    </w:rPr>
  </w:style>
  <w:style w:type="character" w:customStyle="1" w:styleId="43">
    <w:name w:val="正文文本缩进 2 字符"/>
    <w:link w:val="15"/>
    <w:qFormat/>
    <w:uiPriority w:val="0"/>
    <w:rPr>
      <w:rFonts w:ascii="宋体" w:hAnsi="宋体" w:cs="宋体"/>
      <w:sz w:val="22"/>
      <w:szCs w:val="22"/>
      <w:lang w:val="zh-CN" w:bidi="zh-CN"/>
    </w:rPr>
  </w:style>
  <w:style w:type="character" w:customStyle="1" w:styleId="44">
    <w:name w:val="批注框文本 字符"/>
    <w:link w:val="16"/>
    <w:qFormat/>
    <w:uiPriority w:val="0"/>
    <w:rPr>
      <w:rFonts w:ascii="宋体" w:hAnsi="宋体" w:cs="宋体"/>
      <w:sz w:val="18"/>
      <w:szCs w:val="18"/>
      <w:lang w:val="zh-CN" w:bidi="zh-CN"/>
    </w:rPr>
  </w:style>
  <w:style w:type="character" w:customStyle="1" w:styleId="45">
    <w:name w:val="页脚 字符"/>
    <w:link w:val="17"/>
    <w:qFormat/>
    <w:uiPriority w:val="0"/>
    <w:rPr>
      <w:rFonts w:ascii="宋体" w:hAnsi="宋体" w:cs="宋体"/>
      <w:sz w:val="18"/>
      <w:szCs w:val="22"/>
      <w:lang w:val="zh-CN" w:bidi="zh-CN"/>
    </w:rPr>
  </w:style>
  <w:style w:type="character" w:customStyle="1" w:styleId="46">
    <w:name w:val="页眉 字符"/>
    <w:link w:val="18"/>
    <w:qFormat/>
    <w:uiPriority w:val="0"/>
    <w:rPr>
      <w:rFonts w:ascii="宋体" w:hAnsi="宋体" w:cs="宋体"/>
      <w:sz w:val="18"/>
      <w:szCs w:val="22"/>
      <w:lang w:val="zh-CN" w:bidi="zh-CN"/>
    </w:rPr>
  </w:style>
  <w:style w:type="character" w:customStyle="1" w:styleId="47">
    <w:name w:val="批注主题 字符"/>
    <w:link w:val="22"/>
    <w:qFormat/>
    <w:uiPriority w:val="99"/>
    <w:rPr>
      <w:rFonts w:ascii="Times New Roman" w:hAnsi="Times New Roman" w:cs="宋体"/>
      <w:b/>
      <w:bCs/>
      <w:kern w:val="2"/>
      <w:sz w:val="21"/>
      <w:szCs w:val="24"/>
      <w:lang w:val="zh-CN" w:bidi="zh-CN"/>
    </w:rPr>
  </w:style>
  <w:style w:type="character" w:customStyle="1" w:styleId="48">
    <w:name w:val="正文文本首行缩进 2 字符"/>
    <w:link w:val="23"/>
    <w:qFormat/>
    <w:uiPriority w:val="0"/>
    <w:rPr>
      <w:rFonts w:ascii="Arial" w:hAnsi="Arial" w:cs="宋体"/>
      <w:kern w:val="2"/>
      <w:sz w:val="21"/>
      <w:szCs w:val="24"/>
      <w:lang w:val="zh-CN" w:bidi="zh-CN"/>
    </w:rPr>
  </w:style>
  <w:style w:type="paragraph" w:customStyle="1" w:styleId="49">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50">
    <w:name w:val="批注文字 Char"/>
    <w:qFormat/>
    <w:uiPriority w:val="0"/>
    <w:rPr>
      <w:rFonts w:ascii="Times New Roman" w:hAnsi="Times New Roman" w:eastAsia="宋体" w:cs="Times New Roman"/>
      <w:kern w:val="2"/>
      <w:sz w:val="21"/>
      <w:szCs w:val="24"/>
    </w:rPr>
  </w:style>
  <w:style w:type="character" w:customStyle="1" w:styleId="51">
    <w:name w:val="font81"/>
    <w:qFormat/>
    <w:uiPriority w:val="0"/>
    <w:rPr>
      <w:rFonts w:hint="default" w:ascii="Times New Roman" w:hAnsi="Times New Roman" w:cs="Times New Roman"/>
      <w:color w:val="000000"/>
      <w:sz w:val="18"/>
      <w:szCs w:val="18"/>
      <w:u w:val="none"/>
    </w:rPr>
  </w:style>
  <w:style w:type="character" w:customStyle="1" w:styleId="52">
    <w:name w:val="font61"/>
    <w:qFormat/>
    <w:uiPriority w:val="0"/>
    <w:rPr>
      <w:rFonts w:hint="eastAsia" w:ascii="宋体" w:hAnsi="宋体" w:eastAsia="宋体" w:cs="宋体"/>
      <w:color w:val="000000"/>
      <w:sz w:val="18"/>
      <w:szCs w:val="18"/>
      <w:u w:val="none"/>
    </w:rPr>
  </w:style>
  <w:style w:type="character" w:customStyle="1" w:styleId="53">
    <w:name w:val="font71"/>
    <w:qFormat/>
    <w:uiPriority w:val="0"/>
    <w:rPr>
      <w:rFonts w:hint="default" w:ascii="Times New Roman" w:hAnsi="Times New Roman" w:cs="Times New Roman"/>
      <w:b/>
      <w:color w:val="000000"/>
      <w:sz w:val="22"/>
      <w:szCs w:val="22"/>
      <w:u w:val="none"/>
    </w:rPr>
  </w:style>
  <w:style w:type="character" w:customStyle="1" w:styleId="54">
    <w:name w:val="font41"/>
    <w:qFormat/>
    <w:uiPriority w:val="0"/>
    <w:rPr>
      <w:rFonts w:hint="default" w:ascii="Times New Roman" w:hAnsi="Times New Roman" w:cs="Times New Roman"/>
      <w:color w:val="000000"/>
      <w:sz w:val="22"/>
      <w:szCs w:val="22"/>
      <w:u w:val="none"/>
    </w:rPr>
  </w:style>
  <w:style w:type="character" w:customStyle="1" w:styleId="55">
    <w:name w:val="font51"/>
    <w:qFormat/>
    <w:uiPriority w:val="0"/>
    <w:rPr>
      <w:rFonts w:hint="eastAsia" w:ascii="宋体" w:hAnsi="宋体" w:eastAsia="宋体" w:cs="宋体"/>
      <w:color w:val="auto"/>
      <w:sz w:val="22"/>
      <w:szCs w:val="22"/>
      <w:u w:val="none"/>
    </w:rPr>
  </w:style>
  <w:style w:type="paragraph" w:customStyle="1" w:styleId="56">
    <w:name w:val="_Style 1"/>
    <w:basedOn w:val="1"/>
    <w:qFormat/>
    <w:uiPriority w:val="1"/>
    <w:pPr>
      <w:ind w:left="400" w:firstLine="420"/>
    </w:pPr>
    <w:rPr>
      <w:rFonts w:ascii="宋体" w:hAnsi="宋体" w:eastAsia="宋体" w:cs="宋体"/>
      <w:lang w:val="zh-CN" w:eastAsia="zh-CN" w:bidi="zh-CN"/>
    </w:rPr>
  </w:style>
  <w:style w:type="paragraph" w:customStyle="1" w:styleId="57">
    <w:name w:val="表头"/>
    <w:basedOn w:val="7"/>
    <w:qFormat/>
    <w:uiPriority w:val="0"/>
    <w:pPr>
      <w:keepNext/>
      <w:keepLines/>
      <w:widowControl/>
      <w:spacing w:before="120" w:after="120" w:line="300" w:lineRule="auto"/>
      <w:jc w:val="center"/>
      <w:textAlignment w:val="baseline"/>
    </w:pPr>
    <w:rPr>
      <w:rFonts w:ascii="Arial" w:hAnsi="Arial" w:cs="Times New Roman"/>
      <w:kern w:val="0"/>
      <w:sz w:val="21"/>
    </w:rPr>
  </w:style>
  <w:style w:type="paragraph" w:customStyle="1" w:styleId="58">
    <w:name w:val="_Style 23"/>
    <w:basedOn w:val="1"/>
    <w:next w:val="59"/>
    <w:qFormat/>
    <w:uiPriority w:val="34"/>
    <w:pPr>
      <w:autoSpaceDE/>
      <w:autoSpaceDN/>
      <w:ind w:firstLine="420" w:firstLineChars="200"/>
      <w:jc w:val="both"/>
    </w:pPr>
    <w:rPr>
      <w:rFonts w:ascii="Calibri" w:hAnsi="Calibri" w:cs="Times New Roman"/>
      <w:kern w:val="2"/>
      <w:sz w:val="21"/>
      <w:lang w:val="en-US" w:bidi="ar-SA"/>
    </w:rPr>
  </w:style>
  <w:style w:type="paragraph" w:styleId="59">
    <w:name w:val="List Paragraph"/>
    <w:basedOn w:val="1"/>
    <w:link w:val="60"/>
    <w:qFormat/>
    <w:uiPriority w:val="1"/>
    <w:pPr>
      <w:ind w:left="400" w:firstLine="420"/>
    </w:pPr>
    <w:rPr>
      <w:rFonts w:ascii="宋体" w:hAnsi="宋体" w:eastAsia="宋体" w:cs="宋体"/>
      <w:lang w:val="zh-CN" w:eastAsia="zh-CN" w:bidi="zh-CN"/>
    </w:rPr>
  </w:style>
  <w:style w:type="character" w:customStyle="1" w:styleId="60">
    <w:name w:val="列表段落 字符"/>
    <w:link w:val="59"/>
    <w:qFormat/>
    <w:uiPriority w:val="1"/>
    <w:rPr>
      <w:rFonts w:ascii="宋体" w:hAnsi="宋体" w:cs="宋体"/>
      <w:sz w:val="22"/>
      <w:szCs w:val="22"/>
      <w:lang w:val="zh-CN" w:bidi="zh-CN"/>
    </w:rPr>
  </w:style>
  <w:style w:type="paragraph" w:customStyle="1" w:styleId="61">
    <w:name w:val="表格文字"/>
    <w:basedOn w:val="1"/>
    <w:qFormat/>
    <w:uiPriority w:val="0"/>
    <w:pPr>
      <w:spacing w:before="25" w:after="25"/>
      <w:jc w:val="left"/>
    </w:pPr>
    <w:rPr>
      <w:rFonts w:ascii="Calibri" w:hAnsi="Calibri"/>
      <w:bCs/>
      <w:spacing w:val="10"/>
      <w:sz w:val="24"/>
      <w:szCs w:val="22"/>
    </w:rPr>
  </w:style>
  <w:style w:type="paragraph" w:customStyle="1" w:styleId="62">
    <w:name w:val="_Style 59"/>
    <w:unhideWhenUsed/>
    <w:qFormat/>
    <w:uiPriority w:val="99"/>
    <w:rPr>
      <w:rFonts w:ascii="宋体" w:hAnsi="宋体" w:eastAsia="宋体" w:cs="宋体"/>
      <w:sz w:val="22"/>
      <w:szCs w:val="22"/>
      <w:lang w:val="zh-CN" w:eastAsia="zh-CN" w:bidi="zh-CN"/>
    </w:rPr>
  </w:style>
  <w:style w:type="paragraph" w:styleId="6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列出段落1"/>
    <w:basedOn w:val="1"/>
    <w:qFormat/>
    <w:uiPriority w:val="99"/>
    <w:pPr>
      <w:ind w:firstLine="420" w:firstLineChars="200"/>
    </w:pPr>
    <w:rPr>
      <w:rFonts w:ascii="Calibri" w:hAnsi="Calibri"/>
      <w:szCs w:val="22"/>
    </w:rPr>
  </w:style>
  <w:style w:type="paragraph" w:customStyle="1" w:styleId="65">
    <w:name w:val="List Paragraph11"/>
    <w:basedOn w:val="1"/>
    <w:qFormat/>
    <w:uiPriority w:val="1"/>
    <w:pPr>
      <w:ind w:left="400" w:firstLine="420"/>
    </w:pPr>
  </w:style>
  <w:style w:type="paragraph" w:customStyle="1" w:styleId="66">
    <w:name w:val="_Style 2"/>
    <w:basedOn w:val="1"/>
    <w:qFormat/>
    <w:uiPriority w:val="1"/>
    <w:pPr>
      <w:ind w:left="400" w:firstLine="420"/>
    </w:pPr>
    <w:rPr>
      <w:rFonts w:ascii="宋体" w:hAnsi="宋体" w:eastAsia="宋体" w:cs="宋体"/>
      <w:lang w:val="zh-CN" w:eastAsia="zh-CN" w:bidi="zh-CN"/>
    </w:rPr>
  </w:style>
  <w:style w:type="paragraph" w:customStyle="1" w:styleId="67">
    <w:name w:val="Table Paragraph"/>
    <w:basedOn w:val="1"/>
    <w:qFormat/>
    <w:uiPriority w:val="1"/>
    <w:rPr>
      <w:rFonts w:ascii="宋体" w:hAnsi="宋体" w:eastAsia="宋体" w:cs="宋体"/>
      <w:lang w:val="zh-CN" w:eastAsia="zh-CN" w:bidi="zh-CN"/>
    </w:rPr>
  </w:style>
  <w:style w:type="table" w:customStyle="1" w:styleId="68">
    <w:name w:val="Table Normal"/>
    <w:unhideWhenUsed/>
    <w:qFormat/>
    <w:uiPriority w:val="2"/>
    <w:rPr>
      <w:lang w:val="en-US" w:eastAsia="zh-CN" w:bidi="ar-SA"/>
    </w:rPr>
    <w:tblPr>
      <w:tblCellMar>
        <w:top w:w="0" w:type="dxa"/>
        <w:left w:w="0" w:type="dxa"/>
        <w:bottom w:w="0" w:type="dxa"/>
        <w:right w:w="0" w:type="dxa"/>
      </w:tblCellMar>
    </w:tblPr>
  </w:style>
  <w:style w:type="character" w:customStyle="1" w:styleId="69">
    <w:name w:val="占位符文本1"/>
    <w:semiHidden/>
    <w:qFormat/>
    <w:uiPriority w:val="99"/>
    <w:rPr>
      <w:color w:val="808080"/>
    </w:rPr>
  </w:style>
  <w:style w:type="paragraph" w:customStyle="1" w:styleId="70">
    <w:name w:val="List Paragraph1"/>
    <w:basedOn w:val="1"/>
    <w:qFormat/>
    <w:uiPriority w:val="34"/>
    <w:pPr>
      <w:ind w:firstLine="420" w:firstLineChars="200"/>
    </w:pPr>
    <w:rPr>
      <w:rFonts w:ascii="Calibri" w:hAnsi="Calibri"/>
      <w:szCs w:val="22"/>
    </w:rPr>
  </w:style>
  <w:style w:type="character" w:customStyle="1" w:styleId="71">
    <w:name w:val="font31"/>
    <w:qFormat/>
    <w:uiPriority w:val="0"/>
    <w:rPr>
      <w:rFonts w:hint="eastAsia" w:ascii="微软雅黑" w:hAnsi="微软雅黑" w:eastAsia="微软雅黑" w:cs="微软雅黑"/>
      <w:b/>
      <w:bCs/>
      <w:color w:val="000000"/>
      <w:sz w:val="24"/>
      <w:szCs w:val="24"/>
      <w:u w:val="none"/>
    </w:rPr>
  </w:style>
  <w:style w:type="character" w:customStyle="1" w:styleId="72">
    <w:name w:val="font91"/>
    <w:qFormat/>
    <w:uiPriority w:val="0"/>
    <w:rPr>
      <w:rFonts w:hint="default" w:ascii="Wingdings 2" w:hAnsi="Wingdings 2" w:eastAsia="Wingdings 2" w:cs="Wingdings 2"/>
      <w:b/>
      <w:bCs/>
      <w:color w:val="000000"/>
      <w:sz w:val="24"/>
      <w:szCs w:val="24"/>
      <w:u w:val="none"/>
    </w:rPr>
  </w:style>
  <w:style w:type="character" w:customStyle="1" w:styleId="73">
    <w:name w:val="font101"/>
    <w:qFormat/>
    <w:uiPriority w:val="0"/>
    <w:rPr>
      <w:rFonts w:hint="eastAsia" w:ascii="微软雅黑" w:hAnsi="微软雅黑" w:eastAsia="微软雅黑" w:cs="微软雅黑"/>
      <w:b/>
      <w:bCs/>
      <w:color w:val="000000"/>
      <w:sz w:val="24"/>
      <w:szCs w:val="24"/>
      <w:u w:val="single"/>
    </w:rPr>
  </w:style>
  <w:style w:type="character" w:customStyle="1" w:styleId="74">
    <w:name w:val="批注文字 Char1"/>
    <w:qFormat/>
    <w:uiPriority w:val="0"/>
    <w:rPr>
      <w:rFonts w:ascii="宋体" w:hAnsi="宋体" w:cs="宋体"/>
      <w:sz w:val="22"/>
      <w:szCs w:val="22"/>
      <w:lang w:val="zh-CN" w:bidi="zh-CN"/>
    </w:rPr>
  </w:style>
  <w:style w:type="paragraph" w:customStyle="1" w:styleId="75">
    <w:name w:val="正文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正文_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
    <w:name w:val="_Style 76"/>
    <w:unhideWhenUsed/>
    <w:qFormat/>
    <w:uiPriority w:val="99"/>
    <w:rPr>
      <w:rFonts w:ascii="宋体" w:hAnsi="宋体" w:eastAsia="宋体" w:cs="宋体"/>
      <w:sz w:val="22"/>
      <w:szCs w:val="22"/>
      <w:lang w:val="zh-CN" w:eastAsia="zh-CN" w:bidi="zh-CN"/>
    </w:rPr>
  </w:style>
  <w:style w:type="character" w:customStyle="1" w:styleId="78">
    <w:name w:val="font21"/>
    <w:qFormat/>
    <w:uiPriority w:val="0"/>
    <w:rPr>
      <w:rFonts w:hint="eastAsia" w:ascii="宋体" w:hAnsi="宋体" w:eastAsia="宋体" w:cs="宋体"/>
      <w:color w:val="000000"/>
      <w:sz w:val="21"/>
      <w:szCs w:val="21"/>
      <w:u w:val="none"/>
    </w:rPr>
  </w:style>
  <w:style w:type="character" w:customStyle="1" w:styleId="79">
    <w:name w:val="font11"/>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招标文件20260425</Template>
  <Pages>7</Pages>
  <Words>9198</Words>
  <Characters>52432</Characters>
  <Lines>436</Lines>
  <Paragraphs>123</Paragraphs>
  <TotalTime>3</TotalTime>
  <ScaleCrop>false</ScaleCrop>
  <LinksUpToDate>false</LinksUpToDate>
  <CharactersWithSpaces>61507</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2026-04-25T15:48:00Z</dcterms:created>
  <dc:creator>Administrator</dc:creator>
  <cp:lastModifiedBy>颜宇</cp:lastModifiedBy>
  <cp:lastPrinted>2023-09-25T06:33:00Z</cp:lastPrinted>
  <dcterms:modified xsi:type="dcterms:W3CDTF">2026-06-01T01:56:22Z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2017-09-05T08:00:00Z</vt:filetime>
  </property>
  <property fmtid="{D5CDD505-2E9C-101B-9397-08002B2CF9AE}" pid="3" name="Creator">
    <vt:lpwstr>Microsoft® Word 2013</vt:lpwstr>
  </property>
  <property fmtid="{D5CDD505-2E9C-101B-9397-08002B2CF9AE}" pid="4" name="LastSaved">
    <vt:filetime>2018-09-18T08:00:00Z</vt:filetime>
  </property>
  <property fmtid="{D5CDD505-2E9C-101B-9397-08002B2CF9AE}" pid="5" name="KSOProductBuildVer">
    <vt:lpwstr>2052-12.8.2.17149</vt:lpwstr>
  </property>
  <property fmtid="{D5CDD505-2E9C-101B-9397-08002B2CF9AE}" pid="6" name="ICV">
    <vt:lpwstr>C30EF7386E854539B820553ACCDB1C98_13</vt:lpwstr>
  </property>
</Properties>
</file>